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9AF" w:rsidRDefault="00C079AF" w:rsidP="00C079AF">
      <w:pPr>
        <w:pStyle w:val="NormalWeb"/>
        <w:spacing w:before="0" w:beforeAutospacing="0" w:after="0" w:afterAutospacing="0"/>
        <w:ind w:left="-180" w:right="-334"/>
      </w:pPr>
      <w:r>
        <w:rPr>
          <w:noProof/>
        </w:rPr>
        <w:drawing>
          <wp:inline distT="0" distB="0" distL="0" distR="0" wp14:anchorId="4A541597" wp14:editId="16CD13AE">
            <wp:extent cx="1910080" cy="636905"/>
            <wp:effectExtent l="25400" t="25400" r="7620" b="1079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000000"/>
                      </a:solidFill>
                      <a:miter lim="800000"/>
                      <a:headEnd/>
                      <a:tailEnd/>
                    </a:ln>
                    <a:effectLst/>
                  </pic:spPr>
                </pic:pic>
              </a:graphicData>
            </a:graphic>
          </wp:inline>
        </w:drawing>
      </w:r>
    </w:p>
    <w:p w:rsidR="00C079AF" w:rsidRDefault="00C079AF" w:rsidP="00C079AF">
      <w:pPr>
        <w:pStyle w:val="NormalWeb"/>
        <w:spacing w:before="0" w:beforeAutospacing="0" w:after="0" w:afterAutospacing="0"/>
        <w:ind w:left="-180" w:right="-334"/>
      </w:pPr>
    </w:p>
    <w:p w:rsidR="00C079AF" w:rsidRDefault="00C079AF" w:rsidP="00C079AF">
      <w:pPr>
        <w:pStyle w:val="NormalWeb"/>
        <w:spacing w:before="0" w:beforeAutospacing="0" w:after="0" w:afterAutospacing="0"/>
        <w:ind w:left="-180" w:right="-334"/>
      </w:pPr>
    </w:p>
    <w:p w:rsidR="00C079AF" w:rsidRDefault="00C079AF" w:rsidP="00C079A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C079AF" w:rsidRPr="00230F35" w:rsidRDefault="00C079AF" w:rsidP="00C079A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C079AF" w:rsidRDefault="00C079AF" w:rsidP="00C079AF">
      <w:pPr>
        <w:pStyle w:val="Heading3"/>
        <w:ind w:left="0"/>
        <w:rPr>
          <w:lang w:val="cy-GB"/>
        </w:rPr>
      </w:pPr>
    </w:p>
    <w:p w:rsidR="00C079AF" w:rsidRDefault="00C079AF" w:rsidP="00C079A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9AF" w:rsidRPr="00230F35" w:rsidTr="00AA6517">
        <w:trPr>
          <w:trHeight w:val="614"/>
        </w:trPr>
        <w:tc>
          <w:tcPr>
            <w:tcW w:w="8856" w:type="dxa"/>
            <w:gridSpan w:val="5"/>
          </w:tcPr>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9AF" w:rsidRPr="00230F35" w:rsidTr="00AA6517">
        <w:trPr>
          <w:trHeight w:val="718"/>
        </w:trPr>
        <w:tc>
          <w:tcPr>
            <w:tcW w:w="8856" w:type="dxa"/>
            <w:gridSpan w:val="5"/>
          </w:tcPr>
          <w:p w:rsidR="00C079AF"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DYLAN COUTTS</w:t>
            </w:r>
          </w:p>
          <w:p w:rsidR="00C079AF" w:rsidRPr="00230F35" w:rsidRDefault="00C079AF" w:rsidP="00AA6517">
            <w:pPr>
              <w:pStyle w:val="NormalWeb"/>
              <w:spacing w:before="0" w:beforeAutospacing="0" w:after="0" w:afterAutospacing="0"/>
              <w:ind w:right="34"/>
              <w:rPr>
                <w:rFonts w:ascii="Arial" w:hAnsi="Arial" w:cs="Arial"/>
                <w:sz w:val="22"/>
                <w:szCs w:val="22"/>
              </w:rPr>
            </w:pPr>
          </w:p>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C079AF">
              <w:rPr>
                <w:rFonts w:ascii="Arial" w:hAnsi="Arial" w:cs="Arial"/>
                <w:bCs/>
                <w:sz w:val="22"/>
                <w:szCs w:val="22"/>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1907654@student.uwtsd.ac.uk</w:t>
            </w:r>
          </w:p>
        </w:tc>
      </w:tr>
      <w:tr w:rsidR="00C079AF" w:rsidRPr="00230F35" w:rsidTr="00AA6517">
        <w:trPr>
          <w:trHeight w:val="849"/>
        </w:trPr>
        <w:tc>
          <w:tcPr>
            <w:tcW w:w="4788" w:type="dxa"/>
          </w:tcPr>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25089C">
              <w:rPr>
                <w:rFonts w:ascii="Arial" w:hAnsi="Arial" w:cs="Arial"/>
                <w:sz w:val="22"/>
                <w:szCs w:val="22"/>
              </w:rPr>
              <w:t>5</w:t>
            </w:r>
          </w:p>
          <w:p w:rsidR="00C079AF" w:rsidRPr="00230F35" w:rsidRDefault="00C079AF" w:rsidP="00AA6517">
            <w:pPr>
              <w:pStyle w:val="NormalWeb"/>
              <w:spacing w:before="0" w:beforeAutospacing="0" w:after="0" w:afterAutospacing="0"/>
              <w:ind w:right="34"/>
              <w:rPr>
                <w:rFonts w:ascii="Arial" w:hAnsi="Arial" w:cs="Arial"/>
                <w:sz w:val="22"/>
                <w:szCs w:val="22"/>
              </w:rPr>
            </w:pPr>
          </w:p>
          <w:p w:rsidR="00C079AF" w:rsidRPr="00CC43E3" w:rsidRDefault="00C079AF" w:rsidP="00AA6517">
            <w:r w:rsidRPr="00230F35">
              <w:rPr>
                <w:rFonts w:ascii="Arial" w:hAnsi="Arial" w:cs="Arial"/>
                <w:sz w:val="22"/>
                <w:szCs w:val="22"/>
              </w:rPr>
              <w:t>Module title:</w:t>
            </w:r>
            <w:r>
              <w:rPr>
                <w:rFonts w:ascii="Arial" w:hAnsi="Arial" w:cs="Arial"/>
                <w:sz w:val="22"/>
                <w:szCs w:val="22"/>
              </w:rPr>
              <w:t xml:space="preserve"> </w:t>
            </w:r>
            <w:r w:rsidR="0025089C">
              <w:t>Cosmology, Magic and Divination</w:t>
            </w:r>
          </w:p>
          <w:p w:rsidR="00C079AF" w:rsidRPr="00230F35" w:rsidRDefault="00C079AF" w:rsidP="00AA6517">
            <w:pPr>
              <w:pStyle w:val="NormalWeb"/>
              <w:spacing w:before="0" w:beforeAutospacing="0" w:after="0" w:afterAutospacing="0"/>
              <w:ind w:right="34"/>
              <w:rPr>
                <w:rFonts w:ascii="Arial" w:hAnsi="Arial" w:cs="Arial"/>
                <w:sz w:val="22"/>
                <w:szCs w:val="22"/>
              </w:rPr>
            </w:pPr>
          </w:p>
        </w:tc>
        <w:tc>
          <w:tcPr>
            <w:tcW w:w="2266" w:type="dxa"/>
            <w:gridSpan w:val="3"/>
          </w:tcPr>
          <w:p w:rsidR="00C079AF"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C079AF" w:rsidRDefault="00C079AF" w:rsidP="00AA6517">
            <w:pPr>
              <w:pStyle w:val="NormalWeb"/>
              <w:spacing w:before="0" w:beforeAutospacing="0" w:after="0" w:afterAutospacing="0"/>
              <w:ind w:right="34"/>
              <w:rPr>
                <w:rFonts w:ascii="Arial" w:hAnsi="Arial" w:cs="Arial"/>
                <w:sz w:val="22"/>
                <w:szCs w:val="22"/>
              </w:rPr>
            </w:pPr>
          </w:p>
          <w:p w:rsidR="00C079AF" w:rsidRPr="00230F35" w:rsidRDefault="00C079AF" w:rsidP="00AA6517">
            <w:pPr>
              <w:pStyle w:val="NormalWeb"/>
              <w:spacing w:before="0" w:beforeAutospacing="0" w:after="0" w:afterAutospacing="0"/>
              <w:ind w:right="34"/>
              <w:rPr>
                <w:rFonts w:ascii="Arial" w:hAnsi="Arial" w:cs="Arial"/>
                <w:sz w:val="22"/>
                <w:szCs w:val="22"/>
              </w:rPr>
            </w:pPr>
            <w:r>
              <w:rPr>
                <w:rFonts w:ascii="Arial" w:hAnsi="Arial" w:cs="Arial"/>
                <w:sz w:val="22"/>
                <w:szCs w:val="22"/>
              </w:rPr>
              <w:t>1907654</w:t>
            </w:r>
          </w:p>
        </w:tc>
        <w:tc>
          <w:tcPr>
            <w:tcW w:w="1802" w:type="dxa"/>
          </w:tcPr>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079AF" w:rsidRPr="00230F35" w:rsidTr="00AA6517">
        <w:trPr>
          <w:trHeight w:val="1139"/>
        </w:trPr>
        <w:tc>
          <w:tcPr>
            <w:tcW w:w="8856" w:type="dxa"/>
            <w:gridSpan w:val="5"/>
          </w:tcPr>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w:t>
            </w:r>
            <w:r w:rsidR="0025089C">
              <w:rPr>
                <w:rFonts w:ascii="Arial" w:hAnsi="Arial" w:cs="Arial"/>
                <w:sz w:val="22"/>
                <w:szCs w:val="22"/>
              </w:rPr>
              <w:t>1</w:t>
            </w:r>
          </w:p>
          <w:p w:rsidR="00C079AF" w:rsidRPr="00230F35" w:rsidRDefault="00C079AF" w:rsidP="00AA6517">
            <w:pPr>
              <w:pStyle w:val="NormalWeb"/>
              <w:spacing w:before="0" w:beforeAutospacing="0" w:after="0" w:afterAutospacing="0"/>
              <w:ind w:right="34"/>
              <w:rPr>
                <w:rFonts w:ascii="Arial" w:hAnsi="Arial" w:cs="Arial"/>
                <w:sz w:val="22"/>
                <w:szCs w:val="22"/>
              </w:rPr>
            </w:pPr>
          </w:p>
          <w:p w:rsidR="00C079AF" w:rsidRDefault="00C079AF" w:rsidP="00AA6517">
            <w:pPr>
              <w:pStyle w:val="NormalWeb"/>
              <w:spacing w:before="0" w:beforeAutospacing="0" w:after="0" w:afterAutospacing="0"/>
              <w:ind w:right="34"/>
              <w:rPr>
                <w:rFonts w:ascii="Arial" w:hAnsi="Arial" w:cs="Arial"/>
                <w:sz w:val="22"/>
                <w:szCs w:val="22"/>
              </w:rPr>
            </w:pPr>
          </w:p>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25089C">
              <w:rPr>
                <w:rFonts w:ascii="Arial" w:hAnsi="Arial" w:cs="Arial"/>
                <w:sz w:val="22"/>
                <w:szCs w:val="22"/>
              </w:rPr>
              <w:t>8</w:t>
            </w:r>
            <w:r>
              <w:rPr>
                <w:rFonts w:ascii="Arial" w:hAnsi="Arial" w:cs="Arial"/>
                <w:sz w:val="22"/>
                <w:szCs w:val="22"/>
              </w:rPr>
              <w:t xml:space="preserve"> </w:t>
            </w:r>
            <w:r w:rsidR="0025089C">
              <w:rPr>
                <w:rFonts w:ascii="Arial" w:hAnsi="Arial" w:cs="Arial"/>
                <w:sz w:val="22"/>
                <w:szCs w:val="22"/>
              </w:rPr>
              <w:t>June</w:t>
            </w:r>
            <w:r>
              <w:rPr>
                <w:rFonts w:ascii="Arial" w:hAnsi="Arial" w:cs="Arial"/>
                <w:sz w:val="22"/>
                <w:szCs w:val="22"/>
              </w:rPr>
              <w:t xml:space="preserve"> 2020</w:t>
            </w:r>
          </w:p>
        </w:tc>
      </w:tr>
      <w:tr w:rsidR="00C079AF" w:rsidRPr="00230F35" w:rsidTr="00AA6517">
        <w:trPr>
          <w:trHeight w:val="978"/>
        </w:trPr>
        <w:tc>
          <w:tcPr>
            <w:tcW w:w="8856" w:type="dxa"/>
            <w:gridSpan w:val="5"/>
            <w:tcBorders>
              <w:bottom w:val="single" w:sz="4" w:space="0" w:color="000000"/>
            </w:tcBorders>
          </w:tcPr>
          <w:p w:rsidR="00C079AF" w:rsidRPr="00230F35" w:rsidRDefault="00C079AF" w:rsidP="00AA651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A7778B">
              <w:rPr>
                <w:rFonts w:ascii="Arial" w:hAnsi="Arial" w:cs="Arial"/>
                <w:sz w:val="22"/>
                <w:szCs w:val="22"/>
              </w:rPr>
            </w:r>
            <w:r w:rsidR="00A7778B">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sidR="00A7778B">
              <w:rPr>
                <w:rFonts w:ascii="Arial" w:hAnsi="Arial" w:cs="Arial"/>
                <w:sz w:val="22"/>
                <w:szCs w:val="22"/>
              </w:rPr>
            </w:r>
            <w:r w:rsidR="00A7778B">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A7778B">
              <w:rPr>
                <w:rFonts w:ascii="Arial" w:hAnsi="Arial" w:cs="Arial"/>
                <w:sz w:val="22"/>
                <w:szCs w:val="22"/>
              </w:rPr>
            </w:r>
            <w:r w:rsidR="00A7778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A7778B">
              <w:rPr>
                <w:rFonts w:ascii="Arial" w:hAnsi="Arial" w:cs="Arial"/>
                <w:sz w:val="22"/>
                <w:szCs w:val="22"/>
              </w:rPr>
            </w:r>
            <w:r w:rsidR="00A7778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A7778B">
              <w:rPr>
                <w:rFonts w:ascii="Arial" w:hAnsi="Arial" w:cs="Arial"/>
                <w:sz w:val="22"/>
                <w:szCs w:val="22"/>
              </w:rPr>
            </w:r>
            <w:r w:rsidR="00A7778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A7778B">
              <w:rPr>
                <w:rFonts w:ascii="Arial" w:hAnsi="Arial" w:cs="Arial"/>
                <w:sz w:val="22"/>
                <w:szCs w:val="22"/>
              </w:rPr>
            </w:r>
            <w:r w:rsidR="00A7778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079AF" w:rsidRPr="00230F35" w:rsidTr="00AA6517">
        <w:trPr>
          <w:trHeight w:val="978"/>
        </w:trPr>
        <w:tc>
          <w:tcPr>
            <w:tcW w:w="8856" w:type="dxa"/>
            <w:gridSpan w:val="5"/>
            <w:shd w:val="clear" w:color="auto" w:fill="D9D9D9"/>
          </w:tcPr>
          <w:p w:rsidR="00C079AF" w:rsidRPr="00230F35"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079AF" w:rsidRDefault="00C079AF" w:rsidP="00AA65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p>
          <w:p w:rsidR="00C079AF" w:rsidRDefault="00C079AF" w:rsidP="00AA6517">
            <w:pPr>
              <w:pStyle w:val="NormalWeb"/>
              <w:spacing w:before="0" w:beforeAutospacing="0" w:after="0" w:afterAutospacing="0"/>
              <w:ind w:right="34"/>
              <w:rPr>
                <w:rFonts w:ascii="Arial" w:hAnsi="Arial" w:cs="Arial"/>
                <w:sz w:val="22"/>
                <w:szCs w:val="22"/>
              </w:rPr>
            </w:pPr>
          </w:p>
          <w:p w:rsidR="00C079AF" w:rsidRPr="00C079AF" w:rsidRDefault="00C079AF" w:rsidP="00AA6517">
            <w:pPr>
              <w:pStyle w:val="NormalWeb"/>
              <w:spacing w:before="0" w:beforeAutospacing="0" w:after="0" w:afterAutospacing="0"/>
              <w:ind w:right="34"/>
              <w:rPr>
                <w:rFonts w:ascii="Arial" w:hAnsi="Arial" w:cs="Arial"/>
                <w:b/>
                <w:sz w:val="22"/>
                <w:szCs w:val="22"/>
                <w:u w:val="dotted"/>
              </w:rPr>
            </w:pPr>
            <w:r w:rsidRPr="00CC43E3">
              <w:rPr>
                <w:rFonts w:ascii="Arial" w:hAnsi="Arial" w:cs="Arial"/>
                <w:b/>
                <w:sz w:val="22"/>
                <w:szCs w:val="22"/>
                <w:u w:val="dotted"/>
              </w:rPr>
              <w:t>DYLAN COUTTS</w:t>
            </w:r>
          </w:p>
        </w:tc>
      </w:tr>
      <w:tr w:rsidR="00C079AF" w:rsidRPr="00230F35" w:rsidTr="00AA6517">
        <w:trPr>
          <w:trHeight w:val="3972"/>
        </w:trPr>
        <w:tc>
          <w:tcPr>
            <w:tcW w:w="8856" w:type="dxa"/>
            <w:gridSpan w:val="5"/>
          </w:tcPr>
          <w:p w:rsidR="00C079AF" w:rsidRDefault="00C079AF" w:rsidP="00AA6517">
            <w:pPr>
              <w:rPr>
                <w:rFonts w:ascii="Arial" w:hAnsi="Arial"/>
                <w:b/>
              </w:rPr>
            </w:pPr>
          </w:p>
          <w:p w:rsidR="00C079AF" w:rsidRPr="00116CE6" w:rsidRDefault="00C079AF" w:rsidP="00AA651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9AF" w:rsidRPr="00116CE6" w:rsidTr="00AA6517">
              <w:tc>
                <w:tcPr>
                  <w:tcW w:w="6970" w:type="dxa"/>
                </w:tcPr>
                <w:p w:rsidR="00C079AF" w:rsidRPr="00116CE6" w:rsidRDefault="00C079AF" w:rsidP="00AA6517">
                  <w:pPr>
                    <w:rPr>
                      <w:rFonts w:ascii="Arial" w:hAnsi="Arial"/>
                      <w:sz w:val="20"/>
                      <w:szCs w:val="20"/>
                    </w:rPr>
                  </w:pPr>
                </w:p>
                <w:p w:rsidR="00C079AF" w:rsidRPr="00116CE6" w:rsidRDefault="00C079AF" w:rsidP="00AA651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C079AF" w:rsidRPr="00116CE6" w:rsidRDefault="00C079AF" w:rsidP="00AA6517">
                  <w:pPr>
                    <w:rPr>
                      <w:rFonts w:ascii="Arial" w:hAnsi="Arial"/>
                      <w:sz w:val="20"/>
                      <w:szCs w:val="20"/>
                    </w:rPr>
                  </w:pPr>
                </w:p>
              </w:tc>
            </w:tr>
            <w:tr w:rsidR="00C079AF" w:rsidRPr="00116CE6" w:rsidTr="00AA6517">
              <w:tc>
                <w:tcPr>
                  <w:tcW w:w="6970" w:type="dxa"/>
                </w:tcPr>
                <w:p w:rsidR="00C079AF" w:rsidRPr="00116CE6" w:rsidRDefault="00C079AF" w:rsidP="00AA6517">
                  <w:pPr>
                    <w:rPr>
                      <w:rFonts w:ascii="Arial" w:hAnsi="Arial"/>
                      <w:sz w:val="20"/>
                      <w:szCs w:val="20"/>
                    </w:rPr>
                  </w:pPr>
                </w:p>
                <w:p w:rsidR="00C079AF" w:rsidRPr="00116CE6" w:rsidRDefault="00C079AF" w:rsidP="00AA651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C079AF" w:rsidRPr="00116CE6" w:rsidRDefault="00C079AF" w:rsidP="00AA6517">
                  <w:pPr>
                    <w:rPr>
                      <w:rFonts w:ascii="Arial" w:hAnsi="Arial"/>
                      <w:sz w:val="20"/>
                      <w:szCs w:val="20"/>
                    </w:rPr>
                  </w:pPr>
                </w:p>
              </w:tc>
            </w:tr>
            <w:tr w:rsidR="00C079AF" w:rsidRPr="00116CE6" w:rsidTr="00AA6517">
              <w:tc>
                <w:tcPr>
                  <w:tcW w:w="6970" w:type="dxa"/>
                </w:tcPr>
                <w:p w:rsidR="00C079AF" w:rsidRPr="00116CE6" w:rsidRDefault="00C079AF" w:rsidP="00AA6517">
                  <w:pPr>
                    <w:rPr>
                      <w:rFonts w:ascii="Arial" w:hAnsi="Arial"/>
                      <w:sz w:val="20"/>
                      <w:szCs w:val="20"/>
                    </w:rPr>
                  </w:pPr>
                </w:p>
                <w:p w:rsidR="00C079AF" w:rsidRPr="00116CE6" w:rsidRDefault="00C079AF" w:rsidP="00AA651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C079AF" w:rsidRPr="00116CE6" w:rsidRDefault="00C079AF" w:rsidP="00AA6517">
                  <w:pPr>
                    <w:rPr>
                      <w:rFonts w:ascii="Arial" w:hAnsi="Arial"/>
                      <w:sz w:val="20"/>
                      <w:szCs w:val="20"/>
                    </w:rPr>
                  </w:pPr>
                </w:p>
              </w:tc>
            </w:tr>
            <w:tr w:rsidR="00C079AF" w:rsidRPr="00116CE6" w:rsidTr="00AA6517">
              <w:tc>
                <w:tcPr>
                  <w:tcW w:w="6970" w:type="dxa"/>
                </w:tcPr>
                <w:p w:rsidR="00C079AF" w:rsidRDefault="00C079AF" w:rsidP="00AA6517">
                  <w:pPr>
                    <w:rPr>
                      <w:rFonts w:ascii="Arial" w:hAnsi="Arial"/>
                      <w:sz w:val="20"/>
                      <w:szCs w:val="20"/>
                    </w:rPr>
                  </w:pPr>
                </w:p>
                <w:p w:rsidR="00C079AF" w:rsidRPr="00022345" w:rsidRDefault="00C079AF" w:rsidP="00AA6517">
                  <w:pPr>
                    <w:rPr>
                      <w:rFonts w:ascii="Arial" w:hAnsi="Arial"/>
                      <w:b/>
                      <w:sz w:val="20"/>
                      <w:szCs w:val="20"/>
                    </w:rPr>
                  </w:pPr>
                  <w:r w:rsidRPr="00022345">
                    <w:rPr>
                      <w:rFonts w:ascii="Arial" w:hAnsi="Arial"/>
                      <w:b/>
                      <w:sz w:val="20"/>
                      <w:szCs w:val="20"/>
                    </w:rPr>
                    <w:t>Final Mark</w:t>
                  </w:r>
                </w:p>
                <w:p w:rsidR="00C079AF" w:rsidRPr="00116CE6" w:rsidRDefault="00C079AF" w:rsidP="00AA6517">
                  <w:pPr>
                    <w:rPr>
                      <w:rFonts w:ascii="Arial" w:hAnsi="Arial"/>
                      <w:sz w:val="20"/>
                      <w:szCs w:val="20"/>
                    </w:rPr>
                  </w:pPr>
                </w:p>
              </w:tc>
              <w:tc>
                <w:tcPr>
                  <w:tcW w:w="1660" w:type="dxa"/>
                </w:tcPr>
                <w:p w:rsidR="00C079AF" w:rsidRPr="00116CE6" w:rsidRDefault="00C079AF" w:rsidP="00AA6517">
                  <w:pPr>
                    <w:rPr>
                      <w:rFonts w:ascii="Arial" w:hAnsi="Arial"/>
                      <w:sz w:val="20"/>
                      <w:szCs w:val="20"/>
                    </w:rPr>
                  </w:pPr>
                </w:p>
              </w:tc>
            </w:tr>
          </w:tbl>
          <w:p w:rsidR="00C079AF" w:rsidRDefault="00C079AF" w:rsidP="00AA6517">
            <w:pPr>
              <w:pStyle w:val="NormalWeb"/>
              <w:spacing w:before="0" w:beforeAutospacing="0" w:after="0" w:afterAutospacing="0"/>
              <w:ind w:left="142" w:right="34"/>
              <w:rPr>
                <w:rFonts w:ascii="Arial" w:hAnsi="Arial" w:cs="Arial"/>
                <w:b/>
                <w:sz w:val="22"/>
                <w:szCs w:val="22"/>
              </w:rPr>
            </w:pPr>
          </w:p>
          <w:p w:rsidR="00C079AF" w:rsidRPr="00230F35" w:rsidRDefault="00C079AF" w:rsidP="00AA651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079AF" w:rsidRDefault="00C079AF" w:rsidP="00AA6517">
            <w:pPr>
              <w:pStyle w:val="NormalWeb"/>
              <w:spacing w:before="0" w:beforeAutospacing="0" w:after="0" w:afterAutospacing="0"/>
              <w:rPr>
                <w:rFonts w:ascii="Arial" w:hAnsi="Arial" w:cs="Arial"/>
                <w:b/>
                <w:sz w:val="22"/>
                <w:szCs w:val="22"/>
              </w:rPr>
            </w:pPr>
          </w:p>
          <w:p w:rsidR="00C079AF" w:rsidRDefault="00C079AF" w:rsidP="00AA6517">
            <w:pPr>
              <w:pStyle w:val="NormalWeb"/>
              <w:spacing w:before="0" w:beforeAutospacing="0" w:after="0" w:afterAutospacing="0"/>
              <w:rPr>
                <w:rFonts w:ascii="Arial" w:hAnsi="Arial" w:cs="Arial"/>
                <w:b/>
                <w:sz w:val="22"/>
                <w:szCs w:val="22"/>
              </w:rPr>
            </w:pPr>
          </w:p>
          <w:p w:rsidR="00C079AF" w:rsidRDefault="00C079AF" w:rsidP="00AA6517">
            <w:pPr>
              <w:pStyle w:val="NormalWeb"/>
              <w:spacing w:before="0" w:beforeAutospacing="0" w:after="0" w:afterAutospacing="0"/>
              <w:rPr>
                <w:rFonts w:ascii="Arial" w:hAnsi="Arial" w:cs="Arial"/>
                <w:b/>
                <w:sz w:val="22"/>
                <w:szCs w:val="22"/>
              </w:rPr>
            </w:pPr>
          </w:p>
          <w:p w:rsidR="00C079AF" w:rsidRDefault="00C079AF" w:rsidP="00AA6517">
            <w:pPr>
              <w:pStyle w:val="NormalWeb"/>
              <w:spacing w:before="0" w:beforeAutospacing="0" w:after="0" w:afterAutospacing="0"/>
              <w:rPr>
                <w:rFonts w:ascii="Arial" w:hAnsi="Arial" w:cs="Arial"/>
                <w:b/>
                <w:sz w:val="22"/>
                <w:szCs w:val="22"/>
              </w:rPr>
            </w:pPr>
          </w:p>
          <w:p w:rsidR="00C079AF" w:rsidRPr="00230F35" w:rsidRDefault="00C079AF" w:rsidP="00AA651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C079AF" w:rsidRDefault="00C079AF" w:rsidP="00AA651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079AF" w:rsidRPr="00001C3B" w:rsidRDefault="00C079AF" w:rsidP="00AA6517">
            <w:pPr>
              <w:pStyle w:val="NormalWeb"/>
              <w:rPr>
                <w:rFonts w:ascii="Arial" w:hAnsi="Arial" w:cs="Arial"/>
                <w:sz w:val="22"/>
                <w:szCs w:val="22"/>
              </w:rPr>
            </w:pPr>
          </w:p>
        </w:tc>
      </w:tr>
      <w:tr w:rsidR="00C079AF" w:rsidRPr="00230F35" w:rsidTr="00AA6517">
        <w:trPr>
          <w:trHeight w:val="492"/>
        </w:trPr>
        <w:tc>
          <w:tcPr>
            <w:tcW w:w="6768" w:type="dxa"/>
            <w:gridSpan w:val="3"/>
          </w:tcPr>
          <w:p w:rsidR="00C079AF" w:rsidRPr="00230F35" w:rsidRDefault="00C079AF" w:rsidP="00AA651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C079AF" w:rsidRPr="00230F35" w:rsidRDefault="00C079AF" w:rsidP="00AA6517">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9AF" w:rsidRPr="002F467C" w:rsidTr="00AA6517">
        <w:tc>
          <w:tcPr>
            <w:tcW w:w="8856" w:type="dxa"/>
            <w:gridSpan w:val="5"/>
          </w:tcPr>
          <w:p w:rsidR="00C079AF" w:rsidRPr="00230F35" w:rsidRDefault="00C079AF" w:rsidP="00AA6517">
            <w:pPr>
              <w:pStyle w:val="NormalWeb"/>
              <w:spacing w:before="0" w:beforeAutospacing="0" w:after="0" w:afterAutospacing="0"/>
              <w:ind w:right="-334"/>
              <w:rPr>
                <w:rFonts w:ascii="Arial" w:hAnsi="Arial" w:cs="Arial"/>
                <w:bCs/>
                <w:i/>
                <w:sz w:val="22"/>
                <w:szCs w:val="22"/>
              </w:rPr>
            </w:pPr>
          </w:p>
          <w:p w:rsidR="00C079AF" w:rsidRPr="00230F35" w:rsidRDefault="00C079AF" w:rsidP="00AA651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079AF" w:rsidRPr="00230F35" w:rsidRDefault="00C079AF" w:rsidP="00AA6517">
            <w:pPr>
              <w:pStyle w:val="NormalWeb"/>
              <w:spacing w:before="0" w:beforeAutospacing="0" w:after="0" w:afterAutospacing="0"/>
              <w:ind w:right="-334"/>
              <w:rPr>
                <w:rFonts w:ascii="Arial" w:hAnsi="Arial" w:cs="Arial"/>
                <w:b/>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tc>
      </w:tr>
      <w:tr w:rsidR="00C079AF" w:rsidRPr="002F467C" w:rsidTr="00AA6517">
        <w:trPr>
          <w:trHeight w:val="720"/>
        </w:trPr>
        <w:tc>
          <w:tcPr>
            <w:tcW w:w="5211" w:type="dxa"/>
            <w:gridSpan w:val="2"/>
          </w:tcPr>
          <w:p w:rsidR="00C079AF" w:rsidRPr="00230F35" w:rsidRDefault="00C079AF" w:rsidP="00AA651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C079AF" w:rsidRPr="00230F35" w:rsidRDefault="00C079AF" w:rsidP="00AA651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9AF" w:rsidRPr="002F467C" w:rsidTr="00AA6517">
        <w:trPr>
          <w:trHeight w:val="720"/>
        </w:trPr>
        <w:tc>
          <w:tcPr>
            <w:tcW w:w="8856" w:type="dxa"/>
            <w:gridSpan w:val="5"/>
          </w:tcPr>
          <w:p w:rsidR="00C079AF" w:rsidRPr="00B34964" w:rsidRDefault="00C079AF" w:rsidP="00AA6517">
            <w:pPr>
              <w:rPr>
                <w:rFonts w:ascii="Arial" w:hAnsi="Arial" w:cs="Arial"/>
                <w:b/>
                <w:sz w:val="22"/>
                <w:szCs w:val="22"/>
              </w:rPr>
            </w:pPr>
            <w:r w:rsidRPr="00B34964">
              <w:rPr>
                <w:rFonts w:ascii="Arial" w:hAnsi="Arial" w:cs="Arial"/>
                <w:b/>
                <w:sz w:val="22"/>
                <w:szCs w:val="22"/>
              </w:rPr>
              <w:t>External Examiner’s comments (if relevant)</w:t>
            </w: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p w:rsidR="00C079AF" w:rsidRPr="00230F35" w:rsidRDefault="00C079AF" w:rsidP="00AA6517">
            <w:pPr>
              <w:pStyle w:val="NormalWeb"/>
              <w:spacing w:before="0" w:beforeAutospacing="0" w:after="0" w:afterAutospacing="0"/>
              <w:ind w:right="-334"/>
              <w:rPr>
                <w:rFonts w:ascii="Arial" w:hAnsi="Arial" w:cs="Arial"/>
                <w:bCs/>
                <w:sz w:val="22"/>
                <w:szCs w:val="22"/>
              </w:rPr>
            </w:pPr>
          </w:p>
        </w:tc>
      </w:tr>
      <w:tr w:rsidR="00C079AF" w:rsidRPr="002F467C" w:rsidTr="00AA6517">
        <w:trPr>
          <w:trHeight w:val="720"/>
        </w:trPr>
        <w:tc>
          <w:tcPr>
            <w:tcW w:w="5211" w:type="dxa"/>
            <w:gridSpan w:val="2"/>
          </w:tcPr>
          <w:p w:rsidR="00C079AF" w:rsidRPr="00230F35" w:rsidRDefault="00C079AF" w:rsidP="00AA651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C079AF" w:rsidRPr="00230F35" w:rsidRDefault="00C079AF" w:rsidP="00AA6517">
            <w:pPr>
              <w:rPr>
                <w:rFonts w:ascii="Arial" w:hAnsi="Arial" w:cs="Arial"/>
                <w:sz w:val="22"/>
                <w:szCs w:val="22"/>
              </w:rPr>
            </w:pPr>
            <w:r w:rsidRPr="00230F35">
              <w:rPr>
                <w:rFonts w:ascii="Arial" w:hAnsi="Arial" w:cs="Arial"/>
                <w:sz w:val="22"/>
                <w:szCs w:val="22"/>
              </w:rPr>
              <w:t>Date:</w:t>
            </w:r>
          </w:p>
        </w:tc>
      </w:tr>
    </w:tbl>
    <w:p w:rsidR="00F73D94" w:rsidRPr="00FC3BFB" w:rsidRDefault="00F73D94" w:rsidP="00F73D94">
      <w:pPr>
        <w:pStyle w:val="Body"/>
        <w:numPr>
          <w:ilvl w:val="0"/>
          <w:numId w:val="6"/>
        </w:numPr>
        <w:rPr>
          <w:rFonts w:ascii="Times New Roman" w:hAnsi="Times New Roman" w:cs="Times New Roman"/>
          <w:b/>
          <w:bCs/>
          <w:i/>
          <w:iCs/>
          <w:color w:val="000000" w:themeColor="text1"/>
          <w:sz w:val="24"/>
          <w:szCs w:val="24"/>
          <w:u w:val="single"/>
        </w:rPr>
      </w:pPr>
      <w:r w:rsidRPr="00FC3BFB">
        <w:rPr>
          <w:rFonts w:ascii="Times New Roman" w:hAnsi="Times New Roman" w:cs="Times New Roman"/>
          <w:b/>
          <w:bCs/>
          <w:i/>
          <w:iCs/>
          <w:color w:val="000000" w:themeColor="text1"/>
          <w:sz w:val="24"/>
          <w:szCs w:val="24"/>
          <w:u w:val="single"/>
        </w:rPr>
        <w:lastRenderedPageBreak/>
        <w:t xml:space="preserve">Write a critical review of Cicero’s arguments against divination in De </w:t>
      </w:r>
      <w:proofErr w:type="spellStart"/>
      <w:r w:rsidRPr="00FC3BFB">
        <w:rPr>
          <w:rFonts w:ascii="Times New Roman" w:hAnsi="Times New Roman" w:cs="Times New Roman"/>
          <w:b/>
          <w:bCs/>
          <w:i/>
          <w:iCs/>
          <w:color w:val="000000" w:themeColor="text1"/>
          <w:sz w:val="24"/>
          <w:szCs w:val="24"/>
          <w:u w:val="single"/>
        </w:rPr>
        <w:t>Divinatione</w:t>
      </w:r>
      <w:proofErr w:type="spellEnd"/>
      <w:r w:rsidRPr="00FC3BFB">
        <w:rPr>
          <w:rFonts w:ascii="Times New Roman" w:hAnsi="Times New Roman" w:cs="Times New Roman"/>
          <w:b/>
          <w:bCs/>
          <w:i/>
          <w:iCs/>
          <w:color w:val="000000" w:themeColor="text1"/>
          <w:sz w:val="24"/>
          <w:szCs w:val="24"/>
          <w:u w:val="single"/>
        </w:rPr>
        <w:t>.</w:t>
      </w:r>
    </w:p>
    <w:p w:rsidR="00533E24" w:rsidRPr="00FC3BFB" w:rsidRDefault="00533E24" w:rsidP="00F73D94">
      <w:pPr>
        <w:pStyle w:val="Body"/>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eastAsia="Times New Roman" w:hAnsi="Times New Roman" w:cs="Times New Roman"/>
          <w:color w:val="000000" w:themeColor="text1"/>
          <w:sz w:val="24"/>
          <w:szCs w:val="24"/>
        </w:rPr>
        <w:tab/>
        <w:t xml:space="preserve">In his </w:t>
      </w:r>
      <w:r w:rsidRPr="00FC3BFB">
        <w:rPr>
          <w:rFonts w:ascii="Times New Roman" w:hAnsi="Times New Roman" w:cs="Times New Roman"/>
          <w:i/>
          <w:iCs/>
          <w:color w:val="000000" w:themeColor="text1"/>
          <w:sz w:val="24"/>
          <w:szCs w:val="24"/>
        </w:rPr>
        <w:t xml:space="preserve">The Purpose of </w:t>
      </w:r>
      <w:proofErr w:type="spellStart"/>
      <w:r w:rsidRPr="00FC3BFB">
        <w:rPr>
          <w:rFonts w:ascii="Times New Roman" w:hAnsi="Times New Roman" w:cs="Times New Roman"/>
          <w:i/>
          <w:iCs/>
          <w:color w:val="000000" w:themeColor="text1"/>
          <w:sz w:val="24"/>
          <w:szCs w:val="24"/>
        </w:rPr>
        <w:t>Divinatione</w:t>
      </w:r>
      <w:proofErr w:type="spellEnd"/>
      <w:r w:rsidRPr="00FC3BFB">
        <w:rPr>
          <w:rFonts w:ascii="Times New Roman" w:hAnsi="Times New Roman" w:cs="Times New Roman"/>
          <w:i/>
          <w:iCs/>
          <w:color w:val="000000" w:themeColor="text1"/>
          <w:sz w:val="24"/>
          <w:szCs w:val="24"/>
        </w:rPr>
        <w:t>,</w:t>
      </w:r>
      <w:r w:rsidRPr="00FC3BFB">
        <w:rPr>
          <w:rFonts w:ascii="Times New Roman" w:hAnsi="Times New Roman" w:cs="Times New Roman"/>
          <w:color w:val="000000" w:themeColor="text1"/>
          <w:sz w:val="24"/>
          <w:szCs w:val="24"/>
        </w:rPr>
        <w:t xml:space="preserve"> Robert </w:t>
      </w:r>
      <w:proofErr w:type="spellStart"/>
      <w:r w:rsidRPr="00FC3BFB">
        <w:rPr>
          <w:rFonts w:ascii="Times New Roman" w:hAnsi="Times New Roman" w:cs="Times New Roman"/>
          <w:color w:val="000000" w:themeColor="text1"/>
          <w:sz w:val="24"/>
          <w:szCs w:val="24"/>
        </w:rPr>
        <w:t>Goar</w:t>
      </w:r>
      <w:proofErr w:type="spellEnd"/>
      <w:r w:rsidRPr="00FC3BFB">
        <w:rPr>
          <w:rFonts w:ascii="Times New Roman" w:hAnsi="Times New Roman" w:cs="Times New Roman"/>
          <w:color w:val="000000" w:themeColor="text1"/>
          <w:sz w:val="24"/>
          <w:szCs w:val="24"/>
        </w:rPr>
        <w:t xml:space="preserve"> undertakes a critical review of Marcus Tullius Cicero’s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proofErr w:type="spellEnd"/>
      <w:r w:rsidRPr="00FC3BFB">
        <w:rPr>
          <w:rFonts w:ascii="Times New Roman" w:hAnsi="Times New Roman" w:cs="Times New Roman"/>
          <w:color w:val="000000" w:themeColor="text1"/>
          <w:sz w:val="24"/>
          <w:szCs w:val="24"/>
        </w:rPr>
        <w:t xml:space="preserve"> where he attempts an estimation as to the ‘purpose’ of that work. Following his inquiry, </w:t>
      </w:r>
      <w:proofErr w:type="spellStart"/>
      <w:r w:rsidRPr="00FC3BFB">
        <w:rPr>
          <w:rFonts w:ascii="Times New Roman" w:hAnsi="Times New Roman" w:cs="Times New Roman"/>
          <w:color w:val="000000" w:themeColor="text1"/>
          <w:sz w:val="24"/>
          <w:szCs w:val="24"/>
        </w:rPr>
        <w:t>Goar</w:t>
      </w:r>
      <w:proofErr w:type="spellEnd"/>
      <w:r w:rsidRPr="00FC3BFB">
        <w:rPr>
          <w:rFonts w:ascii="Times New Roman" w:hAnsi="Times New Roman" w:cs="Times New Roman"/>
          <w:color w:val="000000" w:themeColor="text1"/>
          <w:sz w:val="24"/>
          <w:szCs w:val="24"/>
        </w:rPr>
        <w:t xml:space="preserve"> concludes that it is Cicero’s aim to ‘demolish’ divination owing to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r w:rsidRPr="00FC3BFB">
        <w:rPr>
          <w:rFonts w:ascii="Times New Roman" w:hAnsi="Times New Roman" w:cs="Times New Roman"/>
          <w:color w:val="000000" w:themeColor="text1"/>
          <w:sz w:val="24"/>
          <w:szCs w:val="24"/>
        </w:rPr>
        <w:t>’s</w:t>
      </w:r>
      <w:proofErr w:type="spellEnd"/>
      <w:r w:rsidRPr="00FC3BFB">
        <w:rPr>
          <w:rFonts w:ascii="Times New Roman" w:hAnsi="Times New Roman" w:cs="Times New Roman"/>
          <w:color w:val="000000" w:themeColor="text1"/>
          <w:sz w:val="24"/>
          <w:szCs w:val="24"/>
        </w:rPr>
        <w:t xml:space="preserve"> severe criticisms of divination in Hellenistic Rome that Cicero undertakes in the second book of the work.</w:t>
      </w:r>
      <w:r w:rsidRPr="00FC3BFB">
        <w:rPr>
          <w:rFonts w:ascii="Times New Roman" w:eastAsia="Times New Roman" w:hAnsi="Times New Roman" w:cs="Times New Roman"/>
          <w:color w:val="000000" w:themeColor="text1"/>
          <w:sz w:val="24"/>
          <w:szCs w:val="24"/>
          <w:vertAlign w:val="superscript"/>
        </w:rPr>
        <w:footnoteReference w:id="1"/>
      </w:r>
      <w:r w:rsidRPr="00FC3BFB">
        <w:rPr>
          <w:rFonts w:ascii="Times New Roman" w:hAnsi="Times New Roman" w:cs="Times New Roman"/>
          <w:color w:val="000000" w:themeColor="text1"/>
          <w:sz w:val="24"/>
          <w:szCs w:val="24"/>
        </w:rPr>
        <w:t xml:space="preserve"> However, it is interesting to consider that much of the recent scholarship done on Cicero’s philosophical canon (Beard, Schofield, Wynne) suggests that there is a balance to be found within the work’s two books that might result in a different interpretation of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r w:rsidRPr="00FC3BFB">
        <w:rPr>
          <w:rFonts w:ascii="Times New Roman" w:hAnsi="Times New Roman" w:cs="Times New Roman"/>
          <w:color w:val="000000" w:themeColor="text1"/>
          <w:sz w:val="24"/>
          <w:szCs w:val="24"/>
        </w:rPr>
        <w:t>’s</w:t>
      </w:r>
      <w:proofErr w:type="spellEnd"/>
      <w:r w:rsidRPr="00FC3BFB">
        <w:rPr>
          <w:rFonts w:ascii="Times New Roman" w:hAnsi="Times New Roman" w:cs="Times New Roman"/>
          <w:color w:val="000000" w:themeColor="text1"/>
          <w:sz w:val="24"/>
          <w:szCs w:val="24"/>
        </w:rPr>
        <w:t xml:space="preserve"> ultimate purpose. This paper will consider the essential arguments made in both of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r w:rsidRPr="00FC3BFB">
        <w:rPr>
          <w:rFonts w:ascii="Times New Roman" w:hAnsi="Times New Roman" w:cs="Times New Roman"/>
          <w:color w:val="000000" w:themeColor="text1"/>
          <w:sz w:val="24"/>
          <w:szCs w:val="24"/>
        </w:rPr>
        <w:t>’s</w:t>
      </w:r>
      <w:proofErr w:type="spellEnd"/>
      <w:r w:rsidRPr="00FC3BFB">
        <w:rPr>
          <w:rFonts w:ascii="Times New Roman" w:hAnsi="Times New Roman" w:cs="Times New Roman"/>
          <w:color w:val="000000" w:themeColor="text1"/>
          <w:sz w:val="24"/>
          <w:szCs w:val="24"/>
        </w:rPr>
        <w:t xml:space="preserve"> two books measured against modern theoretical perspectives that amount to a suggestion that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proofErr w:type="spellEnd"/>
      <w:r w:rsidRPr="00FC3BFB">
        <w:rPr>
          <w:rFonts w:ascii="Times New Roman" w:hAnsi="Times New Roman" w:cs="Times New Roman"/>
          <w:color w:val="000000" w:themeColor="text1"/>
          <w:sz w:val="24"/>
          <w:szCs w:val="24"/>
        </w:rPr>
        <w:t xml:space="preserve"> is more than just a ‘demolition’ of divinatory practices. </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r w:rsidRPr="00FC3BFB">
        <w:rPr>
          <w:rFonts w:ascii="Times New Roman" w:hAnsi="Times New Roman" w:cs="Times New Roman"/>
          <w:b/>
          <w:bCs/>
          <w:color w:val="000000" w:themeColor="text1"/>
          <w:sz w:val="24"/>
          <w:szCs w:val="24"/>
          <w:u w:val="single"/>
        </w:rPr>
        <w:t>The Text</w:t>
      </w: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eastAsia="Times New Roman" w:hAnsi="Times New Roman" w:cs="Times New Roman"/>
          <w:color w:val="000000" w:themeColor="text1"/>
          <w:sz w:val="24"/>
          <w:szCs w:val="24"/>
        </w:rPr>
        <w:tab/>
        <w:t>In two books, composed</w:t>
      </w:r>
      <w:r w:rsidRPr="00FC3BFB">
        <w:rPr>
          <w:rFonts w:ascii="Times New Roman" w:hAnsi="Times New Roman" w:cs="Times New Roman"/>
          <w:color w:val="000000" w:themeColor="text1"/>
          <w:sz w:val="24"/>
          <w:szCs w:val="24"/>
        </w:rPr>
        <w:t xml:space="preserve"> between 45-44 BCE, </w:t>
      </w:r>
      <w:r w:rsidRPr="00FC3BFB">
        <w:rPr>
          <w:rFonts w:ascii="Times New Roman" w:hAnsi="Times New Roman" w:cs="Times New Roman"/>
          <w:i/>
          <w:iCs/>
          <w:color w:val="000000" w:themeColor="text1"/>
          <w:sz w:val="24"/>
          <w:szCs w:val="24"/>
          <w:lang w:val="nl-NL"/>
        </w:rPr>
        <w:t xml:space="preserve">De </w:t>
      </w:r>
      <w:proofErr w:type="spellStart"/>
      <w:r w:rsidRPr="00FC3BFB">
        <w:rPr>
          <w:rFonts w:ascii="Times New Roman" w:hAnsi="Times New Roman" w:cs="Times New Roman"/>
          <w:i/>
          <w:iCs/>
          <w:color w:val="000000" w:themeColor="text1"/>
          <w:sz w:val="24"/>
          <w:szCs w:val="24"/>
          <w:lang w:val="nl-NL"/>
        </w:rPr>
        <w:t>Divinatione</w:t>
      </w:r>
      <w:proofErr w:type="spellEnd"/>
      <w:r w:rsidRPr="00FC3BFB">
        <w:rPr>
          <w:rFonts w:ascii="Times New Roman" w:hAnsi="Times New Roman" w:cs="Times New Roman"/>
          <w:color w:val="000000" w:themeColor="text1"/>
          <w:sz w:val="24"/>
          <w:szCs w:val="24"/>
        </w:rPr>
        <w:t xml:space="preserve"> (“</w:t>
      </w:r>
      <w:r w:rsidRPr="00FC3BFB">
        <w:rPr>
          <w:rFonts w:ascii="Times New Roman" w:hAnsi="Times New Roman" w:cs="Times New Roman"/>
          <w:color w:val="000000" w:themeColor="text1"/>
          <w:sz w:val="24"/>
          <w:szCs w:val="24"/>
          <w:lang w:val="fr-FR"/>
        </w:rPr>
        <w:t>On Divination</w:t>
      </w:r>
      <w:r w:rsidRPr="00FC3BFB">
        <w:rPr>
          <w:rFonts w:ascii="Times New Roman" w:hAnsi="Times New Roman" w:cs="Times New Roman"/>
          <w:color w:val="000000" w:themeColor="text1"/>
          <w:sz w:val="24"/>
          <w:szCs w:val="24"/>
        </w:rPr>
        <w:t xml:space="preserve">”) is a philosophical treatise written as a dialogue between Marcus Cicero (the character, distinct from the author, heretofore referred to as Marcus), and his brother Quintus. The dialogue starts with the characters discussing Marcus’ (and subsequently Cicero’s) prior work, </w:t>
      </w:r>
      <w:r w:rsidRPr="00FC3BFB">
        <w:rPr>
          <w:rFonts w:ascii="Times New Roman" w:hAnsi="Times New Roman" w:cs="Times New Roman"/>
          <w:i/>
          <w:iCs/>
          <w:color w:val="000000" w:themeColor="text1"/>
          <w:sz w:val="24"/>
          <w:szCs w:val="24"/>
        </w:rPr>
        <w:t xml:space="preserve">De Natura </w:t>
      </w:r>
      <w:proofErr w:type="spellStart"/>
      <w:r w:rsidRPr="00FC3BFB">
        <w:rPr>
          <w:rFonts w:ascii="Times New Roman" w:hAnsi="Times New Roman" w:cs="Times New Roman"/>
          <w:i/>
          <w:iCs/>
          <w:color w:val="000000" w:themeColor="text1"/>
          <w:sz w:val="24"/>
          <w:szCs w:val="24"/>
        </w:rPr>
        <w:t>Deorum</w:t>
      </w:r>
      <w:proofErr w:type="spellEnd"/>
      <w:r w:rsidRPr="00FC3BFB">
        <w:rPr>
          <w:rFonts w:ascii="Times New Roman" w:hAnsi="Times New Roman" w:cs="Times New Roman"/>
          <w:color w:val="000000" w:themeColor="text1"/>
          <w:sz w:val="24"/>
          <w:szCs w:val="24"/>
        </w:rPr>
        <w:t>, where Quintus notes its inadequate handling of divinatory practices.</w:t>
      </w:r>
      <w:r w:rsidRPr="00FC3BFB">
        <w:rPr>
          <w:rFonts w:ascii="Times New Roman" w:eastAsia="Times New Roman" w:hAnsi="Times New Roman" w:cs="Times New Roman"/>
          <w:color w:val="000000" w:themeColor="text1"/>
          <w:sz w:val="24"/>
          <w:szCs w:val="24"/>
          <w:vertAlign w:val="superscript"/>
        </w:rPr>
        <w:footnoteReference w:id="2"/>
      </w:r>
      <w:r w:rsidRPr="00FC3BFB">
        <w:rPr>
          <w:rFonts w:ascii="Times New Roman" w:hAnsi="Times New Roman" w:cs="Times New Roman"/>
          <w:color w:val="000000" w:themeColor="text1"/>
          <w:sz w:val="24"/>
          <w:szCs w:val="24"/>
        </w:rPr>
        <w:t xml:space="preserve"> What follows is each of the brother’s arguments for and against the validity of divination; Quintus assuming the former stance through the entirety of Book 1, Marcus arguing the latter approach in Book 2. It’s important here to consider the general arguments made that constitute the philosophical implications of the work as a whole:</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r w:rsidRPr="00FC3BFB">
        <w:rPr>
          <w:rFonts w:ascii="Times New Roman" w:hAnsi="Times New Roman" w:cs="Times New Roman"/>
          <w:b/>
          <w:bCs/>
          <w:color w:val="000000" w:themeColor="text1"/>
          <w:sz w:val="24"/>
          <w:szCs w:val="24"/>
          <w:u w:val="single"/>
        </w:rPr>
        <w:t>Book 1: Quintus for divination</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ind w:firstLine="720"/>
        <w:jc w:val="both"/>
        <w:rPr>
          <w:rFonts w:ascii="Times New Roman" w:eastAsia="Times New Roman" w:hAnsi="Times New Roman" w:cs="Times New Roman"/>
          <w:color w:val="000000" w:themeColor="text1"/>
          <w:sz w:val="24"/>
          <w:szCs w:val="24"/>
        </w:rPr>
      </w:pPr>
      <w:r w:rsidRPr="00FC3BFB">
        <w:rPr>
          <w:rFonts w:ascii="Times New Roman" w:hAnsi="Times New Roman" w:cs="Times New Roman"/>
          <w:color w:val="000000" w:themeColor="text1"/>
          <w:sz w:val="24"/>
          <w:szCs w:val="24"/>
        </w:rPr>
        <w:t xml:space="preserve">As previously stated, Book 1 of the text expresses Quintus’ perception of divination that is largely </w:t>
      </w:r>
      <w:proofErr w:type="spellStart"/>
      <w:r w:rsidRPr="00FC3BFB">
        <w:rPr>
          <w:rFonts w:ascii="Times New Roman" w:hAnsi="Times New Roman" w:cs="Times New Roman"/>
          <w:color w:val="000000" w:themeColor="text1"/>
          <w:sz w:val="24"/>
          <w:szCs w:val="24"/>
        </w:rPr>
        <w:t>favourable</w:t>
      </w:r>
      <w:proofErr w:type="spellEnd"/>
      <w:r w:rsidRPr="00FC3BFB">
        <w:rPr>
          <w:rFonts w:ascii="Times New Roman" w:hAnsi="Times New Roman" w:cs="Times New Roman"/>
          <w:color w:val="000000" w:themeColor="text1"/>
          <w:sz w:val="24"/>
          <w:szCs w:val="24"/>
        </w:rPr>
        <w:t xml:space="preserve">. In its </w:t>
      </w:r>
      <w:r w:rsidRPr="00FC3BFB">
        <w:rPr>
          <w:rFonts w:ascii="Times New Roman" w:hAnsi="Times New Roman" w:cs="Times New Roman"/>
          <w:color w:val="000000" w:themeColor="text1"/>
          <w:sz w:val="24"/>
          <w:szCs w:val="24"/>
          <w:lang w:val="fr-FR"/>
        </w:rPr>
        <w:t>prologue</w:t>
      </w:r>
      <w:r w:rsidRPr="00FC3BFB">
        <w:rPr>
          <w:rFonts w:ascii="Times New Roman" w:hAnsi="Times New Roman" w:cs="Times New Roman"/>
          <w:color w:val="000000" w:themeColor="text1"/>
          <w:sz w:val="24"/>
          <w:szCs w:val="24"/>
        </w:rPr>
        <w:t xml:space="preserve">, Cicero explains that </w:t>
      </w:r>
      <w:r w:rsidRPr="00FC3BFB">
        <w:rPr>
          <w:rFonts w:ascii="Times New Roman" w:hAnsi="Times New Roman" w:cs="Times New Roman"/>
          <w:color w:val="000000" w:themeColor="text1"/>
          <w:sz w:val="24"/>
          <w:szCs w:val="24"/>
          <w:lang w:val="fr-FR"/>
        </w:rPr>
        <w:t>divination</w:t>
      </w:r>
      <w:r w:rsidRPr="00FC3BFB">
        <w:rPr>
          <w:rFonts w:ascii="Times New Roman" w:hAnsi="Times New Roman" w:cs="Times New Roman"/>
          <w:color w:val="000000" w:themeColor="text1"/>
          <w:sz w:val="24"/>
          <w:szCs w:val="24"/>
        </w:rPr>
        <w:t xml:space="preserve"> is the ‘</w:t>
      </w:r>
      <w:proofErr w:type="spellStart"/>
      <w:r w:rsidRPr="00FC3BFB">
        <w:rPr>
          <w:rFonts w:ascii="Times New Roman" w:hAnsi="Times New Roman" w:cs="Times New Roman"/>
          <w:color w:val="000000" w:themeColor="text1"/>
          <w:sz w:val="24"/>
          <w:szCs w:val="24"/>
          <w:lang w:val="it-IT"/>
        </w:rPr>
        <w:t>presentiment</w:t>
      </w:r>
      <w:proofErr w:type="spellEnd"/>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hAnsi="Times New Roman" w:cs="Times New Roman"/>
          <w:color w:val="000000" w:themeColor="text1"/>
          <w:sz w:val="24"/>
          <w:szCs w:val="24"/>
        </w:rPr>
        <w:t>and knowledge of future things.'</w:t>
      </w:r>
      <w:r w:rsidRPr="00FC3BFB">
        <w:rPr>
          <w:rFonts w:ascii="Times New Roman" w:eastAsia="Times New Roman" w:hAnsi="Times New Roman" w:cs="Times New Roman"/>
          <w:color w:val="000000" w:themeColor="text1"/>
          <w:sz w:val="24"/>
          <w:szCs w:val="24"/>
          <w:vertAlign w:val="superscript"/>
        </w:rPr>
        <w:footnoteReference w:id="3"/>
      </w:r>
      <w:r w:rsidRPr="00FC3BFB">
        <w:rPr>
          <w:rFonts w:ascii="Times New Roman" w:hAnsi="Times New Roman" w:cs="Times New Roman"/>
          <w:color w:val="000000" w:themeColor="text1"/>
          <w:sz w:val="24"/>
          <w:szCs w:val="24"/>
        </w:rPr>
        <w:t xml:space="preserve"> To clarify, Cicero, through</w:t>
      </w:r>
      <w:r w:rsidRPr="00FC3BFB">
        <w:rPr>
          <w:rFonts w:ascii="Times New Roman" w:hAnsi="Times New Roman" w:cs="Times New Roman"/>
          <w:color w:val="000000" w:themeColor="text1"/>
          <w:sz w:val="24"/>
          <w:szCs w:val="24"/>
          <w:lang w:val="it-IT"/>
        </w:rPr>
        <w:t xml:space="preserve"> </w:t>
      </w:r>
      <w:proofErr w:type="spellStart"/>
      <w:r w:rsidRPr="00FC3BFB">
        <w:rPr>
          <w:rFonts w:ascii="Times New Roman" w:hAnsi="Times New Roman" w:cs="Times New Roman"/>
          <w:color w:val="000000" w:themeColor="text1"/>
          <w:sz w:val="24"/>
          <w:szCs w:val="24"/>
          <w:lang w:val="it-IT"/>
        </w:rPr>
        <w:t>Quintus</w:t>
      </w:r>
      <w:proofErr w:type="spellEnd"/>
      <w:r w:rsidRPr="00FC3BFB">
        <w:rPr>
          <w:rFonts w:ascii="Times New Roman" w:hAnsi="Times New Roman" w:cs="Times New Roman"/>
          <w:color w:val="000000" w:themeColor="text1"/>
          <w:sz w:val="24"/>
          <w:szCs w:val="24"/>
        </w:rPr>
        <w:t xml:space="preserve">’ character, </w:t>
      </w:r>
      <w:proofErr w:type="spellStart"/>
      <w:r w:rsidRPr="00FC3BFB">
        <w:rPr>
          <w:rFonts w:ascii="Times New Roman" w:hAnsi="Times New Roman" w:cs="Times New Roman"/>
          <w:color w:val="000000" w:themeColor="text1"/>
          <w:sz w:val="24"/>
          <w:szCs w:val="24"/>
          <w:lang w:val="pt-PT"/>
        </w:rPr>
        <w:t>clarif</w:t>
      </w:r>
      <w:r w:rsidRPr="00FC3BFB">
        <w:rPr>
          <w:rFonts w:ascii="Times New Roman" w:hAnsi="Times New Roman" w:cs="Times New Roman"/>
          <w:color w:val="000000" w:themeColor="text1"/>
          <w:sz w:val="24"/>
          <w:szCs w:val="24"/>
        </w:rPr>
        <w:t>ies</w:t>
      </w:r>
      <w:proofErr w:type="spellEnd"/>
      <w:r w:rsidRPr="00FC3BFB">
        <w:rPr>
          <w:rFonts w:ascii="Times New Roman" w:hAnsi="Times New Roman" w:cs="Times New Roman"/>
          <w:color w:val="000000" w:themeColor="text1"/>
          <w:sz w:val="24"/>
          <w:szCs w:val="24"/>
        </w:rPr>
        <w:t xml:space="preserve"> the stoic position that these apparently predictable “future things” are necessarily things that are “thought to occur by chance”.</w:t>
      </w:r>
      <w:r w:rsidRPr="00FC3BFB">
        <w:rPr>
          <w:rFonts w:ascii="Times New Roman" w:eastAsia="Times New Roman" w:hAnsi="Times New Roman" w:cs="Times New Roman"/>
          <w:color w:val="000000" w:themeColor="text1"/>
          <w:sz w:val="24"/>
          <w:szCs w:val="24"/>
          <w:vertAlign w:val="superscript"/>
        </w:rPr>
        <w:footnoteReference w:id="4"/>
      </w:r>
      <w:r w:rsidRPr="00FC3BFB">
        <w:rPr>
          <w:rFonts w:ascii="Times New Roman" w:hAnsi="Times New Roman" w:cs="Times New Roman"/>
          <w:color w:val="000000" w:themeColor="text1"/>
          <w:sz w:val="24"/>
          <w:szCs w:val="24"/>
        </w:rPr>
        <w:t xml:space="preserve"> He makes this qualification to enforce a distinction between divination and practical wisdom. Namely, when an astronomer uses mathematics to predict the timing of an eclipse, they’re not engaged in ‘divination’. Whereas an astrologer that predicts a </w:t>
      </w:r>
      <w:proofErr w:type="spellStart"/>
      <w:r w:rsidRPr="00FC3BFB">
        <w:rPr>
          <w:rFonts w:ascii="Times New Roman" w:hAnsi="Times New Roman" w:cs="Times New Roman"/>
          <w:color w:val="000000" w:themeColor="text1"/>
          <w:sz w:val="24"/>
          <w:szCs w:val="24"/>
        </w:rPr>
        <w:t>favourable</w:t>
      </w:r>
      <w:proofErr w:type="spellEnd"/>
      <w:r w:rsidRPr="00FC3BFB">
        <w:rPr>
          <w:rFonts w:ascii="Times New Roman" w:hAnsi="Times New Roman" w:cs="Times New Roman"/>
          <w:color w:val="000000" w:themeColor="text1"/>
          <w:sz w:val="24"/>
          <w:szCs w:val="24"/>
        </w:rPr>
        <w:t xml:space="preserve"> birth under the ‘conjunction of Jupiter or Venus with the Moon” </w:t>
      </w:r>
      <w:r w:rsidRPr="00FC3BFB">
        <w:rPr>
          <w:rFonts w:ascii="Times New Roman" w:hAnsi="Times New Roman" w:cs="Times New Roman"/>
          <w:i/>
          <w:iCs/>
          <w:color w:val="000000" w:themeColor="text1"/>
          <w:sz w:val="24"/>
          <w:szCs w:val="24"/>
        </w:rPr>
        <w:t>is</w:t>
      </w:r>
      <w:r w:rsidRPr="00FC3BFB">
        <w:rPr>
          <w:rFonts w:ascii="Times New Roman" w:hAnsi="Times New Roman" w:cs="Times New Roman"/>
          <w:color w:val="000000" w:themeColor="text1"/>
          <w:sz w:val="24"/>
          <w:szCs w:val="24"/>
        </w:rPr>
        <w:t xml:space="preserve"> practicing divination.</w:t>
      </w:r>
      <w:r w:rsidRPr="00FC3BFB">
        <w:rPr>
          <w:rFonts w:ascii="Times New Roman" w:eastAsia="Times New Roman" w:hAnsi="Times New Roman" w:cs="Times New Roman"/>
          <w:color w:val="000000" w:themeColor="text1"/>
          <w:sz w:val="24"/>
          <w:szCs w:val="24"/>
          <w:vertAlign w:val="superscript"/>
        </w:rPr>
        <w:footnoteReference w:id="5"/>
      </w:r>
      <w:r w:rsidRPr="00FC3BFB">
        <w:rPr>
          <w:rFonts w:ascii="Times New Roman" w:hAnsi="Times New Roman" w:cs="Times New Roman"/>
          <w:color w:val="000000" w:themeColor="text1"/>
          <w:sz w:val="24"/>
          <w:szCs w:val="24"/>
        </w:rPr>
        <w:t xml:space="preserve"> Under Quintus’ distinction here, a ‘</w:t>
      </w:r>
      <w:proofErr w:type="spellStart"/>
      <w:r w:rsidRPr="00FC3BFB">
        <w:rPr>
          <w:rFonts w:ascii="Times New Roman" w:hAnsi="Times New Roman" w:cs="Times New Roman"/>
          <w:color w:val="000000" w:themeColor="text1"/>
          <w:sz w:val="24"/>
          <w:szCs w:val="24"/>
        </w:rPr>
        <w:t>favourable</w:t>
      </w:r>
      <w:proofErr w:type="spellEnd"/>
      <w:r w:rsidRPr="00FC3BFB">
        <w:rPr>
          <w:rFonts w:ascii="Times New Roman" w:hAnsi="Times New Roman" w:cs="Times New Roman"/>
          <w:color w:val="000000" w:themeColor="text1"/>
          <w:sz w:val="24"/>
          <w:szCs w:val="24"/>
        </w:rPr>
        <w:t xml:space="preserve"> birth’ is a chance event that could not be predicted under the strictures of practical wisdom.</w:t>
      </w:r>
      <w:r w:rsidRPr="00FC3BFB">
        <w:rPr>
          <w:rFonts w:ascii="Times New Roman" w:eastAsia="Times New Roman" w:hAnsi="Times New Roman" w:cs="Times New Roman"/>
          <w:color w:val="000000" w:themeColor="text1"/>
          <w:sz w:val="24"/>
          <w:szCs w:val="24"/>
          <w:vertAlign w:val="superscript"/>
        </w:rPr>
        <w:footnoteReference w:id="6"/>
      </w:r>
      <w:r w:rsidRPr="00FC3BFB">
        <w:rPr>
          <w:rFonts w:ascii="Times New Roman" w:hAnsi="Times New Roman" w:cs="Times New Roman"/>
          <w:color w:val="000000" w:themeColor="text1"/>
          <w:sz w:val="24"/>
          <w:szCs w:val="24"/>
        </w:rPr>
        <w:t xml:space="preserve"> Following this distinction, Quintus clarifies that both forms of divination are legitimate, making several different arguments to advance this perspective. Initially, </w:t>
      </w:r>
      <w:r w:rsidRPr="00FC3BFB">
        <w:rPr>
          <w:rFonts w:ascii="Times New Roman" w:hAnsi="Times New Roman" w:cs="Times New Roman"/>
          <w:color w:val="000000" w:themeColor="text1"/>
          <w:sz w:val="24"/>
          <w:szCs w:val="24"/>
        </w:rPr>
        <w:lastRenderedPageBreak/>
        <w:t>Quintus appeals to the traditional, and popular elements of divinatory practices in Rome. On haruspicy, he notes that he “will not be led to hold that on the subject of entrails the whole of Etruria is out of its mind”</w:t>
      </w:r>
      <w:r w:rsidRPr="00FC3BFB">
        <w:rPr>
          <w:rFonts w:ascii="Times New Roman" w:eastAsia="Times New Roman" w:hAnsi="Times New Roman" w:cs="Times New Roman"/>
          <w:color w:val="000000" w:themeColor="text1"/>
          <w:sz w:val="24"/>
          <w:szCs w:val="24"/>
          <w:vertAlign w:val="superscript"/>
        </w:rPr>
        <w:footnoteReference w:id="7"/>
      </w:r>
      <w:r w:rsidRPr="00FC3BFB">
        <w:rPr>
          <w:rFonts w:ascii="Times New Roman" w:hAnsi="Times New Roman" w:cs="Times New Roman"/>
          <w:color w:val="000000" w:themeColor="text1"/>
          <w:sz w:val="24"/>
          <w:szCs w:val="24"/>
        </w:rPr>
        <w:t xml:space="preserve">. Further, he notes the theological underpinnings of Roman divination when he asks if he is meant to ‘despise these signs given by the gods and sanctioned by </w:t>
      </w:r>
      <w:proofErr w:type="spellStart"/>
      <w:r w:rsidRPr="00FC3BFB">
        <w:rPr>
          <w:rFonts w:ascii="Times New Roman" w:hAnsi="Times New Roman" w:cs="Times New Roman"/>
          <w:color w:val="000000" w:themeColor="text1"/>
          <w:sz w:val="24"/>
          <w:szCs w:val="24"/>
          <w:lang w:val="fr-FR"/>
        </w:rPr>
        <w:t>our</w:t>
      </w:r>
      <w:proofErr w:type="spellEnd"/>
      <w:r w:rsidRPr="00FC3BFB">
        <w:rPr>
          <w:rFonts w:ascii="Times New Roman" w:hAnsi="Times New Roman" w:cs="Times New Roman"/>
          <w:color w:val="000000" w:themeColor="text1"/>
          <w:sz w:val="24"/>
          <w:szCs w:val="24"/>
        </w:rPr>
        <w:t xml:space="preserve"> ancestors?’.</w:t>
      </w:r>
      <w:r w:rsidRPr="00FC3BFB">
        <w:rPr>
          <w:rFonts w:ascii="Times New Roman" w:eastAsia="Times New Roman" w:hAnsi="Times New Roman" w:cs="Times New Roman"/>
          <w:color w:val="000000" w:themeColor="text1"/>
          <w:sz w:val="24"/>
          <w:szCs w:val="24"/>
          <w:vertAlign w:val="superscript"/>
        </w:rPr>
        <w:footnoteReference w:id="8"/>
      </w:r>
      <w:r w:rsidRPr="00FC3BFB">
        <w:rPr>
          <w:rFonts w:ascii="Times New Roman" w:hAnsi="Times New Roman" w:cs="Times New Roman"/>
          <w:color w:val="000000" w:themeColor="text1"/>
          <w:sz w:val="24"/>
          <w:szCs w:val="24"/>
        </w:rPr>
        <w:t xml:space="preserve"> Following these attempts to relate his argument to already popular perspectives on divination, Quintus presents his most substantial argument in the text that is based on extant stoic philosophy. Namely, owing to the historical relevance and presumed efficacy of divination, Quintus suggests that divination must be legitimate because of the sheer number of cases wherein its methods have worked in the past.</w:t>
      </w:r>
      <w:r w:rsidRPr="00FC3BFB">
        <w:rPr>
          <w:rFonts w:ascii="Times New Roman" w:eastAsia="Times New Roman" w:hAnsi="Times New Roman" w:cs="Times New Roman"/>
          <w:color w:val="000000" w:themeColor="text1"/>
          <w:sz w:val="24"/>
          <w:szCs w:val="24"/>
          <w:vertAlign w:val="superscript"/>
        </w:rPr>
        <w:footnoteReference w:id="9"/>
      </w:r>
      <w:r w:rsidRPr="00FC3BFB">
        <w:rPr>
          <w:rFonts w:ascii="Times New Roman" w:hAnsi="Times New Roman" w:cs="Times New Roman"/>
          <w:color w:val="000000" w:themeColor="text1"/>
          <w:sz w:val="24"/>
          <w:szCs w:val="24"/>
        </w:rPr>
        <w:t xml:space="preserve"> He explains that in evaluating divination as a whole, ‘it is more helpful to investigate the outcomes of this business then the causes, for there is at any rate some natural power that predicts the future both by signs observed over a long period of time and by a sort of divine stimulation and inspiration.’</w:t>
      </w:r>
      <w:r w:rsidRPr="00FC3BFB">
        <w:rPr>
          <w:rFonts w:ascii="Times New Roman" w:eastAsia="Times New Roman" w:hAnsi="Times New Roman" w:cs="Times New Roman"/>
          <w:color w:val="000000" w:themeColor="text1"/>
          <w:sz w:val="24"/>
          <w:szCs w:val="24"/>
          <w:vertAlign w:val="superscript"/>
        </w:rPr>
        <w:footnoteReference w:id="10"/>
      </w:r>
      <w:r w:rsidRPr="00FC3BFB">
        <w:rPr>
          <w:rFonts w:ascii="Times New Roman" w:hAnsi="Times New Roman" w:cs="Times New Roman"/>
          <w:color w:val="000000" w:themeColor="text1"/>
          <w:sz w:val="24"/>
          <w:szCs w:val="24"/>
        </w:rPr>
        <w:t xml:space="preserve"> </w:t>
      </w:r>
      <w:proofErr w:type="spellStart"/>
      <w:r w:rsidRPr="00FC3BFB">
        <w:rPr>
          <w:rFonts w:ascii="Times New Roman" w:hAnsi="Times New Roman" w:cs="Times New Roman"/>
          <w:color w:val="000000" w:themeColor="text1"/>
          <w:sz w:val="24"/>
          <w:szCs w:val="24"/>
          <w:lang w:val="it-IT"/>
        </w:rPr>
        <w:t>Quintus</w:t>
      </w:r>
      <w:proofErr w:type="spellEnd"/>
      <w:r w:rsidRPr="00FC3BFB">
        <w:rPr>
          <w:rFonts w:ascii="Times New Roman" w:hAnsi="Times New Roman" w:cs="Times New Roman"/>
          <w:color w:val="000000" w:themeColor="text1"/>
          <w:sz w:val="24"/>
          <w:szCs w:val="24"/>
        </w:rPr>
        <w:t>’ argument, in line with other Stoic perspectives, is subsequently,</w:t>
      </w:r>
      <w:r w:rsidRPr="00FC3BFB">
        <w:rPr>
          <w:rFonts w:ascii="Times New Roman" w:hAnsi="Times New Roman" w:cs="Times New Roman"/>
          <w:color w:val="000000" w:themeColor="text1"/>
          <w:sz w:val="24"/>
          <w:szCs w:val="24"/>
          <w:lang w:val="it-IT"/>
        </w:rPr>
        <w:t xml:space="preserve"> </w:t>
      </w:r>
      <w:proofErr w:type="spellStart"/>
      <w:r w:rsidRPr="00FC3BFB">
        <w:rPr>
          <w:rFonts w:ascii="Times New Roman" w:hAnsi="Times New Roman" w:cs="Times New Roman"/>
          <w:color w:val="000000" w:themeColor="text1"/>
          <w:sz w:val="24"/>
          <w:szCs w:val="24"/>
          <w:lang w:val="it-IT"/>
        </w:rPr>
        <w:t>empirical</w:t>
      </w:r>
      <w:proofErr w:type="spellEnd"/>
      <w:r w:rsidRPr="00FC3BFB">
        <w:rPr>
          <w:rFonts w:ascii="Times New Roman" w:hAnsi="Times New Roman" w:cs="Times New Roman"/>
          <w:color w:val="000000" w:themeColor="text1"/>
          <w:sz w:val="24"/>
          <w:szCs w:val="24"/>
          <w:lang w:val="it-IT"/>
        </w:rPr>
        <w:t xml:space="preserve">. </w:t>
      </w:r>
      <w:r w:rsidRPr="00FC3BFB">
        <w:rPr>
          <w:rFonts w:ascii="Times New Roman" w:hAnsi="Times New Roman" w:cs="Times New Roman"/>
          <w:color w:val="000000" w:themeColor="text1"/>
          <w:sz w:val="24"/>
          <w:szCs w:val="24"/>
        </w:rPr>
        <w:t>Specifically, Quintus explains that the evidence for divination in cases where its methods have been effective should ultimately be enough to assume that they are at least valid. The text reflects this in the way that Quintus points to the fact that over time, diviners have categorized correlations between natural signs and future outcomes. He explains that ‘for what is known in advance from entrails, lightning, portents, and the stars is recorded as a result of observation over a long period. In all these areas the great length of time produces an extraordinary science through prolonged observation.”</w:t>
      </w:r>
      <w:r w:rsidRPr="00FC3BFB">
        <w:rPr>
          <w:rFonts w:ascii="Times New Roman" w:eastAsia="Times New Roman" w:hAnsi="Times New Roman" w:cs="Times New Roman"/>
          <w:color w:val="000000" w:themeColor="text1"/>
          <w:sz w:val="24"/>
          <w:szCs w:val="24"/>
          <w:vertAlign w:val="superscript"/>
        </w:rPr>
        <w:footnoteReference w:id="11"/>
      </w:r>
      <w:r w:rsidRPr="00FC3BFB">
        <w:rPr>
          <w:rFonts w:ascii="Times New Roman" w:hAnsi="Times New Roman" w:cs="Times New Roman"/>
          <w:color w:val="000000" w:themeColor="text1"/>
          <w:sz w:val="24"/>
          <w:szCs w:val="24"/>
        </w:rPr>
        <w:t xml:space="preserve"> While not necessarily comprehensive, </w:t>
      </w:r>
      <w:proofErr w:type="spellStart"/>
      <w:r w:rsidRPr="00FC3BFB">
        <w:rPr>
          <w:rFonts w:ascii="Times New Roman" w:hAnsi="Times New Roman" w:cs="Times New Roman"/>
          <w:color w:val="000000" w:themeColor="text1"/>
          <w:sz w:val="24"/>
          <w:szCs w:val="24"/>
          <w:lang w:val="it-IT"/>
        </w:rPr>
        <w:t>Quintus</w:t>
      </w:r>
      <w:proofErr w:type="spellEnd"/>
      <w:r w:rsidRPr="00FC3BFB">
        <w:rPr>
          <w:rFonts w:ascii="Times New Roman" w:hAnsi="Times New Roman" w:cs="Times New Roman"/>
          <w:color w:val="000000" w:themeColor="text1"/>
          <w:sz w:val="24"/>
          <w:szCs w:val="24"/>
          <w:lang w:val="it-IT"/>
        </w:rPr>
        <w:t>,</w:t>
      </w:r>
      <w:r w:rsidRPr="00FC3BFB">
        <w:rPr>
          <w:rFonts w:ascii="Times New Roman" w:hAnsi="Times New Roman" w:cs="Times New Roman"/>
          <w:color w:val="000000" w:themeColor="text1"/>
          <w:sz w:val="24"/>
          <w:szCs w:val="24"/>
        </w:rPr>
        <w:t xml:space="preserve"> believes his argument that the correlated elements’ time tested, and long lasting effects prove the case for divination’s legitimacy. Wynne affirms this, noting that ‘Quintus stoic case for divination rests entirely on what he calls </w:t>
      </w:r>
      <w:proofErr w:type="spellStart"/>
      <w:r w:rsidRPr="00FC3BFB">
        <w:rPr>
          <w:rFonts w:ascii="Times New Roman" w:hAnsi="Times New Roman" w:cs="Times New Roman"/>
          <w:color w:val="000000" w:themeColor="text1"/>
          <w:sz w:val="24"/>
          <w:szCs w:val="24"/>
        </w:rPr>
        <w:t>eventa</w:t>
      </w:r>
      <w:proofErr w:type="spellEnd"/>
      <w:r w:rsidRPr="00FC3BFB">
        <w:rPr>
          <w:rFonts w:ascii="Times New Roman" w:hAnsi="Times New Roman" w:cs="Times New Roman"/>
          <w:color w:val="000000" w:themeColor="text1"/>
          <w:sz w:val="24"/>
          <w:szCs w:val="24"/>
        </w:rPr>
        <w:t>, or outcomes. That is to say he seeks to prove the reality of divination simply by pointing out many cases where divinatory predictions came true.’</w:t>
      </w:r>
      <w:r w:rsidRPr="00FC3BFB">
        <w:rPr>
          <w:rFonts w:ascii="Times New Roman" w:eastAsia="Times New Roman" w:hAnsi="Times New Roman" w:cs="Times New Roman"/>
          <w:color w:val="000000" w:themeColor="text1"/>
          <w:sz w:val="24"/>
          <w:szCs w:val="24"/>
          <w:vertAlign w:val="superscript"/>
        </w:rPr>
        <w:footnoteReference w:id="12"/>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r w:rsidRPr="00FC3BFB">
        <w:rPr>
          <w:rFonts w:ascii="Times New Roman" w:hAnsi="Times New Roman" w:cs="Times New Roman"/>
          <w:b/>
          <w:bCs/>
          <w:color w:val="000000" w:themeColor="text1"/>
          <w:sz w:val="24"/>
          <w:szCs w:val="24"/>
          <w:u w:val="single"/>
        </w:rPr>
        <w:t>Book 2: Marcus against divination</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eastAsia="Times New Roman" w:hAnsi="Times New Roman" w:cs="Times New Roman"/>
          <w:color w:val="000000" w:themeColor="text1"/>
          <w:sz w:val="24"/>
          <w:szCs w:val="24"/>
        </w:rPr>
        <w:tab/>
        <w:t>Following Quintus</w:t>
      </w:r>
      <w:r w:rsidRPr="00FC3BFB">
        <w:rPr>
          <w:rFonts w:ascii="Times New Roman" w:hAnsi="Times New Roman" w:cs="Times New Roman"/>
          <w:color w:val="000000" w:themeColor="text1"/>
          <w:sz w:val="24"/>
          <w:szCs w:val="24"/>
        </w:rPr>
        <w:t>’ pro argument, Cicero presents a counter using his own persona as the interlocutor. In Marcus’ response, he enacts a number of arguments meant to derail Quintus initial proposition. First, he considers whether the historical track record of divination’s efficacy is as stable as Quintus would have needed it to be.</w:t>
      </w:r>
      <w:r w:rsidRPr="00FC3BFB">
        <w:rPr>
          <w:rFonts w:ascii="Times New Roman" w:eastAsia="Times New Roman" w:hAnsi="Times New Roman" w:cs="Times New Roman"/>
          <w:color w:val="000000" w:themeColor="text1"/>
          <w:sz w:val="24"/>
          <w:szCs w:val="24"/>
          <w:vertAlign w:val="superscript"/>
        </w:rPr>
        <w:footnoteReference w:id="13"/>
      </w:r>
      <w:r w:rsidRPr="00FC3BFB">
        <w:rPr>
          <w:rFonts w:ascii="Times New Roman" w:hAnsi="Times New Roman" w:cs="Times New Roman"/>
          <w:color w:val="000000" w:themeColor="text1"/>
          <w:sz w:val="24"/>
          <w:szCs w:val="24"/>
        </w:rPr>
        <w:t xml:space="preserve"> Specifically, where</w:t>
      </w:r>
      <w:r w:rsidRPr="00FC3BFB">
        <w:rPr>
          <w:rFonts w:ascii="Times New Roman" w:hAnsi="Times New Roman" w:cs="Times New Roman"/>
          <w:color w:val="000000" w:themeColor="text1"/>
          <w:sz w:val="24"/>
          <w:szCs w:val="24"/>
          <w:lang w:val="it-IT"/>
        </w:rPr>
        <w:t xml:space="preserve"> </w:t>
      </w:r>
      <w:proofErr w:type="spellStart"/>
      <w:r w:rsidRPr="00FC3BFB">
        <w:rPr>
          <w:rFonts w:ascii="Times New Roman" w:hAnsi="Times New Roman" w:cs="Times New Roman"/>
          <w:color w:val="000000" w:themeColor="text1"/>
          <w:sz w:val="24"/>
          <w:szCs w:val="24"/>
          <w:lang w:val="it-IT"/>
        </w:rPr>
        <w:t>Quintus</w:t>
      </w:r>
      <w:proofErr w:type="spellEnd"/>
      <w:r w:rsidRPr="00FC3BFB">
        <w:rPr>
          <w:rFonts w:ascii="Times New Roman" w:hAnsi="Times New Roman" w:cs="Times New Roman"/>
          <w:color w:val="000000" w:themeColor="text1"/>
          <w:sz w:val="24"/>
          <w:szCs w:val="24"/>
        </w:rPr>
        <w:t xml:space="preserve"> believes that </w:t>
      </w:r>
      <w:r w:rsidRPr="00FC3BFB">
        <w:rPr>
          <w:rFonts w:ascii="Times New Roman" w:hAnsi="Times New Roman" w:cs="Times New Roman"/>
          <w:color w:val="000000" w:themeColor="text1"/>
          <w:sz w:val="24"/>
          <w:szCs w:val="24"/>
          <w:lang w:val="fr-FR"/>
        </w:rPr>
        <w:t>divination</w:t>
      </w:r>
      <w:r w:rsidRPr="00FC3BFB">
        <w:rPr>
          <w:rFonts w:ascii="Times New Roman" w:hAnsi="Times New Roman" w:cs="Times New Roman"/>
          <w:color w:val="000000" w:themeColor="text1"/>
          <w:sz w:val="24"/>
          <w:szCs w:val="24"/>
        </w:rPr>
        <w:t>, though occasionally mistaken in its prognostications, has ultimately proved worthwhile in certain cases, Marcus sees more relevance in past examples where divination got it wrong. Marcus’ contempt is clear when he asks: “Why need I give instances […] where the prophecies of soothsayers either were without result or the issue was directly the reverse of the prophecy?”</w:t>
      </w:r>
      <w:r w:rsidRPr="00FC3BFB">
        <w:rPr>
          <w:rFonts w:ascii="Times New Roman" w:eastAsia="Times New Roman" w:hAnsi="Times New Roman" w:cs="Times New Roman"/>
          <w:color w:val="000000" w:themeColor="text1"/>
          <w:sz w:val="24"/>
          <w:szCs w:val="24"/>
          <w:vertAlign w:val="superscript"/>
        </w:rPr>
        <w:footnoteReference w:id="14"/>
      </w:r>
      <w:r w:rsidRPr="00FC3BFB">
        <w:rPr>
          <w:rFonts w:ascii="Times New Roman" w:hAnsi="Times New Roman" w:cs="Times New Roman"/>
          <w:color w:val="000000" w:themeColor="text1"/>
          <w:sz w:val="24"/>
          <w:szCs w:val="24"/>
        </w:rPr>
        <w:t xml:space="preserve"> Following this, Marcus presents what Wynne calls a threefold approach to his argument against Quintus’ treatise.</w:t>
      </w:r>
      <w:r w:rsidRPr="00FC3BFB">
        <w:rPr>
          <w:rFonts w:ascii="Times New Roman" w:eastAsia="Times New Roman" w:hAnsi="Times New Roman" w:cs="Times New Roman"/>
          <w:color w:val="000000" w:themeColor="text1"/>
          <w:sz w:val="24"/>
          <w:szCs w:val="24"/>
          <w:vertAlign w:val="superscript"/>
        </w:rPr>
        <w:footnoteReference w:id="15"/>
      </w:r>
      <w:r w:rsidRPr="00FC3BFB">
        <w:rPr>
          <w:rFonts w:ascii="Times New Roman" w:hAnsi="Times New Roman" w:cs="Times New Roman"/>
          <w:color w:val="000000" w:themeColor="text1"/>
          <w:sz w:val="24"/>
          <w:szCs w:val="24"/>
        </w:rPr>
        <w:t xml:space="preserve"> First, he tries to clarify that divination has no subject matter of its own.</w:t>
      </w:r>
      <w:r w:rsidRPr="00FC3BFB">
        <w:rPr>
          <w:rFonts w:ascii="Times New Roman" w:eastAsia="Times New Roman" w:hAnsi="Times New Roman" w:cs="Times New Roman"/>
          <w:color w:val="000000" w:themeColor="text1"/>
          <w:sz w:val="24"/>
          <w:szCs w:val="24"/>
          <w:vertAlign w:val="superscript"/>
        </w:rPr>
        <w:footnoteReference w:id="16"/>
      </w:r>
      <w:r w:rsidRPr="00FC3BFB">
        <w:rPr>
          <w:rFonts w:ascii="Times New Roman" w:hAnsi="Times New Roman" w:cs="Times New Roman"/>
          <w:color w:val="000000" w:themeColor="text1"/>
          <w:sz w:val="24"/>
          <w:szCs w:val="24"/>
        </w:rPr>
        <w:t xml:space="preserve"> </w:t>
      </w:r>
      <w:r w:rsidRPr="00FC3BFB">
        <w:rPr>
          <w:rFonts w:ascii="Times New Roman" w:hAnsi="Times New Roman" w:cs="Times New Roman"/>
          <w:color w:val="000000" w:themeColor="text1"/>
          <w:sz w:val="24"/>
          <w:szCs w:val="24"/>
        </w:rPr>
        <w:lastRenderedPageBreak/>
        <w:t>Specifically, he notes that there are some subjects that can be known about based on established principles including ‘arts’ or technical skills that can be used to isolate the best practice under subjects like medicine music or astronomy.</w:t>
      </w:r>
      <w:r w:rsidRPr="00FC3BFB">
        <w:rPr>
          <w:rFonts w:ascii="Times New Roman" w:eastAsia="Times New Roman" w:hAnsi="Times New Roman" w:cs="Times New Roman"/>
          <w:color w:val="000000" w:themeColor="text1"/>
          <w:sz w:val="24"/>
          <w:szCs w:val="24"/>
          <w:vertAlign w:val="superscript"/>
        </w:rPr>
        <w:footnoteReference w:id="17"/>
      </w:r>
      <w:r w:rsidRPr="00FC3BFB">
        <w:rPr>
          <w:rFonts w:ascii="Times New Roman" w:hAnsi="Times New Roman" w:cs="Times New Roman"/>
          <w:color w:val="000000" w:themeColor="text1"/>
          <w:sz w:val="24"/>
          <w:szCs w:val="24"/>
        </w:rPr>
        <w:t xml:space="preserve"> He lays out this argument intentionally to suggest that there are few cases wherein divination provides foreknowledge that supersedes any information that could be provided by any other kind of inquiry.</w:t>
      </w:r>
      <w:r w:rsidRPr="00FC3BFB">
        <w:rPr>
          <w:rFonts w:ascii="Times New Roman" w:eastAsia="Times New Roman" w:hAnsi="Times New Roman" w:cs="Times New Roman"/>
          <w:color w:val="000000" w:themeColor="text1"/>
          <w:sz w:val="24"/>
          <w:szCs w:val="24"/>
          <w:vertAlign w:val="superscript"/>
        </w:rPr>
        <w:footnoteReference w:id="18"/>
      </w:r>
      <w:r w:rsidRPr="00FC3BFB">
        <w:rPr>
          <w:rFonts w:ascii="Times New Roman" w:hAnsi="Times New Roman" w:cs="Times New Roman"/>
          <w:color w:val="000000" w:themeColor="text1"/>
          <w:sz w:val="24"/>
          <w:szCs w:val="24"/>
        </w:rPr>
        <w:t xml:space="preserve"> Next, Marcus addresses Quintus’ claim that divination is effective in the prediction of chance events. </w:t>
      </w:r>
      <w:r w:rsidRPr="00FC3BFB">
        <w:rPr>
          <w:rFonts w:ascii="Times New Roman" w:hAnsi="Times New Roman" w:cs="Times New Roman"/>
          <w:color w:val="000000" w:themeColor="text1"/>
          <w:sz w:val="24"/>
          <w:szCs w:val="24"/>
          <w:lang w:val="fr-FR"/>
        </w:rPr>
        <w:t xml:space="preserve">Marcus </w:t>
      </w:r>
      <w:proofErr w:type="spellStart"/>
      <w:r w:rsidRPr="00FC3BFB">
        <w:rPr>
          <w:rFonts w:ascii="Times New Roman" w:hAnsi="Times New Roman" w:cs="Times New Roman"/>
          <w:color w:val="000000" w:themeColor="text1"/>
          <w:sz w:val="24"/>
          <w:szCs w:val="24"/>
          <w:lang w:val="fr-FR"/>
        </w:rPr>
        <w:t>confronts</w:t>
      </w:r>
      <w:proofErr w:type="spellEnd"/>
      <w:r w:rsidRPr="00FC3BFB">
        <w:rPr>
          <w:rFonts w:ascii="Times New Roman" w:hAnsi="Times New Roman" w:cs="Times New Roman"/>
          <w:color w:val="000000" w:themeColor="text1"/>
          <w:sz w:val="24"/>
          <w:szCs w:val="24"/>
          <w:lang w:val="fr-FR"/>
        </w:rPr>
        <w:t xml:space="preserve"> </w:t>
      </w:r>
      <w:r w:rsidRPr="00FC3BFB">
        <w:rPr>
          <w:rFonts w:ascii="Times New Roman" w:hAnsi="Times New Roman" w:cs="Times New Roman"/>
          <w:color w:val="000000" w:themeColor="text1"/>
          <w:sz w:val="24"/>
          <w:szCs w:val="24"/>
        </w:rPr>
        <w:t>this claim highlighting a dilemma that claims to conclude that there can be no definition of the sort Quintus</w:t>
      </w:r>
      <w:r w:rsidRPr="00FC3BFB">
        <w:rPr>
          <w:rFonts w:ascii="Times New Roman" w:hAnsi="Times New Roman" w:cs="Times New Roman"/>
          <w:color w:val="000000" w:themeColor="text1"/>
          <w:sz w:val="24"/>
          <w:szCs w:val="24"/>
          <w:lang w:val="es-ES_tradnl"/>
        </w:rPr>
        <w:t xml:space="preserve"> </w:t>
      </w:r>
      <w:proofErr w:type="spellStart"/>
      <w:r w:rsidRPr="00FC3BFB">
        <w:rPr>
          <w:rFonts w:ascii="Times New Roman" w:hAnsi="Times New Roman" w:cs="Times New Roman"/>
          <w:color w:val="000000" w:themeColor="text1"/>
          <w:sz w:val="24"/>
          <w:szCs w:val="24"/>
          <w:lang w:val="es-ES_tradnl"/>
        </w:rPr>
        <w:t>des</w:t>
      </w:r>
      <w:proofErr w:type="spellEnd"/>
      <w:r w:rsidRPr="00FC3BFB">
        <w:rPr>
          <w:rFonts w:ascii="Times New Roman" w:hAnsi="Times New Roman" w:cs="Times New Roman"/>
          <w:color w:val="000000" w:themeColor="text1"/>
          <w:sz w:val="24"/>
          <w:szCs w:val="24"/>
          <w:lang w:val="es-ES_tradnl"/>
        </w:rPr>
        <w:t>cribed</w:t>
      </w:r>
      <w:r w:rsidRPr="00FC3BFB">
        <w:rPr>
          <w:rFonts w:ascii="Times New Roman" w:hAnsi="Times New Roman" w:cs="Times New Roman"/>
          <w:color w:val="000000" w:themeColor="text1"/>
          <w:sz w:val="24"/>
          <w:szCs w:val="24"/>
        </w:rPr>
        <w:t>.</w:t>
      </w:r>
      <w:r w:rsidRPr="00FC3BFB">
        <w:rPr>
          <w:rFonts w:ascii="Times New Roman" w:eastAsia="Times New Roman" w:hAnsi="Times New Roman" w:cs="Times New Roman"/>
          <w:color w:val="000000" w:themeColor="text1"/>
          <w:sz w:val="24"/>
          <w:szCs w:val="24"/>
          <w:vertAlign w:val="superscript"/>
        </w:rPr>
        <w:footnoteReference w:id="19"/>
      </w:r>
      <w:r w:rsidRPr="00FC3BFB">
        <w:rPr>
          <w:rFonts w:ascii="Times New Roman" w:hAnsi="Times New Roman" w:cs="Times New Roman"/>
          <w:color w:val="000000" w:themeColor="text1"/>
          <w:sz w:val="24"/>
          <w:szCs w:val="24"/>
        </w:rPr>
        <w:t xml:space="preserve"> Specifically, Marcus notes that ‘arts’ like navigation or weather forecasting aim to determine chance outcomes too. However, it is apparently the case that, as Wynne notes, a person would still rather consult a weather forecast than a diviner for answers pertaining to the weather.</w:t>
      </w:r>
      <w:r w:rsidRPr="00FC3BFB">
        <w:rPr>
          <w:rFonts w:ascii="Times New Roman" w:eastAsia="Times New Roman" w:hAnsi="Times New Roman" w:cs="Times New Roman"/>
          <w:color w:val="000000" w:themeColor="text1"/>
          <w:sz w:val="24"/>
          <w:szCs w:val="24"/>
          <w:vertAlign w:val="superscript"/>
        </w:rPr>
        <w:footnoteReference w:id="20"/>
      </w:r>
      <w:r w:rsidRPr="00FC3BFB">
        <w:rPr>
          <w:rFonts w:ascii="Times New Roman" w:hAnsi="Times New Roman" w:cs="Times New Roman"/>
          <w:color w:val="000000" w:themeColor="text1"/>
          <w:sz w:val="24"/>
          <w:szCs w:val="24"/>
        </w:rPr>
        <w:t xml:space="preserve"> Effectively then, for Marcus, Quintus’ stoic definition of chance events does not effectively cover all cases that it intends to; Marcus would rather that divination be considered only in cases ‘which neither any art nor any wisdom can foresee.’</w:t>
      </w:r>
      <w:r w:rsidRPr="00FC3BFB">
        <w:rPr>
          <w:rFonts w:ascii="Times New Roman" w:eastAsia="Times New Roman" w:hAnsi="Times New Roman" w:cs="Times New Roman"/>
          <w:color w:val="000000" w:themeColor="text1"/>
          <w:sz w:val="24"/>
          <w:szCs w:val="24"/>
          <w:vertAlign w:val="superscript"/>
        </w:rPr>
        <w:footnoteReference w:id="21"/>
      </w:r>
      <w:r w:rsidRPr="00FC3BFB">
        <w:rPr>
          <w:rFonts w:ascii="Times New Roman" w:hAnsi="Times New Roman" w:cs="Times New Roman"/>
          <w:color w:val="000000" w:themeColor="text1"/>
          <w:sz w:val="24"/>
          <w:szCs w:val="24"/>
        </w:rPr>
        <w:t xml:space="preserve"> Following this Marcus presents another dilemma regarding fate. Specifically, he considers that future events are either fated, or not; the extension of this is the conclusion that if an event is not fated, then it is not predictable, not even to the gods.</w:t>
      </w:r>
      <w:r w:rsidRPr="00FC3BFB">
        <w:rPr>
          <w:rFonts w:ascii="Times New Roman" w:eastAsia="Times New Roman" w:hAnsi="Times New Roman" w:cs="Times New Roman"/>
          <w:color w:val="000000" w:themeColor="text1"/>
          <w:sz w:val="24"/>
          <w:szCs w:val="24"/>
          <w:vertAlign w:val="superscript"/>
        </w:rPr>
        <w:footnoteReference w:id="22"/>
      </w:r>
      <w:r w:rsidRPr="00FC3BFB">
        <w:rPr>
          <w:rFonts w:ascii="Times New Roman" w:hAnsi="Times New Roman" w:cs="Times New Roman"/>
          <w:color w:val="000000" w:themeColor="text1"/>
          <w:sz w:val="24"/>
          <w:szCs w:val="24"/>
        </w:rPr>
        <w:t xml:space="preserve"> On the other hand, if they are fated, then divination does not serve an ‘advantageous’ function; what will be will be regardless of a divine prognostication.</w:t>
      </w:r>
      <w:r w:rsidRPr="00FC3BFB">
        <w:rPr>
          <w:rFonts w:ascii="Times New Roman" w:eastAsia="Times New Roman" w:hAnsi="Times New Roman" w:cs="Times New Roman"/>
          <w:color w:val="000000" w:themeColor="text1"/>
          <w:sz w:val="24"/>
          <w:szCs w:val="24"/>
          <w:vertAlign w:val="superscript"/>
        </w:rPr>
        <w:footnoteReference w:id="23"/>
      </w: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r w:rsidRPr="00FC3BFB">
        <w:rPr>
          <w:rFonts w:ascii="Times New Roman" w:hAnsi="Times New Roman" w:cs="Times New Roman"/>
          <w:b/>
          <w:bCs/>
          <w:color w:val="000000" w:themeColor="text1"/>
          <w:sz w:val="24"/>
          <w:szCs w:val="24"/>
          <w:u w:val="single"/>
        </w:rPr>
        <w:t>Context</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eastAsia="Times New Roman" w:hAnsi="Times New Roman" w:cs="Times New Roman"/>
          <w:color w:val="000000" w:themeColor="text1"/>
          <w:sz w:val="24"/>
          <w:szCs w:val="24"/>
        </w:rPr>
        <w:tab/>
        <w:t>For context, divinatory techniques including astrology, augury, and haruspicy abounded in the time that Cicero was writing. Roman state religion included the consistent use of augury (a practice that even Cicero engaged in), and the cultural impulse to incorporate Greek forms of knowledge into Roman ones implied at least conscious consideration of astrology on the part of most educated Romans.</w:t>
      </w:r>
      <w:r w:rsidRPr="00FC3BFB">
        <w:rPr>
          <w:rFonts w:ascii="Times New Roman" w:eastAsia="Times New Roman" w:hAnsi="Times New Roman" w:cs="Times New Roman"/>
          <w:color w:val="000000" w:themeColor="text1"/>
          <w:sz w:val="24"/>
          <w:szCs w:val="24"/>
          <w:vertAlign w:val="superscript"/>
        </w:rPr>
        <w:footnoteReference w:id="24"/>
      </w:r>
      <w:r w:rsidRPr="00FC3BFB">
        <w:rPr>
          <w:rFonts w:ascii="Times New Roman" w:hAnsi="Times New Roman" w:cs="Times New Roman"/>
          <w:color w:val="000000" w:themeColor="text1"/>
          <w:sz w:val="24"/>
          <w:szCs w:val="24"/>
        </w:rPr>
        <w:t xml:space="preserve"> And so, as Wynne suggests in his work on Ciceronian philosophy, Romans were at least subliminally expected to participate in the intellectual discourse surrounding divination as it would’ve been important to such an orthopractic society to honestly and fully consider the implications of their actions.</w:t>
      </w:r>
      <w:r w:rsidRPr="00FC3BFB">
        <w:rPr>
          <w:rFonts w:ascii="Times New Roman" w:eastAsia="Times New Roman" w:hAnsi="Times New Roman" w:cs="Times New Roman"/>
          <w:color w:val="000000" w:themeColor="text1"/>
          <w:sz w:val="24"/>
          <w:szCs w:val="24"/>
          <w:vertAlign w:val="superscript"/>
        </w:rPr>
        <w:footnoteReference w:id="25"/>
      </w:r>
      <w:r w:rsidRPr="00FC3BFB">
        <w:rPr>
          <w:rFonts w:ascii="Times New Roman" w:hAnsi="Times New Roman" w:cs="Times New Roman"/>
          <w:color w:val="000000" w:themeColor="text1"/>
          <w:sz w:val="24"/>
          <w:szCs w:val="24"/>
        </w:rPr>
        <w:t xml:space="preserve"> What this would have required then, is full and equal consideration of both pro and contra points against divination. This is reflected in the author Cicero’s note at the beginning of the text: ‘For error and rashness in assent is vicious in any matter, but it is especially so on that question where we must judge how much credit to give to auspices, to divinity, and to religion.’</w:t>
      </w:r>
      <w:r w:rsidRPr="00FC3BFB">
        <w:rPr>
          <w:rFonts w:ascii="Times New Roman" w:eastAsia="Times New Roman" w:hAnsi="Times New Roman" w:cs="Times New Roman"/>
          <w:color w:val="000000" w:themeColor="text1"/>
          <w:sz w:val="24"/>
          <w:szCs w:val="24"/>
          <w:vertAlign w:val="superscript"/>
        </w:rPr>
        <w:footnoteReference w:id="26"/>
      </w:r>
      <w:r w:rsidRPr="00FC3BFB">
        <w:rPr>
          <w:rFonts w:ascii="Times New Roman" w:hAnsi="Times New Roman" w:cs="Times New Roman"/>
          <w:color w:val="000000" w:themeColor="text1"/>
          <w:sz w:val="24"/>
          <w:szCs w:val="24"/>
        </w:rPr>
        <w:t xml:space="preserve"> Within this, Cicero does not specify his own opinion on divination one way or another; the question asks ‘how much’ credit to give, not if credit is to be given at all.</w:t>
      </w:r>
      <w:r w:rsidRPr="00FC3BFB">
        <w:rPr>
          <w:rFonts w:ascii="Times New Roman" w:eastAsia="Times New Roman" w:hAnsi="Times New Roman" w:cs="Times New Roman"/>
          <w:color w:val="000000" w:themeColor="text1"/>
          <w:sz w:val="24"/>
          <w:szCs w:val="24"/>
          <w:vertAlign w:val="superscript"/>
        </w:rPr>
        <w:footnoteReference w:id="27"/>
      </w:r>
      <w:r w:rsidRPr="00FC3BFB">
        <w:rPr>
          <w:rFonts w:ascii="Times New Roman" w:hAnsi="Times New Roman" w:cs="Times New Roman"/>
          <w:color w:val="000000" w:themeColor="text1"/>
          <w:sz w:val="24"/>
          <w:szCs w:val="24"/>
        </w:rPr>
        <w:t xml:space="preserve"> Instead he makes a crucial point that it is important to fully consider the implications of both accepting and denying validity to divinatory practices. This point is compounded with Cicero’s choice to structure his treatise in a literary dialogue form. Noting the intimacy of a conversation </w:t>
      </w:r>
      <w:r w:rsidRPr="00FC3BFB">
        <w:rPr>
          <w:rFonts w:ascii="Times New Roman" w:hAnsi="Times New Roman" w:cs="Times New Roman"/>
          <w:color w:val="000000" w:themeColor="text1"/>
          <w:sz w:val="24"/>
          <w:szCs w:val="24"/>
        </w:rPr>
        <w:lastRenderedPageBreak/>
        <w:t xml:space="preserve">between two brothers, Wynne suggests that Cicero likely makes this choice to emphasize the importance that people should seriously entertain these </w:t>
      </w:r>
      <w:r w:rsidRPr="00FC3BFB">
        <w:rPr>
          <w:rFonts w:ascii="Times New Roman" w:hAnsi="Times New Roman" w:cs="Times New Roman"/>
          <w:color w:val="000000" w:themeColor="text1"/>
          <w:sz w:val="24"/>
          <w:szCs w:val="24"/>
          <w:lang w:val="fr-FR"/>
        </w:rPr>
        <w:t>conversations</w:t>
      </w:r>
      <w:r w:rsidRPr="00FC3BFB">
        <w:rPr>
          <w:rFonts w:ascii="Times New Roman" w:hAnsi="Times New Roman" w:cs="Times New Roman"/>
          <w:color w:val="000000" w:themeColor="text1"/>
          <w:sz w:val="24"/>
          <w:szCs w:val="24"/>
        </w:rPr>
        <w:t>, particularly with important people. Subsequently, Wynne notes explicitly that it might have been hugely important to Cicero’s intentions that even the ‘most critical philosopher might keep an open mind and allow that divinatory phenomena might be an object of intellectual concern.</w:t>
      </w:r>
      <w:r w:rsidRPr="00FC3BFB">
        <w:rPr>
          <w:rFonts w:ascii="Times New Roman" w:eastAsia="Times New Roman" w:hAnsi="Times New Roman" w:cs="Times New Roman"/>
          <w:color w:val="000000" w:themeColor="text1"/>
          <w:sz w:val="24"/>
          <w:szCs w:val="24"/>
          <w:vertAlign w:val="superscript"/>
        </w:rPr>
        <w:footnoteReference w:id="28"/>
      </w:r>
      <w:r w:rsidRPr="00FC3BFB">
        <w:rPr>
          <w:rFonts w:ascii="Times New Roman" w:hAnsi="Times New Roman" w:cs="Times New Roman"/>
          <w:color w:val="000000" w:themeColor="text1"/>
          <w:sz w:val="24"/>
          <w:szCs w:val="24"/>
        </w:rPr>
        <w:t xml:space="preserve"> </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eastAsia="Times New Roman" w:hAnsi="Times New Roman" w:cs="Times New Roman"/>
          <w:color w:val="000000" w:themeColor="text1"/>
          <w:sz w:val="24"/>
          <w:szCs w:val="24"/>
        </w:rPr>
        <w:tab/>
        <w:t xml:space="preserve">Following this, it is less evident that Cicero wrote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proofErr w:type="spellEnd"/>
      <w:r w:rsidRPr="00FC3BFB">
        <w:rPr>
          <w:rFonts w:ascii="Times New Roman" w:hAnsi="Times New Roman" w:cs="Times New Roman"/>
          <w:color w:val="000000" w:themeColor="text1"/>
          <w:sz w:val="24"/>
          <w:szCs w:val="24"/>
        </w:rPr>
        <w:t xml:space="preserve"> to express one opinion over the other. Rather it seems he meant to open a dialogue about divinatory practices that could enforce authentic understanding of them by attempting to see both sides.</w:t>
      </w:r>
      <w:r w:rsidRPr="00FC3BFB">
        <w:rPr>
          <w:rFonts w:ascii="Times New Roman" w:eastAsia="Times New Roman" w:hAnsi="Times New Roman" w:cs="Times New Roman"/>
          <w:color w:val="000000" w:themeColor="text1"/>
          <w:sz w:val="24"/>
          <w:szCs w:val="24"/>
          <w:vertAlign w:val="superscript"/>
        </w:rPr>
        <w:footnoteReference w:id="29"/>
      </w:r>
      <w:r w:rsidRPr="00FC3BFB">
        <w:rPr>
          <w:rFonts w:ascii="Times New Roman" w:hAnsi="Times New Roman" w:cs="Times New Roman"/>
          <w:color w:val="000000" w:themeColor="text1"/>
          <w:sz w:val="24"/>
          <w:szCs w:val="24"/>
        </w:rPr>
        <w:t xml:space="preserve"> For scholars Mary Beard and Malcolm Schofield, for example, the literary trappings of the text suggest that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proofErr w:type="spellEnd"/>
      <w:r w:rsidRPr="00FC3BFB">
        <w:rPr>
          <w:rFonts w:ascii="Times New Roman" w:hAnsi="Times New Roman" w:cs="Times New Roman"/>
          <w:color w:val="000000" w:themeColor="text1"/>
          <w:sz w:val="24"/>
          <w:szCs w:val="24"/>
        </w:rPr>
        <w:t xml:space="preserve"> is explicitly not a one sided argument. In their respective texts both Beard and Schofield highlight how Cicero’s deliberate inclusion of both pro and contra points implies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r w:rsidRPr="00FC3BFB">
        <w:rPr>
          <w:rFonts w:ascii="Times New Roman" w:hAnsi="Times New Roman" w:cs="Times New Roman"/>
          <w:color w:val="000000" w:themeColor="text1"/>
          <w:sz w:val="24"/>
          <w:szCs w:val="24"/>
        </w:rPr>
        <w:t>’s</w:t>
      </w:r>
      <w:proofErr w:type="spellEnd"/>
      <w:r w:rsidRPr="00FC3BFB">
        <w:rPr>
          <w:rFonts w:ascii="Times New Roman" w:hAnsi="Times New Roman" w:cs="Times New Roman"/>
          <w:color w:val="000000" w:themeColor="text1"/>
          <w:sz w:val="24"/>
          <w:szCs w:val="24"/>
        </w:rPr>
        <w:t xml:space="preserve"> participation in the ‘traditions of the Academic school of philosophy,’ where the reader is left to make up [their] own mind on the most convincing case”.</w:t>
      </w:r>
      <w:r w:rsidRPr="00FC3BFB">
        <w:rPr>
          <w:rFonts w:ascii="Times New Roman" w:eastAsia="Times New Roman" w:hAnsi="Times New Roman" w:cs="Times New Roman"/>
          <w:color w:val="000000" w:themeColor="text1"/>
          <w:sz w:val="24"/>
          <w:szCs w:val="24"/>
          <w:vertAlign w:val="superscript"/>
        </w:rPr>
        <w:footnoteReference w:id="30"/>
      </w:r>
      <w:r w:rsidRPr="00FC3BFB">
        <w:rPr>
          <w:rFonts w:ascii="Times New Roman" w:hAnsi="Times New Roman" w:cs="Times New Roman"/>
          <w:color w:val="000000" w:themeColor="text1"/>
          <w:sz w:val="24"/>
          <w:szCs w:val="24"/>
        </w:rPr>
        <w:t xml:space="preserve"> Evidently, whether or not Cicero himself believed in the efficacy of divination is a contentious issue. It’s worth noting then that in a previous work,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Legibus</w:t>
      </w:r>
      <w:proofErr w:type="spellEnd"/>
      <w:r w:rsidRPr="00FC3BFB">
        <w:rPr>
          <w:rFonts w:ascii="Times New Roman" w:hAnsi="Times New Roman" w:cs="Times New Roman"/>
          <w:color w:val="000000" w:themeColor="text1"/>
          <w:sz w:val="24"/>
          <w:szCs w:val="24"/>
        </w:rPr>
        <w:t>, he actually affirms his support for augury in traditional Roman state religion; to the extent point that Cicero was an augur himself.</w:t>
      </w:r>
      <w:r w:rsidRPr="00FC3BFB">
        <w:rPr>
          <w:rFonts w:ascii="Times New Roman" w:eastAsia="Times New Roman" w:hAnsi="Times New Roman" w:cs="Times New Roman"/>
          <w:color w:val="000000" w:themeColor="text1"/>
          <w:sz w:val="24"/>
          <w:szCs w:val="24"/>
          <w:vertAlign w:val="superscript"/>
        </w:rPr>
        <w:footnoteReference w:id="31"/>
      </w:r>
      <w:r w:rsidRPr="00FC3BFB">
        <w:rPr>
          <w:rFonts w:ascii="Times New Roman" w:hAnsi="Times New Roman" w:cs="Times New Roman"/>
          <w:color w:val="000000" w:themeColor="text1"/>
          <w:sz w:val="24"/>
          <w:szCs w:val="24"/>
        </w:rPr>
        <w:t xml:space="preserve"> In her analysis, Beard plainly offers that speculation as to Cicero the author’s own beliefs is a flawed mission if one is to base their opinion on Book 2 of </w:t>
      </w:r>
      <w:r w:rsidRPr="00FC3BFB">
        <w:rPr>
          <w:rFonts w:ascii="Times New Roman" w:hAnsi="Times New Roman" w:cs="Times New Roman"/>
          <w:i/>
          <w:color w:val="000000" w:themeColor="text1"/>
          <w:sz w:val="24"/>
          <w:szCs w:val="24"/>
        </w:rPr>
        <w:t xml:space="preserve">De </w:t>
      </w:r>
      <w:proofErr w:type="spellStart"/>
      <w:r w:rsidRPr="00FC3BFB">
        <w:rPr>
          <w:rFonts w:ascii="Times New Roman" w:hAnsi="Times New Roman" w:cs="Times New Roman"/>
          <w:i/>
          <w:color w:val="000000" w:themeColor="text1"/>
          <w:sz w:val="24"/>
          <w:szCs w:val="24"/>
        </w:rPr>
        <w:t>Divinatione</w:t>
      </w:r>
      <w:proofErr w:type="spellEnd"/>
      <w:r w:rsidRPr="00FC3BFB">
        <w:rPr>
          <w:rFonts w:ascii="Times New Roman" w:hAnsi="Times New Roman" w:cs="Times New Roman"/>
          <w:color w:val="000000" w:themeColor="text1"/>
          <w:sz w:val="24"/>
          <w:szCs w:val="24"/>
        </w:rPr>
        <w:t xml:space="preserve"> in isolation; she highlights that the author included both Marcus and Quintus’ perspectives very intentionally.</w:t>
      </w:r>
      <w:r w:rsidRPr="00FC3BFB">
        <w:rPr>
          <w:rFonts w:ascii="Times New Roman" w:eastAsia="Times New Roman" w:hAnsi="Times New Roman" w:cs="Times New Roman"/>
          <w:color w:val="000000" w:themeColor="text1"/>
          <w:sz w:val="24"/>
          <w:szCs w:val="24"/>
          <w:vertAlign w:val="superscript"/>
        </w:rPr>
        <w:footnoteReference w:id="32"/>
      </w: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p>
    <w:p w:rsidR="00F73D94" w:rsidRPr="00FC3BFB" w:rsidRDefault="00F73D94" w:rsidP="00F73D94">
      <w:pPr>
        <w:pStyle w:val="Body"/>
        <w:jc w:val="both"/>
        <w:rPr>
          <w:rFonts w:ascii="Times New Roman" w:eastAsia="Times New Roman" w:hAnsi="Times New Roman" w:cs="Times New Roman"/>
          <w:b/>
          <w:bCs/>
          <w:color w:val="000000" w:themeColor="text1"/>
          <w:sz w:val="24"/>
          <w:szCs w:val="24"/>
          <w:u w:val="single"/>
        </w:rPr>
      </w:pPr>
      <w:r w:rsidRPr="00FC3BFB">
        <w:rPr>
          <w:rFonts w:ascii="Times New Roman" w:hAnsi="Times New Roman" w:cs="Times New Roman"/>
          <w:b/>
          <w:bCs/>
          <w:color w:val="000000" w:themeColor="text1"/>
          <w:sz w:val="24"/>
          <w:szCs w:val="24"/>
          <w:u w:val="single"/>
        </w:rPr>
        <w:t>Conclusion</w:t>
      </w: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p>
    <w:p w:rsidR="00F73D94" w:rsidRPr="00FC3BFB" w:rsidRDefault="00F73D94" w:rsidP="00F73D94">
      <w:pPr>
        <w:pStyle w:val="Body"/>
        <w:jc w:val="both"/>
        <w:rPr>
          <w:rFonts w:ascii="Times New Roman" w:eastAsia="Times New Roman" w:hAnsi="Times New Roman" w:cs="Times New Roman"/>
          <w:color w:val="000000" w:themeColor="text1"/>
          <w:sz w:val="24"/>
          <w:szCs w:val="24"/>
        </w:rPr>
      </w:pPr>
      <w:r w:rsidRPr="00FC3BFB">
        <w:rPr>
          <w:rFonts w:ascii="Times New Roman" w:eastAsia="Times New Roman" w:hAnsi="Times New Roman" w:cs="Times New Roman"/>
          <w:color w:val="000000" w:themeColor="text1"/>
          <w:sz w:val="24"/>
          <w:szCs w:val="24"/>
        </w:rPr>
        <w:tab/>
        <w:t xml:space="preserve">In conclusion, following the apparent criticisms within the text, it is clear how some modern theorists have come to view </w:t>
      </w:r>
      <w:r w:rsidRPr="00FC3BFB">
        <w:rPr>
          <w:rFonts w:ascii="Times New Roman" w:eastAsia="Times New Roman" w:hAnsi="Times New Roman" w:cs="Times New Roman"/>
          <w:i/>
          <w:color w:val="000000" w:themeColor="text1"/>
          <w:sz w:val="24"/>
          <w:szCs w:val="24"/>
        </w:rPr>
        <w:t xml:space="preserve">De </w:t>
      </w:r>
      <w:proofErr w:type="spellStart"/>
      <w:r w:rsidRPr="00FC3BFB">
        <w:rPr>
          <w:rFonts w:ascii="Times New Roman" w:eastAsia="Times New Roman" w:hAnsi="Times New Roman" w:cs="Times New Roman"/>
          <w:i/>
          <w:color w:val="000000" w:themeColor="text1"/>
          <w:sz w:val="24"/>
          <w:szCs w:val="24"/>
        </w:rPr>
        <w:t>Divinatione</w:t>
      </w:r>
      <w:proofErr w:type="spellEnd"/>
      <w:r w:rsidRPr="00FC3BFB">
        <w:rPr>
          <w:rFonts w:ascii="Times New Roman" w:eastAsia="Times New Roman" w:hAnsi="Times New Roman" w:cs="Times New Roman"/>
          <w:color w:val="000000" w:themeColor="text1"/>
          <w:sz w:val="24"/>
          <w:szCs w:val="24"/>
        </w:rPr>
        <w:t xml:space="preserve"> as an outright criticism of Roman divination. Scholars like </w:t>
      </w:r>
      <w:proofErr w:type="spellStart"/>
      <w:r w:rsidRPr="00FC3BFB">
        <w:rPr>
          <w:rFonts w:ascii="Times New Roman" w:eastAsia="Times New Roman" w:hAnsi="Times New Roman" w:cs="Times New Roman"/>
          <w:color w:val="000000" w:themeColor="text1"/>
          <w:sz w:val="24"/>
          <w:szCs w:val="24"/>
        </w:rPr>
        <w:t>Goar</w:t>
      </w:r>
      <w:proofErr w:type="spellEnd"/>
      <w:r w:rsidRPr="00FC3BFB">
        <w:rPr>
          <w:rFonts w:ascii="Times New Roman" w:eastAsia="Times New Roman" w:hAnsi="Times New Roman" w:cs="Times New Roman"/>
          <w:color w:val="000000" w:themeColor="text1"/>
          <w:sz w:val="24"/>
          <w:szCs w:val="24"/>
        </w:rPr>
        <w:t xml:space="preserve">, Pease and </w:t>
      </w:r>
      <w:proofErr w:type="spellStart"/>
      <w:r w:rsidRPr="00FC3BFB">
        <w:rPr>
          <w:rFonts w:ascii="Times New Roman" w:eastAsia="Times New Roman" w:hAnsi="Times New Roman" w:cs="Times New Roman"/>
          <w:color w:val="000000" w:themeColor="text1"/>
          <w:sz w:val="24"/>
          <w:szCs w:val="24"/>
        </w:rPr>
        <w:t>Linderski</w:t>
      </w:r>
      <w:proofErr w:type="spellEnd"/>
      <w:r w:rsidRPr="00FC3BFB">
        <w:rPr>
          <w:rFonts w:ascii="Times New Roman" w:eastAsia="Times New Roman" w:hAnsi="Times New Roman" w:cs="Times New Roman"/>
          <w:color w:val="000000" w:themeColor="text1"/>
          <w:sz w:val="24"/>
          <w:szCs w:val="24"/>
        </w:rPr>
        <w:t xml:space="preserve"> who conflate the character Marcus</w:t>
      </w:r>
      <w:r w:rsidRPr="00FC3BFB">
        <w:rPr>
          <w:rFonts w:ascii="Times New Roman" w:hAnsi="Times New Roman" w:cs="Times New Roman"/>
          <w:color w:val="000000" w:themeColor="text1"/>
          <w:sz w:val="24"/>
          <w:szCs w:val="24"/>
        </w:rPr>
        <w:t>’ criticism with the author Cicero’s genuine view tend to read the treatise as ‘as a vigorous rationalistic protest’ against divination in light of higher reason.</w:t>
      </w:r>
      <w:r w:rsidRPr="00FC3BFB">
        <w:rPr>
          <w:rFonts w:ascii="Times New Roman" w:eastAsia="Times New Roman" w:hAnsi="Times New Roman" w:cs="Times New Roman"/>
          <w:color w:val="000000" w:themeColor="text1"/>
          <w:sz w:val="24"/>
          <w:szCs w:val="24"/>
          <w:vertAlign w:val="superscript"/>
        </w:rPr>
        <w:footnoteReference w:id="33"/>
      </w:r>
      <w:r w:rsidRPr="00FC3BFB">
        <w:rPr>
          <w:rFonts w:ascii="Times New Roman" w:hAnsi="Times New Roman" w:cs="Times New Roman"/>
          <w:color w:val="000000" w:themeColor="text1"/>
          <w:sz w:val="24"/>
          <w:szCs w:val="24"/>
        </w:rPr>
        <w:t xml:space="preserve"> However, according to more recent consideration, it is likely that these interpretations are only partially considerate, and do not cover all that is meant within the work. Even Cicero himself makes explicit note of this fact about his intentions when he writes that ‘it is characteristic of the Academy to put forward no conclusions of its own, to approve those which seem most like the truth, to compare arguments, to draw forth all that may be said on behalf of any opinion, and without asserting its own authority to leave the judgment of those listening entirely free.’</w:t>
      </w:r>
      <w:r w:rsidRPr="00FC3BFB">
        <w:rPr>
          <w:rFonts w:ascii="Times New Roman" w:eastAsia="Times New Roman" w:hAnsi="Times New Roman" w:cs="Times New Roman"/>
          <w:color w:val="000000" w:themeColor="text1"/>
          <w:sz w:val="24"/>
          <w:szCs w:val="24"/>
          <w:vertAlign w:val="superscript"/>
        </w:rPr>
        <w:footnoteReference w:id="34"/>
      </w:r>
      <w:r w:rsidRPr="00FC3BFB">
        <w:rPr>
          <w:rFonts w:ascii="Times New Roman" w:hAnsi="Times New Roman" w:cs="Times New Roman"/>
          <w:color w:val="000000" w:themeColor="text1"/>
          <w:sz w:val="24"/>
          <w:szCs w:val="24"/>
        </w:rPr>
        <w:t xml:space="preserve"> In this, Cicero accounts for what may be his most central aim in writing </w:t>
      </w:r>
      <w:r w:rsidRPr="00FC3BFB">
        <w:rPr>
          <w:rFonts w:ascii="Times New Roman" w:hAnsi="Times New Roman" w:cs="Times New Roman"/>
          <w:i/>
          <w:iCs/>
          <w:color w:val="000000" w:themeColor="text1"/>
          <w:sz w:val="24"/>
          <w:szCs w:val="24"/>
        </w:rPr>
        <w:t xml:space="preserve">De </w:t>
      </w:r>
      <w:proofErr w:type="spellStart"/>
      <w:r w:rsidRPr="00FC3BFB">
        <w:rPr>
          <w:rFonts w:ascii="Times New Roman" w:hAnsi="Times New Roman" w:cs="Times New Roman"/>
          <w:i/>
          <w:iCs/>
          <w:color w:val="000000" w:themeColor="text1"/>
          <w:sz w:val="24"/>
          <w:szCs w:val="24"/>
        </w:rPr>
        <w:t>Divinatione</w:t>
      </w:r>
      <w:proofErr w:type="spellEnd"/>
      <w:r w:rsidRPr="00FC3BFB">
        <w:rPr>
          <w:rFonts w:ascii="Times New Roman" w:hAnsi="Times New Roman" w:cs="Times New Roman"/>
          <w:color w:val="000000" w:themeColor="text1"/>
          <w:sz w:val="24"/>
          <w:szCs w:val="24"/>
        </w:rPr>
        <w:t xml:space="preserve">. Namely, instead of enacting a ‘rationalist critique’, his aim was to instigate a </w:t>
      </w:r>
      <w:r w:rsidRPr="00FC3BFB">
        <w:rPr>
          <w:rFonts w:ascii="Times New Roman" w:hAnsi="Times New Roman" w:cs="Times New Roman"/>
          <w:color w:val="000000" w:themeColor="text1"/>
          <w:sz w:val="24"/>
          <w:szCs w:val="24"/>
        </w:rPr>
        <w:lastRenderedPageBreak/>
        <w:t>conversation that would allow a person to cultivate philosophical views that benefitted from having ‘compared arguments on either side.'</w:t>
      </w:r>
      <w:r w:rsidRPr="00FC3BFB">
        <w:rPr>
          <w:rFonts w:ascii="Times New Roman" w:eastAsia="Times New Roman" w:hAnsi="Times New Roman" w:cs="Times New Roman"/>
          <w:color w:val="000000" w:themeColor="text1"/>
          <w:sz w:val="24"/>
          <w:szCs w:val="24"/>
          <w:vertAlign w:val="superscript"/>
        </w:rPr>
        <w:footnoteReference w:id="35"/>
      </w:r>
      <w:r w:rsidRPr="00FC3BFB">
        <w:rPr>
          <w:rFonts w:ascii="Times New Roman" w:hAnsi="Times New Roman" w:cs="Times New Roman"/>
          <w:color w:val="000000" w:themeColor="text1"/>
          <w:sz w:val="24"/>
          <w:szCs w:val="24"/>
        </w:rPr>
        <w:t xml:space="preserve">  </w:t>
      </w:r>
    </w:p>
    <w:p w:rsidR="00F73D94" w:rsidRDefault="00F73D94" w:rsidP="00F73D94">
      <w:pPr>
        <w:pStyle w:val="Body"/>
        <w:rPr>
          <w:rFonts w:ascii="Times New Roman" w:eastAsia="Times New Roman" w:hAnsi="Times New Roman" w:cs="Times New Roman"/>
          <w:b/>
          <w:bCs/>
          <w:color w:val="000000" w:themeColor="text1"/>
          <w:sz w:val="24"/>
          <w:szCs w:val="24"/>
          <w:u w:val="single"/>
        </w:rPr>
      </w:pPr>
    </w:p>
    <w:p w:rsidR="00533E24" w:rsidRPr="00533E24" w:rsidRDefault="00533E24" w:rsidP="00533E24">
      <w:pPr>
        <w:pStyle w:val="Body"/>
        <w:rPr>
          <w:rFonts w:ascii="Times New Roman" w:eastAsia="Times New Roman" w:hAnsi="Times New Roman" w:cs="Times New Roman"/>
          <w:color w:val="000000" w:themeColor="text1"/>
          <w:sz w:val="20"/>
          <w:szCs w:val="20"/>
        </w:rPr>
      </w:pPr>
      <w:r w:rsidRPr="00533E24">
        <w:rPr>
          <w:rFonts w:ascii="Times New Roman" w:eastAsia="Times New Roman" w:hAnsi="Times New Roman" w:cs="Times New Roman"/>
          <w:color w:val="000000" w:themeColor="text1"/>
          <w:sz w:val="20"/>
          <w:szCs w:val="20"/>
        </w:rPr>
        <w:t>Word Count: 2240</w:t>
      </w:r>
    </w:p>
    <w:p w:rsidR="00533E24" w:rsidRPr="00FC3BFB" w:rsidRDefault="00533E24" w:rsidP="00F73D94">
      <w:pPr>
        <w:pStyle w:val="Body"/>
        <w:rPr>
          <w:rFonts w:ascii="Times New Roman" w:eastAsia="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p>
    <w:p w:rsidR="00F73D94" w:rsidRDefault="00F73D94" w:rsidP="00F73D94">
      <w:pPr>
        <w:pStyle w:val="Body"/>
        <w:rPr>
          <w:rFonts w:ascii="Times New Roman" w:hAnsi="Times New Roman" w:cs="Times New Roman"/>
          <w:b/>
          <w:bCs/>
          <w:color w:val="000000" w:themeColor="text1"/>
          <w:sz w:val="24"/>
          <w:szCs w:val="24"/>
          <w:u w:val="single"/>
        </w:rPr>
      </w:pPr>
      <w:bookmarkStart w:id="6" w:name="_GoBack"/>
      <w:bookmarkEnd w:id="6"/>
    </w:p>
    <w:p w:rsidR="00F73D94" w:rsidRDefault="00F73D94" w:rsidP="00F73D94">
      <w:pPr>
        <w:pStyle w:val="Body"/>
        <w:rPr>
          <w:rFonts w:ascii="Times New Roman" w:hAnsi="Times New Roman" w:cs="Times New Roman"/>
          <w:b/>
          <w:bCs/>
          <w:color w:val="000000" w:themeColor="text1"/>
          <w:sz w:val="24"/>
          <w:szCs w:val="24"/>
          <w:u w:val="single"/>
        </w:rPr>
      </w:pPr>
    </w:p>
    <w:p w:rsidR="00F73D94" w:rsidRPr="00FC3BFB" w:rsidRDefault="00F73D94" w:rsidP="00F73D94">
      <w:pPr>
        <w:pStyle w:val="Body"/>
        <w:rPr>
          <w:rFonts w:ascii="Times New Roman" w:eastAsia="Times New Roman" w:hAnsi="Times New Roman" w:cs="Times New Roman"/>
          <w:b/>
          <w:bCs/>
          <w:color w:val="000000" w:themeColor="text1"/>
          <w:sz w:val="24"/>
          <w:szCs w:val="24"/>
          <w:u w:val="single"/>
        </w:rPr>
      </w:pPr>
      <w:r w:rsidRPr="00FC3BFB">
        <w:rPr>
          <w:rFonts w:ascii="Times New Roman" w:hAnsi="Times New Roman" w:cs="Times New Roman"/>
          <w:b/>
          <w:bCs/>
          <w:color w:val="000000" w:themeColor="text1"/>
          <w:sz w:val="24"/>
          <w:szCs w:val="24"/>
          <w:u w:val="single"/>
        </w:rPr>
        <w:lastRenderedPageBreak/>
        <w:t>Works Cited</w:t>
      </w:r>
    </w:p>
    <w:p w:rsidR="00F73D94" w:rsidRPr="00FC3BFB" w:rsidRDefault="00F73D94" w:rsidP="00F73D94">
      <w:pPr>
        <w:pStyle w:val="Body"/>
        <w:rPr>
          <w:rFonts w:ascii="Times New Roman" w:eastAsia="Times New Roman" w:hAnsi="Times New Roman" w:cs="Times New Roman"/>
          <w:b/>
          <w:bCs/>
          <w:color w:val="000000" w:themeColor="text1"/>
          <w:sz w:val="24"/>
          <w:szCs w:val="24"/>
          <w:u w:val="single"/>
        </w:rPr>
      </w:pPr>
    </w:p>
    <w:p w:rsidR="00F73D94" w:rsidRPr="001563C4" w:rsidRDefault="00F73D94" w:rsidP="00F73D94">
      <w:pPr>
        <w:pStyle w:val="Body"/>
        <w:rPr>
          <w:rFonts w:ascii="Times New Roman" w:eastAsia="Times New Roman" w:hAnsi="Times New Roman" w:cs="Times New Roman"/>
          <w:color w:val="000000" w:themeColor="text1"/>
          <w:sz w:val="24"/>
          <w:szCs w:val="24"/>
          <w:u w:val="single"/>
        </w:rPr>
      </w:pPr>
      <w:r w:rsidRPr="001563C4">
        <w:rPr>
          <w:rFonts w:ascii="Times New Roman" w:hAnsi="Times New Roman" w:cs="Times New Roman"/>
          <w:color w:val="000000" w:themeColor="text1"/>
          <w:sz w:val="24"/>
          <w:szCs w:val="24"/>
          <w:u w:val="single"/>
        </w:rPr>
        <w:t>Primary Sources</w:t>
      </w:r>
    </w:p>
    <w:p w:rsidR="00F73D94" w:rsidRPr="00FC3BFB" w:rsidRDefault="00F73D94" w:rsidP="00F73D94">
      <w:pPr>
        <w:pStyle w:val="Body"/>
        <w:rPr>
          <w:rFonts w:ascii="Times New Roman" w:eastAsia="Times New Roman" w:hAnsi="Times New Roman" w:cs="Times New Roman"/>
          <w:color w:val="000000" w:themeColor="text1"/>
          <w:sz w:val="20"/>
          <w:szCs w:val="20"/>
        </w:rPr>
      </w:pPr>
    </w:p>
    <w:p w:rsidR="00F73D94" w:rsidRPr="00FC3BFB" w:rsidRDefault="00F73D94" w:rsidP="00F73D94">
      <w:pPr>
        <w:pStyle w:val="Body"/>
        <w:rPr>
          <w:rFonts w:ascii="Times New Roman" w:eastAsia="Times New Roman" w:hAnsi="Times New Roman" w:cs="Times New Roman"/>
          <w:color w:val="000000" w:themeColor="text1"/>
          <w:sz w:val="20"/>
          <w:szCs w:val="20"/>
        </w:rPr>
      </w:pPr>
      <w:r w:rsidRPr="00FC3BFB">
        <w:rPr>
          <w:rFonts w:ascii="Times New Roman" w:hAnsi="Times New Roman" w:cs="Times New Roman"/>
          <w:color w:val="000000" w:themeColor="text1"/>
          <w:sz w:val="20"/>
          <w:szCs w:val="20"/>
        </w:rPr>
        <w:t xml:space="preserve">Cicero, Marcus On Divination (De </w:t>
      </w:r>
      <w:proofErr w:type="spellStart"/>
      <w:r w:rsidRPr="00FC3BFB">
        <w:rPr>
          <w:rFonts w:ascii="Times New Roman" w:hAnsi="Times New Roman" w:cs="Times New Roman"/>
          <w:color w:val="000000" w:themeColor="text1"/>
          <w:sz w:val="20"/>
          <w:szCs w:val="20"/>
        </w:rPr>
        <w:t>divinatione</w:t>
      </w:r>
      <w:proofErr w:type="spellEnd"/>
      <w:r w:rsidRPr="00FC3BFB">
        <w:rPr>
          <w:rFonts w:ascii="Times New Roman" w:hAnsi="Times New Roman" w:cs="Times New Roman"/>
          <w:color w:val="000000" w:themeColor="text1"/>
          <w:sz w:val="20"/>
          <w:szCs w:val="20"/>
        </w:rPr>
        <w:t xml:space="preserve">): W. A. Falconer (ed. and trans.), Loeb Classical </w:t>
      </w:r>
      <w:r w:rsidRPr="00FC3BFB">
        <w:rPr>
          <w:rFonts w:ascii="Times New Roman" w:eastAsia="Times New Roman" w:hAnsi="Times New Roman" w:cs="Times New Roman"/>
          <w:color w:val="000000" w:themeColor="text1"/>
          <w:sz w:val="20"/>
          <w:szCs w:val="20"/>
        </w:rPr>
        <w:tab/>
      </w:r>
      <w:r w:rsidRPr="00FC3BFB">
        <w:rPr>
          <w:rFonts w:ascii="Times New Roman" w:eastAsia="Times New Roman" w:hAnsi="Times New Roman" w:cs="Times New Roman"/>
          <w:color w:val="000000" w:themeColor="text1"/>
          <w:sz w:val="20"/>
          <w:szCs w:val="20"/>
        </w:rPr>
        <w:tab/>
      </w:r>
      <w:r w:rsidRPr="00FC3BFB">
        <w:rPr>
          <w:rFonts w:ascii="Times New Roman" w:eastAsia="Times New Roman" w:hAnsi="Times New Roman" w:cs="Times New Roman"/>
          <w:color w:val="000000" w:themeColor="text1"/>
          <w:sz w:val="20"/>
          <w:szCs w:val="20"/>
        </w:rPr>
        <w:tab/>
      </w:r>
      <w:r w:rsidRPr="00FC3BFB">
        <w:rPr>
          <w:rFonts w:ascii="Times New Roman" w:hAnsi="Times New Roman" w:cs="Times New Roman"/>
          <w:color w:val="000000" w:themeColor="text1"/>
          <w:sz w:val="20"/>
          <w:szCs w:val="20"/>
        </w:rPr>
        <w:t xml:space="preserve">Library, Cambridge, MA: Harvard University Press, vol. XX, 1923. </w:t>
      </w:r>
    </w:p>
    <w:p w:rsidR="00F73D94" w:rsidRPr="001563C4" w:rsidRDefault="00F73D94" w:rsidP="00F73D94">
      <w:pPr>
        <w:pStyle w:val="Body"/>
        <w:rPr>
          <w:rFonts w:ascii="Times New Roman" w:eastAsia="Times New Roman" w:hAnsi="Times New Roman" w:cs="Times New Roman"/>
          <w:color w:val="000000" w:themeColor="text1"/>
          <w:sz w:val="24"/>
          <w:szCs w:val="24"/>
          <w:u w:val="single"/>
        </w:rPr>
      </w:pPr>
    </w:p>
    <w:p w:rsidR="00F73D94" w:rsidRPr="001563C4" w:rsidRDefault="00F73D94" w:rsidP="00F73D94">
      <w:pPr>
        <w:pStyle w:val="Body"/>
        <w:rPr>
          <w:rFonts w:ascii="Times New Roman" w:eastAsia="Times New Roman" w:hAnsi="Times New Roman" w:cs="Times New Roman"/>
          <w:color w:val="000000" w:themeColor="text1"/>
          <w:sz w:val="24"/>
          <w:szCs w:val="24"/>
          <w:u w:val="single"/>
        </w:rPr>
      </w:pPr>
      <w:r w:rsidRPr="001563C4">
        <w:rPr>
          <w:rFonts w:ascii="Times New Roman" w:hAnsi="Times New Roman" w:cs="Times New Roman"/>
          <w:color w:val="000000" w:themeColor="text1"/>
          <w:sz w:val="24"/>
          <w:szCs w:val="24"/>
          <w:u w:val="single"/>
        </w:rPr>
        <w:t>Secondary Sources</w:t>
      </w:r>
    </w:p>
    <w:p w:rsidR="00F73D94" w:rsidRPr="00FC3BFB" w:rsidRDefault="00F73D94" w:rsidP="00F73D94">
      <w:pPr>
        <w:pStyle w:val="Body"/>
        <w:rPr>
          <w:rFonts w:ascii="Times New Roman" w:eastAsia="Times New Roman" w:hAnsi="Times New Roman" w:cs="Times New Roman"/>
          <w:color w:val="000000" w:themeColor="text1"/>
          <w:sz w:val="20"/>
          <w:szCs w:val="20"/>
          <w:u w:val="single"/>
        </w:rPr>
      </w:pPr>
    </w:p>
    <w:p w:rsidR="00F73D94" w:rsidRPr="001563C4" w:rsidRDefault="00F73D94" w:rsidP="00F73D94">
      <w:pPr>
        <w:pStyle w:val="Body"/>
        <w:rPr>
          <w:rFonts w:ascii="Times New Roman" w:eastAsia="Times New Roman" w:hAnsi="Times New Roman" w:cs="Times New Roman"/>
          <w:color w:val="000000" w:themeColor="text1"/>
        </w:rPr>
      </w:pPr>
      <w:r w:rsidRPr="001563C4">
        <w:rPr>
          <w:rFonts w:ascii="Times New Roman" w:hAnsi="Times New Roman" w:cs="Times New Roman"/>
          <w:color w:val="000000" w:themeColor="text1"/>
        </w:rPr>
        <w:t xml:space="preserve">Beard, Mary. “Cicero and Divination: The Formation of a Latin Discourse.” </w:t>
      </w:r>
      <w:r w:rsidRPr="001563C4">
        <w:rPr>
          <w:rFonts w:ascii="Times New Roman" w:hAnsi="Times New Roman" w:cs="Times New Roman"/>
          <w:i/>
          <w:iCs/>
          <w:color w:val="000000" w:themeColor="text1"/>
        </w:rPr>
        <w:t xml:space="preserve">Journal of Roman </w:t>
      </w:r>
      <w:r w:rsidRPr="001563C4">
        <w:rPr>
          <w:rFonts w:ascii="Times New Roman" w:eastAsia="Times New Roman" w:hAnsi="Times New Roman" w:cs="Times New Roman"/>
          <w:i/>
          <w:iCs/>
          <w:color w:val="000000" w:themeColor="text1"/>
        </w:rPr>
        <w:tab/>
      </w:r>
      <w:r w:rsidRPr="001563C4">
        <w:rPr>
          <w:rFonts w:ascii="Times New Roman" w:eastAsia="Times New Roman" w:hAnsi="Times New Roman" w:cs="Times New Roman"/>
          <w:i/>
          <w:iCs/>
          <w:color w:val="000000" w:themeColor="text1"/>
        </w:rPr>
        <w:tab/>
      </w:r>
      <w:r w:rsidRPr="001563C4">
        <w:rPr>
          <w:rFonts w:ascii="Times New Roman" w:eastAsia="Times New Roman" w:hAnsi="Times New Roman" w:cs="Times New Roman"/>
          <w:i/>
          <w:iCs/>
          <w:color w:val="000000" w:themeColor="text1"/>
        </w:rPr>
        <w:tab/>
      </w:r>
      <w:r w:rsidRPr="001563C4">
        <w:rPr>
          <w:rFonts w:ascii="Times New Roman" w:hAnsi="Times New Roman" w:cs="Times New Roman"/>
          <w:i/>
          <w:iCs/>
          <w:color w:val="000000" w:themeColor="text1"/>
          <w:lang w:val="de-DE"/>
        </w:rPr>
        <w:t>Studies</w:t>
      </w:r>
      <w:r w:rsidRPr="001563C4">
        <w:rPr>
          <w:rFonts w:ascii="Times New Roman" w:hAnsi="Times New Roman" w:cs="Times New Roman"/>
          <w:color w:val="000000" w:themeColor="text1"/>
        </w:rPr>
        <w:t xml:space="preserve">, vol. 76, Nov. 1986, pp. 33–46. </w:t>
      </w:r>
      <w:r w:rsidRPr="001563C4">
        <w:rPr>
          <w:rFonts w:ascii="Times New Roman" w:hAnsi="Times New Roman" w:cs="Times New Roman"/>
          <w:i/>
          <w:iCs/>
          <w:color w:val="000000" w:themeColor="text1"/>
          <w:lang w:val="de-DE"/>
        </w:rPr>
        <w:t>JSTOR</w:t>
      </w:r>
      <w:r w:rsidRPr="001563C4">
        <w:rPr>
          <w:rFonts w:ascii="Times New Roman" w:hAnsi="Times New Roman" w:cs="Times New Roman"/>
          <w:i/>
          <w:iCs/>
          <w:color w:val="000000" w:themeColor="text1"/>
        </w:rPr>
        <w:t>.</w:t>
      </w:r>
    </w:p>
    <w:p w:rsidR="00F73D94" w:rsidRPr="001563C4" w:rsidRDefault="00F73D94" w:rsidP="00F73D94">
      <w:pPr>
        <w:pStyle w:val="Default"/>
        <w:spacing w:before="0"/>
        <w:rPr>
          <w:rFonts w:ascii="Times New Roman" w:eastAsia="Times New Roman" w:hAnsi="Times New Roman" w:cs="Times New Roman"/>
          <w:color w:val="000000" w:themeColor="text1"/>
          <w:sz w:val="22"/>
          <w:szCs w:val="22"/>
          <w:shd w:val="clear" w:color="auto" w:fill="FEFFFE"/>
        </w:rPr>
      </w:pPr>
    </w:p>
    <w:p w:rsidR="00F73D94" w:rsidRPr="001563C4" w:rsidRDefault="00F73D94" w:rsidP="00F73D94">
      <w:pPr>
        <w:pStyle w:val="Default"/>
        <w:spacing w:before="0"/>
        <w:rPr>
          <w:rFonts w:ascii="Times New Roman" w:hAnsi="Times New Roman" w:cs="Times New Roman"/>
          <w:color w:val="000000" w:themeColor="text1"/>
          <w:sz w:val="22"/>
          <w:szCs w:val="22"/>
          <w:shd w:val="clear" w:color="auto" w:fill="FEFFFE"/>
          <w:lang w:val="en-US"/>
        </w:rPr>
      </w:pPr>
      <w:proofErr w:type="spellStart"/>
      <w:r w:rsidRPr="001563C4">
        <w:rPr>
          <w:rFonts w:ascii="Times New Roman" w:hAnsi="Times New Roman" w:cs="Times New Roman"/>
          <w:color w:val="000000" w:themeColor="text1"/>
          <w:sz w:val="22"/>
          <w:szCs w:val="22"/>
          <w:shd w:val="clear" w:color="auto" w:fill="FEFFFE"/>
        </w:rPr>
        <w:t>Goar</w:t>
      </w:r>
      <w:proofErr w:type="spellEnd"/>
      <w:r w:rsidRPr="001563C4">
        <w:rPr>
          <w:rFonts w:ascii="Times New Roman" w:hAnsi="Times New Roman" w:cs="Times New Roman"/>
          <w:color w:val="000000" w:themeColor="text1"/>
          <w:sz w:val="22"/>
          <w:szCs w:val="22"/>
          <w:shd w:val="clear" w:color="auto" w:fill="FEFFFE"/>
        </w:rPr>
        <w:t>, Robert J. “</w:t>
      </w:r>
      <w:r w:rsidRPr="001563C4">
        <w:rPr>
          <w:rFonts w:ascii="Times New Roman" w:hAnsi="Times New Roman" w:cs="Times New Roman"/>
          <w:color w:val="000000" w:themeColor="text1"/>
          <w:sz w:val="22"/>
          <w:szCs w:val="22"/>
          <w:shd w:val="clear" w:color="auto" w:fill="FEFFFE"/>
          <w:lang w:val="it-IT"/>
        </w:rPr>
        <w:t xml:space="preserve">The </w:t>
      </w:r>
      <w:proofErr w:type="spellStart"/>
      <w:r w:rsidRPr="001563C4">
        <w:rPr>
          <w:rFonts w:ascii="Times New Roman" w:hAnsi="Times New Roman" w:cs="Times New Roman"/>
          <w:color w:val="000000" w:themeColor="text1"/>
          <w:sz w:val="22"/>
          <w:szCs w:val="22"/>
          <w:shd w:val="clear" w:color="auto" w:fill="FEFFFE"/>
          <w:lang w:val="it-IT"/>
        </w:rPr>
        <w:t>Purpose</w:t>
      </w:r>
      <w:proofErr w:type="spellEnd"/>
      <w:r w:rsidRPr="001563C4">
        <w:rPr>
          <w:rFonts w:ascii="Times New Roman" w:hAnsi="Times New Roman" w:cs="Times New Roman"/>
          <w:color w:val="000000" w:themeColor="text1"/>
          <w:sz w:val="22"/>
          <w:szCs w:val="22"/>
          <w:shd w:val="clear" w:color="auto" w:fill="FEFFFE"/>
          <w:lang w:val="it-IT"/>
        </w:rPr>
        <w:t xml:space="preserve"> of De </w:t>
      </w:r>
      <w:proofErr w:type="spellStart"/>
      <w:r w:rsidRPr="001563C4">
        <w:rPr>
          <w:rFonts w:ascii="Times New Roman" w:hAnsi="Times New Roman" w:cs="Times New Roman"/>
          <w:color w:val="000000" w:themeColor="text1"/>
          <w:sz w:val="22"/>
          <w:szCs w:val="22"/>
          <w:shd w:val="clear" w:color="auto" w:fill="FEFFFE"/>
          <w:lang w:val="it-IT"/>
        </w:rPr>
        <w:t>Divinatione</w:t>
      </w:r>
      <w:proofErr w:type="spellEnd"/>
      <w:r w:rsidRPr="001563C4">
        <w:rPr>
          <w:rFonts w:ascii="Times New Roman" w:hAnsi="Times New Roman" w:cs="Times New Roman"/>
          <w:color w:val="000000" w:themeColor="text1"/>
          <w:sz w:val="22"/>
          <w:szCs w:val="22"/>
          <w:shd w:val="clear" w:color="auto" w:fill="FEFFFE"/>
          <w:lang w:val="it-IT"/>
        </w:rPr>
        <w:t>.</w:t>
      </w:r>
      <w:r w:rsidRPr="001563C4">
        <w:rPr>
          <w:rFonts w:ascii="Times New Roman" w:hAnsi="Times New Roman" w:cs="Times New Roman"/>
          <w:color w:val="000000" w:themeColor="text1"/>
          <w:sz w:val="22"/>
          <w:szCs w:val="22"/>
          <w:shd w:val="clear" w:color="auto" w:fill="FEFFFE"/>
        </w:rPr>
        <w:t xml:space="preserve">” </w:t>
      </w:r>
      <w:r w:rsidRPr="001563C4">
        <w:rPr>
          <w:rFonts w:ascii="Times New Roman" w:hAnsi="Times New Roman" w:cs="Times New Roman"/>
          <w:i/>
          <w:iCs/>
          <w:color w:val="000000" w:themeColor="text1"/>
          <w:sz w:val="22"/>
          <w:szCs w:val="22"/>
          <w:shd w:val="clear" w:color="auto" w:fill="FEFFFE"/>
          <w:lang w:val="en-US"/>
        </w:rPr>
        <w:t xml:space="preserve">Transactions and Proceedings of the American </w:t>
      </w:r>
      <w:r w:rsidRPr="001563C4">
        <w:rPr>
          <w:rFonts w:ascii="Times New Roman" w:eastAsia="Times New Roman" w:hAnsi="Times New Roman" w:cs="Times New Roman"/>
          <w:i/>
          <w:iCs/>
          <w:color w:val="000000" w:themeColor="text1"/>
          <w:sz w:val="22"/>
          <w:szCs w:val="22"/>
          <w:shd w:val="clear" w:color="auto" w:fill="FEFFFE"/>
        </w:rPr>
        <w:tab/>
      </w:r>
      <w:r w:rsidRPr="001563C4">
        <w:rPr>
          <w:rFonts w:ascii="Times New Roman" w:eastAsia="Times New Roman" w:hAnsi="Times New Roman" w:cs="Times New Roman"/>
          <w:i/>
          <w:iCs/>
          <w:color w:val="000000" w:themeColor="text1"/>
          <w:sz w:val="22"/>
          <w:szCs w:val="22"/>
          <w:shd w:val="clear" w:color="auto" w:fill="FEFFFE"/>
        </w:rPr>
        <w:tab/>
      </w:r>
      <w:r w:rsidRPr="001563C4">
        <w:rPr>
          <w:rFonts w:ascii="Times New Roman" w:eastAsia="Times New Roman" w:hAnsi="Times New Roman" w:cs="Times New Roman"/>
          <w:i/>
          <w:iCs/>
          <w:color w:val="000000" w:themeColor="text1"/>
          <w:sz w:val="22"/>
          <w:szCs w:val="22"/>
          <w:shd w:val="clear" w:color="auto" w:fill="FEFFFE"/>
        </w:rPr>
        <w:tab/>
      </w:r>
      <w:r w:rsidRPr="001563C4">
        <w:rPr>
          <w:rFonts w:ascii="Times New Roman" w:eastAsia="Times New Roman" w:hAnsi="Times New Roman" w:cs="Times New Roman"/>
          <w:i/>
          <w:iCs/>
          <w:color w:val="000000" w:themeColor="text1"/>
          <w:sz w:val="22"/>
          <w:szCs w:val="22"/>
          <w:shd w:val="clear" w:color="auto" w:fill="FEFFFE"/>
        </w:rPr>
        <w:tab/>
      </w:r>
      <w:r w:rsidRPr="001563C4">
        <w:rPr>
          <w:rFonts w:ascii="Times New Roman" w:hAnsi="Times New Roman" w:cs="Times New Roman"/>
          <w:i/>
          <w:iCs/>
          <w:color w:val="000000" w:themeColor="text1"/>
          <w:sz w:val="22"/>
          <w:szCs w:val="22"/>
          <w:shd w:val="clear" w:color="auto" w:fill="FEFFFE"/>
          <w:lang w:val="en-US"/>
        </w:rPr>
        <w:t>Philological Association</w:t>
      </w:r>
      <w:r w:rsidRPr="001563C4">
        <w:rPr>
          <w:rFonts w:ascii="Times New Roman" w:hAnsi="Times New Roman" w:cs="Times New Roman"/>
          <w:color w:val="000000" w:themeColor="text1"/>
          <w:sz w:val="22"/>
          <w:szCs w:val="22"/>
          <w:shd w:val="clear" w:color="auto" w:fill="FEFFFE"/>
        </w:rPr>
        <w:t xml:space="preserve">, vol. 99, 1968, pp. 241–248. </w:t>
      </w:r>
      <w:r w:rsidRPr="001563C4">
        <w:rPr>
          <w:rFonts w:ascii="Times New Roman" w:hAnsi="Times New Roman" w:cs="Times New Roman"/>
          <w:i/>
          <w:iCs/>
          <w:color w:val="000000" w:themeColor="text1"/>
          <w:sz w:val="22"/>
          <w:szCs w:val="22"/>
          <w:shd w:val="clear" w:color="auto" w:fill="FEFFFE"/>
          <w:lang w:val="de-DE"/>
        </w:rPr>
        <w:t>JSTOR</w:t>
      </w:r>
      <w:r w:rsidRPr="001563C4">
        <w:rPr>
          <w:rFonts w:ascii="Times New Roman" w:hAnsi="Times New Roman" w:cs="Times New Roman"/>
          <w:color w:val="000000" w:themeColor="text1"/>
          <w:sz w:val="22"/>
          <w:szCs w:val="22"/>
          <w:shd w:val="clear" w:color="auto" w:fill="FEFFFE"/>
          <w:lang w:val="en-US"/>
        </w:rPr>
        <w:t>.</w:t>
      </w:r>
    </w:p>
    <w:p w:rsidR="00F73D94" w:rsidRPr="001563C4" w:rsidRDefault="00F73D94" w:rsidP="00F73D94">
      <w:pPr>
        <w:pStyle w:val="Default"/>
        <w:spacing w:before="0"/>
        <w:rPr>
          <w:rFonts w:ascii="Times New Roman" w:hAnsi="Times New Roman" w:cs="Times New Roman"/>
          <w:color w:val="000000" w:themeColor="text1"/>
          <w:sz w:val="22"/>
          <w:szCs w:val="22"/>
        </w:rPr>
      </w:pPr>
    </w:p>
    <w:p w:rsidR="00F73D94" w:rsidRPr="001563C4" w:rsidRDefault="00F73D94" w:rsidP="00F73D94">
      <w:pPr>
        <w:pStyle w:val="Default"/>
        <w:spacing w:before="0"/>
        <w:rPr>
          <w:rFonts w:ascii="Times New Roman" w:hAnsi="Times New Roman" w:cs="Times New Roman"/>
          <w:color w:val="000000" w:themeColor="text1"/>
          <w:sz w:val="22"/>
          <w:szCs w:val="22"/>
        </w:rPr>
      </w:pPr>
      <w:r w:rsidRPr="001563C4">
        <w:rPr>
          <w:rFonts w:ascii="Times New Roman" w:hAnsi="Times New Roman" w:cs="Times New Roman"/>
          <w:color w:val="000000" w:themeColor="text1"/>
          <w:sz w:val="22"/>
          <w:szCs w:val="22"/>
        </w:rPr>
        <w:t xml:space="preserve">Cicero. Marcus </w:t>
      </w:r>
      <w:r w:rsidRPr="001563C4">
        <w:rPr>
          <w:rFonts w:ascii="Times New Roman" w:hAnsi="Times New Roman" w:cs="Times New Roman"/>
          <w:i/>
          <w:iCs/>
          <w:color w:val="000000" w:themeColor="text1"/>
          <w:sz w:val="22"/>
          <w:szCs w:val="22"/>
        </w:rPr>
        <w:t xml:space="preserve">M. </w:t>
      </w:r>
      <w:proofErr w:type="spellStart"/>
      <w:r w:rsidRPr="001563C4">
        <w:rPr>
          <w:rFonts w:ascii="Times New Roman" w:hAnsi="Times New Roman" w:cs="Times New Roman"/>
          <w:i/>
          <w:iCs/>
          <w:color w:val="000000" w:themeColor="text1"/>
          <w:sz w:val="22"/>
          <w:szCs w:val="22"/>
        </w:rPr>
        <w:t>Tulli</w:t>
      </w:r>
      <w:proofErr w:type="spellEnd"/>
      <w:r w:rsidRPr="001563C4">
        <w:rPr>
          <w:rFonts w:ascii="Times New Roman" w:hAnsi="Times New Roman" w:cs="Times New Roman"/>
          <w:i/>
          <w:iCs/>
          <w:color w:val="000000" w:themeColor="text1"/>
          <w:sz w:val="22"/>
          <w:szCs w:val="22"/>
        </w:rPr>
        <w:t xml:space="preserve"> </w:t>
      </w:r>
      <w:proofErr w:type="spellStart"/>
      <w:r w:rsidRPr="001563C4">
        <w:rPr>
          <w:rFonts w:ascii="Times New Roman" w:hAnsi="Times New Roman" w:cs="Times New Roman"/>
          <w:i/>
          <w:iCs/>
          <w:color w:val="000000" w:themeColor="text1"/>
          <w:sz w:val="22"/>
          <w:szCs w:val="22"/>
        </w:rPr>
        <w:t>Ciceronis</w:t>
      </w:r>
      <w:proofErr w:type="spellEnd"/>
      <w:r w:rsidRPr="001563C4">
        <w:rPr>
          <w:rFonts w:ascii="Times New Roman" w:hAnsi="Times New Roman" w:cs="Times New Roman"/>
          <w:i/>
          <w:iCs/>
          <w:color w:val="000000" w:themeColor="text1"/>
          <w:sz w:val="22"/>
          <w:szCs w:val="22"/>
        </w:rPr>
        <w:t xml:space="preserve"> de </w:t>
      </w:r>
      <w:proofErr w:type="spellStart"/>
      <w:r w:rsidRPr="001563C4">
        <w:rPr>
          <w:rFonts w:ascii="Times New Roman" w:hAnsi="Times New Roman" w:cs="Times New Roman"/>
          <w:i/>
          <w:iCs/>
          <w:color w:val="000000" w:themeColor="text1"/>
          <w:sz w:val="22"/>
          <w:szCs w:val="22"/>
        </w:rPr>
        <w:t>Divinatione</w:t>
      </w:r>
      <w:proofErr w:type="spellEnd"/>
      <w:r w:rsidRPr="001563C4">
        <w:rPr>
          <w:rFonts w:ascii="Times New Roman" w:hAnsi="Times New Roman" w:cs="Times New Roman"/>
          <w:color w:val="000000" w:themeColor="text1"/>
          <w:sz w:val="22"/>
          <w:szCs w:val="22"/>
        </w:rPr>
        <w:t>. edited by Arthur Stanley Pease, New York, Arno Press, 1979.</w:t>
      </w:r>
    </w:p>
    <w:p w:rsidR="00F73D94" w:rsidRPr="001563C4" w:rsidRDefault="00F73D94" w:rsidP="00F73D94">
      <w:pPr>
        <w:pStyle w:val="Default"/>
        <w:spacing w:before="0"/>
        <w:rPr>
          <w:rFonts w:ascii="Times New Roman" w:eastAsia="Times New Roman" w:hAnsi="Times New Roman" w:cs="Times New Roman"/>
          <w:color w:val="000000" w:themeColor="text1"/>
          <w:sz w:val="22"/>
          <w:szCs w:val="22"/>
          <w:shd w:val="clear" w:color="auto" w:fill="FEFFFE"/>
        </w:rPr>
      </w:pPr>
      <w:r w:rsidRPr="001563C4">
        <w:rPr>
          <w:rFonts w:ascii="Times New Roman" w:hAnsi="Times New Roman" w:cs="Times New Roman"/>
          <w:color w:val="000000" w:themeColor="text1"/>
          <w:sz w:val="22"/>
          <w:szCs w:val="22"/>
          <w:shd w:val="clear" w:color="auto" w:fill="FEFFFE"/>
        </w:rPr>
        <w:t>‌‌</w:t>
      </w:r>
    </w:p>
    <w:p w:rsidR="00F73D94" w:rsidRPr="001563C4" w:rsidRDefault="00F73D94" w:rsidP="00F73D94">
      <w:pPr>
        <w:pStyle w:val="Default"/>
        <w:spacing w:before="0"/>
        <w:rPr>
          <w:rFonts w:ascii="Times New Roman" w:eastAsia="Times New Roman" w:hAnsi="Times New Roman" w:cs="Times New Roman"/>
          <w:color w:val="000000" w:themeColor="text1"/>
          <w:sz w:val="22"/>
          <w:szCs w:val="22"/>
          <w:shd w:val="clear" w:color="auto" w:fill="FEFFFE"/>
        </w:rPr>
      </w:pPr>
      <w:r w:rsidRPr="001563C4">
        <w:rPr>
          <w:rFonts w:ascii="Times New Roman" w:hAnsi="Times New Roman" w:cs="Times New Roman"/>
          <w:color w:val="000000" w:themeColor="text1"/>
          <w:sz w:val="22"/>
          <w:szCs w:val="22"/>
          <w:shd w:val="clear" w:color="auto" w:fill="FEFFFE"/>
          <w:lang w:val="en-US"/>
        </w:rPr>
        <w:t xml:space="preserve">Schofield, Malcolm. </w:t>
      </w:r>
      <w:r w:rsidRPr="001563C4">
        <w:rPr>
          <w:rFonts w:ascii="Times New Roman" w:hAnsi="Times New Roman" w:cs="Times New Roman"/>
          <w:color w:val="000000" w:themeColor="text1"/>
          <w:sz w:val="22"/>
          <w:szCs w:val="22"/>
          <w:shd w:val="clear" w:color="auto" w:fill="FEFFFE"/>
        </w:rPr>
        <w:t>“</w:t>
      </w:r>
      <w:r w:rsidRPr="001563C4">
        <w:rPr>
          <w:rFonts w:ascii="Times New Roman" w:hAnsi="Times New Roman" w:cs="Times New Roman"/>
          <w:color w:val="000000" w:themeColor="text1"/>
          <w:sz w:val="22"/>
          <w:szCs w:val="22"/>
          <w:shd w:val="clear" w:color="auto" w:fill="FEFFFE"/>
          <w:lang w:val="en-US"/>
        </w:rPr>
        <w:t>Cicero for and against Divination.</w:t>
      </w:r>
      <w:r w:rsidRPr="001563C4">
        <w:rPr>
          <w:rFonts w:ascii="Times New Roman" w:hAnsi="Times New Roman" w:cs="Times New Roman"/>
          <w:color w:val="000000" w:themeColor="text1"/>
          <w:sz w:val="22"/>
          <w:szCs w:val="22"/>
          <w:shd w:val="clear" w:color="auto" w:fill="FEFFFE"/>
        </w:rPr>
        <w:t xml:space="preserve">” </w:t>
      </w:r>
      <w:r w:rsidRPr="001563C4">
        <w:rPr>
          <w:rFonts w:ascii="Times New Roman" w:hAnsi="Times New Roman" w:cs="Times New Roman"/>
          <w:i/>
          <w:iCs/>
          <w:color w:val="000000" w:themeColor="text1"/>
          <w:sz w:val="22"/>
          <w:szCs w:val="22"/>
          <w:shd w:val="clear" w:color="auto" w:fill="FEFFFE"/>
          <w:lang w:val="en-US"/>
        </w:rPr>
        <w:t>The Journal of Roman Studies</w:t>
      </w:r>
      <w:r w:rsidRPr="001563C4">
        <w:rPr>
          <w:rFonts w:ascii="Times New Roman" w:hAnsi="Times New Roman" w:cs="Times New Roman"/>
          <w:color w:val="000000" w:themeColor="text1"/>
          <w:sz w:val="22"/>
          <w:szCs w:val="22"/>
          <w:shd w:val="clear" w:color="auto" w:fill="FEFFFE"/>
        </w:rPr>
        <w:t xml:space="preserve">, vol. 76, 1986, </w:t>
      </w:r>
      <w:r w:rsidRPr="001563C4">
        <w:rPr>
          <w:rFonts w:ascii="Times New Roman" w:eastAsia="Times New Roman" w:hAnsi="Times New Roman" w:cs="Times New Roman"/>
          <w:color w:val="000000" w:themeColor="text1"/>
          <w:sz w:val="22"/>
          <w:szCs w:val="22"/>
          <w:shd w:val="clear" w:color="auto" w:fill="FEFFFE"/>
        </w:rPr>
        <w:tab/>
      </w:r>
      <w:r w:rsidRPr="001563C4">
        <w:rPr>
          <w:rFonts w:ascii="Times New Roman" w:eastAsia="Times New Roman" w:hAnsi="Times New Roman" w:cs="Times New Roman"/>
          <w:color w:val="000000" w:themeColor="text1"/>
          <w:sz w:val="22"/>
          <w:szCs w:val="22"/>
          <w:shd w:val="clear" w:color="auto" w:fill="FEFFFE"/>
        </w:rPr>
        <w:tab/>
      </w:r>
      <w:r w:rsidRPr="001563C4">
        <w:rPr>
          <w:rFonts w:ascii="Times New Roman" w:eastAsia="Times New Roman" w:hAnsi="Times New Roman" w:cs="Times New Roman"/>
          <w:color w:val="000000" w:themeColor="text1"/>
          <w:sz w:val="22"/>
          <w:szCs w:val="22"/>
          <w:shd w:val="clear" w:color="auto" w:fill="FEFFFE"/>
        </w:rPr>
        <w:tab/>
      </w:r>
      <w:r w:rsidRPr="001563C4">
        <w:rPr>
          <w:rFonts w:ascii="Times New Roman" w:hAnsi="Times New Roman" w:cs="Times New Roman"/>
          <w:color w:val="000000" w:themeColor="text1"/>
          <w:sz w:val="22"/>
          <w:szCs w:val="22"/>
          <w:shd w:val="clear" w:color="auto" w:fill="FEFFFE"/>
        </w:rPr>
        <w:t xml:space="preserve">pp. 47–65. </w:t>
      </w:r>
      <w:r w:rsidRPr="001563C4">
        <w:rPr>
          <w:rFonts w:ascii="Times New Roman" w:hAnsi="Times New Roman" w:cs="Times New Roman"/>
          <w:i/>
          <w:iCs/>
          <w:color w:val="000000" w:themeColor="text1"/>
          <w:sz w:val="22"/>
          <w:szCs w:val="22"/>
          <w:shd w:val="clear" w:color="auto" w:fill="FEFFFE"/>
          <w:lang w:val="de-DE"/>
        </w:rPr>
        <w:t>JSTOR</w:t>
      </w:r>
      <w:r w:rsidRPr="001563C4">
        <w:rPr>
          <w:rFonts w:ascii="Times New Roman" w:hAnsi="Times New Roman" w:cs="Times New Roman"/>
          <w:color w:val="000000" w:themeColor="text1"/>
          <w:sz w:val="22"/>
          <w:szCs w:val="22"/>
          <w:shd w:val="clear" w:color="auto" w:fill="FEFFFE"/>
        </w:rPr>
        <w:t>.</w:t>
      </w:r>
    </w:p>
    <w:p w:rsidR="00F73D94" w:rsidRPr="001563C4" w:rsidRDefault="00F73D94" w:rsidP="00F73D94">
      <w:pPr>
        <w:pStyle w:val="Default"/>
        <w:spacing w:before="0"/>
        <w:rPr>
          <w:rFonts w:ascii="Times New Roman" w:eastAsia="Times New Roman" w:hAnsi="Times New Roman" w:cs="Times New Roman"/>
          <w:color w:val="000000" w:themeColor="text1"/>
          <w:sz w:val="22"/>
          <w:szCs w:val="22"/>
          <w:shd w:val="clear" w:color="auto" w:fill="FEFFFE"/>
        </w:rPr>
      </w:pPr>
      <w:r w:rsidRPr="001563C4">
        <w:rPr>
          <w:rFonts w:ascii="Times New Roman" w:hAnsi="Times New Roman" w:cs="Times New Roman"/>
          <w:color w:val="000000" w:themeColor="text1"/>
          <w:sz w:val="22"/>
          <w:szCs w:val="22"/>
          <w:shd w:val="clear" w:color="auto" w:fill="FEFFFE"/>
        </w:rPr>
        <w:t>‌</w:t>
      </w:r>
    </w:p>
    <w:p w:rsidR="00F73D94" w:rsidRPr="001563C4" w:rsidRDefault="00F73D94" w:rsidP="00F73D94">
      <w:pPr>
        <w:pStyle w:val="Default"/>
        <w:spacing w:before="0"/>
        <w:rPr>
          <w:rFonts w:ascii="Times New Roman" w:eastAsia="Times New Roman" w:hAnsi="Times New Roman" w:cs="Times New Roman"/>
          <w:color w:val="000000" w:themeColor="text1"/>
          <w:sz w:val="22"/>
          <w:szCs w:val="22"/>
          <w:shd w:val="clear" w:color="auto" w:fill="FEFFFE"/>
        </w:rPr>
      </w:pPr>
      <w:r w:rsidRPr="001563C4">
        <w:rPr>
          <w:rFonts w:ascii="Times New Roman" w:hAnsi="Times New Roman" w:cs="Times New Roman"/>
          <w:color w:val="000000" w:themeColor="text1"/>
          <w:sz w:val="22"/>
          <w:szCs w:val="22"/>
          <w:shd w:val="clear" w:color="auto" w:fill="FEFFFE"/>
        </w:rPr>
        <w:t>Wynne</w:t>
      </w:r>
      <w:r w:rsidRPr="001563C4">
        <w:rPr>
          <w:rFonts w:ascii="Times New Roman" w:hAnsi="Times New Roman" w:cs="Times New Roman"/>
          <w:color w:val="000000" w:themeColor="text1"/>
          <w:sz w:val="22"/>
          <w:szCs w:val="22"/>
          <w:shd w:val="clear" w:color="auto" w:fill="FEFFFE"/>
          <w:lang w:val="en-US"/>
        </w:rPr>
        <w:t>, J.P.F</w:t>
      </w:r>
      <w:r w:rsidRPr="001563C4">
        <w:rPr>
          <w:rFonts w:ascii="Times New Roman" w:hAnsi="Times New Roman" w:cs="Times New Roman"/>
          <w:color w:val="000000" w:themeColor="text1"/>
          <w:sz w:val="22"/>
          <w:szCs w:val="22"/>
          <w:shd w:val="clear" w:color="auto" w:fill="FEFFFE"/>
        </w:rPr>
        <w:t xml:space="preserve">. </w:t>
      </w:r>
      <w:r w:rsidRPr="001563C4">
        <w:rPr>
          <w:rFonts w:ascii="Times New Roman" w:hAnsi="Times New Roman" w:cs="Times New Roman"/>
          <w:i/>
          <w:iCs/>
          <w:color w:val="000000" w:themeColor="text1"/>
          <w:sz w:val="22"/>
          <w:szCs w:val="22"/>
          <w:shd w:val="clear" w:color="auto" w:fill="FEFFFE"/>
          <w:lang w:val="en-US"/>
        </w:rPr>
        <w:t>Cicero on the Philosophy of Religion: On the Nature of the Gods and On Divination</w:t>
      </w:r>
      <w:r w:rsidRPr="001563C4">
        <w:rPr>
          <w:rFonts w:ascii="Times New Roman" w:hAnsi="Times New Roman" w:cs="Times New Roman"/>
          <w:color w:val="000000" w:themeColor="text1"/>
          <w:sz w:val="22"/>
          <w:szCs w:val="22"/>
          <w:shd w:val="clear" w:color="auto" w:fill="FEFFFE"/>
        </w:rPr>
        <w:t xml:space="preserve">. </w:t>
      </w:r>
      <w:r w:rsidRPr="001563C4">
        <w:rPr>
          <w:rFonts w:ascii="Times New Roman" w:eastAsia="Times New Roman" w:hAnsi="Times New Roman" w:cs="Times New Roman"/>
          <w:color w:val="000000" w:themeColor="text1"/>
          <w:sz w:val="22"/>
          <w:szCs w:val="22"/>
          <w:shd w:val="clear" w:color="auto" w:fill="FEFFFE"/>
        </w:rPr>
        <w:tab/>
      </w:r>
      <w:r w:rsidRPr="001563C4">
        <w:rPr>
          <w:rFonts w:ascii="Times New Roman" w:eastAsia="Times New Roman" w:hAnsi="Times New Roman" w:cs="Times New Roman"/>
          <w:color w:val="000000" w:themeColor="text1"/>
          <w:sz w:val="22"/>
          <w:szCs w:val="22"/>
          <w:shd w:val="clear" w:color="auto" w:fill="FEFFFE"/>
        </w:rPr>
        <w:tab/>
      </w:r>
      <w:r w:rsidRPr="001563C4">
        <w:rPr>
          <w:rFonts w:ascii="Times New Roman" w:eastAsia="Times New Roman" w:hAnsi="Times New Roman" w:cs="Times New Roman"/>
          <w:color w:val="000000" w:themeColor="text1"/>
          <w:sz w:val="22"/>
          <w:szCs w:val="22"/>
          <w:shd w:val="clear" w:color="auto" w:fill="FEFFFE"/>
        </w:rPr>
        <w:tab/>
      </w:r>
      <w:r w:rsidRPr="001563C4">
        <w:rPr>
          <w:rFonts w:ascii="Times New Roman" w:hAnsi="Times New Roman" w:cs="Times New Roman"/>
          <w:color w:val="000000" w:themeColor="text1"/>
          <w:sz w:val="22"/>
          <w:szCs w:val="22"/>
          <w:shd w:val="clear" w:color="auto" w:fill="FEFFFE"/>
          <w:lang w:val="en-US"/>
        </w:rPr>
        <w:t>Cambridge University Press, 2019.</w:t>
      </w:r>
    </w:p>
    <w:p w:rsidR="00F73D94" w:rsidRDefault="00F73D94" w:rsidP="00F73D94">
      <w:pPr>
        <w:pStyle w:val="Default"/>
        <w:spacing w:before="0"/>
        <w:rPr>
          <w:rFonts w:ascii="Times New Roman" w:eastAsia="Times New Roman" w:hAnsi="Times New Roman" w:cs="Times New Roman"/>
          <w:sz w:val="22"/>
          <w:szCs w:val="22"/>
          <w:shd w:val="clear" w:color="auto" w:fill="FEFFFE"/>
        </w:rPr>
      </w:pPr>
    </w:p>
    <w:p w:rsidR="00F73D94" w:rsidRDefault="00F73D94" w:rsidP="00F73D94">
      <w:pPr>
        <w:pStyle w:val="Default"/>
        <w:spacing w:before="0"/>
      </w:pPr>
      <w:r>
        <w:rPr>
          <w:rFonts w:ascii="Times New Roman" w:hAnsi="Times New Roman"/>
          <w:color w:val="2A3C4E"/>
          <w:sz w:val="22"/>
          <w:szCs w:val="22"/>
          <w:shd w:val="clear" w:color="auto" w:fill="FEFFFE"/>
        </w:rPr>
        <w:t>‌</w:t>
      </w:r>
    </w:p>
    <w:p w:rsidR="008326B2" w:rsidRPr="00472A33" w:rsidRDefault="008326B2" w:rsidP="00F73D94">
      <w:pPr>
        <w:tabs>
          <w:tab w:val="left" w:pos="20"/>
          <w:tab w:val="left" w:pos="360"/>
        </w:tabs>
        <w:autoSpaceDE w:val="0"/>
        <w:autoSpaceDN w:val="0"/>
        <w:adjustRightInd w:val="0"/>
        <w:rPr>
          <w:rFonts w:ascii="Arial" w:hAnsi="Arial" w:cs="Arial"/>
          <w:b/>
          <w:color w:val="000000" w:themeColor="text1"/>
          <w:sz w:val="22"/>
          <w:szCs w:val="22"/>
        </w:rPr>
      </w:pPr>
    </w:p>
    <w:sectPr w:rsidR="008326B2" w:rsidRPr="00472A33" w:rsidSect="0059667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778B" w:rsidRDefault="00A7778B" w:rsidP="00C079AF">
      <w:r>
        <w:separator/>
      </w:r>
    </w:p>
  </w:endnote>
  <w:endnote w:type="continuationSeparator" w:id="0">
    <w:p w:rsidR="00A7778B" w:rsidRDefault="00A7778B" w:rsidP="00C079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0F93" w:rsidRDefault="00B80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0F93" w:rsidRDefault="00B80F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0F93" w:rsidRDefault="00B8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778B" w:rsidRDefault="00A7778B" w:rsidP="00C079AF">
      <w:r>
        <w:separator/>
      </w:r>
    </w:p>
  </w:footnote>
  <w:footnote w:type="continuationSeparator" w:id="0">
    <w:p w:rsidR="00A7778B" w:rsidRDefault="00A7778B" w:rsidP="00C079AF">
      <w:r>
        <w:continuationSeparator/>
      </w:r>
    </w:p>
  </w:footnote>
  <w:footnote w:id="1">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en-US"/>
        </w:rPr>
        <w:t xml:space="preserve">Robert </w:t>
      </w:r>
      <w:proofErr w:type="spellStart"/>
      <w:r w:rsidRPr="00FC3BFB">
        <w:rPr>
          <w:rFonts w:ascii="Times New Roman" w:eastAsia="Arial Unicode MS" w:hAnsi="Times New Roman" w:cs="Times New Roman"/>
          <w:sz w:val="20"/>
          <w:szCs w:val="20"/>
          <w:lang w:val="en-US"/>
        </w:rPr>
        <w:t>Goar</w:t>
      </w:r>
      <w:proofErr w:type="spellEnd"/>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it-IT"/>
        </w:rPr>
        <w:t xml:space="preserve">The </w:t>
      </w:r>
      <w:proofErr w:type="spellStart"/>
      <w:r w:rsidRPr="00FC3BFB">
        <w:rPr>
          <w:rFonts w:ascii="Times New Roman" w:eastAsia="Arial Unicode MS" w:hAnsi="Times New Roman" w:cs="Times New Roman"/>
          <w:sz w:val="20"/>
          <w:szCs w:val="20"/>
          <w:lang w:val="it-IT"/>
        </w:rPr>
        <w:t>Purpose</w:t>
      </w:r>
      <w:proofErr w:type="spellEnd"/>
      <w:r w:rsidRPr="00FC3BFB">
        <w:rPr>
          <w:rFonts w:ascii="Times New Roman" w:eastAsia="Arial Unicode MS" w:hAnsi="Times New Roman" w:cs="Times New Roman"/>
          <w:sz w:val="20"/>
          <w:szCs w:val="20"/>
          <w:lang w:val="it-IT"/>
        </w:rPr>
        <w:t xml:space="preserve"> of De </w:t>
      </w:r>
      <w:proofErr w:type="spellStart"/>
      <w:r w:rsidRPr="00FC3BFB">
        <w:rPr>
          <w:rFonts w:ascii="Times New Roman" w:eastAsia="Arial Unicode MS" w:hAnsi="Times New Roman" w:cs="Times New Roman"/>
          <w:sz w:val="20"/>
          <w:szCs w:val="20"/>
          <w:lang w:val="it-IT"/>
        </w:rPr>
        <w:t>Divinatione</w:t>
      </w:r>
      <w:proofErr w:type="spellEnd"/>
      <w:r w:rsidRPr="00FC3BFB">
        <w:rPr>
          <w:rFonts w:ascii="Times New Roman" w:eastAsia="Arial Unicode MS" w:hAnsi="Times New Roman" w:cs="Times New Roman"/>
          <w:sz w:val="20"/>
          <w:szCs w:val="20"/>
          <w:lang w:val="it-IT"/>
        </w:rPr>
        <w:t>.</w:t>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en-US"/>
        </w:rPr>
        <w:t>Transactions and Proceedings of the American Philological Association, vol. 99, 1968, pp. 241</w:t>
      </w:r>
      <w:r w:rsidRPr="00FC3BFB">
        <w:rPr>
          <w:rFonts w:ascii="Times New Roman" w:eastAsia="Arial Unicode MS" w:hAnsi="Times New Roman" w:cs="Times New Roman"/>
          <w:sz w:val="20"/>
          <w:szCs w:val="20"/>
        </w:rPr>
        <w:t>–248. JSTOR</w:t>
      </w:r>
      <w:r w:rsidRPr="00FC3BFB">
        <w:rPr>
          <w:rFonts w:ascii="Times New Roman" w:eastAsia="Arial Unicode MS" w:hAnsi="Times New Roman" w:cs="Times New Roman"/>
          <w:sz w:val="20"/>
          <w:szCs w:val="20"/>
          <w:lang w:val="en-US"/>
        </w:rPr>
        <w:t>.</w:t>
      </w:r>
    </w:p>
  </w:footnote>
  <w:footnote w:id="2">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en-US"/>
        </w:rPr>
        <w:t xml:space="preserve">Marcus </w:t>
      </w:r>
      <w:r w:rsidRPr="00FC3BFB">
        <w:rPr>
          <w:rFonts w:ascii="Times New Roman" w:eastAsia="Arial Unicode MS" w:hAnsi="Times New Roman" w:cs="Times New Roman"/>
          <w:sz w:val="20"/>
          <w:szCs w:val="20"/>
          <w:lang w:val="it-IT"/>
        </w:rPr>
        <w:t>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 xml:space="preserve">On Divination (De </w:t>
      </w:r>
      <w:proofErr w:type="spellStart"/>
      <w:r w:rsidRPr="00FC3BFB">
        <w:rPr>
          <w:rFonts w:ascii="Times New Roman" w:eastAsia="Arial Unicode MS" w:hAnsi="Times New Roman" w:cs="Times New Roman"/>
          <w:i/>
          <w:iCs/>
          <w:sz w:val="20"/>
          <w:szCs w:val="20"/>
          <w:lang w:val="fr-FR"/>
        </w:rPr>
        <w:t>divinatione</w:t>
      </w:r>
      <w:proofErr w:type="spellEnd"/>
      <w:r w:rsidRPr="00FC3BFB">
        <w:rPr>
          <w:rFonts w:ascii="Times New Roman" w:eastAsia="Arial Unicode MS" w:hAnsi="Times New Roman" w:cs="Times New Roman"/>
          <w:i/>
          <w:iCs/>
          <w:sz w:val="20"/>
          <w:szCs w:val="20"/>
          <w:lang w:val="fr-FR"/>
        </w:rPr>
        <w:t>)</w:t>
      </w:r>
      <w:r w:rsidRPr="00FC3BFB">
        <w:rPr>
          <w:rFonts w:ascii="Times New Roman" w:eastAsia="Arial Unicode MS" w:hAnsi="Times New Roman" w:cs="Times New Roman"/>
          <w:sz w:val="20"/>
          <w:szCs w:val="20"/>
          <w:lang w:val="en-US"/>
        </w:rPr>
        <w:t>: W. A. Falconer (ed. and trans.), Loeb Classical Library, Cambridge, MA: Harvard University Press, vol. XX, 1923. 1.8</w:t>
      </w:r>
    </w:p>
  </w:footnote>
  <w:footnote w:id="3">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rPr>
        <w:t>(1.</w:t>
      </w:r>
      <w:r w:rsidRPr="00FC3BFB">
        <w:rPr>
          <w:rFonts w:ascii="Times New Roman" w:eastAsia="Arial Unicode MS" w:hAnsi="Times New Roman" w:cs="Times New Roman"/>
          <w:sz w:val="20"/>
          <w:szCs w:val="20"/>
          <w:lang w:val="en-US"/>
        </w:rPr>
        <w:t>3.5)</w:t>
      </w:r>
    </w:p>
  </w:footnote>
  <w:footnote w:id="4">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rPr>
        <w:t>(1.3.5)</w:t>
      </w:r>
    </w:p>
  </w:footnote>
  <w:footnote w:id="5">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rPr>
        <w:t>(1.</w:t>
      </w:r>
      <w:r w:rsidRPr="00FC3BFB">
        <w:rPr>
          <w:rFonts w:ascii="Times New Roman" w:eastAsia="Arial Unicode MS" w:hAnsi="Times New Roman" w:cs="Times New Roman"/>
          <w:sz w:val="20"/>
          <w:szCs w:val="20"/>
          <w:lang w:val="en-US"/>
        </w:rPr>
        <w:t>39.</w:t>
      </w:r>
      <w:r w:rsidRPr="00FC3BFB">
        <w:rPr>
          <w:rFonts w:ascii="Times New Roman" w:eastAsia="Arial Unicode MS" w:hAnsi="Times New Roman" w:cs="Times New Roman"/>
          <w:sz w:val="20"/>
          <w:szCs w:val="20"/>
        </w:rPr>
        <w:t>8</w:t>
      </w:r>
      <w:r w:rsidRPr="00FC3BFB">
        <w:rPr>
          <w:rFonts w:ascii="Times New Roman" w:eastAsia="Arial Unicode MS" w:hAnsi="Times New Roman" w:cs="Times New Roman"/>
          <w:sz w:val="20"/>
          <w:szCs w:val="20"/>
          <w:lang w:val="en-US"/>
        </w:rPr>
        <w:t>4</w:t>
      </w:r>
      <w:r w:rsidRPr="00FC3BFB">
        <w:rPr>
          <w:rFonts w:ascii="Times New Roman" w:eastAsia="Arial Unicode MS" w:hAnsi="Times New Roman" w:cs="Times New Roman"/>
          <w:sz w:val="20"/>
          <w:szCs w:val="20"/>
        </w:rPr>
        <w:t>)</w:t>
      </w:r>
    </w:p>
  </w:footnote>
  <w:footnote w:id="6">
    <w:p w:rsidR="00F73D94" w:rsidRPr="00FC3BFB" w:rsidRDefault="00F73D94" w:rsidP="00F73D94">
      <w:pPr>
        <w:pStyle w:val="Footnote"/>
        <w:rPr>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J.P.F. Wynne. </w:t>
      </w:r>
      <w:r w:rsidRPr="00FC3BFB">
        <w:rPr>
          <w:rFonts w:ascii="Times New Roman" w:eastAsia="Arial Unicode MS" w:hAnsi="Times New Roman" w:cs="Times New Roman"/>
          <w:i/>
          <w:iCs/>
          <w:sz w:val="20"/>
          <w:szCs w:val="20"/>
          <w:lang w:val="en-US"/>
        </w:rPr>
        <w:t xml:space="preserve">Cicero on the Philosophy of Religion: On the Nature of the Gods and On </w:t>
      </w:r>
      <w:proofErr w:type="spellStart"/>
      <w:r w:rsidRPr="00FC3BFB">
        <w:rPr>
          <w:rFonts w:ascii="Times New Roman" w:eastAsia="Arial Unicode MS" w:hAnsi="Times New Roman" w:cs="Times New Roman"/>
          <w:i/>
          <w:iCs/>
          <w:sz w:val="20"/>
          <w:szCs w:val="20"/>
          <w:lang w:val="it-IT"/>
        </w:rPr>
        <w:t>Divination</w:t>
      </w:r>
      <w:proofErr w:type="spellEnd"/>
      <w:r w:rsidRPr="00FC3BFB">
        <w:rPr>
          <w:rFonts w:ascii="Times New Roman" w:eastAsia="Arial Unicode MS" w:hAnsi="Times New Roman" w:cs="Times New Roman"/>
          <w:i/>
          <w:iCs/>
          <w:sz w:val="20"/>
          <w:szCs w:val="20"/>
          <w:lang w:val="it-IT"/>
        </w:rPr>
        <w:t>.</w:t>
      </w:r>
      <w:r w:rsidRPr="00FC3BFB">
        <w:rPr>
          <w:rFonts w:ascii="Times New Roman" w:eastAsia="Arial Unicode MS" w:hAnsi="Times New Roman" w:cs="Times New Roman"/>
          <w:sz w:val="20"/>
          <w:szCs w:val="20"/>
          <w:lang w:val="en-US"/>
        </w:rPr>
        <w:t xml:space="preserve"> Cambridge University Press, 2019. pp. 235.</w:t>
      </w:r>
    </w:p>
  </w:footnote>
  <w:footnote w:id="7">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rPr>
        <w:t>(1.</w:t>
      </w:r>
      <w:r w:rsidRPr="00FC3BFB">
        <w:rPr>
          <w:rFonts w:ascii="Times New Roman" w:eastAsia="Arial Unicode MS" w:hAnsi="Times New Roman" w:cs="Times New Roman"/>
          <w:sz w:val="20"/>
          <w:szCs w:val="20"/>
          <w:lang w:val="en-US"/>
        </w:rPr>
        <w:t>2.3</w:t>
      </w:r>
      <w:r w:rsidRPr="00FC3BFB">
        <w:rPr>
          <w:rFonts w:ascii="Times New Roman" w:eastAsia="Arial Unicode MS" w:hAnsi="Times New Roman" w:cs="Times New Roman"/>
          <w:sz w:val="20"/>
          <w:szCs w:val="20"/>
        </w:rPr>
        <w:t>)</w:t>
      </w:r>
    </w:p>
  </w:footnote>
  <w:footnote w:id="8">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rPr>
        <w:t>(</w:t>
      </w:r>
      <w:r w:rsidRPr="00FC3BFB">
        <w:rPr>
          <w:rFonts w:ascii="Times New Roman" w:eastAsia="Arial Unicode MS" w:hAnsi="Times New Roman" w:cs="Times New Roman"/>
          <w:sz w:val="20"/>
          <w:szCs w:val="20"/>
          <w:lang w:val="en-US"/>
        </w:rPr>
        <w:t>1.18.34</w:t>
      </w:r>
      <w:r w:rsidRPr="00FC3BFB">
        <w:rPr>
          <w:rFonts w:ascii="Times New Roman" w:eastAsia="Arial Unicode MS" w:hAnsi="Times New Roman" w:cs="Times New Roman"/>
          <w:sz w:val="20"/>
          <w:szCs w:val="20"/>
        </w:rPr>
        <w:t>)</w:t>
      </w:r>
    </w:p>
  </w:footnote>
  <w:footnote w:id="9">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183.</w:t>
      </w:r>
    </w:p>
  </w:footnote>
  <w:footnote w:id="10">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lang w:val="it-IT"/>
        </w:rPr>
        <w:t>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w:t>
      </w:r>
      <w:r w:rsidRPr="00FC3BFB">
        <w:rPr>
          <w:rFonts w:ascii="Times New Roman" w:eastAsia="Arial Unicode MS" w:hAnsi="Times New Roman" w:cs="Times New Roman"/>
          <w:sz w:val="20"/>
          <w:szCs w:val="20"/>
        </w:rPr>
        <w:t>1.</w:t>
      </w:r>
      <w:r w:rsidRPr="00FC3BFB">
        <w:rPr>
          <w:rFonts w:ascii="Times New Roman" w:eastAsia="Arial Unicode MS" w:hAnsi="Times New Roman" w:cs="Times New Roman"/>
          <w:sz w:val="20"/>
          <w:szCs w:val="20"/>
          <w:lang w:val="en-US"/>
        </w:rPr>
        <w:t>6.12)</w:t>
      </w:r>
    </w:p>
  </w:footnote>
  <w:footnote w:id="11">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lang w:val="en-US"/>
        </w:rPr>
        <w:t>(1.49.109)</w:t>
      </w:r>
    </w:p>
  </w:footnote>
  <w:footnote w:id="12">
    <w:p w:rsidR="00F73D94" w:rsidRPr="00FC3BFB" w:rsidRDefault="00F73D94" w:rsidP="00F73D94">
      <w:pPr>
        <w:rPr>
          <w:sz w:val="20"/>
          <w:szCs w:val="20"/>
        </w:rPr>
      </w:pPr>
    </w:p>
  </w:footnote>
  <w:footnote w:id="13">
    <w:p w:rsidR="00F73D94" w:rsidRPr="00FC3BFB" w:rsidRDefault="00F73D94" w:rsidP="00F73D94">
      <w:pPr>
        <w:pStyle w:val="Footnote"/>
        <w:rPr>
          <w:rFonts w:ascii="Times New Roman" w:hAnsi="Times New Roman" w:cs="Times New Roman"/>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rPr>
        <w:t>(2.</w:t>
      </w:r>
      <w:r w:rsidRPr="00FC3BFB">
        <w:rPr>
          <w:rFonts w:ascii="Times New Roman" w:eastAsia="Arial Unicode MS" w:hAnsi="Times New Roman" w:cs="Times New Roman"/>
          <w:sz w:val="20"/>
          <w:szCs w:val="20"/>
          <w:lang w:val="en-US"/>
        </w:rPr>
        <w:t>24.53)</w:t>
      </w:r>
    </w:p>
  </w:footnote>
  <w:footnote w:id="14">
    <w:p w:rsidR="00F73D94" w:rsidRPr="00FC3BFB" w:rsidRDefault="00F73D94" w:rsidP="00F73D94">
      <w:pPr>
        <w:pStyle w:val="Footnote"/>
        <w:rPr>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rPr>
        <w:t>(2.</w:t>
      </w:r>
      <w:r w:rsidRPr="00FC3BFB">
        <w:rPr>
          <w:rFonts w:ascii="Times New Roman" w:eastAsia="Arial Unicode MS" w:hAnsi="Times New Roman" w:cs="Times New Roman"/>
          <w:sz w:val="20"/>
          <w:szCs w:val="20"/>
          <w:lang w:val="en-US"/>
        </w:rPr>
        <w:t>24.53)</w:t>
      </w:r>
    </w:p>
  </w:footnote>
  <w:footnote w:id="15">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w:t>
      </w:r>
      <w:r>
        <w:rPr>
          <w:rFonts w:ascii="Times New Roman" w:eastAsia="Arial Unicode MS" w:hAnsi="Times New Roman" w:cs="Times New Roman"/>
          <w:sz w:val="20"/>
          <w:szCs w:val="20"/>
          <w:lang w:val="en-US"/>
        </w:rPr>
        <w:t>230.</w:t>
      </w:r>
    </w:p>
  </w:footnote>
  <w:footnote w:id="16">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lang w:val="it-IT"/>
        </w:rPr>
        <w:t>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lang w:val="en-US"/>
        </w:rPr>
        <w:t>(2.59.122)</w:t>
      </w:r>
    </w:p>
  </w:footnote>
  <w:footnote w:id="17">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lang w:val="en-US"/>
        </w:rPr>
        <w:t>(2.59.122)</w:t>
      </w:r>
    </w:p>
  </w:footnote>
  <w:footnote w:id="18">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lang w:val="en-US"/>
        </w:rPr>
        <w:t>(2.4.11)</w:t>
      </w:r>
    </w:p>
  </w:footnote>
  <w:footnote w:id="19">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sz w:val="20"/>
          <w:szCs w:val="20"/>
        </w:rPr>
        <w:t xml:space="preserve">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w:t>
      </w:r>
      <w:r>
        <w:rPr>
          <w:rFonts w:ascii="Times New Roman" w:eastAsia="Arial Unicode MS" w:hAnsi="Times New Roman" w:cs="Times New Roman"/>
          <w:sz w:val="20"/>
          <w:szCs w:val="20"/>
          <w:lang w:val="en-US"/>
        </w:rPr>
        <w:t>230</w:t>
      </w:r>
    </w:p>
  </w:footnote>
  <w:footnote w:id="20">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235.</w:t>
      </w:r>
    </w:p>
  </w:footnote>
  <w:footnote w:id="21">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Cicero</w:t>
      </w:r>
      <w:r w:rsidRPr="00FC3BFB">
        <w:rPr>
          <w:rFonts w:ascii="Times New Roman" w:eastAsia="Arial Unicode MS" w:hAnsi="Times New Roman" w:cs="Times New Roman"/>
          <w:sz w:val="20"/>
          <w:szCs w:val="20"/>
          <w:lang w:val="en-US"/>
        </w:rPr>
        <w:t xml:space="preserve">, </w:t>
      </w:r>
      <w:r w:rsidRPr="00FC3BFB">
        <w:rPr>
          <w:rFonts w:ascii="Times New Roman" w:eastAsia="Arial Unicode MS" w:hAnsi="Times New Roman" w:cs="Times New Roman"/>
          <w:i/>
          <w:iCs/>
          <w:sz w:val="20"/>
          <w:szCs w:val="20"/>
          <w:lang w:val="fr-FR"/>
        </w:rPr>
        <w:t>On Divination</w:t>
      </w:r>
      <w:r w:rsidRPr="00FC3BFB">
        <w:rPr>
          <w:rFonts w:ascii="Times New Roman" w:eastAsia="Arial Unicode MS" w:hAnsi="Times New Roman" w:cs="Times New Roman"/>
          <w:i/>
          <w:iCs/>
          <w:sz w:val="20"/>
          <w:szCs w:val="20"/>
          <w:lang w:val="en-US"/>
        </w:rPr>
        <w:t>…</w:t>
      </w:r>
      <w:r w:rsidRPr="00FC3BFB">
        <w:rPr>
          <w:rFonts w:ascii="Times New Roman" w:eastAsia="Arial Unicode MS" w:hAnsi="Times New Roman" w:cs="Times New Roman"/>
          <w:sz w:val="20"/>
          <w:szCs w:val="20"/>
          <w:lang w:val="en-US"/>
        </w:rPr>
        <w:t>(2.60.125)</w:t>
      </w:r>
    </w:p>
  </w:footnote>
  <w:footnote w:id="22">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235.</w:t>
      </w:r>
    </w:p>
  </w:footnote>
  <w:footnote w:id="23">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235.</w:t>
      </w:r>
    </w:p>
  </w:footnote>
  <w:footnote w:id="24">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183.</w:t>
      </w:r>
    </w:p>
  </w:footnote>
  <w:footnote w:id="25">
    <w:p w:rsidR="00F73D94" w:rsidRPr="00FC3BFB" w:rsidRDefault="00F73D94" w:rsidP="00F73D94">
      <w:pPr>
        <w:pStyle w:val="Footnote"/>
        <w:rPr>
          <w:rFonts w:ascii="Times New Roman" w:hAnsi="Times New Roman" w:cs="Times New Roman"/>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w:t>
      </w:r>
      <w:r>
        <w:rPr>
          <w:rFonts w:ascii="Times New Roman" w:eastAsia="Arial Unicode MS" w:hAnsi="Times New Roman" w:cs="Times New Roman"/>
          <w:sz w:val="20"/>
          <w:szCs w:val="20"/>
          <w:lang w:val="en-US"/>
        </w:rPr>
        <w:t>181.</w:t>
      </w:r>
    </w:p>
  </w:footnote>
  <w:footnote w:id="26">
    <w:p w:rsidR="00F73D94" w:rsidRPr="00FC3BFB" w:rsidRDefault="00F73D94" w:rsidP="00F73D94">
      <w:pPr>
        <w:pStyle w:val="Footnote"/>
        <w:rPr>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en-US"/>
        </w:rPr>
        <w:t xml:space="preserve">Quoted in </w:t>
      </w:r>
      <w:r w:rsidRPr="00FC3BFB">
        <w:rPr>
          <w:rFonts w:ascii="Times New Roman" w:eastAsia="Arial Unicode MS" w:hAnsi="Times New Roman" w:cs="Times New Roman"/>
          <w:sz w:val="20"/>
          <w:szCs w:val="20"/>
        </w:rPr>
        <w:t xml:space="preserve">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125.</w:t>
      </w:r>
    </w:p>
  </w:footnote>
  <w:footnote w:id="27">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125.</w:t>
      </w:r>
    </w:p>
  </w:footnote>
  <w:footnote w:id="28">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Wynne. </w:t>
      </w:r>
      <w:r w:rsidRPr="00FC3BFB">
        <w:rPr>
          <w:rFonts w:ascii="Times New Roman" w:eastAsia="Arial Unicode MS" w:hAnsi="Times New Roman" w:cs="Times New Roman"/>
          <w:i/>
          <w:iCs/>
          <w:sz w:val="20"/>
          <w:szCs w:val="20"/>
          <w:lang w:val="en-US"/>
        </w:rPr>
        <w:t>Cicero on the Philosophy of Religion.</w:t>
      </w:r>
      <w:r w:rsidRPr="00FC3BFB">
        <w:rPr>
          <w:rFonts w:ascii="Times New Roman" w:eastAsia="Arial Unicode MS" w:hAnsi="Times New Roman" w:cs="Times New Roman"/>
          <w:sz w:val="20"/>
          <w:szCs w:val="20"/>
          <w:lang w:val="en-US"/>
        </w:rPr>
        <w:t xml:space="preserve"> pp. 308.</w:t>
      </w:r>
    </w:p>
  </w:footnote>
  <w:footnote w:id="29">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en-US"/>
        </w:rPr>
        <w:t xml:space="preserve"> Malcolm Schofield</w:t>
      </w:r>
      <w:r w:rsidRPr="00FC3BFB">
        <w:rPr>
          <w:rFonts w:ascii="Times New Roman" w:eastAsia="Arial Unicode MS" w:hAnsi="Times New Roman" w:cs="Times New Roman"/>
          <w:sz w:val="20"/>
          <w:szCs w:val="20"/>
        </w:rPr>
        <w:t>. “</w:t>
      </w:r>
      <w:r w:rsidRPr="00FC3BFB">
        <w:rPr>
          <w:rFonts w:ascii="Times New Roman" w:eastAsia="Arial Unicode MS" w:hAnsi="Times New Roman" w:cs="Times New Roman"/>
          <w:sz w:val="20"/>
          <w:szCs w:val="20"/>
          <w:lang w:val="en-US"/>
        </w:rPr>
        <w:t>Cicero for and against Divination.</w:t>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i/>
          <w:iCs/>
          <w:sz w:val="20"/>
          <w:szCs w:val="20"/>
          <w:lang w:val="en-US"/>
        </w:rPr>
        <w:t>The Journal of Roman Studies</w:t>
      </w:r>
      <w:r w:rsidRPr="00FC3BFB">
        <w:rPr>
          <w:rFonts w:ascii="Times New Roman" w:eastAsia="Arial Unicode MS" w:hAnsi="Times New Roman" w:cs="Times New Roman"/>
          <w:sz w:val="20"/>
          <w:szCs w:val="20"/>
        </w:rPr>
        <w:t xml:space="preserve">, vol. 76, 1986,        pp. 47–65. </w:t>
      </w:r>
      <w:r w:rsidRPr="00FC3BFB">
        <w:rPr>
          <w:rFonts w:ascii="Times New Roman" w:eastAsia="Arial Unicode MS" w:hAnsi="Times New Roman" w:cs="Times New Roman"/>
          <w:i/>
          <w:iCs/>
          <w:sz w:val="20"/>
          <w:szCs w:val="20"/>
          <w:lang w:val="de-DE"/>
        </w:rPr>
        <w:t>JSTOR</w:t>
      </w:r>
      <w:r w:rsidRPr="00FC3BFB">
        <w:rPr>
          <w:rFonts w:ascii="Times New Roman" w:eastAsia="Arial Unicode MS" w:hAnsi="Times New Roman" w:cs="Times New Roman"/>
          <w:sz w:val="20"/>
          <w:szCs w:val="20"/>
        </w:rPr>
        <w:t>.</w:t>
      </w:r>
      <w:r w:rsidRPr="00FC3BFB">
        <w:rPr>
          <w:rFonts w:ascii="Times New Roman" w:eastAsia="Arial Unicode MS" w:hAnsi="Times New Roman" w:cs="Times New Roman"/>
          <w:sz w:val="20"/>
          <w:szCs w:val="20"/>
          <w:lang w:val="en-US"/>
        </w:rPr>
        <w:t xml:space="preserve"> pp. 48.</w:t>
      </w:r>
    </w:p>
  </w:footnote>
  <w:footnote w:id="30">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en-US"/>
        </w:rPr>
        <w:t xml:space="preserve"> Mary Beard. </w:t>
      </w:r>
      <w:r w:rsidRPr="00FC3BFB">
        <w:rPr>
          <w:rFonts w:ascii="Times New Roman" w:eastAsia="Arial Unicode MS" w:hAnsi="Times New Roman" w:cs="Times New Roman"/>
          <w:sz w:val="20"/>
          <w:szCs w:val="20"/>
        </w:rPr>
        <w:t>“</w:t>
      </w:r>
      <w:r w:rsidRPr="00FC3BFB">
        <w:rPr>
          <w:rFonts w:ascii="Times New Roman" w:eastAsia="Arial Unicode MS" w:hAnsi="Times New Roman" w:cs="Times New Roman"/>
          <w:sz w:val="20"/>
          <w:szCs w:val="20"/>
          <w:lang w:val="en-US"/>
        </w:rPr>
        <w:t>Cicero and Divination: The Formation of a Latin Discourse.</w:t>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i/>
          <w:iCs/>
          <w:sz w:val="20"/>
          <w:szCs w:val="20"/>
          <w:lang w:val="en-US"/>
        </w:rPr>
        <w:t>Journal of Roman Studies</w:t>
      </w:r>
      <w:r w:rsidRPr="00FC3BFB">
        <w:rPr>
          <w:rFonts w:ascii="Times New Roman" w:eastAsia="Arial Unicode MS" w:hAnsi="Times New Roman" w:cs="Times New Roman"/>
          <w:sz w:val="20"/>
          <w:szCs w:val="20"/>
        </w:rPr>
        <w:t xml:space="preserve">, vol. 76, Nov. 1986, pp. 33–46. </w:t>
      </w:r>
      <w:r w:rsidRPr="00FC3BFB">
        <w:rPr>
          <w:rFonts w:ascii="Times New Roman" w:eastAsia="Arial Unicode MS" w:hAnsi="Times New Roman" w:cs="Times New Roman"/>
          <w:i/>
          <w:iCs/>
          <w:sz w:val="20"/>
          <w:szCs w:val="20"/>
          <w:lang w:val="de-DE"/>
        </w:rPr>
        <w:t>JSTOR</w:t>
      </w:r>
      <w:r w:rsidRPr="00FC3BFB">
        <w:rPr>
          <w:rFonts w:ascii="Times New Roman" w:eastAsia="Arial Unicode MS" w:hAnsi="Times New Roman" w:cs="Times New Roman"/>
          <w:i/>
          <w:iCs/>
          <w:sz w:val="20"/>
          <w:szCs w:val="20"/>
          <w:lang w:val="en-US"/>
        </w:rPr>
        <w:t xml:space="preserve">. </w:t>
      </w:r>
      <w:r w:rsidRPr="00FC3BFB">
        <w:rPr>
          <w:rFonts w:ascii="Times New Roman" w:eastAsia="Arial Unicode MS" w:hAnsi="Times New Roman" w:cs="Times New Roman"/>
          <w:sz w:val="20"/>
          <w:szCs w:val="20"/>
          <w:lang w:val="en-US"/>
        </w:rPr>
        <w:t>pp. 35.</w:t>
      </w:r>
    </w:p>
  </w:footnote>
  <w:footnote w:id="31">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rPr>
        <w:t xml:space="preserve"> </w:t>
      </w:r>
      <w:r w:rsidRPr="00FC3BFB">
        <w:rPr>
          <w:rFonts w:ascii="Times New Roman" w:eastAsia="Arial Unicode MS" w:hAnsi="Times New Roman" w:cs="Times New Roman"/>
          <w:sz w:val="20"/>
          <w:szCs w:val="20"/>
          <w:lang w:val="en-US"/>
        </w:rPr>
        <w:t>Beard. “Cicero and Divination”, pp. 34.</w:t>
      </w:r>
    </w:p>
  </w:footnote>
  <w:footnote w:id="32">
    <w:p w:rsidR="00F73D94" w:rsidRPr="00FC3BFB" w:rsidRDefault="00F73D94" w:rsidP="00F73D94">
      <w:pPr>
        <w:pStyle w:val="Footnote"/>
        <w:rPr>
          <w:rFonts w:ascii="Times New Roman" w:hAnsi="Times New Roman" w:cs="Times New Roman"/>
          <w:sz w:val="20"/>
          <w:szCs w:val="20"/>
        </w:rPr>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en-US"/>
        </w:rPr>
        <w:t xml:space="preserve"> Beard. </w:t>
      </w:r>
      <w:r w:rsidRPr="00FC3BFB">
        <w:rPr>
          <w:rFonts w:ascii="Times New Roman" w:eastAsia="Arial Unicode MS" w:hAnsi="Times New Roman" w:cs="Times New Roman"/>
          <w:sz w:val="20"/>
          <w:szCs w:val="20"/>
        </w:rPr>
        <w:t>“</w:t>
      </w:r>
      <w:r w:rsidRPr="00FC3BFB">
        <w:rPr>
          <w:rFonts w:ascii="Times New Roman" w:eastAsia="Arial Unicode MS" w:hAnsi="Times New Roman" w:cs="Times New Roman"/>
          <w:sz w:val="20"/>
          <w:szCs w:val="20"/>
          <w:lang w:val="en-US"/>
        </w:rPr>
        <w:t>Cicero and Divination</w:t>
      </w:r>
      <w:r w:rsidRPr="00FC3BFB">
        <w:rPr>
          <w:rFonts w:ascii="Times New Roman" w:eastAsia="Arial Unicode MS" w:hAnsi="Times New Roman" w:cs="Times New Roman"/>
          <w:sz w:val="20"/>
          <w:szCs w:val="20"/>
        </w:rPr>
        <w:t>”, pp. 34.</w:t>
      </w:r>
    </w:p>
  </w:footnote>
  <w:footnote w:id="33">
    <w:p w:rsidR="00F73D94" w:rsidRDefault="00F73D94" w:rsidP="00F73D94">
      <w:pPr>
        <w:pStyle w:val="Footnote"/>
      </w:pPr>
      <w:r w:rsidRPr="00FC3BFB">
        <w:rPr>
          <w:rFonts w:ascii="Times New Roman" w:hAnsi="Times New Roman" w:cs="Times New Roman"/>
          <w:sz w:val="20"/>
          <w:szCs w:val="20"/>
          <w:vertAlign w:val="superscript"/>
        </w:rPr>
        <w:footnoteRef/>
      </w:r>
      <w:r w:rsidRPr="00FC3BFB">
        <w:rPr>
          <w:rFonts w:ascii="Times New Roman" w:eastAsia="Arial Unicode MS" w:hAnsi="Times New Roman" w:cs="Times New Roman"/>
          <w:sz w:val="20"/>
          <w:szCs w:val="20"/>
          <w:lang w:val="it-IT"/>
        </w:rPr>
        <w:t xml:space="preserve"> Intro to: Marcus </w:t>
      </w:r>
      <w:r w:rsidRPr="00FC3BFB">
        <w:rPr>
          <w:rFonts w:ascii="Times New Roman" w:hAnsi="Times New Roman" w:cs="Times New Roman"/>
          <w:color w:val="000000" w:themeColor="text1"/>
          <w:sz w:val="20"/>
          <w:szCs w:val="20"/>
        </w:rPr>
        <w:t xml:space="preserve">Cicero. </w:t>
      </w:r>
      <w:r w:rsidRPr="00FC3BFB">
        <w:rPr>
          <w:rFonts w:ascii="Times New Roman" w:hAnsi="Times New Roman" w:cs="Times New Roman"/>
          <w:i/>
          <w:iCs/>
          <w:color w:val="000000" w:themeColor="text1"/>
          <w:sz w:val="20"/>
          <w:szCs w:val="20"/>
        </w:rPr>
        <w:t xml:space="preserve">M. </w:t>
      </w:r>
      <w:proofErr w:type="spellStart"/>
      <w:r w:rsidRPr="00FC3BFB">
        <w:rPr>
          <w:rFonts w:ascii="Times New Roman" w:hAnsi="Times New Roman" w:cs="Times New Roman"/>
          <w:i/>
          <w:iCs/>
          <w:color w:val="000000" w:themeColor="text1"/>
          <w:sz w:val="20"/>
          <w:szCs w:val="20"/>
        </w:rPr>
        <w:t>Tulli</w:t>
      </w:r>
      <w:proofErr w:type="spellEnd"/>
      <w:r w:rsidRPr="00FC3BFB">
        <w:rPr>
          <w:rFonts w:ascii="Times New Roman" w:hAnsi="Times New Roman" w:cs="Times New Roman"/>
          <w:i/>
          <w:iCs/>
          <w:color w:val="000000" w:themeColor="text1"/>
          <w:sz w:val="20"/>
          <w:szCs w:val="20"/>
        </w:rPr>
        <w:t xml:space="preserve"> </w:t>
      </w:r>
      <w:proofErr w:type="spellStart"/>
      <w:r w:rsidRPr="00FC3BFB">
        <w:rPr>
          <w:rFonts w:ascii="Times New Roman" w:hAnsi="Times New Roman" w:cs="Times New Roman"/>
          <w:i/>
          <w:iCs/>
          <w:color w:val="000000" w:themeColor="text1"/>
          <w:sz w:val="20"/>
          <w:szCs w:val="20"/>
        </w:rPr>
        <w:t>Ciceronis</w:t>
      </w:r>
      <w:proofErr w:type="spellEnd"/>
      <w:r w:rsidRPr="00FC3BFB">
        <w:rPr>
          <w:rFonts w:ascii="Times New Roman" w:hAnsi="Times New Roman" w:cs="Times New Roman"/>
          <w:i/>
          <w:iCs/>
          <w:color w:val="000000" w:themeColor="text1"/>
          <w:sz w:val="20"/>
          <w:szCs w:val="20"/>
        </w:rPr>
        <w:t xml:space="preserve"> de </w:t>
      </w:r>
      <w:proofErr w:type="spellStart"/>
      <w:r w:rsidRPr="00FC3BFB">
        <w:rPr>
          <w:rFonts w:ascii="Times New Roman" w:hAnsi="Times New Roman" w:cs="Times New Roman"/>
          <w:i/>
          <w:iCs/>
          <w:color w:val="000000" w:themeColor="text1"/>
          <w:sz w:val="20"/>
          <w:szCs w:val="20"/>
        </w:rPr>
        <w:t>Divinatione</w:t>
      </w:r>
      <w:proofErr w:type="spellEnd"/>
      <w:r w:rsidRPr="00FC3BFB">
        <w:rPr>
          <w:rFonts w:ascii="Times New Roman" w:hAnsi="Times New Roman" w:cs="Times New Roman"/>
          <w:color w:val="000000" w:themeColor="text1"/>
          <w:sz w:val="20"/>
          <w:szCs w:val="20"/>
        </w:rPr>
        <w:t>. edited by Arthur Stanley Pease, New York, Arno Press, 1979.</w:t>
      </w:r>
      <w:r w:rsidRPr="00FC3BFB">
        <w:rPr>
          <w:rFonts w:ascii="Times New Roman" w:eastAsia="Arial Unicode MS" w:hAnsi="Times New Roman" w:cs="Times New Roman"/>
          <w:sz w:val="20"/>
          <w:szCs w:val="20"/>
          <w:lang w:val="it-IT"/>
        </w:rPr>
        <w:t xml:space="preserve"> pp. 12.</w:t>
      </w:r>
    </w:p>
  </w:footnote>
  <w:footnote w:id="34">
    <w:p w:rsidR="00F73D94" w:rsidRPr="001563C4" w:rsidRDefault="00F73D94" w:rsidP="00F73D94">
      <w:pPr>
        <w:pStyle w:val="Footnote"/>
        <w:rPr>
          <w:rFonts w:ascii="Times New Roman" w:hAnsi="Times New Roman" w:cs="Times New Roman"/>
          <w:sz w:val="20"/>
          <w:szCs w:val="20"/>
        </w:rPr>
      </w:pPr>
      <w:r w:rsidRPr="001563C4">
        <w:rPr>
          <w:rFonts w:ascii="Times New Roman" w:hAnsi="Times New Roman" w:cs="Times New Roman"/>
          <w:sz w:val="20"/>
          <w:szCs w:val="20"/>
          <w:vertAlign w:val="superscript"/>
        </w:rPr>
        <w:footnoteRef/>
      </w:r>
      <w:r w:rsidRPr="001563C4">
        <w:rPr>
          <w:rFonts w:ascii="Times New Roman" w:eastAsia="Arial Unicode MS" w:hAnsi="Times New Roman" w:cs="Times New Roman"/>
          <w:sz w:val="20"/>
          <w:szCs w:val="20"/>
          <w:lang w:val="it-IT"/>
        </w:rPr>
        <w:t xml:space="preserve"> Cicero</w:t>
      </w:r>
      <w:r w:rsidRPr="001563C4">
        <w:rPr>
          <w:rFonts w:ascii="Times New Roman" w:eastAsia="Arial Unicode MS" w:hAnsi="Times New Roman" w:cs="Times New Roman"/>
          <w:sz w:val="20"/>
          <w:szCs w:val="20"/>
          <w:lang w:val="en-US"/>
        </w:rPr>
        <w:t xml:space="preserve">, </w:t>
      </w:r>
      <w:r w:rsidRPr="001563C4">
        <w:rPr>
          <w:rFonts w:ascii="Times New Roman" w:eastAsia="Arial Unicode MS" w:hAnsi="Times New Roman" w:cs="Times New Roman"/>
          <w:i/>
          <w:iCs/>
          <w:sz w:val="20"/>
          <w:szCs w:val="20"/>
          <w:lang w:val="fr-FR"/>
        </w:rPr>
        <w:t>On Divination</w:t>
      </w:r>
      <w:r w:rsidRPr="001563C4">
        <w:rPr>
          <w:rFonts w:ascii="Times New Roman" w:eastAsia="Arial Unicode MS" w:hAnsi="Times New Roman" w:cs="Times New Roman"/>
          <w:i/>
          <w:iCs/>
          <w:sz w:val="20"/>
          <w:szCs w:val="20"/>
          <w:lang w:val="en-US"/>
        </w:rPr>
        <w:t xml:space="preserve">… </w:t>
      </w:r>
      <w:r w:rsidRPr="001563C4">
        <w:rPr>
          <w:rFonts w:ascii="Times New Roman" w:eastAsia="Arial Unicode MS" w:hAnsi="Times New Roman" w:cs="Times New Roman"/>
          <w:sz w:val="20"/>
          <w:szCs w:val="20"/>
          <w:lang w:val="en-US"/>
        </w:rPr>
        <w:t>(2.72.150)</w:t>
      </w:r>
    </w:p>
  </w:footnote>
  <w:footnote w:id="35">
    <w:p w:rsidR="00F73D94" w:rsidRDefault="00F73D94" w:rsidP="00F73D94">
      <w:pPr>
        <w:pStyle w:val="Footnote"/>
      </w:pPr>
      <w:r w:rsidRPr="001563C4">
        <w:rPr>
          <w:rFonts w:ascii="Times New Roman" w:hAnsi="Times New Roman" w:cs="Times New Roman"/>
          <w:sz w:val="20"/>
          <w:szCs w:val="20"/>
          <w:vertAlign w:val="superscript"/>
        </w:rPr>
        <w:footnoteRef/>
      </w:r>
      <w:r w:rsidRPr="001563C4">
        <w:rPr>
          <w:rFonts w:ascii="Times New Roman" w:eastAsia="Arial Unicode MS" w:hAnsi="Times New Roman" w:cs="Times New Roman"/>
          <w:sz w:val="20"/>
          <w:szCs w:val="20"/>
          <w:lang w:val="nl-NL"/>
        </w:rPr>
        <w:t xml:space="preserve"> </w:t>
      </w:r>
      <w:proofErr w:type="spellStart"/>
      <w:r w:rsidRPr="001563C4">
        <w:rPr>
          <w:rFonts w:ascii="Times New Roman" w:eastAsia="Arial Unicode MS" w:hAnsi="Times New Roman" w:cs="Times New Roman"/>
          <w:sz w:val="20"/>
          <w:szCs w:val="20"/>
          <w:lang w:val="nl-NL"/>
        </w:rPr>
        <w:t>Schofield</w:t>
      </w:r>
      <w:proofErr w:type="spellEnd"/>
      <w:r w:rsidRPr="001563C4">
        <w:rPr>
          <w:rFonts w:ascii="Times New Roman" w:eastAsia="Arial Unicode MS" w:hAnsi="Times New Roman" w:cs="Times New Roman"/>
          <w:sz w:val="20"/>
          <w:szCs w:val="20"/>
          <w:lang w:val="en-US"/>
        </w:rPr>
        <w:t>. “Cicero for and against…” pp.</w:t>
      </w:r>
      <w:r w:rsidRPr="001563C4">
        <w:rPr>
          <w:rFonts w:ascii="Times New Roman" w:eastAsia="Arial Unicode MS" w:hAnsi="Times New Roman" w:cs="Times New Roman"/>
          <w:sz w:val="20"/>
          <w:szCs w:val="20"/>
        </w:rPr>
        <w:t xml:space="preserve"> 4</w:t>
      </w:r>
      <w:r w:rsidRPr="001563C4">
        <w:rPr>
          <w:rFonts w:ascii="Times New Roman" w:eastAsia="Arial Unicode MS" w:hAnsi="Times New Roman" w:cs="Times New Roman"/>
          <w:sz w:val="20"/>
          <w:szCs w:val="20"/>
          <w:lang w:val="en-US"/>
        </w:rPr>
        <w:t>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2397192"/>
      <w:docPartObj>
        <w:docPartGallery w:val="Page Numbers (Top of Page)"/>
        <w:docPartUnique/>
      </w:docPartObj>
    </w:sdtPr>
    <w:sdtEndPr>
      <w:rPr>
        <w:rStyle w:val="PageNumber"/>
      </w:rPr>
    </w:sdtEndPr>
    <w:sdtContent>
      <w:p w:rsidR="00B80F93" w:rsidRDefault="00B80F93" w:rsidP="00ED30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80F93" w:rsidRDefault="00B80F93" w:rsidP="00B80F9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5398934"/>
      <w:docPartObj>
        <w:docPartGallery w:val="Page Numbers (Top of Page)"/>
        <w:docPartUnique/>
      </w:docPartObj>
    </w:sdtPr>
    <w:sdtEndPr>
      <w:rPr>
        <w:rStyle w:val="PageNumber"/>
      </w:rPr>
    </w:sdtEndPr>
    <w:sdtContent>
      <w:p w:rsidR="00B80F93" w:rsidRDefault="00B80F93" w:rsidP="00ED30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80F93" w:rsidRDefault="00B80F93" w:rsidP="00B80F93">
    <w:pPr>
      <w:pStyle w:val="Header"/>
      <w:ind w:right="360"/>
    </w:pPr>
    <w:r>
      <w:t>Dylan Coutts 1907654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0F93" w:rsidRDefault="00B80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0A817B1"/>
    <w:multiLevelType w:val="hybridMultilevel"/>
    <w:tmpl w:val="0C2409F4"/>
    <w:styleLink w:val="Lettered"/>
    <w:lvl w:ilvl="0" w:tplc="0EC02360">
      <w:start w:val="1"/>
      <w:numFmt w:val="decimal"/>
      <w:lvlText w:val="%1)"/>
      <w:lvlJc w:val="left"/>
      <w:pPr>
        <w:ind w:left="36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1" w:tplc="7CE27BE2">
      <w:start w:val="1"/>
      <w:numFmt w:val="decimal"/>
      <w:lvlText w:val="%2)"/>
      <w:lvlJc w:val="left"/>
      <w:pPr>
        <w:ind w:left="72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2" w:tplc="1BC25628">
      <w:start w:val="1"/>
      <w:numFmt w:val="decimal"/>
      <w:lvlText w:val="%3)"/>
      <w:lvlJc w:val="left"/>
      <w:pPr>
        <w:ind w:left="108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3" w:tplc="93188ED0">
      <w:start w:val="1"/>
      <w:numFmt w:val="decimal"/>
      <w:lvlText w:val="%4)"/>
      <w:lvlJc w:val="left"/>
      <w:pPr>
        <w:ind w:left="144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4" w:tplc="55AAD8A0">
      <w:start w:val="1"/>
      <w:numFmt w:val="decimal"/>
      <w:lvlText w:val="%5)"/>
      <w:lvlJc w:val="left"/>
      <w:pPr>
        <w:ind w:left="180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5" w:tplc="2A78A8A0">
      <w:start w:val="1"/>
      <w:numFmt w:val="decimal"/>
      <w:lvlText w:val="%6)"/>
      <w:lvlJc w:val="left"/>
      <w:pPr>
        <w:ind w:left="216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6" w:tplc="83640716">
      <w:start w:val="1"/>
      <w:numFmt w:val="decimal"/>
      <w:lvlText w:val="%7)"/>
      <w:lvlJc w:val="left"/>
      <w:pPr>
        <w:ind w:left="252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7" w:tplc="374816C8">
      <w:start w:val="1"/>
      <w:numFmt w:val="decimal"/>
      <w:lvlText w:val="%8)"/>
      <w:lvlJc w:val="left"/>
      <w:pPr>
        <w:ind w:left="288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lvl w:ilvl="8" w:tplc="52A6332E">
      <w:start w:val="1"/>
      <w:numFmt w:val="decimal"/>
      <w:lvlText w:val="%9)"/>
      <w:lvlJc w:val="left"/>
      <w:pPr>
        <w:ind w:left="3240" w:hanging="360"/>
      </w:pPr>
      <w:rPr>
        <w:rFonts w:hAnsi="Arial Unicode MS"/>
        <w:b/>
        <w:bCs/>
        <w:i/>
        <w:i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69F5EE6"/>
    <w:multiLevelType w:val="hybridMultilevel"/>
    <w:tmpl w:val="0C2409F4"/>
    <w:numStyleLink w:val="Lettered"/>
  </w:abstractNum>
  <w:abstractNum w:abstractNumId="4" w15:restartNumberingAfterBreak="0">
    <w:nsid w:val="596D64B5"/>
    <w:multiLevelType w:val="hybridMultilevel"/>
    <w:tmpl w:val="80AEF0E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CF0031"/>
    <w:multiLevelType w:val="hybridMultilevel"/>
    <w:tmpl w:val="89982A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9AF"/>
    <w:rsid w:val="00002D1E"/>
    <w:rsid w:val="00012988"/>
    <w:rsid w:val="00025F44"/>
    <w:rsid w:val="00033662"/>
    <w:rsid w:val="00042D01"/>
    <w:rsid w:val="00047996"/>
    <w:rsid w:val="00091628"/>
    <w:rsid w:val="000B73DB"/>
    <w:rsid w:val="000F28D2"/>
    <w:rsid w:val="001A39EA"/>
    <w:rsid w:val="001B4B68"/>
    <w:rsid w:val="001F344F"/>
    <w:rsid w:val="00225A62"/>
    <w:rsid w:val="00246022"/>
    <w:rsid w:val="0025089C"/>
    <w:rsid w:val="00335144"/>
    <w:rsid w:val="00373C53"/>
    <w:rsid w:val="003858B0"/>
    <w:rsid w:val="003B32DA"/>
    <w:rsid w:val="003C543B"/>
    <w:rsid w:val="003D5207"/>
    <w:rsid w:val="003F58C2"/>
    <w:rsid w:val="00421981"/>
    <w:rsid w:val="0043787F"/>
    <w:rsid w:val="00445F29"/>
    <w:rsid w:val="00472A33"/>
    <w:rsid w:val="004B4A4D"/>
    <w:rsid w:val="004F451C"/>
    <w:rsid w:val="00506192"/>
    <w:rsid w:val="00507ECD"/>
    <w:rsid w:val="00513D2F"/>
    <w:rsid w:val="00533E24"/>
    <w:rsid w:val="00557A35"/>
    <w:rsid w:val="005620B9"/>
    <w:rsid w:val="00596675"/>
    <w:rsid w:val="005B4415"/>
    <w:rsid w:val="005B51B3"/>
    <w:rsid w:val="00617AC8"/>
    <w:rsid w:val="00663729"/>
    <w:rsid w:val="00667340"/>
    <w:rsid w:val="00670C0F"/>
    <w:rsid w:val="006900B8"/>
    <w:rsid w:val="00697D7B"/>
    <w:rsid w:val="006B3BB3"/>
    <w:rsid w:val="006B478A"/>
    <w:rsid w:val="006C2FDA"/>
    <w:rsid w:val="006D1452"/>
    <w:rsid w:val="006D4AE4"/>
    <w:rsid w:val="00733C8F"/>
    <w:rsid w:val="007400EB"/>
    <w:rsid w:val="007949D6"/>
    <w:rsid w:val="007A7523"/>
    <w:rsid w:val="007C6A0A"/>
    <w:rsid w:val="007D5E72"/>
    <w:rsid w:val="007D783A"/>
    <w:rsid w:val="008326B2"/>
    <w:rsid w:val="0083662D"/>
    <w:rsid w:val="00853B39"/>
    <w:rsid w:val="00870B85"/>
    <w:rsid w:val="008D1D88"/>
    <w:rsid w:val="009030B1"/>
    <w:rsid w:val="00917874"/>
    <w:rsid w:val="009357E7"/>
    <w:rsid w:val="009876AA"/>
    <w:rsid w:val="009A4CDD"/>
    <w:rsid w:val="009F35EA"/>
    <w:rsid w:val="00A2430A"/>
    <w:rsid w:val="00A73362"/>
    <w:rsid w:val="00A7778B"/>
    <w:rsid w:val="00A86A87"/>
    <w:rsid w:val="00AA6517"/>
    <w:rsid w:val="00AC0FE8"/>
    <w:rsid w:val="00AD32C4"/>
    <w:rsid w:val="00AE7A3E"/>
    <w:rsid w:val="00B16BF5"/>
    <w:rsid w:val="00B44B5C"/>
    <w:rsid w:val="00B51104"/>
    <w:rsid w:val="00B52666"/>
    <w:rsid w:val="00B5513A"/>
    <w:rsid w:val="00B567CE"/>
    <w:rsid w:val="00B73AAA"/>
    <w:rsid w:val="00B80F93"/>
    <w:rsid w:val="00B94709"/>
    <w:rsid w:val="00BC076D"/>
    <w:rsid w:val="00BD2DC7"/>
    <w:rsid w:val="00BE0F64"/>
    <w:rsid w:val="00C079AF"/>
    <w:rsid w:val="00C21800"/>
    <w:rsid w:val="00C30ED1"/>
    <w:rsid w:val="00C52FA9"/>
    <w:rsid w:val="00C76B4C"/>
    <w:rsid w:val="00C85B32"/>
    <w:rsid w:val="00C85F58"/>
    <w:rsid w:val="00C950AB"/>
    <w:rsid w:val="00CE5FA8"/>
    <w:rsid w:val="00CE7B84"/>
    <w:rsid w:val="00D1536D"/>
    <w:rsid w:val="00D2494C"/>
    <w:rsid w:val="00D30933"/>
    <w:rsid w:val="00D85C7B"/>
    <w:rsid w:val="00D91A58"/>
    <w:rsid w:val="00DD515C"/>
    <w:rsid w:val="00E679FF"/>
    <w:rsid w:val="00E67A87"/>
    <w:rsid w:val="00E738D9"/>
    <w:rsid w:val="00EB16EE"/>
    <w:rsid w:val="00EC4F06"/>
    <w:rsid w:val="00F330A9"/>
    <w:rsid w:val="00F34F34"/>
    <w:rsid w:val="00F56515"/>
    <w:rsid w:val="00F64731"/>
    <w:rsid w:val="00F7121B"/>
    <w:rsid w:val="00F73D94"/>
    <w:rsid w:val="00F84686"/>
    <w:rsid w:val="00FD7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720805"/>
  <w14:defaultImageDpi w14:val="32767"/>
  <w15:chartTrackingRefBased/>
  <w15:docId w15:val="{A09573FB-8266-4445-BA1C-50AAC280F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42D01"/>
    <w:rPr>
      <w:rFonts w:ascii="Times New Roman" w:eastAsia="Times New Roman" w:hAnsi="Times New Roman" w:cs="Times New Roman"/>
      <w:lang w:val="en-CA"/>
    </w:rPr>
  </w:style>
  <w:style w:type="paragraph" w:styleId="Heading1">
    <w:name w:val="heading 1"/>
    <w:basedOn w:val="Normal"/>
    <w:next w:val="Normal"/>
    <w:link w:val="Heading1Char"/>
    <w:uiPriority w:val="9"/>
    <w:qFormat/>
    <w:rsid w:val="003B32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C079A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79AF"/>
    <w:pPr>
      <w:tabs>
        <w:tab w:val="center" w:pos="4680"/>
        <w:tab w:val="right" w:pos="9360"/>
      </w:tabs>
    </w:pPr>
  </w:style>
  <w:style w:type="character" w:customStyle="1" w:styleId="HeaderChar">
    <w:name w:val="Header Char"/>
    <w:basedOn w:val="DefaultParagraphFont"/>
    <w:link w:val="Header"/>
    <w:uiPriority w:val="99"/>
    <w:rsid w:val="00C079AF"/>
  </w:style>
  <w:style w:type="paragraph" w:styleId="Footer">
    <w:name w:val="footer"/>
    <w:basedOn w:val="Normal"/>
    <w:link w:val="FooterChar"/>
    <w:uiPriority w:val="99"/>
    <w:unhideWhenUsed/>
    <w:rsid w:val="00C079AF"/>
    <w:pPr>
      <w:tabs>
        <w:tab w:val="center" w:pos="4680"/>
        <w:tab w:val="right" w:pos="9360"/>
      </w:tabs>
    </w:pPr>
  </w:style>
  <w:style w:type="character" w:customStyle="1" w:styleId="FooterChar">
    <w:name w:val="Footer Char"/>
    <w:basedOn w:val="DefaultParagraphFont"/>
    <w:link w:val="Footer"/>
    <w:uiPriority w:val="99"/>
    <w:rsid w:val="00C079AF"/>
  </w:style>
  <w:style w:type="character" w:customStyle="1" w:styleId="Heading3Char">
    <w:name w:val="Heading 3 Char"/>
    <w:basedOn w:val="DefaultParagraphFont"/>
    <w:link w:val="Heading3"/>
    <w:rsid w:val="00C079AF"/>
    <w:rPr>
      <w:rFonts w:ascii="Tahoma" w:eastAsia="Times New Roman" w:hAnsi="Tahoma" w:cs="Tahoma"/>
      <w:b/>
      <w:bCs/>
      <w:sz w:val="20"/>
      <w:szCs w:val="20"/>
      <w:lang w:val="en-CA"/>
    </w:rPr>
  </w:style>
  <w:style w:type="paragraph" w:styleId="NormalWeb">
    <w:name w:val="Normal (Web)"/>
    <w:basedOn w:val="Normal"/>
    <w:uiPriority w:val="99"/>
    <w:rsid w:val="00C079AF"/>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7949D6"/>
    <w:rPr>
      <w:color w:val="0000FF"/>
      <w:u w:val="single"/>
    </w:rPr>
  </w:style>
  <w:style w:type="paragraph" w:styleId="FootnoteText">
    <w:name w:val="footnote text"/>
    <w:basedOn w:val="Normal"/>
    <w:link w:val="FootnoteTextChar"/>
    <w:uiPriority w:val="99"/>
    <w:semiHidden/>
    <w:unhideWhenUsed/>
    <w:rsid w:val="00025F44"/>
    <w:rPr>
      <w:sz w:val="20"/>
      <w:szCs w:val="20"/>
    </w:rPr>
  </w:style>
  <w:style w:type="character" w:customStyle="1" w:styleId="FootnoteTextChar">
    <w:name w:val="Footnote Text Char"/>
    <w:basedOn w:val="DefaultParagraphFont"/>
    <w:link w:val="FootnoteText"/>
    <w:uiPriority w:val="99"/>
    <w:semiHidden/>
    <w:rsid w:val="00025F44"/>
    <w:rPr>
      <w:rFonts w:ascii="Times New Roman" w:eastAsia="Times New Roman" w:hAnsi="Times New Roman" w:cs="Times New Roman"/>
      <w:sz w:val="20"/>
      <w:szCs w:val="20"/>
      <w:lang w:val="en-CA"/>
    </w:rPr>
  </w:style>
  <w:style w:type="character" w:styleId="FootnoteReference">
    <w:name w:val="footnote reference"/>
    <w:basedOn w:val="DefaultParagraphFont"/>
    <w:uiPriority w:val="99"/>
    <w:semiHidden/>
    <w:unhideWhenUsed/>
    <w:rsid w:val="00025F44"/>
    <w:rPr>
      <w:vertAlign w:val="superscript"/>
    </w:rPr>
  </w:style>
  <w:style w:type="paragraph" w:styleId="ListParagraph">
    <w:name w:val="List Paragraph"/>
    <w:basedOn w:val="Normal"/>
    <w:uiPriority w:val="34"/>
    <w:qFormat/>
    <w:rsid w:val="00506192"/>
    <w:pPr>
      <w:ind w:left="720"/>
      <w:contextualSpacing/>
    </w:pPr>
  </w:style>
  <w:style w:type="character" w:customStyle="1" w:styleId="Heading1Char">
    <w:name w:val="Heading 1 Char"/>
    <w:basedOn w:val="DefaultParagraphFont"/>
    <w:link w:val="Heading1"/>
    <w:uiPriority w:val="9"/>
    <w:rsid w:val="003B32DA"/>
    <w:rPr>
      <w:rFonts w:asciiTheme="majorHAnsi" w:eastAsiaTheme="majorEastAsia" w:hAnsiTheme="majorHAnsi" w:cstheme="majorBidi"/>
      <w:color w:val="2F5496" w:themeColor="accent1" w:themeShade="BF"/>
      <w:sz w:val="32"/>
      <w:szCs w:val="32"/>
      <w:lang w:val="en-CA"/>
    </w:rPr>
  </w:style>
  <w:style w:type="character" w:styleId="FollowedHyperlink">
    <w:name w:val="FollowedHyperlink"/>
    <w:basedOn w:val="DefaultParagraphFont"/>
    <w:uiPriority w:val="99"/>
    <w:semiHidden/>
    <w:unhideWhenUsed/>
    <w:rsid w:val="008326B2"/>
    <w:rPr>
      <w:color w:val="954F72" w:themeColor="followedHyperlink"/>
      <w:u w:val="single"/>
    </w:rPr>
  </w:style>
  <w:style w:type="character" w:styleId="UnresolvedMention">
    <w:name w:val="Unresolved Mention"/>
    <w:basedOn w:val="DefaultParagraphFont"/>
    <w:uiPriority w:val="99"/>
    <w:rsid w:val="007A7523"/>
    <w:rPr>
      <w:color w:val="605E5C"/>
      <w:shd w:val="clear" w:color="auto" w:fill="E1DFDD"/>
    </w:rPr>
  </w:style>
  <w:style w:type="character" w:styleId="PageNumber">
    <w:name w:val="page number"/>
    <w:basedOn w:val="DefaultParagraphFont"/>
    <w:uiPriority w:val="99"/>
    <w:semiHidden/>
    <w:unhideWhenUsed/>
    <w:rsid w:val="00B80F93"/>
  </w:style>
  <w:style w:type="paragraph" w:customStyle="1" w:styleId="Body">
    <w:name w:val="Body"/>
    <w:rsid w:val="00F73D94"/>
    <w:pPr>
      <w:pBdr>
        <w:top w:val="nil"/>
        <w:left w:val="nil"/>
        <w:bottom w:val="nil"/>
        <w:right w:val="nil"/>
        <w:between w:val="nil"/>
        <w:bar w:val="nil"/>
      </w:pBdr>
    </w:pPr>
    <w:rPr>
      <w:rFonts w:ascii="Helvetica Neue" w:eastAsia="Arial Unicode MS" w:hAnsi="Helvetica Neue" w:cs="Arial Unicode MS"/>
      <w:color w:val="000000"/>
      <w:sz w:val="22"/>
      <w:szCs w:val="22"/>
      <w:bdr w:val="nil"/>
      <w14:textOutline w14:w="0" w14:cap="flat" w14:cmpd="sng" w14:algn="ctr">
        <w14:noFill/>
        <w14:prstDash w14:val="solid"/>
        <w14:bevel/>
      </w14:textOutline>
    </w:rPr>
  </w:style>
  <w:style w:type="numbering" w:customStyle="1" w:styleId="Lettered">
    <w:name w:val="Lettered"/>
    <w:rsid w:val="00F73D94"/>
    <w:pPr>
      <w:numPr>
        <w:numId w:val="5"/>
      </w:numPr>
    </w:pPr>
  </w:style>
  <w:style w:type="paragraph" w:customStyle="1" w:styleId="Footnote">
    <w:name w:val="Footnote"/>
    <w:rsid w:val="00F73D94"/>
    <w:pPr>
      <w:pBdr>
        <w:top w:val="nil"/>
        <w:left w:val="nil"/>
        <w:bottom w:val="nil"/>
        <w:right w:val="nil"/>
        <w:between w:val="nil"/>
        <w:bar w:val="nil"/>
      </w:pBdr>
    </w:pPr>
    <w:rPr>
      <w:rFonts w:ascii="Helvetica Neue" w:eastAsia="Helvetica Neue" w:hAnsi="Helvetica Neue" w:cs="Helvetica Neue"/>
      <w:color w:val="000000"/>
      <w:sz w:val="22"/>
      <w:szCs w:val="22"/>
      <w:bdr w:val="nil"/>
      <w:lang w:val="en-CA"/>
      <w14:textOutline w14:w="0" w14:cap="flat" w14:cmpd="sng" w14:algn="ctr">
        <w14:noFill/>
        <w14:prstDash w14:val="solid"/>
        <w14:bevel/>
      </w14:textOutline>
    </w:rPr>
  </w:style>
  <w:style w:type="paragraph" w:customStyle="1" w:styleId="Default">
    <w:name w:val="Default"/>
    <w:rsid w:val="00F73D94"/>
    <w:pPr>
      <w:pBdr>
        <w:top w:val="nil"/>
        <w:left w:val="nil"/>
        <w:bottom w:val="nil"/>
        <w:right w:val="nil"/>
        <w:between w:val="nil"/>
        <w:bar w:val="nil"/>
      </w:pBdr>
      <w:spacing w:before="160"/>
    </w:pPr>
    <w:rPr>
      <w:rFonts w:ascii="Helvetica Neue" w:eastAsia="Helvetica Neue" w:hAnsi="Helvetica Neue" w:cs="Helvetica Neue"/>
      <w:color w:val="000000"/>
      <w:bdr w:val="nil"/>
      <w:lang w:val="en-CA"/>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3161">
      <w:bodyDiv w:val="1"/>
      <w:marLeft w:val="0"/>
      <w:marRight w:val="0"/>
      <w:marTop w:val="0"/>
      <w:marBottom w:val="0"/>
      <w:divBdr>
        <w:top w:val="none" w:sz="0" w:space="0" w:color="auto"/>
        <w:left w:val="none" w:sz="0" w:space="0" w:color="auto"/>
        <w:bottom w:val="none" w:sz="0" w:space="0" w:color="auto"/>
        <w:right w:val="none" w:sz="0" w:space="0" w:color="auto"/>
      </w:divBdr>
    </w:div>
    <w:div w:id="50618790">
      <w:bodyDiv w:val="1"/>
      <w:marLeft w:val="0"/>
      <w:marRight w:val="0"/>
      <w:marTop w:val="0"/>
      <w:marBottom w:val="0"/>
      <w:divBdr>
        <w:top w:val="none" w:sz="0" w:space="0" w:color="auto"/>
        <w:left w:val="none" w:sz="0" w:space="0" w:color="auto"/>
        <w:bottom w:val="none" w:sz="0" w:space="0" w:color="auto"/>
        <w:right w:val="none" w:sz="0" w:space="0" w:color="auto"/>
      </w:divBdr>
    </w:div>
    <w:div w:id="78792254">
      <w:bodyDiv w:val="1"/>
      <w:marLeft w:val="0"/>
      <w:marRight w:val="0"/>
      <w:marTop w:val="0"/>
      <w:marBottom w:val="0"/>
      <w:divBdr>
        <w:top w:val="none" w:sz="0" w:space="0" w:color="auto"/>
        <w:left w:val="none" w:sz="0" w:space="0" w:color="auto"/>
        <w:bottom w:val="none" w:sz="0" w:space="0" w:color="auto"/>
        <w:right w:val="none" w:sz="0" w:space="0" w:color="auto"/>
      </w:divBdr>
    </w:div>
    <w:div w:id="90858237">
      <w:bodyDiv w:val="1"/>
      <w:marLeft w:val="0"/>
      <w:marRight w:val="0"/>
      <w:marTop w:val="0"/>
      <w:marBottom w:val="0"/>
      <w:divBdr>
        <w:top w:val="none" w:sz="0" w:space="0" w:color="auto"/>
        <w:left w:val="none" w:sz="0" w:space="0" w:color="auto"/>
        <w:bottom w:val="none" w:sz="0" w:space="0" w:color="auto"/>
        <w:right w:val="none" w:sz="0" w:space="0" w:color="auto"/>
      </w:divBdr>
    </w:div>
    <w:div w:id="144667067">
      <w:bodyDiv w:val="1"/>
      <w:marLeft w:val="0"/>
      <w:marRight w:val="0"/>
      <w:marTop w:val="0"/>
      <w:marBottom w:val="0"/>
      <w:divBdr>
        <w:top w:val="none" w:sz="0" w:space="0" w:color="auto"/>
        <w:left w:val="none" w:sz="0" w:space="0" w:color="auto"/>
        <w:bottom w:val="none" w:sz="0" w:space="0" w:color="auto"/>
        <w:right w:val="none" w:sz="0" w:space="0" w:color="auto"/>
      </w:divBdr>
    </w:div>
    <w:div w:id="163281036">
      <w:bodyDiv w:val="1"/>
      <w:marLeft w:val="0"/>
      <w:marRight w:val="0"/>
      <w:marTop w:val="0"/>
      <w:marBottom w:val="0"/>
      <w:divBdr>
        <w:top w:val="none" w:sz="0" w:space="0" w:color="auto"/>
        <w:left w:val="none" w:sz="0" w:space="0" w:color="auto"/>
        <w:bottom w:val="none" w:sz="0" w:space="0" w:color="auto"/>
        <w:right w:val="none" w:sz="0" w:space="0" w:color="auto"/>
      </w:divBdr>
    </w:div>
    <w:div w:id="212929222">
      <w:bodyDiv w:val="1"/>
      <w:marLeft w:val="0"/>
      <w:marRight w:val="0"/>
      <w:marTop w:val="0"/>
      <w:marBottom w:val="0"/>
      <w:divBdr>
        <w:top w:val="none" w:sz="0" w:space="0" w:color="auto"/>
        <w:left w:val="none" w:sz="0" w:space="0" w:color="auto"/>
        <w:bottom w:val="none" w:sz="0" w:space="0" w:color="auto"/>
        <w:right w:val="none" w:sz="0" w:space="0" w:color="auto"/>
      </w:divBdr>
    </w:div>
    <w:div w:id="235288168">
      <w:bodyDiv w:val="1"/>
      <w:marLeft w:val="0"/>
      <w:marRight w:val="0"/>
      <w:marTop w:val="0"/>
      <w:marBottom w:val="0"/>
      <w:divBdr>
        <w:top w:val="none" w:sz="0" w:space="0" w:color="auto"/>
        <w:left w:val="none" w:sz="0" w:space="0" w:color="auto"/>
        <w:bottom w:val="none" w:sz="0" w:space="0" w:color="auto"/>
        <w:right w:val="none" w:sz="0" w:space="0" w:color="auto"/>
      </w:divBdr>
    </w:div>
    <w:div w:id="237060326">
      <w:bodyDiv w:val="1"/>
      <w:marLeft w:val="0"/>
      <w:marRight w:val="0"/>
      <w:marTop w:val="0"/>
      <w:marBottom w:val="0"/>
      <w:divBdr>
        <w:top w:val="none" w:sz="0" w:space="0" w:color="auto"/>
        <w:left w:val="none" w:sz="0" w:space="0" w:color="auto"/>
        <w:bottom w:val="none" w:sz="0" w:space="0" w:color="auto"/>
        <w:right w:val="none" w:sz="0" w:space="0" w:color="auto"/>
      </w:divBdr>
    </w:div>
    <w:div w:id="243153251">
      <w:bodyDiv w:val="1"/>
      <w:marLeft w:val="0"/>
      <w:marRight w:val="0"/>
      <w:marTop w:val="0"/>
      <w:marBottom w:val="0"/>
      <w:divBdr>
        <w:top w:val="none" w:sz="0" w:space="0" w:color="auto"/>
        <w:left w:val="none" w:sz="0" w:space="0" w:color="auto"/>
        <w:bottom w:val="none" w:sz="0" w:space="0" w:color="auto"/>
        <w:right w:val="none" w:sz="0" w:space="0" w:color="auto"/>
      </w:divBdr>
    </w:div>
    <w:div w:id="264504869">
      <w:bodyDiv w:val="1"/>
      <w:marLeft w:val="0"/>
      <w:marRight w:val="0"/>
      <w:marTop w:val="0"/>
      <w:marBottom w:val="0"/>
      <w:divBdr>
        <w:top w:val="none" w:sz="0" w:space="0" w:color="auto"/>
        <w:left w:val="none" w:sz="0" w:space="0" w:color="auto"/>
        <w:bottom w:val="none" w:sz="0" w:space="0" w:color="auto"/>
        <w:right w:val="none" w:sz="0" w:space="0" w:color="auto"/>
      </w:divBdr>
    </w:div>
    <w:div w:id="269091928">
      <w:bodyDiv w:val="1"/>
      <w:marLeft w:val="0"/>
      <w:marRight w:val="0"/>
      <w:marTop w:val="0"/>
      <w:marBottom w:val="0"/>
      <w:divBdr>
        <w:top w:val="none" w:sz="0" w:space="0" w:color="auto"/>
        <w:left w:val="none" w:sz="0" w:space="0" w:color="auto"/>
        <w:bottom w:val="none" w:sz="0" w:space="0" w:color="auto"/>
        <w:right w:val="none" w:sz="0" w:space="0" w:color="auto"/>
      </w:divBdr>
    </w:div>
    <w:div w:id="295065119">
      <w:bodyDiv w:val="1"/>
      <w:marLeft w:val="0"/>
      <w:marRight w:val="0"/>
      <w:marTop w:val="0"/>
      <w:marBottom w:val="0"/>
      <w:divBdr>
        <w:top w:val="none" w:sz="0" w:space="0" w:color="auto"/>
        <w:left w:val="none" w:sz="0" w:space="0" w:color="auto"/>
        <w:bottom w:val="none" w:sz="0" w:space="0" w:color="auto"/>
        <w:right w:val="none" w:sz="0" w:space="0" w:color="auto"/>
      </w:divBdr>
    </w:div>
    <w:div w:id="322204594">
      <w:bodyDiv w:val="1"/>
      <w:marLeft w:val="0"/>
      <w:marRight w:val="0"/>
      <w:marTop w:val="0"/>
      <w:marBottom w:val="0"/>
      <w:divBdr>
        <w:top w:val="none" w:sz="0" w:space="0" w:color="auto"/>
        <w:left w:val="none" w:sz="0" w:space="0" w:color="auto"/>
        <w:bottom w:val="none" w:sz="0" w:space="0" w:color="auto"/>
        <w:right w:val="none" w:sz="0" w:space="0" w:color="auto"/>
      </w:divBdr>
    </w:div>
    <w:div w:id="345375501">
      <w:bodyDiv w:val="1"/>
      <w:marLeft w:val="0"/>
      <w:marRight w:val="0"/>
      <w:marTop w:val="0"/>
      <w:marBottom w:val="0"/>
      <w:divBdr>
        <w:top w:val="none" w:sz="0" w:space="0" w:color="auto"/>
        <w:left w:val="none" w:sz="0" w:space="0" w:color="auto"/>
        <w:bottom w:val="none" w:sz="0" w:space="0" w:color="auto"/>
        <w:right w:val="none" w:sz="0" w:space="0" w:color="auto"/>
      </w:divBdr>
    </w:div>
    <w:div w:id="346519245">
      <w:bodyDiv w:val="1"/>
      <w:marLeft w:val="0"/>
      <w:marRight w:val="0"/>
      <w:marTop w:val="0"/>
      <w:marBottom w:val="0"/>
      <w:divBdr>
        <w:top w:val="none" w:sz="0" w:space="0" w:color="auto"/>
        <w:left w:val="none" w:sz="0" w:space="0" w:color="auto"/>
        <w:bottom w:val="none" w:sz="0" w:space="0" w:color="auto"/>
        <w:right w:val="none" w:sz="0" w:space="0" w:color="auto"/>
      </w:divBdr>
    </w:div>
    <w:div w:id="413553393">
      <w:bodyDiv w:val="1"/>
      <w:marLeft w:val="0"/>
      <w:marRight w:val="0"/>
      <w:marTop w:val="0"/>
      <w:marBottom w:val="0"/>
      <w:divBdr>
        <w:top w:val="none" w:sz="0" w:space="0" w:color="auto"/>
        <w:left w:val="none" w:sz="0" w:space="0" w:color="auto"/>
        <w:bottom w:val="none" w:sz="0" w:space="0" w:color="auto"/>
        <w:right w:val="none" w:sz="0" w:space="0" w:color="auto"/>
      </w:divBdr>
    </w:div>
    <w:div w:id="452015021">
      <w:bodyDiv w:val="1"/>
      <w:marLeft w:val="0"/>
      <w:marRight w:val="0"/>
      <w:marTop w:val="0"/>
      <w:marBottom w:val="0"/>
      <w:divBdr>
        <w:top w:val="none" w:sz="0" w:space="0" w:color="auto"/>
        <w:left w:val="none" w:sz="0" w:space="0" w:color="auto"/>
        <w:bottom w:val="none" w:sz="0" w:space="0" w:color="auto"/>
        <w:right w:val="none" w:sz="0" w:space="0" w:color="auto"/>
      </w:divBdr>
    </w:div>
    <w:div w:id="503056740">
      <w:bodyDiv w:val="1"/>
      <w:marLeft w:val="0"/>
      <w:marRight w:val="0"/>
      <w:marTop w:val="0"/>
      <w:marBottom w:val="0"/>
      <w:divBdr>
        <w:top w:val="none" w:sz="0" w:space="0" w:color="auto"/>
        <w:left w:val="none" w:sz="0" w:space="0" w:color="auto"/>
        <w:bottom w:val="none" w:sz="0" w:space="0" w:color="auto"/>
        <w:right w:val="none" w:sz="0" w:space="0" w:color="auto"/>
      </w:divBdr>
    </w:div>
    <w:div w:id="532429029">
      <w:bodyDiv w:val="1"/>
      <w:marLeft w:val="0"/>
      <w:marRight w:val="0"/>
      <w:marTop w:val="0"/>
      <w:marBottom w:val="0"/>
      <w:divBdr>
        <w:top w:val="none" w:sz="0" w:space="0" w:color="auto"/>
        <w:left w:val="none" w:sz="0" w:space="0" w:color="auto"/>
        <w:bottom w:val="none" w:sz="0" w:space="0" w:color="auto"/>
        <w:right w:val="none" w:sz="0" w:space="0" w:color="auto"/>
      </w:divBdr>
    </w:div>
    <w:div w:id="543448661">
      <w:bodyDiv w:val="1"/>
      <w:marLeft w:val="0"/>
      <w:marRight w:val="0"/>
      <w:marTop w:val="0"/>
      <w:marBottom w:val="0"/>
      <w:divBdr>
        <w:top w:val="none" w:sz="0" w:space="0" w:color="auto"/>
        <w:left w:val="none" w:sz="0" w:space="0" w:color="auto"/>
        <w:bottom w:val="none" w:sz="0" w:space="0" w:color="auto"/>
        <w:right w:val="none" w:sz="0" w:space="0" w:color="auto"/>
      </w:divBdr>
    </w:div>
    <w:div w:id="650715292">
      <w:bodyDiv w:val="1"/>
      <w:marLeft w:val="0"/>
      <w:marRight w:val="0"/>
      <w:marTop w:val="0"/>
      <w:marBottom w:val="0"/>
      <w:divBdr>
        <w:top w:val="none" w:sz="0" w:space="0" w:color="auto"/>
        <w:left w:val="none" w:sz="0" w:space="0" w:color="auto"/>
        <w:bottom w:val="none" w:sz="0" w:space="0" w:color="auto"/>
        <w:right w:val="none" w:sz="0" w:space="0" w:color="auto"/>
      </w:divBdr>
    </w:div>
    <w:div w:id="652225362">
      <w:bodyDiv w:val="1"/>
      <w:marLeft w:val="0"/>
      <w:marRight w:val="0"/>
      <w:marTop w:val="0"/>
      <w:marBottom w:val="0"/>
      <w:divBdr>
        <w:top w:val="none" w:sz="0" w:space="0" w:color="auto"/>
        <w:left w:val="none" w:sz="0" w:space="0" w:color="auto"/>
        <w:bottom w:val="none" w:sz="0" w:space="0" w:color="auto"/>
        <w:right w:val="none" w:sz="0" w:space="0" w:color="auto"/>
      </w:divBdr>
    </w:div>
    <w:div w:id="667443122">
      <w:bodyDiv w:val="1"/>
      <w:marLeft w:val="0"/>
      <w:marRight w:val="0"/>
      <w:marTop w:val="0"/>
      <w:marBottom w:val="0"/>
      <w:divBdr>
        <w:top w:val="none" w:sz="0" w:space="0" w:color="auto"/>
        <w:left w:val="none" w:sz="0" w:space="0" w:color="auto"/>
        <w:bottom w:val="none" w:sz="0" w:space="0" w:color="auto"/>
        <w:right w:val="none" w:sz="0" w:space="0" w:color="auto"/>
      </w:divBdr>
    </w:div>
    <w:div w:id="674696549">
      <w:bodyDiv w:val="1"/>
      <w:marLeft w:val="0"/>
      <w:marRight w:val="0"/>
      <w:marTop w:val="0"/>
      <w:marBottom w:val="0"/>
      <w:divBdr>
        <w:top w:val="none" w:sz="0" w:space="0" w:color="auto"/>
        <w:left w:val="none" w:sz="0" w:space="0" w:color="auto"/>
        <w:bottom w:val="none" w:sz="0" w:space="0" w:color="auto"/>
        <w:right w:val="none" w:sz="0" w:space="0" w:color="auto"/>
      </w:divBdr>
    </w:div>
    <w:div w:id="700011323">
      <w:bodyDiv w:val="1"/>
      <w:marLeft w:val="0"/>
      <w:marRight w:val="0"/>
      <w:marTop w:val="0"/>
      <w:marBottom w:val="0"/>
      <w:divBdr>
        <w:top w:val="none" w:sz="0" w:space="0" w:color="auto"/>
        <w:left w:val="none" w:sz="0" w:space="0" w:color="auto"/>
        <w:bottom w:val="none" w:sz="0" w:space="0" w:color="auto"/>
        <w:right w:val="none" w:sz="0" w:space="0" w:color="auto"/>
      </w:divBdr>
    </w:div>
    <w:div w:id="707606749">
      <w:bodyDiv w:val="1"/>
      <w:marLeft w:val="0"/>
      <w:marRight w:val="0"/>
      <w:marTop w:val="0"/>
      <w:marBottom w:val="0"/>
      <w:divBdr>
        <w:top w:val="none" w:sz="0" w:space="0" w:color="auto"/>
        <w:left w:val="none" w:sz="0" w:space="0" w:color="auto"/>
        <w:bottom w:val="none" w:sz="0" w:space="0" w:color="auto"/>
        <w:right w:val="none" w:sz="0" w:space="0" w:color="auto"/>
      </w:divBdr>
    </w:div>
    <w:div w:id="723869077">
      <w:bodyDiv w:val="1"/>
      <w:marLeft w:val="0"/>
      <w:marRight w:val="0"/>
      <w:marTop w:val="0"/>
      <w:marBottom w:val="0"/>
      <w:divBdr>
        <w:top w:val="none" w:sz="0" w:space="0" w:color="auto"/>
        <w:left w:val="none" w:sz="0" w:space="0" w:color="auto"/>
        <w:bottom w:val="none" w:sz="0" w:space="0" w:color="auto"/>
        <w:right w:val="none" w:sz="0" w:space="0" w:color="auto"/>
      </w:divBdr>
    </w:div>
    <w:div w:id="769737930">
      <w:bodyDiv w:val="1"/>
      <w:marLeft w:val="0"/>
      <w:marRight w:val="0"/>
      <w:marTop w:val="0"/>
      <w:marBottom w:val="0"/>
      <w:divBdr>
        <w:top w:val="none" w:sz="0" w:space="0" w:color="auto"/>
        <w:left w:val="none" w:sz="0" w:space="0" w:color="auto"/>
        <w:bottom w:val="none" w:sz="0" w:space="0" w:color="auto"/>
        <w:right w:val="none" w:sz="0" w:space="0" w:color="auto"/>
      </w:divBdr>
    </w:div>
    <w:div w:id="778138964">
      <w:bodyDiv w:val="1"/>
      <w:marLeft w:val="0"/>
      <w:marRight w:val="0"/>
      <w:marTop w:val="0"/>
      <w:marBottom w:val="0"/>
      <w:divBdr>
        <w:top w:val="none" w:sz="0" w:space="0" w:color="auto"/>
        <w:left w:val="none" w:sz="0" w:space="0" w:color="auto"/>
        <w:bottom w:val="none" w:sz="0" w:space="0" w:color="auto"/>
        <w:right w:val="none" w:sz="0" w:space="0" w:color="auto"/>
      </w:divBdr>
      <w:divsChild>
        <w:div w:id="1476794658">
          <w:marLeft w:val="0"/>
          <w:marRight w:val="0"/>
          <w:marTop w:val="0"/>
          <w:marBottom w:val="0"/>
          <w:divBdr>
            <w:top w:val="none" w:sz="0" w:space="0" w:color="auto"/>
            <w:left w:val="none" w:sz="0" w:space="0" w:color="auto"/>
            <w:bottom w:val="none" w:sz="0" w:space="0" w:color="auto"/>
            <w:right w:val="none" w:sz="0" w:space="0" w:color="auto"/>
          </w:divBdr>
          <w:divsChild>
            <w:div w:id="1253199269">
              <w:marLeft w:val="0"/>
              <w:marRight w:val="0"/>
              <w:marTop w:val="0"/>
              <w:marBottom w:val="0"/>
              <w:divBdr>
                <w:top w:val="none" w:sz="0" w:space="0" w:color="auto"/>
                <w:left w:val="none" w:sz="0" w:space="0" w:color="auto"/>
                <w:bottom w:val="none" w:sz="0" w:space="0" w:color="auto"/>
                <w:right w:val="none" w:sz="0" w:space="0" w:color="auto"/>
              </w:divBdr>
              <w:divsChild>
                <w:div w:id="54953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465229">
      <w:bodyDiv w:val="1"/>
      <w:marLeft w:val="0"/>
      <w:marRight w:val="0"/>
      <w:marTop w:val="0"/>
      <w:marBottom w:val="0"/>
      <w:divBdr>
        <w:top w:val="none" w:sz="0" w:space="0" w:color="auto"/>
        <w:left w:val="none" w:sz="0" w:space="0" w:color="auto"/>
        <w:bottom w:val="none" w:sz="0" w:space="0" w:color="auto"/>
        <w:right w:val="none" w:sz="0" w:space="0" w:color="auto"/>
      </w:divBdr>
    </w:div>
    <w:div w:id="852956254">
      <w:bodyDiv w:val="1"/>
      <w:marLeft w:val="0"/>
      <w:marRight w:val="0"/>
      <w:marTop w:val="0"/>
      <w:marBottom w:val="0"/>
      <w:divBdr>
        <w:top w:val="none" w:sz="0" w:space="0" w:color="auto"/>
        <w:left w:val="none" w:sz="0" w:space="0" w:color="auto"/>
        <w:bottom w:val="none" w:sz="0" w:space="0" w:color="auto"/>
        <w:right w:val="none" w:sz="0" w:space="0" w:color="auto"/>
      </w:divBdr>
    </w:div>
    <w:div w:id="855386700">
      <w:bodyDiv w:val="1"/>
      <w:marLeft w:val="0"/>
      <w:marRight w:val="0"/>
      <w:marTop w:val="0"/>
      <w:marBottom w:val="0"/>
      <w:divBdr>
        <w:top w:val="none" w:sz="0" w:space="0" w:color="auto"/>
        <w:left w:val="none" w:sz="0" w:space="0" w:color="auto"/>
        <w:bottom w:val="none" w:sz="0" w:space="0" w:color="auto"/>
        <w:right w:val="none" w:sz="0" w:space="0" w:color="auto"/>
      </w:divBdr>
    </w:div>
    <w:div w:id="885291534">
      <w:bodyDiv w:val="1"/>
      <w:marLeft w:val="0"/>
      <w:marRight w:val="0"/>
      <w:marTop w:val="0"/>
      <w:marBottom w:val="0"/>
      <w:divBdr>
        <w:top w:val="none" w:sz="0" w:space="0" w:color="auto"/>
        <w:left w:val="none" w:sz="0" w:space="0" w:color="auto"/>
        <w:bottom w:val="none" w:sz="0" w:space="0" w:color="auto"/>
        <w:right w:val="none" w:sz="0" w:space="0" w:color="auto"/>
      </w:divBdr>
    </w:div>
    <w:div w:id="956520641">
      <w:bodyDiv w:val="1"/>
      <w:marLeft w:val="0"/>
      <w:marRight w:val="0"/>
      <w:marTop w:val="0"/>
      <w:marBottom w:val="0"/>
      <w:divBdr>
        <w:top w:val="none" w:sz="0" w:space="0" w:color="auto"/>
        <w:left w:val="none" w:sz="0" w:space="0" w:color="auto"/>
        <w:bottom w:val="none" w:sz="0" w:space="0" w:color="auto"/>
        <w:right w:val="none" w:sz="0" w:space="0" w:color="auto"/>
      </w:divBdr>
      <w:divsChild>
        <w:div w:id="1215194547">
          <w:marLeft w:val="0"/>
          <w:marRight w:val="0"/>
          <w:marTop w:val="0"/>
          <w:marBottom w:val="0"/>
          <w:divBdr>
            <w:top w:val="none" w:sz="0" w:space="0" w:color="auto"/>
            <w:left w:val="none" w:sz="0" w:space="0" w:color="auto"/>
            <w:bottom w:val="none" w:sz="0" w:space="0" w:color="auto"/>
            <w:right w:val="none" w:sz="0" w:space="0" w:color="auto"/>
          </w:divBdr>
          <w:divsChild>
            <w:div w:id="670177263">
              <w:marLeft w:val="0"/>
              <w:marRight w:val="0"/>
              <w:marTop w:val="0"/>
              <w:marBottom w:val="0"/>
              <w:divBdr>
                <w:top w:val="none" w:sz="0" w:space="0" w:color="auto"/>
                <w:left w:val="none" w:sz="0" w:space="0" w:color="auto"/>
                <w:bottom w:val="none" w:sz="0" w:space="0" w:color="auto"/>
                <w:right w:val="none" w:sz="0" w:space="0" w:color="auto"/>
              </w:divBdr>
              <w:divsChild>
                <w:div w:id="97460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847609">
      <w:bodyDiv w:val="1"/>
      <w:marLeft w:val="0"/>
      <w:marRight w:val="0"/>
      <w:marTop w:val="0"/>
      <w:marBottom w:val="0"/>
      <w:divBdr>
        <w:top w:val="none" w:sz="0" w:space="0" w:color="auto"/>
        <w:left w:val="none" w:sz="0" w:space="0" w:color="auto"/>
        <w:bottom w:val="none" w:sz="0" w:space="0" w:color="auto"/>
        <w:right w:val="none" w:sz="0" w:space="0" w:color="auto"/>
      </w:divBdr>
    </w:div>
    <w:div w:id="1013991396">
      <w:bodyDiv w:val="1"/>
      <w:marLeft w:val="0"/>
      <w:marRight w:val="0"/>
      <w:marTop w:val="0"/>
      <w:marBottom w:val="0"/>
      <w:divBdr>
        <w:top w:val="none" w:sz="0" w:space="0" w:color="auto"/>
        <w:left w:val="none" w:sz="0" w:space="0" w:color="auto"/>
        <w:bottom w:val="none" w:sz="0" w:space="0" w:color="auto"/>
        <w:right w:val="none" w:sz="0" w:space="0" w:color="auto"/>
      </w:divBdr>
    </w:div>
    <w:div w:id="1023088997">
      <w:bodyDiv w:val="1"/>
      <w:marLeft w:val="0"/>
      <w:marRight w:val="0"/>
      <w:marTop w:val="0"/>
      <w:marBottom w:val="0"/>
      <w:divBdr>
        <w:top w:val="none" w:sz="0" w:space="0" w:color="auto"/>
        <w:left w:val="none" w:sz="0" w:space="0" w:color="auto"/>
        <w:bottom w:val="none" w:sz="0" w:space="0" w:color="auto"/>
        <w:right w:val="none" w:sz="0" w:space="0" w:color="auto"/>
      </w:divBdr>
      <w:divsChild>
        <w:div w:id="1803308099">
          <w:marLeft w:val="0"/>
          <w:marRight w:val="0"/>
          <w:marTop w:val="0"/>
          <w:marBottom w:val="0"/>
          <w:divBdr>
            <w:top w:val="none" w:sz="0" w:space="0" w:color="auto"/>
            <w:left w:val="none" w:sz="0" w:space="0" w:color="auto"/>
            <w:bottom w:val="none" w:sz="0" w:space="0" w:color="auto"/>
            <w:right w:val="none" w:sz="0" w:space="0" w:color="auto"/>
          </w:divBdr>
          <w:divsChild>
            <w:div w:id="106170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408293">
      <w:bodyDiv w:val="1"/>
      <w:marLeft w:val="0"/>
      <w:marRight w:val="0"/>
      <w:marTop w:val="0"/>
      <w:marBottom w:val="0"/>
      <w:divBdr>
        <w:top w:val="none" w:sz="0" w:space="0" w:color="auto"/>
        <w:left w:val="none" w:sz="0" w:space="0" w:color="auto"/>
        <w:bottom w:val="none" w:sz="0" w:space="0" w:color="auto"/>
        <w:right w:val="none" w:sz="0" w:space="0" w:color="auto"/>
      </w:divBdr>
    </w:div>
    <w:div w:id="1153527590">
      <w:bodyDiv w:val="1"/>
      <w:marLeft w:val="0"/>
      <w:marRight w:val="0"/>
      <w:marTop w:val="0"/>
      <w:marBottom w:val="0"/>
      <w:divBdr>
        <w:top w:val="none" w:sz="0" w:space="0" w:color="auto"/>
        <w:left w:val="none" w:sz="0" w:space="0" w:color="auto"/>
        <w:bottom w:val="none" w:sz="0" w:space="0" w:color="auto"/>
        <w:right w:val="none" w:sz="0" w:space="0" w:color="auto"/>
      </w:divBdr>
    </w:div>
    <w:div w:id="1206597245">
      <w:bodyDiv w:val="1"/>
      <w:marLeft w:val="0"/>
      <w:marRight w:val="0"/>
      <w:marTop w:val="0"/>
      <w:marBottom w:val="0"/>
      <w:divBdr>
        <w:top w:val="none" w:sz="0" w:space="0" w:color="auto"/>
        <w:left w:val="none" w:sz="0" w:space="0" w:color="auto"/>
        <w:bottom w:val="none" w:sz="0" w:space="0" w:color="auto"/>
        <w:right w:val="none" w:sz="0" w:space="0" w:color="auto"/>
      </w:divBdr>
    </w:div>
    <w:div w:id="1214807171">
      <w:bodyDiv w:val="1"/>
      <w:marLeft w:val="0"/>
      <w:marRight w:val="0"/>
      <w:marTop w:val="0"/>
      <w:marBottom w:val="0"/>
      <w:divBdr>
        <w:top w:val="none" w:sz="0" w:space="0" w:color="auto"/>
        <w:left w:val="none" w:sz="0" w:space="0" w:color="auto"/>
        <w:bottom w:val="none" w:sz="0" w:space="0" w:color="auto"/>
        <w:right w:val="none" w:sz="0" w:space="0" w:color="auto"/>
      </w:divBdr>
    </w:div>
    <w:div w:id="1222473585">
      <w:bodyDiv w:val="1"/>
      <w:marLeft w:val="0"/>
      <w:marRight w:val="0"/>
      <w:marTop w:val="0"/>
      <w:marBottom w:val="0"/>
      <w:divBdr>
        <w:top w:val="none" w:sz="0" w:space="0" w:color="auto"/>
        <w:left w:val="none" w:sz="0" w:space="0" w:color="auto"/>
        <w:bottom w:val="none" w:sz="0" w:space="0" w:color="auto"/>
        <w:right w:val="none" w:sz="0" w:space="0" w:color="auto"/>
      </w:divBdr>
    </w:div>
    <w:div w:id="1222710464">
      <w:bodyDiv w:val="1"/>
      <w:marLeft w:val="0"/>
      <w:marRight w:val="0"/>
      <w:marTop w:val="0"/>
      <w:marBottom w:val="0"/>
      <w:divBdr>
        <w:top w:val="none" w:sz="0" w:space="0" w:color="auto"/>
        <w:left w:val="none" w:sz="0" w:space="0" w:color="auto"/>
        <w:bottom w:val="none" w:sz="0" w:space="0" w:color="auto"/>
        <w:right w:val="none" w:sz="0" w:space="0" w:color="auto"/>
      </w:divBdr>
    </w:div>
    <w:div w:id="1332028932">
      <w:bodyDiv w:val="1"/>
      <w:marLeft w:val="0"/>
      <w:marRight w:val="0"/>
      <w:marTop w:val="0"/>
      <w:marBottom w:val="0"/>
      <w:divBdr>
        <w:top w:val="none" w:sz="0" w:space="0" w:color="auto"/>
        <w:left w:val="none" w:sz="0" w:space="0" w:color="auto"/>
        <w:bottom w:val="none" w:sz="0" w:space="0" w:color="auto"/>
        <w:right w:val="none" w:sz="0" w:space="0" w:color="auto"/>
      </w:divBdr>
    </w:div>
    <w:div w:id="1406369526">
      <w:bodyDiv w:val="1"/>
      <w:marLeft w:val="0"/>
      <w:marRight w:val="0"/>
      <w:marTop w:val="0"/>
      <w:marBottom w:val="0"/>
      <w:divBdr>
        <w:top w:val="none" w:sz="0" w:space="0" w:color="auto"/>
        <w:left w:val="none" w:sz="0" w:space="0" w:color="auto"/>
        <w:bottom w:val="none" w:sz="0" w:space="0" w:color="auto"/>
        <w:right w:val="none" w:sz="0" w:space="0" w:color="auto"/>
      </w:divBdr>
    </w:div>
    <w:div w:id="1434472521">
      <w:bodyDiv w:val="1"/>
      <w:marLeft w:val="0"/>
      <w:marRight w:val="0"/>
      <w:marTop w:val="0"/>
      <w:marBottom w:val="0"/>
      <w:divBdr>
        <w:top w:val="none" w:sz="0" w:space="0" w:color="auto"/>
        <w:left w:val="none" w:sz="0" w:space="0" w:color="auto"/>
        <w:bottom w:val="none" w:sz="0" w:space="0" w:color="auto"/>
        <w:right w:val="none" w:sz="0" w:space="0" w:color="auto"/>
      </w:divBdr>
    </w:div>
    <w:div w:id="1445153708">
      <w:bodyDiv w:val="1"/>
      <w:marLeft w:val="0"/>
      <w:marRight w:val="0"/>
      <w:marTop w:val="0"/>
      <w:marBottom w:val="0"/>
      <w:divBdr>
        <w:top w:val="none" w:sz="0" w:space="0" w:color="auto"/>
        <w:left w:val="none" w:sz="0" w:space="0" w:color="auto"/>
        <w:bottom w:val="none" w:sz="0" w:space="0" w:color="auto"/>
        <w:right w:val="none" w:sz="0" w:space="0" w:color="auto"/>
      </w:divBdr>
    </w:div>
    <w:div w:id="1478644802">
      <w:bodyDiv w:val="1"/>
      <w:marLeft w:val="0"/>
      <w:marRight w:val="0"/>
      <w:marTop w:val="0"/>
      <w:marBottom w:val="0"/>
      <w:divBdr>
        <w:top w:val="none" w:sz="0" w:space="0" w:color="auto"/>
        <w:left w:val="none" w:sz="0" w:space="0" w:color="auto"/>
        <w:bottom w:val="none" w:sz="0" w:space="0" w:color="auto"/>
        <w:right w:val="none" w:sz="0" w:space="0" w:color="auto"/>
      </w:divBdr>
    </w:div>
    <w:div w:id="1516723818">
      <w:bodyDiv w:val="1"/>
      <w:marLeft w:val="0"/>
      <w:marRight w:val="0"/>
      <w:marTop w:val="0"/>
      <w:marBottom w:val="0"/>
      <w:divBdr>
        <w:top w:val="none" w:sz="0" w:space="0" w:color="auto"/>
        <w:left w:val="none" w:sz="0" w:space="0" w:color="auto"/>
        <w:bottom w:val="none" w:sz="0" w:space="0" w:color="auto"/>
        <w:right w:val="none" w:sz="0" w:space="0" w:color="auto"/>
      </w:divBdr>
    </w:div>
    <w:div w:id="1546211413">
      <w:bodyDiv w:val="1"/>
      <w:marLeft w:val="0"/>
      <w:marRight w:val="0"/>
      <w:marTop w:val="0"/>
      <w:marBottom w:val="0"/>
      <w:divBdr>
        <w:top w:val="none" w:sz="0" w:space="0" w:color="auto"/>
        <w:left w:val="none" w:sz="0" w:space="0" w:color="auto"/>
        <w:bottom w:val="none" w:sz="0" w:space="0" w:color="auto"/>
        <w:right w:val="none" w:sz="0" w:space="0" w:color="auto"/>
      </w:divBdr>
    </w:div>
    <w:div w:id="1575435938">
      <w:bodyDiv w:val="1"/>
      <w:marLeft w:val="0"/>
      <w:marRight w:val="0"/>
      <w:marTop w:val="0"/>
      <w:marBottom w:val="0"/>
      <w:divBdr>
        <w:top w:val="none" w:sz="0" w:space="0" w:color="auto"/>
        <w:left w:val="none" w:sz="0" w:space="0" w:color="auto"/>
        <w:bottom w:val="none" w:sz="0" w:space="0" w:color="auto"/>
        <w:right w:val="none" w:sz="0" w:space="0" w:color="auto"/>
      </w:divBdr>
    </w:div>
    <w:div w:id="1596548087">
      <w:bodyDiv w:val="1"/>
      <w:marLeft w:val="0"/>
      <w:marRight w:val="0"/>
      <w:marTop w:val="0"/>
      <w:marBottom w:val="0"/>
      <w:divBdr>
        <w:top w:val="none" w:sz="0" w:space="0" w:color="auto"/>
        <w:left w:val="none" w:sz="0" w:space="0" w:color="auto"/>
        <w:bottom w:val="none" w:sz="0" w:space="0" w:color="auto"/>
        <w:right w:val="none" w:sz="0" w:space="0" w:color="auto"/>
      </w:divBdr>
    </w:div>
    <w:div w:id="1643846659">
      <w:bodyDiv w:val="1"/>
      <w:marLeft w:val="0"/>
      <w:marRight w:val="0"/>
      <w:marTop w:val="0"/>
      <w:marBottom w:val="0"/>
      <w:divBdr>
        <w:top w:val="none" w:sz="0" w:space="0" w:color="auto"/>
        <w:left w:val="none" w:sz="0" w:space="0" w:color="auto"/>
        <w:bottom w:val="none" w:sz="0" w:space="0" w:color="auto"/>
        <w:right w:val="none" w:sz="0" w:space="0" w:color="auto"/>
      </w:divBdr>
    </w:div>
    <w:div w:id="1644315380">
      <w:bodyDiv w:val="1"/>
      <w:marLeft w:val="0"/>
      <w:marRight w:val="0"/>
      <w:marTop w:val="0"/>
      <w:marBottom w:val="0"/>
      <w:divBdr>
        <w:top w:val="none" w:sz="0" w:space="0" w:color="auto"/>
        <w:left w:val="none" w:sz="0" w:space="0" w:color="auto"/>
        <w:bottom w:val="none" w:sz="0" w:space="0" w:color="auto"/>
        <w:right w:val="none" w:sz="0" w:space="0" w:color="auto"/>
      </w:divBdr>
    </w:div>
    <w:div w:id="1709530825">
      <w:bodyDiv w:val="1"/>
      <w:marLeft w:val="0"/>
      <w:marRight w:val="0"/>
      <w:marTop w:val="0"/>
      <w:marBottom w:val="0"/>
      <w:divBdr>
        <w:top w:val="none" w:sz="0" w:space="0" w:color="auto"/>
        <w:left w:val="none" w:sz="0" w:space="0" w:color="auto"/>
        <w:bottom w:val="none" w:sz="0" w:space="0" w:color="auto"/>
        <w:right w:val="none" w:sz="0" w:space="0" w:color="auto"/>
      </w:divBdr>
    </w:div>
    <w:div w:id="1801335061">
      <w:bodyDiv w:val="1"/>
      <w:marLeft w:val="0"/>
      <w:marRight w:val="0"/>
      <w:marTop w:val="0"/>
      <w:marBottom w:val="0"/>
      <w:divBdr>
        <w:top w:val="none" w:sz="0" w:space="0" w:color="auto"/>
        <w:left w:val="none" w:sz="0" w:space="0" w:color="auto"/>
        <w:bottom w:val="none" w:sz="0" w:space="0" w:color="auto"/>
        <w:right w:val="none" w:sz="0" w:space="0" w:color="auto"/>
      </w:divBdr>
    </w:div>
    <w:div w:id="1802335917">
      <w:bodyDiv w:val="1"/>
      <w:marLeft w:val="0"/>
      <w:marRight w:val="0"/>
      <w:marTop w:val="0"/>
      <w:marBottom w:val="0"/>
      <w:divBdr>
        <w:top w:val="none" w:sz="0" w:space="0" w:color="auto"/>
        <w:left w:val="none" w:sz="0" w:space="0" w:color="auto"/>
        <w:bottom w:val="none" w:sz="0" w:space="0" w:color="auto"/>
        <w:right w:val="none" w:sz="0" w:space="0" w:color="auto"/>
      </w:divBdr>
    </w:div>
    <w:div w:id="1817648060">
      <w:bodyDiv w:val="1"/>
      <w:marLeft w:val="0"/>
      <w:marRight w:val="0"/>
      <w:marTop w:val="0"/>
      <w:marBottom w:val="0"/>
      <w:divBdr>
        <w:top w:val="none" w:sz="0" w:space="0" w:color="auto"/>
        <w:left w:val="none" w:sz="0" w:space="0" w:color="auto"/>
        <w:bottom w:val="none" w:sz="0" w:space="0" w:color="auto"/>
        <w:right w:val="none" w:sz="0" w:space="0" w:color="auto"/>
      </w:divBdr>
    </w:div>
    <w:div w:id="1879706653">
      <w:bodyDiv w:val="1"/>
      <w:marLeft w:val="0"/>
      <w:marRight w:val="0"/>
      <w:marTop w:val="0"/>
      <w:marBottom w:val="0"/>
      <w:divBdr>
        <w:top w:val="none" w:sz="0" w:space="0" w:color="auto"/>
        <w:left w:val="none" w:sz="0" w:space="0" w:color="auto"/>
        <w:bottom w:val="none" w:sz="0" w:space="0" w:color="auto"/>
        <w:right w:val="none" w:sz="0" w:space="0" w:color="auto"/>
      </w:divBdr>
    </w:div>
    <w:div w:id="1923563530">
      <w:bodyDiv w:val="1"/>
      <w:marLeft w:val="0"/>
      <w:marRight w:val="0"/>
      <w:marTop w:val="0"/>
      <w:marBottom w:val="0"/>
      <w:divBdr>
        <w:top w:val="none" w:sz="0" w:space="0" w:color="auto"/>
        <w:left w:val="none" w:sz="0" w:space="0" w:color="auto"/>
        <w:bottom w:val="none" w:sz="0" w:space="0" w:color="auto"/>
        <w:right w:val="none" w:sz="0" w:space="0" w:color="auto"/>
      </w:divBdr>
    </w:div>
    <w:div w:id="2031100474">
      <w:bodyDiv w:val="1"/>
      <w:marLeft w:val="0"/>
      <w:marRight w:val="0"/>
      <w:marTop w:val="0"/>
      <w:marBottom w:val="0"/>
      <w:divBdr>
        <w:top w:val="none" w:sz="0" w:space="0" w:color="auto"/>
        <w:left w:val="none" w:sz="0" w:space="0" w:color="auto"/>
        <w:bottom w:val="none" w:sz="0" w:space="0" w:color="auto"/>
        <w:right w:val="none" w:sz="0" w:space="0" w:color="auto"/>
      </w:divBdr>
    </w:div>
    <w:div w:id="2046370467">
      <w:bodyDiv w:val="1"/>
      <w:marLeft w:val="0"/>
      <w:marRight w:val="0"/>
      <w:marTop w:val="0"/>
      <w:marBottom w:val="0"/>
      <w:divBdr>
        <w:top w:val="none" w:sz="0" w:space="0" w:color="auto"/>
        <w:left w:val="none" w:sz="0" w:space="0" w:color="auto"/>
        <w:bottom w:val="none" w:sz="0" w:space="0" w:color="auto"/>
        <w:right w:val="none" w:sz="0" w:space="0" w:color="auto"/>
      </w:divBdr>
    </w:div>
    <w:div w:id="2052264827">
      <w:bodyDiv w:val="1"/>
      <w:marLeft w:val="0"/>
      <w:marRight w:val="0"/>
      <w:marTop w:val="0"/>
      <w:marBottom w:val="0"/>
      <w:divBdr>
        <w:top w:val="none" w:sz="0" w:space="0" w:color="auto"/>
        <w:left w:val="none" w:sz="0" w:space="0" w:color="auto"/>
        <w:bottom w:val="none" w:sz="0" w:space="0" w:color="auto"/>
        <w:right w:val="none" w:sz="0" w:space="0" w:color="auto"/>
      </w:divBdr>
    </w:div>
    <w:div w:id="2081512945">
      <w:bodyDiv w:val="1"/>
      <w:marLeft w:val="0"/>
      <w:marRight w:val="0"/>
      <w:marTop w:val="0"/>
      <w:marBottom w:val="0"/>
      <w:divBdr>
        <w:top w:val="none" w:sz="0" w:space="0" w:color="auto"/>
        <w:left w:val="none" w:sz="0" w:space="0" w:color="auto"/>
        <w:bottom w:val="none" w:sz="0" w:space="0" w:color="auto"/>
        <w:right w:val="none" w:sz="0" w:space="0" w:color="auto"/>
      </w:divBdr>
    </w:div>
    <w:div w:id="2082175584">
      <w:bodyDiv w:val="1"/>
      <w:marLeft w:val="0"/>
      <w:marRight w:val="0"/>
      <w:marTop w:val="0"/>
      <w:marBottom w:val="0"/>
      <w:divBdr>
        <w:top w:val="none" w:sz="0" w:space="0" w:color="auto"/>
        <w:left w:val="none" w:sz="0" w:space="0" w:color="auto"/>
        <w:bottom w:val="none" w:sz="0" w:space="0" w:color="auto"/>
        <w:right w:val="none" w:sz="0" w:space="0" w:color="auto"/>
      </w:divBdr>
    </w:div>
    <w:div w:id="2082674132">
      <w:bodyDiv w:val="1"/>
      <w:marLeft w:val="0"/>
      <w:marRight w:val="0"/>
      <w:marTop w:val="0"/>
      <w:marBottom w:val="0"/>
      <w:divBdr>
        <w:top w:val="none" w:sz="0" w:space="0" w:color="auto"/>
        <w:left w:val="none" w:sz="0" w:space="0" w:color="auto"/>
        <w:bottom w:val="none" w:sz="0" w:space="0" w:color="auto"/>
        <w:right w:val="none" w:sz="0" w:space="0" w:color="auto"/>
      </w:divBdr>
    </w:div>
    <w:div w:id="2090037475">
      <w:bodyDiv w:val="1"/>
      <w:marLeft w:val="0"/>
      <w:marRight w:val="0"/>
      <w:marTop w:val="0"/>
      <w:marBottom w:val="0"/>
      <w:divBdr>
        <w:top w:val="none" w:sz="0" w:space="0" w:color="auto"/>
        <w:left w:val="none" w:sz="0" w:space="0" w:color="auto"/>
        <w:bottom w:val="none" w:sz="0" w:space="0" w:color="auto"/>
        <w:right w:val="none" w:sz="0" w:space="0" w:color="auto"/>
      </w:divBdr>
    </w:div>
    <w:div w:id="2103410140">
      <w:bodyDiv w:val="1"/>
      <w:marLeft w:val="0"/>
      <w:marRight w:val="0"/>
      <w:marTop w:val="0"/>
      <w:marBottom w:val="0"/>
      <w:divBdr>
        <w:top w:val="none" w:sz="0" w:space="0" w:color="auto"/>
        <w:left w:val="none" w:sz="0" w:space="0" w:color="auto"/>
        <w:bottom w:val="none" w:sz="0" w:space="0" w:color="auto"/>
        <w:right w:val="none" w:sz="0" w:space="0" w:color="auto"/>
      </w:divBdr>
    </w:div>
    <w:div w:id="2137873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D623E-E245-1647-BF36-6A1E1C82C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2178</Words>
  <Characters>12419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Mac</dc:creator>
  <cp:keywords/>
  <dc:description/>
  <cp:lastModifiedBy>Dylan Mac</cp:lastModifiedBy>
  <cp:revision>3</cp:revision>
  <dcterms:created xsi:type="dcterms:W3CDTF">2020-06-08T21:22:00Z</dcterms:created>
  <dcterms:modified xsi:type="dcterms:W3CDTF">2020-06-08T21:27:00Z</dcterms:modified>
</cp:coreProperties>
</file>