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>Reference List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Aistear. (2017) ‘Building Partnerships with Parents’, </w:t>
      </w:r>
      <w:hyperlink r:id="rId6" w:history="1">
        <w:r w:rsidRPr="0009326B">
          <w:rPr>
            <w:rStyle w:val="Hyperlink"/>
            <w:rFonts w:ascii="Arial" w:hAnsi="Arial" w:cs="Arial"/>
            <w:sz w:val="24"/>
            <w:szCs w:val="24"/>
          </w:rPr>
          <w:t>www.ncca.ie</w:t>
        </w:r>
      </w:hyperlink>
      <w:r w:rsidRPr="0009326B">
        <w:rPr>
          <w:rFonts w:ascii="Arial" w:hAnsi="Arial" w:cs="Arial"/>
          <w:sz w:val="24"/>
          <w:szCs w:val="24"/>
        </w:rPr>
        <w:t xml:space="preserve"> [Accessed: 22</w:t>
      </w:r>
      <w:r w:rsidRPr="0009326B">
        <w:rPr>
          <w:rFonts w:ascii="Arial" w:hAnsi="Arial" w:cs="Arial"/>
          <w:sz w:val="24"/>
          <w:szCs w:val="24"/>
          <w:vertAlign w:val="superscript"/>
        </w:rPr>
        <w:t>nd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Boud, D., Keogh, R. and Walker, D. (1994) </w:t>
      </w:r>
      <w:r w:rsidRPr="0009326B">
        <w:rPr>
          <w:rFonts w:ascii="Arial" w:hAnsi="Arial" w:cs="Arial"/>
          <w:i/>
          <w:sz w:val="24"/>
          <w:szCs w:val="24"/>
        </w:rPr>
        <w:t xml:space="preserve">Reflection: turning experience into learning, </w:t>
      </w:r>
      <w:r w:rsidRPr="0009326B">
        <w:rPr>
          <w:rFonts w:ascii="Arial" w:hAnsi="Arial" w:cs="Arial"/>
          <w:sz w:val="24"/>
          <w:szCs w:val="24"/>
        </w:rPr>
        <w:t xml:space="preserve">Abingdon: Routledge Falmer. [E-Book] Available at: </w:t>
      </w:r>
      <w:hyperlink r:id="rId7" w:history="1">
        <w:r w:rsidRPr="0009326B">
          <w:rPr>
            <w:rStyle w:val="Hyperlink"/>
            <w:rFonts w:ascii="Arial" w:hAnsi="Arial" w:cs="Arial"/>
            <w:sz w:val="24"/>
            <w:szCs w:val="24"/>
          </w:rPr>
          <w:t>https://books.google.co.uk</w:t>
        </w:r>
      </w:hyperlink>
      <w:r w:rsidRPr="0009326B">
        <w:rPr>
          <w:rFonts w:ascii="Arial" w:hAnsi="Arial" w:cs="Arial"/>
          <w:sz w:val="24"/>
          <w:szCs w:val="24"/>
        </w:rPr>
        <w:t xml:space="preserve"> [Accessed: 24</w:t>
      </w:r>
      <w:r w:rsidRPr="0009326B">
        <w:rPr>
          <w:rFonts w:ascii="Arial" w:hAnsi="Arial" w:cs="Arial"/>
          <w:sz w:val="24"/>
          <w:szCs w:val="24"/>
          <w:vertAlign w:val="superscript"/>
        </w:rPr>
        <w:t>th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Children’s Workforce Development Council (2010) ‘The Common Core of Skills and Knowledge’, </w:t>
      </w:r>
      <w:hyperlink r:id="rId8" w:history="1">
        <w:r w:rsidRPr="0009326B">
          <w:rPr>
            <w:rStyle w:val="Hyperlink"/>
            <w:rFonts w:ascii="Arial" w:hAnsi="Arial" w:cs="Arial"/>
            <w:sz w:val="24"/>
            <w:szCs w:val="24"/>
          </w:rPr>
          <w:t>www.yor-ok.org.uk</w:t>
        </w:r>
      </w:hyperlink>
      <w:r w:rsidRPr="0009326B">
        <w:rPr>
          <w:rFonts w:ascii="Arial" w:hAnsi="Arial" w:cs="Arial"/>
          <w:sz w:val="24"/>
          <w:szCs w:val="24"/>
        </w:rPr>
        <w:t xml:space="preserve"> [Accessed: 18</w:t>
      </w:r>
      <w:r w:rsidRPr="0009326B">
        <w:rPr>
          <w:rFonts w:ascii="Arial" w:hAnsi="Arial" w:cs="Arial"/>
          <w:sz w:val="24"/>
          <w:szCs w:val="24"/>
          <w:vertAlign w:val="superscript"/>
        </w:rPr>
        <w:t>th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Daniel, G. R., Auhl, G. and Hastings, W. (2012) ‘Collaborative feedback and reflection for professional growth: Preparing first year pre-service teachers for participation in the community of practice’, </w:t>
      </w:r>
      <w:r w:rsidRPr="0009326B">
        <w:rPr>
          <w:rFonts w:ascii="Arial" w:hAnsi="Arial" w:cs="Arial"/>
          <w:i/>
          <w:sz w:val="24"/>
          <w:szCs w:val="24"/>
        </w:rPr>
        <w:t xml:space="preserve">Asia Pacific Journal of Teacher Education, </w:t>
      </w:r>
      <w:r w:rsidRPr="0009326B">
        <w:rPr>
          <w:rFonts w:ascii="Arial" w:hAnsi="Arial" w:cs="Arial"/>
          <w:sz w:val="24"/>
          <w:szCs w:val="24"/>
        </w:rPr>
        <w:t xml:space="preserve">Volume 41, Issue 2, pp.159-172.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Davis, G and Ryder, G. (2016) </w:t>
      </w:r>
      <w:r w:rsidRPr="0009326B">
        <w:rPr>
          <w:rFonts w:ascii="Arial" w:hAnsi="Arial" w:cs="Arial"/>
          <w:i/>
          <w:sz w:val="24"/>
          <w:szCs w:val="24"/>
        </w:rPr>
        <w:t xml:space="preserve">Leading in Early Childhood, </w:t>
      </w:r>
      <w:r w:rsidRPr="0009326B">
        <w:rPr>
          <w:rFonts w:ascii="Arial" w:hAnsi="Arial" w:cs="Arial"/>
          <w:sz w:val="24"/>
          <w:szCs w:val="24"/>
        </w:rPr>
        <w:t xml:space="preserve">London: SAGE Publications ltd.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Finlay, L. (2008) ‘Reflecting on Reflective Practice’, </w:t>
      </w:r>
      <w:hyperlink r:id="rId9" w:history="1">
        <w:r w:rsidRPr="0009326B">
          <w:rPr>
            <w:rStyle w:val="Hyperlink"/>
            <w:rFonts w:ascii="Arial" w:hAnsi="Arial" w:cs="Arial"/>
            <w:sz w:val="24"/>
            <w:szCs w:val="24"/>
          </w:rPr>
          <w:t>www.open.ac.uk</w:t>
        </w:r>
      </w:hyperlink>
      <w:r w:rsidRPr="0009326B">
        <w:rPr>
          <w:rFonts w:ascii="Arial" w:hAnsi="Arial" w:cs="Arial"/>
          <w:sz w:val="24"/>
          <w:szCs w:val="24"/>
        </w:rPr>
        <w:t xml:space="preserve"> [Accessed: 18</w:t>
      </w:r>
      <w:r w:rsidRPr="0009326B">
        <w:rPr>
          <w:rFonts w:ascii="Arial" w:hAnsi="Arial" w:cs="Arial"/>
          <w:sz w:val="24"/>
          <w:szCs w:val="24"/>
          <w:vertAlign w:val="superscript"/>
        </w:rPr>
        <w:t>th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Gaynor, A. (2013a) ‘Schons’ 1983 Reflection-in-action and Reflection-on-action’, </w:t>
      </w:r>
      <w:hyperlink r:id="rId10" w:history="1">
        <w:r w:rsidRPr="0009326B">
          <w:rPr>
            <w:rStyle w:val="Hyperlink"/>
            <w:rFonts w:ascii="Arial" w:hAnsi="Arial" w:cs="Arial"/>
            <w:sz w:val="24"/>
            <w:szCs w:val="24"/>
          </w:rPr>
          <w:t>https://hhs.hud.ac.uk</w:t>
        </w:r>
      </w:hyperlink>
      <w:r w:rsidRPr="0009326B">
        <w:rPr>
          <w:rFonts w:ascii="Arial" w:hAnsi="Arial" w:cs="Arial"/>
          <w:sz w:val="24"/>
          <w:szCs w:val="24"/>
        </w:rPr>
        <w:t xml:space="preserve"> [Accessed: 22</w:t>
      </w:r>
      <w:r w:rsidRPr="0009326B">
        <w:rPr>
          <w:rFonts w:ascii="Arial" w:hAnsi="Arial" w:cs="Arial"/>
          <w:sz w:val="24"/>
          <w:szCs w:val="24"/>
          <w:vertAlign w:val="superscript"/>
        </w:rPr>
        <w:t>nd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>Gaynor, A. (2013b) ‘Gibbs’ 1988 Reflective Cycle’, https: // hhs.hud.ac.uk [Accessed: 20</w:t>
      </w:r>
      <w:r w:rsidRPr="0009326B">
        <w:rPr>
          <w:rFonts w:ascii="Arial" w:hAnsi="Arial" w:cs="Arial"/>
          <w:sz w:val="24"/>
          <w:szCs w:val="24"/>
          <w:vertAlign w:val="superscript"/>
        </w:rPr>
        <w:t>th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Hibberd, K. (2016) ‘the importance of quality early year’s settings’, </w:t>
      </w:r>
      <w:hyperlink r:id="rId11" w:history="1">
        <w:r w:rsidRPr="0009326B">
          <w:rPr>
            <w:rStyle w:val="Hyperlink"/>
            <w:rFonts w:ascii="Arial" w:hAnsi="Arial" w:cs="Arial"/>
            <w:sz w:val="24"/>
            <w:szCs w:val="24"/>
          </w:rPr>
          <w:t>www.earlyyearscareer.com</w:t>
        </w:r>
      </w:hyperlink>
      <w:r w:rsidRPr="0009326B">
        <w:rPr>
          <w:rFonts w:ascii="Arial" w:hAnsi="Arial" w:cs="Arial"/>
          <w:sz w:val="24"/>
          <w:szCs w:val="24"/>
        </w:rPr>
        <w:t xml:space="preserve"> [Accessed: 22</w:t>
      </w:r>
      <w:r w:rsidRPr="0009326B">
        <w:rPr>
          <w:rFonts w:ascii="Arial" w:hAnsi="Arial" w:cs="Arial"/>
          <w:sz w:val="24"/>
          <w:szCs w:val="24"/>
          <w:vertAlign w:val="superscript"/>
        </w:rPr>
        <w:t>nd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Jarvis, P., George, J., Holland, W. and Doherty, J. (2016) </w:t>
      </w:r>
      <w:r w:rsidRPr="0009326B">
        <w:rPr>
          <w:rFonts w:ascii="Arial" w:hAnsi="Arial" w:cs="Arial"/>
          <w:i/>
          <w:sz w:val="24"/>
          <w:szCs w:val="24"/>
        </w:rPr>
        <w:t xml:space="preserve">The complete companion for teaching and learning practice in the early years, </w:t>
      </w:r>
      <w:r w:rsidRPr="0009326B">
        <w:rPr>
          <w:rFonts w:ascii="Arial" w:hAnsi="Arial" w:cs="Arial"/>
          <w:sz w:val="24"/>
          <w:szCs w:val="24"/>
        </w:rPr>
        <w:t xml:space="preserve">New York: Routledge. </w:t>
      </w:r>
    </w:p>
    <w:p w:rsidR="001F11A4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Lia, P. (2016) ‘Using Gibbs’ Reflective Cycle’, </w:t>
      </w:r>
      <w:hyperlink r:id="rId12" w:history="1">
        <w:r w:rsidRPr="000034D8">
          <w:rPr>
            <w:rStyle w:val="Hyperlink"/>
            <w:rFonts w:ascii="Arial" w:hAnsi="Arial" w:cs="Arial"/>
            <w:sz w:val="24"/>
            <w:szCs w:val="24"/>
          </w:rPr>
          <w:t>https://www.kcl.ac.uk</w:t>
        </w:r>
      </w:hyperlink>
      <w:r>
        <w:rPr>
          <w:rFonts w:ascii="Arial" w:hAnsi="Arial" w:cs="Arial"/>
          <w:sz w:val="24"/>
          <w:szCs w:val="24"/>
        </w:rPr>
        <w:t xml:space="preserve"> [Accessed: 26</w:t>
      </w:r>
      <w:r w:rsidRPr="00BA5B9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lastRenderedPageBreak/>
        <w:t xml:space="preserve">Lindon, J. and Trodd, L. (2016) </w:t>
      </w:r>
      <w:r w:rsidRPr="0009326B">
        <w:rPr>
          <w:rFonts w:ascii="Arial" w:hAnsi="Arial" w:cs="Arial"/>
          <w:i/>
          <w:sz w:val="24"/>
          <w:szCs w:val="24"/>
        </w:rPr>
        <w:t xml:space="preserve">Reflective Practice and Early Professionalism, </w:t>
      </w:r>
      <w:r w:rsidRPr="0009326B">
        <w:rPr>
          <w:rFonts w:ascii="Arial" w:hAnsi="Arial" w:cs="Arial"/>
          <w:sz w:val="24"/>
          <w:szCs w:val="24"/>
        </w:rPr>
        <w:t xml:space="preserve">London: SAGE Publications ltd.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McFarland, L., Saunder, K. and Allen, S. (2009) ‘Reflective Practice and Self-Evaluation in Learning Positive Guidance: Experiences of Early Childhood Practicum Students’, </w:t>
      </w:r>
      <w:r w:rsidRPr="0009326B">
        <w:rPr>
          <w:rFonts w:ascii="Arial" w:hAnsi="Arial" w:cs="Arial"/>
          <w:i/>
          <w:sz w:val="24"/>
          <w:szCs w:val="24"/>
        </w:rPr>
        <w:t xml:space="preserve">Early Childhood Education Journal, </w:t>
      </w:r>
      <w:r w:rsidRPr="0009326B">
        <w:rPr>
          <w:rFonts w:ascii="Arial" w:hAnsi="Arial" w:cs="Arial"/>
          <w:sz w:val="24"/>
          <w:szCs w:val="24"/>
        </w:rPr>
        <w:t xml:space="preserve">Volume 36, pp.505-511.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Mukherji, P. and Dryden, L. (2014) </w:t>
      </w:r>
      <w:r w:rsidRPr="0009326B">
        <w:rPr>
          <w:rFonts w:ascii="Arial" w:hAnsi="Arial" w:cs="Arial"/>
          <w:i/>
          <w:sz w:val="24"/>
          <w:szCs w:val="24"/>
        </w:rPr>
        <w:t xml:space="preserve">Foundations of Early Childhood, </w:t>
      </w:r>
      <w:r w:rsidRPr="0009326B">
        <w:rPr>
          <w:rFonts w:ascii="Arial" w:hAnsi="Arial" w:cs="Arial"/>
          <w:sz w:val="24"/>
          <w:szCs w:val="24"/>
        </w:rPr>
        <w:t xml:space="preserve">London: SAGE Publications ltd.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Oostdam, R. and Hooge, E. (2013) ‘Making the difference with active parenting: forming educational partnerships between parents and schools’, </w:t>
      </w:r>
      <w:r w:rsidRPr="0009326B">
        <w:rPr>
          <w:rFonts w:ascii="Arial" w:hAnsi="Arial" w:cs="Arial"/>
          <w:i/>
          <w:sz w:val="24"/>
          <w:szCs w:val="24"/>
        </w:rPr>
        <w:t xml:space="preserve">European Journal of Psychology of Education, </w:t>
      </w:r>
      <w:r w:rsidRPr="0009326B">
        <w:rPr>
          <w:rFonts w:ascii="Arial" w:hAnsi="Arial" w:cs="Arial"/>
          <w:sz w:val="24"/>
          <w:szCs w:val="24"/>
        </w:rPr>
        <w:t xml:space="preserve">Volume 28, Issue, 2, pp.337-351. [On-Line]. Available at: </w:t>
      </w:r>
      <w:hyperlink r:id="rId13" w:history="1">
        <w:r w:rsidRPr="0009326B">
          <w:rPr>
            <w:rStyle w:val="Hyperlink"/>
            <w:rFonts w:ascii="Arial" w:hAnsi="Arial" w:cs="Arial"/>
            <w:sz w:val="24"/>
            <w:szCs w:val="24"/>
          </w:rPr>
          <w:t>https://link.springer.com</w:t>
        </w:r>
      </w:hyperlink>
      <w:r w:rsidRPr="0009326B">
        <w:rPr>
          <w:rFonts w:ascii="Arial" w:hAnsi="Arial" w:cs="Arial"/>
          <w:sz w:val="24"/>
          <w:szCs w:val="24"/>
        </w:rPr>
        <w:t xml:space="preserve"> [Accessed: 25</w:t>
      </w:r>
      <w:r w:rsidRPr="0009326B">
        <w:rPr>
          <w:rFonts w:ascii="Arial" w:hAnsi="Arial" w:cs="Arial"/>
          <w:sz w:val="24"/>
          <w:szCs w:val="24"/>
          <w:vertAlign w:val="superscript"/>
        </w:rPr>
        <w:t>TH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Oxford Brookes University. (2017) ‘Reflective Writing: About Gibbs Reflective Cycle’, https:// </w:t>
      </w:r>
      <w:hyperlink r:id="rId14" w:history="1">
        <w:r w:rsidRPr="0009326B">
          <w:rPr>
            <w:rStyle w:val="Hyperlink"/>
            <w:rFonts w:ascii="Arial" w:hAnsi="Arial" w:cs="Arial"/>
            <w:sz w:val="24"/>
            <w:szCs w:val="24"/>
          </w:rPr>
          <w:t>www.brookes.ac.uk</w:t>
        </w:r>
      </w:hyperlink>
      <w:r w:rsidRPr="0009326B">
        <w:rPr>
          <w:rFonts w:ascii="Arial" w:hAnsi="Arial" w:cs="Arial"/>
          <w:sz w:val="24"/>
          <w:szCs w:val="24"/>
        </w:rPr>
        <w:t xml:space="preserve"> [Accessed: 22</w:t>
      </w:r>
      <w:r w:rsidRPr="0009326B">
        <w:rPr>
          <w:rFonts w:ascii="Arial" w:hAnsi="Arial" w:cs="Arial"/>
          <w:sz w:val="24"/>
          <w:szCs w:val="24"/>
          <w:vertAlign w:val="superscript"/>
        </w:rPr>
        <w:t>nd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Pianta, R.C. and Higgins, T. (2001) ‘Collaboration in building partnerships between families and schools: the national centre for early development and learning’s kindergarten transition intervention’, </w:t>
      </w:r>
      <w:r w:rsidRPr="0009326B">
        <w:rPr>
          <w:rFonts w:ascii="Arial" w:hAnsi="Arial" w:cs="Arial"/>
          <w:i/>
          <w:sz w:val="24"/>
          <w:szCs w:val="24"/>
        </w:rPr>
        <w:t xml:space="preserve">Early Childhood Research Quarterly, </w:t>
      </w:r>
      <w:r w:rsidRPr="0009326B">
        <w:rPr>
          <w:rFonts w:ascii="Arial" w:hAnsi="Arial" w:cs="Arial"/>
          <w:sz w:val="24"/>
          <w:szCs w:val="24"/>
        </w:rPr>
        <w:t xml:space="preserve">Volume 16, Issue 1, pp.117- 132. [On-Line] Available at: </w:t>
      </w:r>
      <w:hyperlink r:id="rId15" w:history="1">
        <w:r w:rsidRPr="0009326B">
          <w:rPr>
            <w:rStyle w:val="Hyperlink"/>
            <w:rFonts w:ascii="Arial" w:hAnsi="Arial" w:cs="Arial"/>
            <w:sz w:val="24"/>
            <w:szCs w:val="24"/>
          </w:rPr>
          <w:t>www.sciencedirect.com</w:t>
        </w:r>
      </w:hyperlink>
      <w:r w:rsidRPr="0009326B">
        <w:rPr>
          <w:rFonts w:ascii="Arial" w:hAnsi="Arial" w:cs="Arial"/>
          <w:sz w:val="24"/>
          <w:szCs w:val="24"/>
        </w:rPr>
        <w:t xml:space="preserve"> [Accessed: 25</w:t>
      </w:r>
      <w:r w:rsidRPr="0009326B">
        <w:rPr>
          <w:rFonts w:ascii="Arial" w:hAnsi="Arial" w:cs="Arial"/>
          <w:sz w:val="24"/>
          <w:szCs w:val="24"/>
          <w:vertAlign w:val="superscript"/>
        </w:rPr>
        <w:t>th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Queensland Government (2006) ‘Reflecting on my teaching practices’, </w:t>
      </w:r>
      <w:hyperlink r:id="rId16" w:history="1">
        <w:r w:rsidRPr="0009326B">
          <w:rPr>
            <w:rStyle w:val="Hyperlink"/>
            <w:rFonts w:ascii="Arial" w:hAnsi="Arial" w:cs="Arial"/>
            <w:sz w:val="24"/>
            <w:szCs w:val="24"/>
          </w:rPr>
          <w:t>https://qcaa.qld.edu.au</w:t>
        </w:r>
      </w:hyperlink>
      <w:r w:rsidRPr="0009326B">
        <w:rPr>
          <w:rFonts w:ascii="Arial" w:hAnsi="Arial" w:cs="Arial"/>
          <w:sz w:val="24"/>
          <w:szCs w:val="24"/>
        </w:rPr>
        <w:t xml:space="preserve"> [Accessed: 22</w:t>
      </w:r>
      <w:r w:rsidRPr="0009326B">
        <w:rPr>
          <w:rFonts w:ascii="Arial" w:hAnsi="Arial" w:cs="Arial"/>
          <w:sz w:val="24"/>
          <w:szCs w:val="24"/>
          <w:vertAlign w:val="superscript"/>
        </w:rPr>
        <w:t>nd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 xml:space="preserve">Sandars, J. (2009) ‘the use of reflection in medical education’, </w:t>
      </w:r>
      <w:r w:rsidRPr="0009326B">
        <w:rPr>
          <w:rFonts w:ascii="Arial" w:hAnsi="Arial" w:cs="Arial"/>
          <w:i/>
          <w:sz w:val="24"/>
          <w:szCs w:val="24"/>
        </w:rPr>
        <w:t xml:space="preserve">Medical Teacher, </w:t>
      </w:r>
      <w:r w:rsidRPr="0009326B">
        <w:rPr>
          <w:rFonts w:ascii="Arial" w:hAnsi="Arial" w:cs="Arial"/>
          <w:sz w:val="24"/>
          <w:szCs w:val="24"/>
        </w:rPr>
        <w:t xml:space="preserve">Volume 31, Issue 8, pp.685-695. [On-Line] Available at: </w:t>
      </w:r>
      <w:hyperlink r:id="rId17" w:history="1">
        <w:r w:rsidRPr="0009326B">
          <w:rPr>
            <w:rStyle w:val="Hyperlink"/>
            <w:rFonts w:ascii="Arial" w:hAnsi="Arial" w:cs="Arial"/>
            <w:sz w:val="24"/>
            <w:szCs w:val="24"/>
          </w:rPr>
          <w:t>www.tandfonline.com</w:t>
        </w:r>
      </w:hyperlink>
      <w:r w:rsidRPr="0009326B">
        <w:rPr>
          <w:rFonts w:ascii="Arial" w:hAnsi="Arial" w:cs="Arial"/>
          <w:sz w:val="24"/>
          <w:szCs w:val="24"/>
        </w:rPr>
        <w:t xml:space="preserve"> [Accessed: 20</w:t>
      </w:r>
      <w:r w:rsidRPr="0009326B">
        <w:rPr>
          <w:rFonts w:ascii="Arial" w:hAnsi="Arial" w:cs="Arial"/>
          <w:sz w:val="24"/>
          <w:szCs w:val="24"/>
          <w:vertAlign w:val="superscript"/>
        </w:rPr>
        <w:t>th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09326B">
        <w:rPr>
          <w:rFonts w:ascii="Arial" w:hAnsi="Arial" w:cs="Arial"/>
          <w:sz w:val="24"/>
          <w:szCs w:val="24"/>
        </w:rPr>
        <w:t>Sylva, K., Melhuish, E., Sammons, P., Siraj-Blatchford, I. and Taggart, B. (2004) ‘the effective provision of pre-school education (EPPE) Project’, dera.ioe.ac.uk [Accessed: 20</w:t>
      </w:r>
      <w:r w:rsidRPr="0009326B">
        <w:rPr>
          <w:rFonts w:ascii="Arial" w:hAnsi="Arial" w:cs="Arial"/>
          <w:sz w:val="24"/>
          <w:szCs w:val="24"/>
          <w:vertAlign w:val="superscript"/>
        </w:rPr>
        <w:t>th</w:t>
      </w:r>
      <w:r w:rsidRPr="0009326B">
        <w:rPr>
          <w:rFonts w:ascii="Arial" w:hAnsi="Arial" w:cs="Arial"/>
          <w:sz w:val="24"/>
          <w:szCs w:val="24"/>
        </w:rPr>
        <w:t xml:space="preserve"> October 2017]. </w:t>
      </w:r>
    </w:p>
    <w:p w:rsidR="001F11A4" w:rsidRPr="0009326B" w:rsidRDefault="001F11A4" w:rsidP="001F11A4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Assembly Government (2010) ‘A Curriculum for all learners’, </w:t>
      </w:r>
      <w:hyperlink r:id="rId18" w:history="1">
        <w:r w:rsidRPr="000034D8">
          <w:rPr>
            <w:rStyle w:val="Hyperlink"/>
            <w:rFonts w:ascii="Arial" w:hAnsi="Arial" w:cs="Arial"/>
            <w:sz w:val="24"/>
            <w:szCs w:val="24"/>
          </w:rPr>
          <w:t>www.cymru.gov.uk</w:t>
        </w:r>
      </w:hyperlink>
      <w:r>
        <w:rPr>
          <w:rFonts w:ascii="Arial" w:hAnsi="Arial" w:cs="Arial"/>
          <w:sz w:val="24"/>
          <w:szCs w:val="24"/>
        </w:rPr>
        <w:t xml:space="preserve"> [Accessed: 26</w:t>
      </w:r>
      <w:r>
        <w:rPr>
          <w:rFonts w:ascii="Arial" w:hAnsi="Arial" w:cs="Arial"/>
          <w:sz w:val="24"/>
          <w:szCs w:val="24"/>
          <w:vertAlign w:val="superscript"/>
        </w:rPr>
        <w:t xml:space="preserve">th </w:t>
      </w:r>
      <w:r>
        <w:rPr>
          <w:rFonts w:ascii="Arial" w:hAnsi="Arial" w:cs="Arial"/>
          <w:sz w:val="24"/>
          <w:szCs w:val="24"/>
        </w:rPr>
        <w:t xml:space="preserve">October 2017]. </w:t>
      </w:r>
    </w:p>
    <w:p w:rsidR="00826D4C" w:rsidRDefault="002F0745">
      <w:bookmarkStart w:id="0" w:name="_GoBack"/>
      <w:bookmarkEnd w:id="0"/>
    </w:p>
    <w:sectPr w:rsidR="00826D4C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F0745" w:rsidRDefault="002F0745" w:rsidP="001F11A4">
      <w:pPr>
        <w:spacing w:after="0" w:line="240" w:lineRule="auto"/>
      </w:pPr>
      <w:r>
        <w:separator/>
      </w:r>
    </w:p>
  </w:endnote>
  <w:endnote w:type="continuationSeparator" w:id="0">
    <w:p w:rsidR="002F0745" w:rsidRDefault="002F0745" w:rsidP="001F11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92252029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F11A4" w:rsidRDefault="001F11A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F11A4" w:rsidRDefault="001F11A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F0745" w:rsidRDefault="002F0745" w:rsidP="001F11A4">
      <w:pPr>
        <w:spacing w:after="0" w:line="240" w:lineRule="auto"/>
      </w:pPr>
      <w:r>
        <w:separator/>
      </w:r>
    </w:p>
  </w:footnote>
  <w:footnote w:type="continuationSeparator" w:id="0">
    <w:p w:rsidR="002F0745" w:rsidRDefault="002F0745" w:rsidP="001F11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F11A4" w:rsidRDefault="001F11A4">
    <w:pPr>
      <w:pStyle w:val="Header"/>
    </w:pPr>
    <w:r>
      <w:t>EAEC6001</w:t>
    </w:r>
  </w:p>
  <w:p w:rsidR="001F11A4" w:rsidRDefault="001F11A4">
    <w:pPr>
      <w:pStyle w:val="Header"/>
    </w:pPr>
    <w:r>
      <w:t>1400508</w:t>
    </w:r>
  </w:p>
  <w:p w:rsidR="001F11A4" w:rsidRDefault="001F11A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11A4"/>
    <w:rsid w:val="001F11A4"/>
    <w:rsid w:val="002F0745"/>
    <w:rsid w:val="00861267"/>
    <w:rsid w:val="00B87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035D89C-57A1-47DD-839D-D93CD3CE3F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F11A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F11A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F11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11A4"/>
  </w:style>
  <w:style w:type="paragraph" w:styleId="Footer">
    <w:name w:val="footer"/>
    <w:basedOn w:val="Normal"/>
    <w:link w:val="FooterChar"/>
    <w:uiPriority w:val="99"/>
    <w:unhideWhenUsed/>
    <w:rsid w:val="001F11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11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yor-ok.org.uk" TargetMode="External"/><Relationship Id="rId13" Type="http://schemas.openxmlformats.org/officeDocument/2006/relationships/hyperlink" Target="https://link.springer.com" TargetMode="External"/><Relationship Id="rId18" Type="http://schemas.openxmlformats.org/officeDocument/2006/relationships/hyperlink" Target="http://www.cymru.gov.uk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books.google.co.uk" TargetMode="External"/><Relationship Id="rId12" Type="http://schemas.openxmlformats.org/officeDocument/2006/relationships/hyperlink" Target="https://www.kcl.ac.uk" TargetMode="External"/><Relationship Id="rId17" Type="http://schemas.openxmlformats.org/officeDocument/2006/relationships/hyperlink" Target="http://www.tandfonline.co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qcaa.qld.edu.au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://www.ncca.ie" TargetMode="External"/><Relationship Id="rId11" Type="http://schemas.openxmlformats.org/officeDocument/2006/relationships/hyperlink" Target="http://www.earlyyearscareer.com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sciencedirect.com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hhs.hud.ac.uk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://www.open.ac.uk" TargetMode="External"/><Relationship Id="rId14" Type="http://schemas.openxmlformats.org/officeDocument/2006/relationships/hyperlink" Target="http://www.brookes.ac.uk" TargetMode="External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267CC"/>
    <w:rsid w:val="00473572"/>
    <w:rsid w:val="00B267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CF1F4EA7E1E44B0A367ADCAFDD03D56">
    <w:name w:val="5CF1F4EA7E1E44B0A367ADCAFDD03D56"/>
    <w:rsid w:val="00B267C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589</Words>
  <Characters>3359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Mellisa Wray</dc:creator>
  <cp:keywords/>
  <dc:description/>
  <cp:lastModifiedBy>Mellisa Wray</cp:lastModifiedBy>
  <cp:revision>1</cp:revision>
  <dcterms:created xsi:type="dcterms:W3CDTF">2017-10-26T17:54:00Z</dcterms:created>
  <dcterms:modified xsi:type="dcterms:W3CDTF">2017-10-26T17:56:00Z</dcterms:modified>
</cp:coreProperties>
</file>