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8B1469" w14:textId="77777777" w:rsidR="00A0756B" w:rsidRPr="00C13252" w:rsidRDefault="00A0756B">
      <w:pPr>
        <w:spacing w:before="2400"/>
        <w:jc w:val="center"/>
        <w:rPr>
          <w:rFonts w:ascii="Arial" w:hAnsi="Arial" w:cs="Arial"/>
          <w:sz w:val="22"/>
          <w:szCs w:val="22"/>
        </w:rPr>
      </w:pPr>
    </w:p>
    <w:p w14:paraId="4F9AB904" w14:textId="77777777" w:rsidR="00A0756B" w:rsidRDefault="000420D5">
      <w:pPr>
        <w:spacing w:after="360"/>
        <w:jc w:val="center"/>
      </w:pPr>
      <w:r>
        <w:rPr>
          <w:rFonts w:ascii="Arial" w:hAnsi="Arial"/>
          <w:b/>
          <w:sz w:val="40"/>
        </w:rPr>
        <w:t>Component 1: Reflective Report</w:t>
      </w:r>
    </w:p>
    <w:p w14:paraId="7DB8A31F" w14:textId="77777777" w:rsidR="00A0756B" w:rsidRDefault="000420D5">
      <w:pPr>
        <w:spacing w:after="1200"/>
        <w:jc w:val="center"/>
      </w:pPr>
      <w:r>
        <w:rPr>
          <w:rFonts w:ascii="Arial" w:hAnsi="Arial"/>
          <w:sz w:val="28"/>
        </w:rPr>
        <w:t>Person-Centred Care, Partnership Working and Ethical Practice in Health and Social Care</w:t>
      </w:r>
    </w:p>
    <w:p w14:paraId="2F56CB4F" w14:textId="52D661CB" w:rsidR="00A0756B" w:rsidRDefault="000420D5">
      <w:pPr>
        <w:spacing w:after="160"/>
        <w:jc w:val="center"/>
      </w:pPr>
      <w:r>
        <w:rPr>
          <w:rFonts w:ascii="Arial" w:hAnsi="Arial"/>
          <w:b/>
          <w:sz w:val="22"/>
        </w:rPr>
        <w:t xml:space="preserve">Student name: </w:t>
      </w:r>
      <w:r w:rsidR="00C9080C">
        <w:rPr>
          <w:rFonts w:ascii="Arial" w:hAnsi="Arial"/>
          <w:sz w:val="22"/>
        </w:rPr>
        <w:t>Elizabeth Nuworkpor</w:t>
      </w:r>
    </w:p>
    <w:p w14:paraId="2FC250AB" w14:textId="39F3432B" w:rsidR="00A0756B" w:rsidRDefault="000420D5">
      <w:pPr>
        <w:spacing w:after="160"/>
        <w:jc w:val="center"/>
      </w:pPr>
      <w:r>
        <w:rPr>
          <w:rFonts w:ascii="Arial" w:hAnsi="Arial"/>
          <w:b/>
          <w:sz w:val="22"/>
        </w:rPr>
        <w:t xml:space="preserve">Student number: </w:t>
      </w:r>
      <w:r w:rsidR="001D59EB">
        <w:rPr>
          <w:rFonts w:ascii="Arial" w:hAnsi="Arial"/>
          <w:b/>
          <w:sz w:val="22"/>
        </w:rPr>
        <w:t>2508597</w:t>
      </w:r>
    </w:p>
    <w:p w14:paraId="4C9D8816" w14:textId="77777777" w:rsidR="00A0756B" w:rsidRDefault="000420D5">
      <w:pPr>
        <w:spacing w:after="160"/>
        <w:jc w:val="center"/>
      </w:pPr>
      <w:r>
        <w:rPr>
          <w:rFonts w:ascii="Arial" w:hAnsi="Arial"/>
          <w:b/>
          <w:sz w:val="22"/>
        </w:rPr>
        <w:t xml:space="preserve">Module title: </w:t>
      </w:r>
      <w:r>
        <w:rPr>
          <w:rFonts w:ascii="Arial" w:hAnsi="Arial"/>
          <w:sz w:val="22"/>
        </w:rPr>
        <w:t>Principles of Health and Social Care Practice</w:t>
      </w:r>
    </w:p>
    <w:p w14:paraId="527A9745" w14:textId="77777777" w:rsidR="00A0756B" w:rsidRDefault="000420D5">
      <w:pPr>
        <w:spacing w:after="160"/>
        <w:jc w:val="center"/>
      </w:pPr>
      <w:r>
        <w:rPr>
          <w:rFonts w:ascii="Arial" w:hAnsi="Arial"/>
          <w:b/>
          <w:sz w:val="22"/>
        </w:rPr>
        <w:t xml:space="preserve">Module code: </w:t>
      </w:r>
      <w:r>
        <w:rPr>
          <w:rFonts w:ascii="Arial" w:hAnsi="Arial"/>
          <w:sz w:val="22"/>
        </w:rPr>
        <w:t>BMHP5016</w:t>
      </w:r>
    </w:p>
    <w:p w14:paraId="54574856" w14:textId="51B1B040" w:rsidR="00A0756B" w:rsidRDefault="000420D5" w:rsidP="00C9080C">
      <w:pPr>
        <w:spacing w:after="160"/>
        <w:jc w:val="center"/>
        <w:rPr>
          <w:rFonts w:ascii="Arial" w:hAnsi="Arial"/>
          <w:sz w:val="22"/>
        </w:rPr>
      </w:pPr>
      <w:r>
        <w:rPr>
          <w:rFonts w:ascii="Arial" w:hAnsi="Arial"/>
          <w:b/>
          <w:sz w:val="22"/>
        </w:rPr>
        <w:t xml:space="preserve">Assignment title: </w:t>
      </w:r>
      <w:r>
        <w:rPr>
          <w:rFonts w:ascii="Arial" w:hAnsi="Arial"/>
          <w:sz w:val="22"/>
        </w:rPr>
        <w:t>Component 1: Written Assignment (Reflective Report)</w:t>
      </w:r>
    </w:p>
    <w:p w14:paraId="61637570" w14:textId="3895491A" w:rsidR="001D59EB" w:rsidRPr="001D59EB" w:rsidRDefault="001D59EB" w:rsidP="00C9080C">
      <w:pPr>
        <w:spacing w:after="160"/>
        <w:jc w:val="center"/>
      </w:pPr>
      <w:r w:rsidRPr="001D59EB">
        <w:rPr>
          <w:rFonts w:ascii="Arial" w:hAnsi="Arial"/>
          <w:b/>
          <w:bCs/>
          <w:sz w:val="22"/>
        </w:rPr>
        <w:t xml:space="preserve">Lecturer: </w:t>
      </w:r>
      <w:r>
        <w:rPr>
          <w:rFonts w:ascii="Arial" w:hAnsi="Arial"/>
          <w:sz w:val="22"/>
        </w:rPr>
        <w:t>Azida Zainol</w:t>
      </w:r>
    </w:p>
    <w:p w14:paraId="337EE24F" w14:textId="77777777" w:rsidR="00A0756B" w:rsidRDefault="000420D5">
      <w:pPr>
        <w:jc w:val="center"/>
      </w:pPr>
      <w:r>
        <w:br w:type="page"/>
      </w:r>
    </w:p>
    <w:p w14:paraId="25BCCD16" w14:textId="77777777" w:rsidR="00A0756B" w:rsidRDefault="000420D5">
      <w:pPr>
        <w:spacing w:after="240"/>
      </w:pPr>
      <w:r>
        <w:rPr>
          <w:rFonts w:ascii="Arial" w:hAnsi="Arial"/>
          <w:b/>
          <w:sz w:val="28"/>
        </w:rPr>
        <w:lastRenderedPageBreak/>
        <w:t>CONTENTS</w:t>
      </w:r>
    </w:p>
    <w:p w14:paraId="57149D68" w14:textId="77777777" w:rsidR="00A0756B" w:rsidRDefault="000420D5">
      <w:pPr>
        <w:tabs>
          <w:tab w:val="right" w:leader="dot" w:pos="9026"/>
        </w:tabs>
      </w:pPr>
      <w:r>
        <w:fldChar w:fldCharType="begin"/>
      </w:r>
      <w:r>
        <w:instrText xml:space="preserve"> TOC \o "1-2" \h \z \u </w:instrText>
      </w:r>
      <w:r>
        <w:fldChar w:fldCharType="separate"/>
      </w:r>
      <w:r>
        <w:rPr>
          <w:rFonts w:ascii="Arial" w:hAnsi="Arial"/>
          <w:b/>
          <w:sz w:val="22"/>
        </w:rPr>
        <w:t>INTRODUCTION</w:t>
      </w:r>
      <w:r>
        <w:rPr>
          <w:rFonts w:ascii="Arial" w:hAnsi="Arial"/>
          <w:b/>
          <w:sz w:val="22"/>
        </w:rPr>
        <w:tab/>
        <w:t>3</w:t>
      </w:r>
    </w:p>
    <w:p w14:paraId="4CE78582" w14:textId="77777777" w:rsidR="00A0756B" w:rsidRDefault="000420D5">
      <w:pPr>
        <w:tabs>
          <w:tab w:val="right" w:leader="dot" w:pos="9026"/>
        </w:tabs>
      </w:pPr>
      <w:r>
        <w:rPr>
          <w:rFonts w:ascii="Arial" w:hAnsi="Arial"/>
          <w:b/>
          <w:sz w:val="22"/>
        </w:rPr>
        <w:t>TASK 1</w:t>
      </w:r>
      <w:r>
        <w:rPr>
          <w:rFonts w:ascii="Arial" w:hAnsi="Arial"/>
          <w:b/>
          <w:sz w:val="22"/>
        </w:rPr>
        <w:tab/>
        <w:t>3</w:t>
      </w:r>
    </w:p>
    <w:p w14:paraId="68F9A730" w14:textId="77777777" w:rsidR="00A0756B" w:rsidRDefault="000420D5">
      <w:pPr>
        <w:tabs>
          <w:tab w:val="right" w:leader="dot" w:pos="9026"/>
        </w:tabs>
      </w:pPr>
      <w:r>
        <w:rPr>
          <w:rFonts w:ascii="Arial" w:hAnsi="Arial"/>
          <w:b/>
          <w:sz w:val="22"/>
        </w:rPr>
        <w:t>TASK 2</w:t>
      </w:r>
      <w:r>
        <w:rPr>
          <w:rFonts w:ascii="Arial" w:hAnsi="Arial"/>
          <w:b/>
          <w:sz w:val="22"/>
        </w:rPr>
        <w:tab/>
        <w:t>4</w:t>
      </w:r>
    </w:p>
    <w:p w14:paraId="4C8FC9E8" w14:textId="77777777" w:rsidR="00A0756B" w:rsidRDefault="000420D5">
      <w:pPr>
        <w:tabs>
          <w:tab w:val="right" w:leader="dot" w:pos="9026"/>
        </w:tabs>
      </w:pPr>
      <w:r>
        <w:rPr>
          <w:rFonts w:ascii="Arial" w:hAnsi="Arial"/>
          <w:b/>
          <w:sz w:val="22"/>
        </w:rPr>
        <w:t>TASK 3</w:t>
      </w:r>
      <w:r>
        <w:rPr>
          <w:rFonts w:ascii="Arial" w:hAnsi="Arial"/>
          <w:b/>
          <w:sz w:val="22"/>
        </w:rPr>
        <w:tab/>
        <w:t>6</w:t>
      </w:r>
    </w:p>
    <w:p w14:paraId="4341B195" w14:textId="77777777" w:rsidR="00A0756B" w:rsidRDefault="000420D5">
      <w:pPr>
        <w:tabs>
          <w:tab w:val="right" w:leader="dot" w:pos="9026"/>
        </w:tabs>
        <w:ind w:left="360"/>
      </w:pPr>
      <w:r>
        <w:rPr>
          <w:rFonts w:ascii="Arial" w:hAnsi="Arial"/>
          <w:sz w:val="22"/>
        </w:rPr>
        <w:t>Experience</w:t>
      </w:r>
      <w:r>
        <w:rPr>
          <w:rFonts w:ascii="Arial" w:hAnsi="Arial"/>
          <w:sz w:val="22"/>
        </w:rPr>
        <w:tab/>
        <w:t>6</w:t>
      </w:r>
    </w:p>
    <w:p w14:paraId="4A4674F9" w14:textId="77777777" w:rsidR="00A0756B" w:rsidRDefault="000420D5">
      <w:pPr>
        <w:tabs>
          <w:tab w:val="right" w:leader="dot" w:pos="9026"/>
        </w:tabs>
        <w:ind w:left="360"/>
      </w:pPr>
      <w:r>
        <w:rPr>
          <w:rFonts w:ascii="Arial" w:hAnsi="Arial"/>
          <w:sz w:val="22"/>
        </w:rPr>
        <w:t>Reflection</w:t>
      </w:r>
      <w:r>
        <w:rPr>
          <w:rFonts w:ascii="Arial" w:hAnsi="Arial"/>
          <w:sz w:val="22"/>
        </w:rPr>
        <w:tab/>
        <w:t>7</w:t>
      </w:r>
    </w:p>
    <w:p w14:paraId="0C02581D" w14:textId="77777777" w:rsidR="00A0756B" w:rsidRDefault="000420D5">
      <w:pPr>
        <w:tabs>
          <w:tab w:val="right" w:leader="dot" w:pos="9026"/>
        </w:tabs>
        <w:ind w:left="360"/>
      </w:pPr>
      <w:r>
        <w:rPr>
          <w:rFonts w:ascii="Arial" w:hAnsi="Arial"/>
          <w:sz w:val="22"/>
        </w:rPr>
        <w:t>Action</w:t>
      </w:r>
      <w:r>
        <w:rPr>
          <w:rFonts w:ascii="Arial" w:hAnsi="Arial"/>
          <w:sz w:val="22"/>
        </w:rPr>
        <w:tab/>
        <w:t>7</w:t>
      </w:r>
    </w:p>
    <w:p w14:paraId="50FB1A57" w14:textId="77777777" w:rsidR="00A0756B" w:rsidRDefault="000420D5">
      <w:pPr>
        <w:tabs>
          <w:tab w:val="right" w:leader="dot" w:pos="9026"/>
        </w:tabs>
      </w:pPr>
      <w:r>
        <w:rPr>
          <w:rFonts w:ascii="Arial" w:hAnsi="Arial"/>
          <w:b/>
          <w:sz w:val="22"/>
        </w:rPr>
        <w:t>CONCLUSION</w:t>
      </w:r>
      <w:r>
        <w:rPr>
          <w:rFonts w:ascii="Arial" w:hAnsi="Arial"/>
          <w:b/>
          <w:sz w:val="22"/>
        </w:rPr>
        <w:tab/>
        <w:t>8</w:t>
      </w:r>
    </w:p>
    <w:p w14:paraId="4C2E5239" w14:textId="77777777" w:rsidR="00A0756B" w:rsidRDefault="000420D5">
      <w:pPr>
        <w:tabs>
          <w:tab w:val="right" w:leader="dot" w:pos="9026"/>
        </w:tabs>
      </w:pPr>
      <w:r>
        <w:rPr>
          <w:rFonts w:ascii="Arial" w:hAnsi="Arial"/>
          <w:b/>
          <w:sz w:val="22"/>
        </w:rPr>
        <w:t>Reference List</w:t>
      </w:r>
      <w:r>
        <w:rPr>
          <w:rFonts w:ascii="Arial" w:hAnsi="Arial"/>
          <w:b/>
          <w:sz w:val="22"/>
        </w:rPr>
        <w:tab/>
        <w:t>9</w:t>
      </w:r>
      <w:r>
        <w:fldChar w:fldCharType="end"/>
      </w:r>
    </w:p>
    <w:p w14:paraId="28152DA6" w14:textId="77777777" w:rsidR="00A0756B" w:rsidRDefault="000420D5">
      <w:pPr>
        <w:jc w:val="center"/>
      </w:pPr>
      <w:r>
        <w:br w:type="page"/>
      </w:r>
    </w:p>
    <w:p w14:paraId="4F850415" w14:textId="77777777" w:rsidR="00A01247" w:rsidRPr="00661707" w:rsidRDefault="00D86C75" w:rsidP="00060DB8">
      <w:pPr>
        <w:pStyle w:val="Heading1"/>
        <w:jc w:val="both"/>
        <w:rPr>
          <w:rFonts w:ascii="Arial" w:hAnsi="Arial" w:cs="Arial"/>
          <w:sz w:val="22"/>
          <w:szCs w:val="22"/>
        </w:rPr>
      </w:pPr>
      <w:r w:rsidRPr="009D6878">
        <w:rPr>
          <w:rFonts w:ascii="Arial" w:hAnsi="Arial" w:cs="Arial"/>
          <w:bCs/>
          <w:sz w:val="22"/>
          <w:szCs w:val="22"/>
          <w:u w:val="single"/>
        </w:rPr>
        <w:lastRenderedPageBreak/>
        <w:t>INTRODUCTION</w:t>
      </w:r>
    </w:p>
    <w:p w14:paraId="3CFA7E1C" w14:textId="77777777" w:rsidR="00D564DC" w:rsidRPr="009D6878" w:rsidRDefault="00D564DC" w:rsidP="00060DB8">
      <w:pPr>
        <w:jc w:val="both"/>
        <w:rPr>
          <w:rFonts w:ascii="Arial" w:hAnsi="Arial" w:cs="Arial"/>
          <w:sz w:val="22"/>
          <w:szCs w:val="22"/>
        </w:rPr>
      </w:pPr>
      <w:r w:rsidRPr="009D6878">
        <w:rPr>
          <w:rFonts w:ascii="Arial" w:hAnsi="Arial" w:cs="Arial"/>
          <w:sz w:val="22"/>
          <w:szCs w:val="22"/>
        </w:rPr>
        <w:t xml:space="preserve">This report examines key principles of health and social care practice, focusing on person-centred care, partnership working, and ethical decision-making within </w:t>
      </w:r>
      <w:r w:rsidR="008C3D59" w:rsidRPr="009D6878">
        <w:rPr>
          <w:rFonts w:ascii="Arial" w:hAnsi="Arial" w:cs="Arial"/>
          <w:sz w:val="22"/>
          <w:szCs w:val="22"/>
        </w:rPr>
        <w:t>healthcare</w:t>
      </w:r>
      <w:r w:rsidRPr="009D6878">
        <w:rPr>
          <w:rFonts w:ascii="Arial" w:hAnsi="Arial" w:cs="Arial"/>
          <w:sz w:val="22"/>
          <w:szCs w:val="22"/>
        </w:rPr>
        <w:t xml:space="preserve"> settings. The purpose of the report is to explore how these principles shape high</w:t>
      </w:r>
      <w:r w:rsidR="008C3D59" w:rsidRPr="009D6878">
        <w:rPr>
          <w:rFonts w:ascii="Arial" w:hAnsi="Arial" w:cs="Arial"/>
          <w:sz w:val="22"/>
          <w:szCs w:val="22"/>
        </w:rPr>
        <w:t xml:space="preserve"> </w:t>
      </w:r>
      <w:r w:rsidRPr="009D6878">
        <w:rPr>
          <w:rFonts w:ascii="Arial" w:hAnsi="Arial" w:cs="Arial"/>
          <w:sz w:val="22"/>
          <w:szCs w:val="22"/>
        </w:rPr>
        <w:t>quality, compassionate, and legally compliant care, and to demonstrate their importance in real</w:t>
      </w:r>
      <w:r w:rsidR="008C3D59" w:rsidRPr="009D6878">
        <w:rPr>
          <w:rFonts w:ascii="Arial" w:hAnsi="Arial" w:cs="Arial"/>
          <w:sz w:val="22"/>
          <w:szCs w:val="22"/>
        </w:rPr>
        <w:t xml:space="preserve"> </w:t>
      </w:r>
      <w:r w:rsidRPr="009D6878">
        <w:rPr>
          <w:rFonts w:ascii="Arial" w:hAnsi="Arial" w:cs="Arial"/>
          <w:sz w:val="22"/>
          <w:szCs w:val="22"/>
        </w:rPr>
        <w:t>life practice. To support this analysis, the report draws on the social model of health, a theory that emphasises how wider social, environmental, and economic factors influence an individual’s wellbeing. Using this model provides a holistic lens for understanding why effective care must look beyond clinical symptoms and address the broader determinants that affect a person’s quality of life.</w:t>
      </w:r>
    </w:p>
    <w:p w14:paraId="70C4C1E6" w14:textId="77777777" w:rsidR="00D86C75" w:rsidRPr="009D6878" w:rsidRDefault="00D564DC" w:rsidP="00060DB8">
      <w:pPr>
        <w:jc w:val="both"/>
        <w:rPr>
          <w:rFonts w:ascii="Arial" w:hAnsi="Arial" w:cs="Arial"/>
          <w:sz w:val="22"/>
          <w:szCs w:val="22"/>
        </w:rPr>
      </w:pPr>
      <w:r w:rsidRPr="009D6878">
        <w:rPr>
          <w:rFonts w:ascii="Arial" w:hAnsi="Arial" w:cs="Arial"/>
          <w:sz w:val="22"/>
          <w:szCs w:val="22"/>
        </w:rPr>
        <w:t>The report will apply these principles to Joan’s Story, a case study that illustrates the lived experience of an adult navigating long</w:t>
      </w:r>
      <w:r w:rsidR="008C3D59" w:rsidRPr="009D6878">
        <w:rPr>
          <w:rFonts w:ascii="Arial" w:hAnsi="Arial" w:cs="Arial"/>
          <w:sz w:val="22"/>
          <w:szCs w:val="22"/>
        </w:rPr>
        <w:t xml:space="preserve"> </w:t>
      </w:r>
      <w:r w:rsidRPr="009D6878">
        <w:rPr>
          <w:rFonts w:ascii="Arial" w:hAnsi="Arial" w:cs="Arial"/>
          <w:sz w:val="22"/>
          <w:szCs w:val="22"/>
        </w:rPr>
        <w:t xml:space="preserve">term health </w:t>
      </w:r>
      <w:r w:rsidR="008C3D59" w:rsidRPr="009D6878">
        <w:rPr>
          <w:rFonts w:ascii="Arial" w:hAnsi="Arial" w:cs="Arial"/>
          <w:sz w:val="22"/>
          <w:szCs w:val="22"/>
        </w:rPr>
        <w:t>challenges.</w:t>
      </w:r>
      <w:r w:rsidRPr="009D6878">
        <w:rPr>
          <w:rFonts w:ascii="Arial" w:hAnsi="Arial" w:cs="Arial"/>
          <w:sz w:val="22"/>
          <w:szCs w:val="22"/>
        </w:rPr>
        <w:t xml:space="preserve"> Joan’s situation highlights how personalised care planning, multi-agency collaboration, and ethically informed decisions can improve independence and wellbeing. In addition, the report will include a personal reflection</w:t>
      </w:r>
      <w:r w:rsidR="001E2389">
        <w:rPr>
          <w:rFonts w:ascii="Arial" w:hAnsi="Arial" w:cs="Arial"/>
          <w:sz w:val="22"/>
          <w:szCs w:val="22"/>
        </w:rPr>
        <w:t>,</w:t>
      </w:r>
      <w:r w:rsidRPr="009D6878">
        <w:rPr>
          <w:rFonts w:ascii="Arial" w:hAnsi="Arial" w:cs="Arial"/>
          <w:sz w:val="22"/>
          <w:szCs w:val="22"/>
        </w:rPr>
        <w:t xml:space="preserve"> </w:t>
      </w:r>
      <w:r w:rsidR="00060DB8">
        <w:rPr>
          <w:rFonts w:ascii="Arial" w:hAnsi="Arial" w:cs="Arial"/>
          <w:sz w:val="22"/>
          <w:szCs w:val="22"/>
        </w:rPr>
        <w:t xml:space="preserve">using </w:t>
      </w:r>
      <w:r w:rsidR="004E01FD">
        <w:rPr>
          <w:rFonts w:ascii="Arial" w:hAnsi="Arial" w:cs="Arial"/>
          <w:sz w:val="22"/>
          <w:szCs w:val="22"/>
        </w:rPr>
        <w:t>the Experience, Reflection, Action (ERA) mode</w:t>
      </w:r>
      <w:r w:rsidR="001E2389">
        <w:rPr>
          <w:rFonts w:ascii="Arial" w:hAnsi="Arial" w:cs="Arial"/>
          <w:sz w:val="22"/>
          <w:szCs w:val="22"/>
        </w:rPr>
        <w:t xml:space="preserve">l of reflection, </w:t>
      </w:r>
      <w:r w:rsidRPr="009D6878">
        <w:rPr>
          <w:rFonts w:ascii="Arial" w:hAnsi="Arial" w:cs="Arial"/>
          <w:sz w:val="22"/>
          <w:szCs w:val="22"/>
        </w:rPr>
        <w:t>on how these principles shape my own practice as a healthcare worker, influencing the way I support adults, promote dignity, and work collaboratively within multidisciplinary teams.</w:t>
      </w:r>
    </w:p>
    <w:p w14:paraId="474F8A91" w14:textId="77777777" w:rsidR="00D67BF2" w:rsidRPr="009D6878" w:rsidRDefault="00D67BF2" w:rsidP="00060DB8">
      <w:pPr>
        <w:pStyle w:val="Heading1"/>
        <w:jc w:val="both"/>
        <w:rPr>
          <w:rFonts w:ascii="Arial" w:hAnsi="Arial" w:cs="Arial"/>
          <w:sz w:val="22"/>
          <w:szCs w:val="22"/>
        </w:rPr>
      </w:pPr>
      <w:r w:rsidRPr="009D6878">
        <w:rPr>
          <w:rFonts w:ascii="Arial" w:hAnsi="Arial" w:cs="Arial"/>
          <w:bCs/>
          <w:sz w:val="22"/>
          <w:szCs w:val="22"/>
          <w:u w:val="single"/>
        </w:rPr>
        <w:t>TASK 1</w:t>
      </w:r>
    </w:p>
    <w:p w14:paraId="5183B9D0" w14:textId="77777777" w:rsidR="008A21A3" w:rsidRPr="009D6878" w:rsidRDefault="008A21A3" w:rsidP="00060DB8">
      <w:pPr>
        <w:spacing w:after="160"/>
        <w:jc w:val="both"/>
        <w:rPr>
          <w:rFonts w:ascii="Arial" w:hAnsi="Arial" w:cs="Arial"/>
          <w:sz w:val="22"/>
          <w:szCs w:val="22"/>
        </w:rPr>
      </w:pPr>
      <w:r w:rsidRPr="009D6878">
        <w:rPr>
          <w:rFonts w:ascii="Arial" w:hAnsi="Arial" w:cs="Arial"/>
          <w:sz w:val="22"/>
          <w:szCs w:val="22"/>
        </w:rPr>
        <w:t>Person-centred care, partnership working, and ethical decision making are</w:t>
      </w:r>
      <w:r w:rsidR="00133EAE" w:rsidRPr="009D6878">
        <w:rPr>
          <w:rFonts w:ascii="Arial" w:hAnsi="Arial" w:cs="Arial"/>
          <w:sz w:val="22"/>
          <w:szCs w:val="22"/>
        </w:rPr>
        <w:t xml:space="preserve"> </w:t>
      </w:r>
      <w:r w:rsidRPr="009D6878">
        <w:rPr>
          <w:rFonts w:ascii="Arial" w:hAnsi="Arial" w:cs="Arial"/>
          <w:sz w:val="22"/>
          <w:szCs w:val="22"/>
        </w:rPr>
        <w:t>fundamental principles within adult health and social care in the UK. The social model of health provides a strong theoretical foundation for understanding their importance, as it emphasises that health is shaped not only by clinical factors but also by wider social, environmental, and structural determinants such as housing, income, relationships, and community inclusion (Dziak, 2024). This contrasts with the medical model’s focus on illness and treatment and aligns with contemporary practice that requires practitioners to consider the whole person.</w:t>
      </w:r>
    </w:p>
    <w:p w14:paraId="457C31EF" w14:textId="77777777" w:rsidR="008A21A3" w:rsidRPr="009D6878" w:rsidRDefault="008A21A3" w:rsidP="00060DB8">
      <w:pPr>
        <w:spacing w:after="160"/>
        <w:jc w:val="both"/>
        <w:rPr>
          <w:rFonts w:ascii="Arial" w:hAnsi="Arial" w:cs="Arial"/>
          <w:sz w:val="22"/>
          <w:szCs w:val="22"/>
        </w:rPr>
      </w:pPr>
      <w:r w:rsidRPr="009D6878">
        <w:rPr>
          <w:rFonts w:ascii="Arial" w:hAnsi="Arial" w:cs="Arial"/>
          <w:sz w:val="22"/>
          <w:szCs w:val="22"/>
        </w:rPr>
        <w:t xml:space="preserve">Person-centred care is defined as an approach that places individuals at the centre of decisions, recognising their preferences, values, strengths, and lived experiences (McCance and McCormack, 2025). Its significance lies in promoting autonomy, dignity, and wellbeing. The social model reinforces this by highlighting how adults’ needs extend beyond clinical symptoms. For example, an adult with mobility issues may experience reduced independence due not only to their condition but also to inaccessible housing or limited social support. Implementing person-centred care can therefore improve outcomes by addressing these wider determinants, supporting adaptations and meaningful choice. This aligns with Regulation 9 of the Health and Social Care Act 2008, which requires care to reflect individuals’ needs and preferences (CQC, 2025), and with the Care Act 2014’s emphasis on wellbeing and personal control. However, delivering person-centred care can be challenging when </w:t>
      </w:r>
      <w:r w:rsidRPr="009D6878">
        <w:rPr>
          <w:rFonts w:ascii="Arial" w:hAnsi="Arial" w:cs="Arial"/>
          <w:sz w:val="22"/>
          <w:szCs w:val="22"/>
        </w:rPr>
        <w:lastRenderedPageBreak/>
        <w:t>services face time pressures, limited staffing, or conflicting organisational priorities, which may restrict practitioners’ ability to fully tailor support.</w:t>
      </w:r>
    </w:p>
    <w:p w14:paraId="489481B4" w14:textId="77777777" w:rsidR="008A21A3" w:rsidRPr="009D6878" w:rsidRDefault="008A21A3" w:rsidP="00060DB8">
      <w:pPr>
        <w:spacing w:after="160"/>
        <w:jc w:val="both"/>
        <w:rPr>
          <w:rFonts w:ascii="Arial" w:hAnsi="Arial" w:cs="Arial"/>
          <w:sz w:val="22"/>
          <w:szCs w:val="22"/>
        </w:rPr>
      </w:pPr>
      <w:r w:rsidRPr="009D6878">
        <w:rPr>
          <w:rFonts w:ascii="Arial" w:hAnsi="Arial" w:cs="Arial"/>
          <w:sz w:val="22"/>
          <w:szCs w:val="22"/>
        </w:rPr>
        <w:t>Partnership working involves coordinated collaboration between professionals, services, and communities to meet individuals’ needs holistically</w:t>
      </w:r>
      <w:r w:rsidR="00542D49" w:rsidRPr="009D6878">
        <w:rPr>
          <w:rFonts w:ascii="Arial" w:hAnsi="Arial" w:cs="Arial"/>
          <w:sz w:val="22"/>
          <w:szCs w:val="22"/>
        </w:rPr>
        <w:t xml:space="preserve"> (Evans, 2026)</w:t>
      </w:r>
      <w:r w:rsidRPr="009D6878">
        <w:rPr>
          <w:rFonts w:ascii="Arial" w:hAnsi="Arial" w:cs="Arial"/>
          <w:sz w:val="22"/>
          <w:szCs w:val="22"/>
        </w:rPr>
        <w:t>. Because health is shaped by multiple social factors, no single agency can address all aspects of wellbeing. Adults with long-term conditions, disabilities, or safeguarding concerns often require integrated support from nurses, social workers, occupational therapists, housing teams, voluntary organisations, and community groups. The social model highlights that such collaboration is essential for removing barriers and promoting independence</w:t>
      </w:r>
      <w:r w:rsidR="005B614A">
        <w:rPr>
          <w:rFonts w:ascii="Arial" w:hAnsi="Arial" w:cs="Arial"/>
          <w:sz w:val="22"/>
          <w:szCs w:val="22"/>
        </w:rPr>
        <w:t xml:space="preserve"> </w:t>
      </w:r>
      <w:r w:rsidRPr="009D6878">
        <w:rPr>
          <w:rFonts w:ascii="Arial" w:hAnsi="Arial" w:cs="Arial"/>
          <w:sz w:val="22"/>
          <w:szCs w:val="22"/>
        </w:rPr>
        <w:t>(</w:t>
      </w:r>
      <w:r w:rsidR="002740E4">
        <w:rPr>
          <w:rFonts w:ascii="Arial" w:hAnsi="Arial" w:cs="Arial"/>
          <w:sz w:val="22"/>
          <w:szCs w:val="22"/>
        </w:rPr>
        <w:t>NHS</w:t>
      </w:r>
      <w:r w:rsidRPr="009D6878">
        <w:rPr>
          <w:rFonts w:ascii="Arial" w:hAnsi="Arial" w:cs="Arial"/>
          <w:sz w:val="22"/>
          <w:szCs w:val="22"/>
        </w:rPr>
        <w:t>,</w:t>
      </w:r>
      <w:r w:rsidR="002740E4">
        <w:rPr>
          <w:rFonts w:ascii="Arial" w:hAnsi="Arial" w:cs="Arial"/>
          <w:sz w:val="22"/>
          <w:szCs w:val="22"/>
        </w:rPr>
        <w:t xml:space="preserve"> </w:t>
      </w:r>
      <w:r w:rsidRPr="009D6878">
        <w:rPr>
          <w:rFonts w:ascii="Arial" w:hAnsi="Arial" w:cs="Arial"/>
          <w:sz w:val="22"/>
          <w:szCs w:val="22"/>
        </w:rPr>
        <w:t>2025). Evidence shows that partnership working improves outcomes and reduces inequalities (Thomson et al., 2024). Policies such as the Care Act 2014 reinforce this by requiring multi-agency cooperation and information sharing. Despite these benefits, partnership working can be hindered by communication difficulties, unclear professional roles, and organisational cultures that limit effective collaboration.</w:t>
      </w:r>
    </w:p>
    <w:p w14:paraId="0440B51B" w14:textId="77777777" w:rsidR="008A21A3" w:rsidRPr="009D6878" w:rsidRDefault="008A21A3" w:rsidP="00060DB8">
      <w:pPr>
        <w:spacing w:after="160"/>
        <w:jc w:val="both"/>
        <w:rPr>
          <w:rFonts w:ascii="Arial" w:hAnsi="Arial" w:cs="Arial"/>
          <w:sz w:val="22"/>
          <w:szCs w:val="22"/>
        </w:rPr>
      </w:pPr>
      <w:r w:rsidRPr="009D6878">
        <w:rPr>
          <w:rFonts w:ascii="Arial" w:hAnsi="Arial" w:cs="Arial"/>
          <w:sz w:val="22"/>
          <w:szCs w:val="22"/>
        </w:rPr>
        <w:t>Ethical decision making, guided by principles such as autonomy, beneficence, non-maleficence, and justice, ensures that care is fair, safe, and respectful (Varkey, 2020). The social model strengthens ethical practice by encouraging practitioners to consider individuals’ social contexts and support positive risk</w:t>
      </w:r>
      <w:r w:rsidR="003977DC" w:rsidRPr="009D6878">
        <w:rPr>
          <w:rFonts w:ascii="Arial" w:hAnsi="Arial" w:cs="Arial"/>
          <w:sz w:val="22"/>
          <w:szCs w:val="22"/>
        </w:rPr>
        <w:t xml:space="preserve"> </w:t>
      </w:r>
      <w:r w:rsidRPr="009D6878">
        <w:rPr>
          <w:rFonts w:ascii="Arial" w:hAnsi="Arial" w:cs="Arial"/>
          <w:sz w:val="22"/>
          <w:szCs w:val="22"/>
        </w:rPr>
        <w:t>taking that enhances independence and dignity (Field et al., 2024). For example, an adult with early dementia may wish to remain at home, requiring practitioners to balance safety with autonomy in line with the Mental Capacity Act 2005 (NHS, 2026). Ethical decision making promotes empowerment and transparency, though practitioners may face challenges when managing conflicting views, safeguarding concerns, or limited capacity.</w:t>
      </w:r>
    </w:p>
    <w:p w14:paraId="417070B3" w14:textId="77777777" w:rsidR="008A21A3" w:rsidRPr="009D6878" w:rsidRDefault="008A21A3" w:rsidP="00060DB8">
      <w:pPr>
        <w:spacing w:after="160"/>
        <w:jc w:val="both"/>
        <w:rPr>
          <w:rFonts w:ascii="Arial" w:hAnsi="Arial" w:cs="Arial"/>
          <w:sz w:val="22"/>
          <w:szCs w:val="22"/>
        </w:rPr>
      </w:pPr>
      <w:r w:rsidRPr="009D6878">
        <w:rPr>
          <w:rFonts w:ascii="Arial" w:hAnsi="Arial" w:cs="Arial"/>
          <w:sz w:val="22"/>
          <w:szCs w:val="22"/>
        </w:rPr>
        <w:t>Overall, the social model of health provides a powerful lens for understanding why person-centred care, partnership working, and ethical practice are essential. When supported</w:t>
      </w:r>
      <w:r w:rsidR="00F0026D" w:rsidRPr="009D6878">
        <w:rPr>
          <w:rFonts w:ascii="Arial" w:hAnsi="Arial" w:cs="Arial"/>
          <w:sz w:val="22"/>
          <w:szCs w:val="22"/>
        </w:rPr>
        <w:t xml:space="preserve"> </w:t>
      </w:r>
      <w:r w:rsidRPr="009D6878">
        <w:rPr>
          <w:rFonts w:ascii="Arial" w:hAnsi="Arial" w:cs="Arial"/>
          <w:sz w:val="22"/>
          <w:szCs w:val="22"/>
        </w:rPr>
        <w:t xml:space="preserve">by legislation such as the Care Act 2014 and the Mental Capacity Act 2005, these principles promote dignity, collaboration, and fairness, ultimately improving the quality of </w:t>
      </w:r>
      <w:r w:rsidR="00E46DB2" w:rsidRPr="009D6878">
        <w:rPr>
          <w:rFonts w:ascii="Arial" w:hAnsi="Arial" w:cs="Arial"/>
          <w:sz w:val="22"/>
          <w:szCs w:val="22"/>
        </w:rPr>
        <w:t xml:space="preserve">health </w:t>
      </w:r>
      <w:r w:rsidRPr="009D6878">
        <w:rPr>
          <w:rFonts w:ascii="Arial" w:hAnsi="Arial" w:cs="Arial"/>
          <w:sz w:val="22"/>
          <w:szCs w:val="22"/>
        </w:rPr>
        <w:t>care across the UK.</w:t>
      </w:r>
    </w:p>
    <w:p w14:paraId="11A05D18" w14:textId="77777777" w:rsidR="00807622" w:rsidRPr="009D6878" w:rsidRDefault="00807622" w:rsidP="00060DB8">
      <w:pPr>
        <w:jc w:val="both"/>
        <w:rPr>
          <w:rFonts w:ascii="Arial" w:hAnsi="Arial" w:cs="Arial"/>
          <w:sz w:val="22"/>
          <w:szCs w:val="22"/>
        </w:rPr>
      </w:pPr>
    </w:p>
    <w:p w14:paraId="502021EE" w14:textId="77777777" w:rsidR="00C8529C" w:rsidRPr="009D6878" w:rsidRDefault="003F282D" w:rsidP="00060DB8">
      <w:pPr>
        <w:pStyle w:val="Heading1"/>
        <w:jc w:val="both"/>
        <w:rPr>
          <w:rFonts w:ascii="Arial" w:hAnsi="Arial" w:cs="Arial"/>
          <w:sz w:val="22"/>
          <w:szCs w:val="22"/>
        </w:rPr>
      </w:pPr>
      <w:r w:rsidRPr="009D6878">
        <w:rPr>
          <w:rFonts w:ascii="Arial" w:hAnsi="Arial" w:cs="Arial"/>
          <w:bCs/>
          <w:sz w:val="22"/>
          <w:szCs w:val="22"/>
          <w:u w:val="single"/>
        </w:rPr>
        <w:t>TASK 2</w:t>
      </w:r>
    </w:p>
    <w:p w14:paraId="7BC29AD9" w14:textId="77777777" w:rsidR="00C8529C" w:rsidRPr="009D6878" w:rsidRDefault="00C8529C" w:rsidP="00060DB8">
      <w:pPr>
        <w:spacing w:after="160"/>
        <w:jc w:val="both"/>
        <w:rPr>
          <w:rFonts w:ascii="Arial" w:hAnsi="Arial" w:cs="Arial"/>
          <w:sz w:val="22"/>
          <w:szCs w:val="22"/>
        </w:rPr>
      </w:pPr>
      <w:r w:rsidRPr="009D6878">
        <w:rPr>
          <w:rFonts w:ascii="Arial" w:hAnsi="Arial" w:cs="Arial"/>
          <w:sz w:val="22"/>
          <w:szCs w:val="22"/>
        </w:rPr>
        <w:t xml:space="preserve">Person-centred care, partnership </w:t>
      </w:r>
      <w:r w:rsidR="00570DE5" w:rsidRPr="009D6878">
        <w:rPr>
          <w:rFonts w:ascii="Arial" w:hAnsi="Arial" w:cs="Arial"/>
          <w:sz w:val="22"/>
          <w:szCs w:val="22"/>
        </w:rPr>
        <w:t>working,</w:t>
      </w:r>
      <w:r w:rsidRPr="009D6878">
        <w:rPr>
          <w:rFonts w:ascii="Arial" w:hAnsi="Arial" w:cs="Arial"/>
          <w:sz w:val="22"/>
          <w:szCs w:val="22"/>
        </w:rPr>
        <w:t xml:space="preserve"> and ethical practice are fundamental to improving outcomes in UK health and social care. Joan’s Story, published by NHS England, demonstrates how these principles positively impact both service users and professionals, particularly when supporting individuals with long-term conditions. Joan, who lives with COPD </w:t>
      </w:r>
      <w:r w:rsidRPr="009D6878">
        <w:rPr>
          <w:rFonts w:ascii="Arial" w:hAnsi="Arial" w:cs="Arial"/>
          <w:sz w:val="22"/>
          <w:szCs w:val="22"/>
        </w:rPr>
        <w:lastRenderedPageBreak/>
        <w:t>and Crohn’s disease, initially experienced repeated emergency admissions, low confidence, and difficulty attending appointments. Her case highlights how personalised, collaborative and ethically grounded care can address complex barriers that traditional service delivery often fails to resolve.</w:t>
      </w:r>
    </w:p>
    <w:p w14:paraId="73BB6C8B" w14:textId="77777777" w:rsidR="00C8529C" w:rsidRPr="009D6878" w:rsidRDefault="00C8529C" w:rsidP="00060DB8">
      <w:pPr>
        <w:spacing w:after="160"/>
        <w:jc w:val="both"/>
        <w:rPr>
          <w:rFonts w:ascii="Arial" w:hAnsi="Arial" w:cs="Arial"/>
          <w:sz w:val="22"/>
          <w:szCs w:val="22"/>
        </w:rPr>
      </w:pPr>
      <w:r w:rsidRPr="009D6878">
        <w:rPr>
          <w:rFonts w:ascii="Arial" w:hAnsi="Arial" w:cs="Arial"/>
          <w:sz w:val="22"/>
          <w:szCs w:val="22"/>
        </w:rPr>
        <w:t xml:space="preserve">The impact of person-centred care on Joan is clear. Professionals explored her lived experience, identifying that anxiety about bowel symptoms prevented her from leaving the house (NHS England, </w:t>
      </w:r>
      <w:r w:rsidR="007C2C9B" w:rsidRPr="009D6878">
        <w:rPr>
          <w:rFonts w:ascii="Arial" w:hAnsi="Arial" w:cs="Arial"/>
          <w:sz w:val="22"/>
          <w:szCs w:val="22"/>
        </w:rPr>
        <w:t>2023</w:t>
      </w:r>
      <w:r w:rsidRPr="009D6878">
        <w:rPr>
          <w:rFonts w:ascii="Arial" w:hAnsi="Arial" w:cs="Arial"/>
          <w:sz w:val="22"/>
          <w:szCs w:val="22"/>
        </w:rPr>
        <w:t xml:space="preserve">). This aligns with the Person-Centred Care Framework, which emphasises </w:t>
      </w:r>
      <w:r w:rsidR="00887777" w:rsidRPr="009D6878">
        <w:rPr>
          <w:rFonts w:ascii="Arial" w:hAnsi="Arial" w:cs="Arial"/>
          <w:sz w:val="22"/>
          <w:szCs w:val="22"/>
        </w:rPr>
        <w:t>understanding what</w:t>
      </w:r>
      <w:r w:rsidRPr="009D6878">
        <w:rPr>
          <w:rFonts w:ascii="Arial" w:hAnsi="Arial" w:cs="Arial"/>
          <w:sz w:val="22"/>
          <w:szCs w:val="22"/>
        </w:rPr>
        <w:t xml:space="preserve"> matters to the individual rather than focusing solely on clinical needs</w:t>
      </w:r>
      <w:r w:rsidR="007C2C9B" w:rsidRPr="009D6878">
        <w:rPr>
          <w:rFonts w:ascii="Arial" w:hAnsi="Arial" w:cs="Arial"/>
          <w:sz w:val="22"/>
          <w:szCs w:val="22"/>
        </w:rPr>
        <w:t xml:space="preserve"> </w:t>
      </w:r>
      <w:r w:rsidR="0040665B" w:rsidRPr="009D6878">
        <w:rPr>
          <w:rFonts w:ascii="Arial" w:hAnsi="Arial" w:cs="Arial"/>
          <w:sz w:val="22"/>
          <w:szCs w:val="22"/>
        </w:rPr>
        <w:t>(Coulter and Oldham</w:t>
      </w:r>
      <w:r w:rsidR="00B71FB0" w:rsidRPr="009D6878">
        <w:rPr>
          <w:rFonts w:ascii="Arial" w:hAnsi="Arial" w:cs="Arial"/>
          <w:sz w:val="22"/>
          <w:szCs w:val="22"/>
        </w:rPr>
        <w:t>, 2016)</w:t>
      </w:r>
      <w:r w:rsidRPr="009D6878">
        <w:rPr>
          <w:rFonts w:ascii="Arial" w:hAnsi="Arial" w:cs="Arial"/>
          <w:sz w:val="22"/>
          <w:szCs w:val="22"/>
        </w:rPr>
        <w:t>. Using the Patient Activation Measure (PAM) enabled staff to tailor interventions to Joan’s confidence level, supporting gradual behaviour change. This resulted in a 40% improvement in her activation score and better engagement with appointments. For professionals, person-centred care improved efficiency by reducing missed appointments and emergency admissions. This reflects the CQC’s Regulation 9, which requires care to be personalised, responsive and based on individual preferences (CQC, 202</w:t>
      </w:r>
      <w:r w:rsidR="00E305D6" w:rsidRPr="009D6878">
        <w:rPr>
          <w:rFonts w:ascii="Arial" w:hAnsi="Arial" w:cs="Arial"/>
          <w:sz w:val="22"/>
          <w:szCs w:val="22"/>
        </w:rPr>
        <w:t>5</w:t>
      </w:r>
      <w:r w:rsidRPr="009D6878">
        <w:rPr>
          <w:rFonts w:ascii="Arial" w:hAnsi="Arial" w:cs="Arial"/>
          <w:sz w:val="22"/>
          <w:szCs w:val="22"/>
        </w:rPr>
        <w:t>). It also aligns with the 6Cs, particularly compassion and communication, which underpin respectful, person-led interactions</w:t>
      </w:r>
      <w:r w:rsidR="003219DD" w:rsidRPr="009D6878">
        <w:rPr>
          <w:rFonts w:ascii="Arial" w:hAnsi="Arial" w:cs="Arial"/>
          <w:sz w:val="22"/>
          <w:szCs w:val="22"/>
        </w:rPr>
        <w:t xml:space="preserve"> (</w:t>
      </w:r>
      <w:r w:rsidR="00CD6FDD" w:rsidRPr="009D6878">
        <w:rPr>
          <w:rFonts w:ascii="Arial" w:hAnsi="Arial" w:cs="Arial"/>
          <w:sz w:val="22"/>
          <w:szCs w:val="22"/>
        </w:rPr>
        <w:t>NHS Professionals, 2026</w:t>
      </w:r>
      <w:r w:rsidR="00436EC4" w:rsidRPr="009D6878">
        <w:rPr>
          <w:rFonts w:ascii="Arial" w:hAnsi="Arial" w:cs="Arial"/>
          <w:sz w:val="22"/>
          <w:szCs w:val="22"/>
        </w:rPr>
        <w:t>).</w:t>
      </w:r>
    </w:p>
    <w:p w14:paraId="783FF81E" w14:textId="77777777" w:rsidR="00C8529C" w:rsidRPr="009D6878" w:rsidRDefault="00C8529C" w:rsidP="00060DB8">
      <w:pPr>
        <w:spacing w:after="160"/>
        <w:jc w:val="both"/>
        <w:rPr>
          <w:rFonts w:ascii="Arial" w:hAnsi="Arial" w:cs="Arial"/>
          <w:sz w:val="22"/>
          <w:szCs w:val="22"/>
        </w:rPr>
      </w:pPr>
      <w:r w:rsidRPr="009D6878">
        <w:rPr>
          <w:rFonts w:ascii="Arial" w:hAnsi="Arial" w:cs="Arial"/>
          <w:sz w:val="22"/>
          <w:szCs w:val="22"/>
        </w:rPr>
        <w:t>Partnership working also had a significant impact. Joan’s physiotherapist collaborated with her GP to address her Crohn’s disease, recognising that effective COPD management depended on resolving underlying gastrointestinal issues. This reflects the Health and Care Act 2022, which mandates integrated working across health and social care to improve continuity and reduce fragmentation</w:t>
      </w:r>
      <w:r w:rsidR="00686478" w:rsidRPr="009D6878">
        <w:rPr>
          <w:rFonts w:ascii="Arial" w:hAnsi="Arial" w:cs="Arial"/>
          <w:sz w:val="22"/>
          <w:szCs w:val="22"/>
        </w:rPr>
        <w:t xml:space="preserve"> </w:t>
      </w:r>
      <w:r w:rsidR="00855BD5" w:rsidRPr="009D6878">
        <w:rPr>
          <w:rFonts w:ascii="Arial" w:hAnsi="Arial" w:cs="Arial"/>
          <w:sz w:val="22"/>
          <w:szCs w:val="22"/>
        </w:rPr>
        <w:t>(</w:t>
      </w:r>
      <w:r w:rsidR="00F864B6">
        <w:rPr>
          <w:rFonts w:ascii="Arial" w:hAnsi="Arial" w:cs="Arial"/>
          <w:sz w:val="22"/>
          <w:szCs w:val="22"/>
        </w:rPr>
        <w:t>Department of Health and Social Care</w:t>
      </w:r>
      <w:r w:rsidR="00855BD5" w:rsidRPr="009D6878">
        <w:rPr>
          <w:rFonts w:ascii="Arial" w:hAnsi="Arial" w:cs="Arial"/>
          <w:sz w:val="22"/>
          <w:szCs w:val="22"/>
        </w:rPr>
        <w:t>, 2025)</w:t>
      </w:r>
      <w:r w:rsidRPr="009D6878">
        <w:rPr>
          <w:rFonts w:ascii="Arial" w:hAnsi="Arial" w:cs="Arial"/>
          <w:sz w:val="22"/>
          <w:szCs w:val="22"/>
        </w:rPr>
        <w:t xml:space="preserve">. Weekly meetings between Joan and the therapy team created shared ownership of her goals, improving trust and motivation. For professionals, partnership working reduced duplication, improved information sharing, and supported holistic decision-making. NICE guidance </w:t>
      </w:r>
      <w:r w:rsidR="00823E55" w:rsidRPr="009D6878">
        <w:rPr>
          <w:rFonts w:ascii="Arial" w:hAnsi="Arial" w:cs="Arial"/>
          <w:sz w:val="22"/>
          <w:szCs w:val="22"/>
        </w:rPr>
        <w:t xml:space="preserve">1.5.1 </w:t>
      </w:r>
      <w:r w:rsidRPr="009D6878">
        <w:rPr>
          <w:rFonts w:ascii="Arial" w:hAnsi="Arial" w:cs="Arial"/>
          <w:sz w:val="22"/>
          <w:szCs w:val="22"/>
        </w:rPr>
        <w:t>on multimorbidity similarly emphasises coordinated care to reduce treatment burden and improve outcomes (NICE, 20</w:t>
      </w:r>
      <w:r w:rsidR="00C32E67" w:rsidRPr="009D6878">
        <w:rPr>
          <w:rFonts w:ascii="Arial" w:hAnsi="Arial" w:cs="Arial"/>
          <w:sz w:val="22"/>
          <w:szCs w:val="22"/>
        </w:rPr>
        <w:t>16</w:t>
      </w:r>
      <w:r w:rsidRPr="009D6878">
        <w:rPr>
          <w:rFonts w:ascii="Arial" w:hAnsi="Arial" w:cs="Arial"/>
          <w:sz w:val="22"/>
          <w:szCs w:val="22"/>
        </w:rPr>
        <w:t>).</w:t>
      </w:r>
    </w:p>
    <w:p w14:paraId="491E9F31" w14:textId="77777777" w:rsidR="00C8529C" w:rsidRPr="009D6878" w:rsidRDefault="00C8529C" w:rsidP="00060DB8">
      <w:pPr>
        <w:spacing w:after="160"/>
        <w:jc w:val="both"/>
        <w:rPr>
          <w:rFonts w:ascii="Arial" w:hAnsi="Arial" w:cs="Arial"/>
          <w:sz w:val="22"/>
          <w:szCs w:val="22"/>
        </w:rPr>
      </w:pPr>
      <w:r w:rsidRPr="009D6878">
        <w:rPr>
          <w:rFonts w:ascii="Arial" w:hAnsi="Arial" w:cs="Arial"/>
          <w:sz w:val="22"/>
          <w:szCs w:val="22"/>
        </w:rPr>
        <w:t>Ethical practice strengthened both personalised and collaborative approaches. Respect for autonomy was demonstrated through shared decision</w:t>
      </w:r>
      <w:r w:rsidR="004A170E" w:rsidRPr="009D6878">
        <w:rPr>
          <w:rFonts w:ascii="Arial" w:hAnsi="Arial" w:cs="Arial"/>
          <w:sz w:val="22"/>
          <w:szCs w:val="22"/>
        </w:rPr>
        <w:t xml:space="preserve"> </w:t>
      </w:r>
      <w:r w:rsidRPr="009D6878">
        <w:rPr>
          <w:rFonts w:ascii="Arial" w:hAnsi="Arial" w:cs="Arial"/>
          <w:sz w:val="22"/>
          <w:szCs w:val="22"/>
        </w:rPr>
        <w:t xml:space="preserve">making and the development of an action plan that Joan felt able to follow. Beneficence and non-maleficence guided efforts to reduce harm associated with repeated emergency admissions by empowering Joan to manage her conditions safely. Justice was upheld by providing equitable support tailored to her low activation level, ensuring she received the additional help needed to achieve comparable outcomes. Ethical practice also supported professionals by providing a clear framework for navigating complex decisions, particularly around risk, </w:t>
      </w:r>
      <w:r w:rsidR="00570DE5" w:rsidRPr="009D6878">
        <w:rPr>
          <w:rFonts w:ascii="Arial" w:hAnsi="Arial" w:cs="Arial"/>
          <w:sz w:val="22"/>
          <w:szCs w:val="22"/>
        </w:rPr>
        <w:t>independence,</w:t>
      </w:r>
      <w:r w:rsidRPr="009D6878">
        <w:rPr>
          <w:rFonts w:ascii="Arial" w:hAnsi="Arial" w:cs="Arial"/>
          <w:sz w:val="22"/>
          <w:szCs w:val="22"/>
        </w:rPr>
        <w:t xml:space="preserve"> and consent.</w:t>
      </w:r>
    </w:p>
    <w:p w14:paraId="36CE043A" w14:textId="77777777" w:rsidR="00C8529C" w:rsidRPr="009D6878" w:rsidRDefault="00C8529C" w:rsidP="00060DB8">
      <w:pPr>
        <w:spacing w:after="160"/>
        <w:jc w:val="both"/>
        <w:rPr>
          <w:rFonts w:ascii="Arial" w:hAnsi="Arial" w:cs="Arial"/>
          <w:sz w:val="22"/>
          <w:szCs w:val="22"/>
        </w:rPr>
      </w:pPr>
      <w:r w:rsidRPr="009D6878">
        <w:rPr>
          <w:rFonts w:ascii="Arial" w:hAnsi="Arial" w:cs="Arial"/>
          <w:sz w:val="22"/>
          <w:szCs w:val="22"/>
        </w:rPr>
        <w:lastRenderedPageBreak/>
        <w:t>Several challenges emerged, including Joan’s low confidence, fear of leaving home, and disengagement from services. These were overcome through personalised communication, gradual goal</w:t>
      </w:r>
      <w:r w:rsidR="00D77DF4" w:rsidRPr="009D6878">
        <w:rPr>
          <w:rFonts w:ascii="Arial" w:hAnsi="Arial" w:cs="Arial"/>
          <w:sz w:val="22"/>
          <w:szCs w:val="22"/>
        </w:rPr>
        <w:t xml:space="preserve"> </w:t>
      </w:r>
      <w:r w:rsidRPr="009D6878">
        <w:rPr>
          <w:rFonts w:ascii="Arial" w:hAnsi="Arial" w:cs="Arial"/>
          <w:sz w:val="22"/>
          <w:szCs w:val="22"/>
        </w:rPr>
        <w:t>setting, and consistent professional support. System-level challenges</w:t>
      </w:r>
      <w:r w:rsidR="00D77DF4" w:rsidRPr="009D6878">
        <w:rPr>
          <w:rFonts w:ascii="Arial" w:hAnsi="Arial" w:cs="Arial"/>
          <w:sz w:val="22"/>
          <w:szCs w:val="22"/>
        </w:rPr>
        <w:t xml:space="preserve"> </w:t>
      </w:r>
      <w:r w:rsidRPr="009D6878">
        <w:rPr>
          <w:rFonts w:ascii="Arial" w:hAnsi="Arial" w:cs="Arial"/>
          <w:sz w:val="22"/>
          <w:szCs w:val="22"/>
        </w:rPr>
        <w:t>such as fragmented care and repeated admissions</w:t>
      </w:r>
      <w:r w:rsidR="00D77DF4" w:rsidRPr="009D6878">
        <w:rPr>
          <w:rFonts w:ascii="Arial" w:hAnsi="Arial" w:cs="Arial"/>
          <w:sz w:val="22"/>
          <w:szCs w:val="22"/>
        </w:rPr>
        <w:t xml:space="preserve"> </w:t>
      </w:r>
      <w:r w:rsidRPr="009D6878">
        <w:rPr>
          <w:rFonts w:ascii="Arial" w:hAnsi="Arial" w:cs="Arial"/>
          <w:sz w:val="22"/>
          <w:szCs w:val="22"/>
        </w:rPr>
        <w:t>were addressed through integrated working and proactive planning.</w:t>
      </w:r>
    </w:p>
    <w:p w14:paraId="1884EE5A" w14:textId="77777777" w:rsidR="00C8529C" w:rsidRPr="009D6878" w:rsidRDefault="00C8529C" w:rsidP="00060DB8">
      <w:pPr>
        <w:spacing w:after="160"/>
        <w:jc w:val="both"/>
        <w:rPr>
          <w:rFonts w:ascii="Arial" w:hAnsi="Arial" w:cs="Arial"/>
          <w:sz w:val="22"/>
          <w:szCs w:val="22"/>
        </w:rPr>
      </w:pPr>
      <w:r w:rsidRPr="009D6878">
        <w:rPr>
          <w:rFonts w:ascii="Arial" w:hAnsi="Arial" w:cs="Arial"/>
          <w:sz w:val="22"/>
          <w:szCs w:val="22"/>
        </w:rPr>
        <w:t>Overall, Joan’s Story demonstrates that person-centred care, partnership working and ethical practice significantly improve service</w:t>
      </w:r>
      <w:r w:rsidR="004F246C" w:rsidRPr="009D6878">
        <w:rPr>
          <w:rFonts w:ascii="Arial" w:hAnsi="Arial" w:cs="Arial"/>
          <w:sz w:val="22"/>
          <w:szCs w:val="22"/>
        </w:rPr>
        <w:t xml:space="preserve"> </w:t>
      </w:r>
      <w:r w:rsidRPr="009D6878">
        <w:rPr>
          <w:rFonts w:ascii="Arial" w:hAnsi="Arial" w:cs="Arial"/>
          <w:sz w:val="22"/>
          <w:szCs w:val="22"/>
        </w:rPr>
        <w:t xml:space="preserve">user wellbeing, professional </w:t>
      </w:r>
      <w:r w:rsidR="00570DE5" w:rsidRPr="009D6878">
        <w:rPr>
          <w:rFonts w:ascii="Arial" w:hAnsi="Arial" w:cs="Arial"/>
          <w:sz w:val="22"/>
          <w:szCs w:val="22"/>
        </w:rPr>
        <w:t>effectiveness,</w:t>
      </w:r>
      <w:r w:rsidRPr="009D6878">
        <w:rPr>
          <w:rFonts w:ascii="Arial" w:hAnsi="Arial" w:cs="Arial"/>
          <w:sz w:val="22"/>
          <w:szCs w:val="22"/>
        </w:rPr>
        <w:t xml:space="preserve"> and system efficiency. When applied together, these principles create compassionate, coordinated and legally compliant care that aligns with modern UK health and social care expectations.</w:t>
      </w:r>
    </w:p>
    <w:p w14:paraId="3EB8BEE6" w14:textId="77777777" w:rsidR="00C8529C" w:rsidRPr="009D6878" w:rsidRDefault="00F0026D" w:rsidP="00060DB8">
      <w:pPr>
        <w:pStyle w:val="Heading1"/>
        <w:jc w:val="both"/>
        <w:rPr>
          <w:rFonts w:ascii="Arial" w:hAnsi="Arial" w:cs="Arial"/>
          <w:bCs/>
          <w:sz w:val="22"/>
          <w:szCs w:val="22"/>
          <w:u w:val="single"/>
        </w:rPr>
      </w:pPr>
      <w:r w:rsidRPr="009D6878">
        <w:rPr>
          <w:rFonts w:ascii="Arial" w:hAnsi="Arial" w:cs="Arial"/>
          <w:bCs/>
          <w:sz w:val="22"/>
          <w:szCs w:val="22"/>
          <w:u w:val="single"/>
        </w:rPr>
        <w:t>TASK 3</w:t>
      </w:r>
    </w:p>
    <w:p w14:paraId="50804CFA" w14:textId="77777777" w:rsidR="00D20D7E" w:rsidRPr="009D6878" w:rsidRDefault="00D20D7E" w:rsidP="00060DB8">
      <w:pPr>
        <w:pStyle w:val="Heading2"/>
        <w:rPr>
          <w:rFonts w:ascii="Arial" w:hAnsi="Arial" w:cs="Arial"/>
          <w:sz w:val="22"/>
          <w:szCs w:val="22"/>
          <w:u w:val="single"/>
        </w:rPr>
      </w:pPr>
      <w:r w:rsidRPr="009D6878">
        <w:rPr>
          <w:rFonts w:ascii="Arial" w:hAnsi="Arial" w:cs="Arial"/>
          <w:sz w:val="22"/>
          <w:szCs w:val="22"/>
          <w:u w:val="single"/>
        </w:rPr>
        <w:t>Experience</w:t>
      </w:r>
    </w:p>
    <w:p w14:paraId="65160156" w14:textId="77777777" w:rsidR="00D20D7E" w:rsidRPr="009D6878" w:rsidRDefault="00D20D7E" w:rsidP="00060DB8">
      <w:pPr>
        <w:rPr>
          <w:rFonts w:ascii="Arial" w:hAnsi="Arial" w:cs="Arial"/>
          <w:sz w:val="22"/>
          <w:szCs w:val="22"/>
        </w:rPr>
      </w:pPr>
      <w:r w:rsidRPr="009D6878">
        <w:rPr>
          <w:rFonts w:ascii="Arial" w:hAnsi="Arial" w:cs="Arial"/>
          <w:sz w:val="22"/>
          <w:szCs w:val="22"/>
        </w:rPr>
        <w:t xml:space="preserve">In my day-to-day role as an adult learning disability support worker, I consistently rely on the principles of person-centred care, partnership working, and ethical practice. These principles shape how I support adults, communicate with colleagues, and make decisions that affect people’s wellbeing. I am reminded of a time when I had to help plan a holiday for one of the people I support as I am his named keyworker.  As the individual had limited verbal communication, I utilised non-verbal communication aids such as visual aids, pictures, and simple language to help them express their preferences regarding the destination, accommodation, and activities (Sharkiya, 2023). This ensured they remained at the centre of the decision-making process and that their views were valued. </w:t>
      </w:r>
    </w:p>
    <w:p w14:paraId="183E3D60" w14:textId="77777777" w:rsidR="00D20D7E" w:rsidRPr="009D6878" w:rsidRDefault="00D20D7E" w:rsidP="00060DB8">
      <w:pPr>
        <w:spacing w:after="160"/>
        <w:rPr>
          <w:rFonts w:ascii="Arial" w:hAnsi="Arial" w:cs="Arial"/>
          <w:sz w:val="22"/>
          <w:szCs w:val="22"/>
        </w:rPr>
      </w:pPr>
      <w:r w:rsidRPr="009D6878">
        <w:rPr>
          <w:rFonts w:ascii="Arial" w:hAnsi="Arial" w:cs="Arial"/>
          <w:sz w:val="22"/>
          <w:szCs w:val="22"/>
        </w:rPr>
        <w:t>A person-centred approach was essential throughout the planning process. Rather than making assumptions about what the individual would enjoy, I focused on understanding their wishes and supporting them to make informed choices as guided by the Mental Capacity Act (MCA) 2005 which mentions that individuals have the right to be supported to make decisions (SCIE, 2022). I also worked in partnership with family members, colleagues, and other professionals to ensure all aspects of the individual's physical, emotional, and social needs were considered. Risk assessments were completed to identify potential hazards relating to travel, medication management, accessibility, and support requirements as supported by the Equality Act 2010. This addressed his need for reasonable adjustments to be made so he could fully participate in this holiday experience eliminating every barrier to him having a good holiday (GOV.UK, 2026).</w:t>
      </w:r>
    </w:p>
    <w:p w14:paraId="26C54C64" w14:textId="77777777" w:rsidR="00D20D7E" w:rsidRPr="009D6878" w:rsidRDefault="00D20D7E" w:rsidP="00060DB8">
      <w:pPr>
        <w:spacing w:after="160"/>
        <w:rPr>
          <w:rFonts w:ascii="Arial" w:hAnsi="Arial" w:cs="Arial"/>
          <w:sz w:val="22"/>
          <w:szCs w:val="22"/>
        </w:rPr>
      </w:pPr>
      <w:r w:rsidRPr="009D6878">
        <w:rPr>
          <w:rFonts w:ascii="Arial" w:hAnsi="Arial" w:cs="Arial"/>
          <w:sz w:val="22"/>
          <w:szCs w:val="22"/>
        </w:rPr>
        <w:t>The experience required me to apply key ethical principles. I promoted autonomy by supporting the individual to make decisions about their holiday. I demonstrated beneficence by planning an experience that would enhance their wellbeing and quality of life. Non-</w:t>
      </w:r>
      <w:r w:rsidRPr="009D6878">
        <w:rPr>
          <w:rFonts w:ascii="Arial" w:hAnsi="Arial" w:cs="Arial"/>
          <w:sz w:val="22"/>
          <w:szCs w:val="22"/>
        </w:rPr>
        <w:lastRenderedPageBreak/>
        <w:t>maleficence was maintained through thorough risk assessments and safety planning to minimise potential harm. Finally, I upheld justice by ensuring the individual had equal access to leisure opportunities regardless of their disability (Varkey, 2020).</w:t>
      </w:r>
    </w:p>
    <w:p w14:paraId="7A105ADC" w14:textId="77777777" w:rsidR="00D20D7E" w:rsidRPr="009D6878" w:rsidRDefault="00D20D7E" w:rsidP="00060DB8">
      <w:pPr>
        <w:spacing w:after="160"/>
        <w:rPr>
          <w:rFonts w:ascii="Arial" w:hAnsi="Arial" w:cs="Arial"/>
          <w:sz w:val="22"/>
          <w:szCs w:val="22"/>
          <w:u w:val="single"/>
        </w:rPr>
      </w:pPr>
    </w:p>
    <w:p w14:paraId="607AB583" w14:textId="77777777" w:rsidR="00D20D7E" w:rsidRPr="009D6878" w:rsidRDefault="00D20D7E" w:rsidP="00060DB8">
      <w:pPr>
        <w:pStyle w:val="Heading2"/>
        <w:spacing w:after="160"/>
        <w:rPr>
          <w:rFonts w:ascii="Arial" w:hAnsi="Arial" w:cs="Arial"/>
          <w:sz w:val="22"/>
          <w:szCs w:val="22"/>
          <w:u w:val="single"/>
        </w:rPr>
      </w:pPr>
      <w:r w:rsidRPr="009D6878">
        <w:rPr>
          <w:rFonts w:ascii="Arial" w:hAnsi="Arial" w:cs="Arial"/>
          <w:sz w:val="22"/>
          <w:szCs w:val="22"/>
          <w:u w:val="single"/>
        </w:rPr>
        <w:t>Reflection</w:t>
      </w:r>
    </w:p>
    <w:p w14:paraId="5E924BB6" w14:textId="77777777" w:rsidR="00D20D7E" w:rsidRPr="009D6878" w:rsidRDefault="00D20D7E" w:rsidP="00060DB8">
      <w:pPr>
        <w:spacing w:after="160"/>
        <w:rPr>
          <w:rFonts w:ascii="Arial" w:hAnsi="Arial" w:cs="Arial"/>
          <w:sz w:val="22"/>
          <w:szCs w:val="22"/>
        </w:rPr>
      </w:pPr>
      <w:r w:rsidRPr="009D6878">
        <w:rPr>
          <w:rFonts w:ascii="Arial" w:hAnsi="Arial" w:cs="Arial"/>
          <w:sz w:val="22"/>
          <w:szCs w:val="22"/>
        </w:rPr>
        <w:t>This experience reinforced the importance of person-centred care and demonstrated how individuals with severe learning disabilities can be empowered to make meaningful choices when appropriate support is provided. It challenged me to think creatively about communication and highlighted the importance of adapting my approach to meet individual needs. A key strength I demonstrated was effective communication. By using visual tools and taking time to understand the individual's preferences, I enabled them to play an active role in planning their holiday. Another strength was my ability to work collaboratively with family members and professionals. This partnership working ensured that decisions were informed, safe, and focused on achieving positive outcomes for the individual.</w:t>
      </w:r>
    </w:p>
    <w:p w14:paraId="2D6F7F40" w14:textId="77777777" w:rsidR="00D20D7E" w:rsidRPr="009D6878" w:rsidRDefault="00D20D7E" w:rsidP="00060DB8">
      <w:pPr>
        <w:spacing w:after="160"/>
        <w:rPr>
          <w:rFonts w:ascii="Arial" w:hAnsi="Arial" w:cs="Arial"/>
          <w:sz w:val="22"/>
          <w:szCs w:val="22"/>
        </w:rPr>
      </w:pPr>
      <w:r w:rsidRPr="009D6878">
        <w:rPr>
          <w:rFonts w:ascii="Arial" w:hAnsi="Arial" w:cs="Arial"/>
          <w:sz w:val="22"/>
          <w:szCs w:val="22"/>
        </w:rPr>
        <w:t>However, I identified a weakness in my confidence when balancing an individual's right to make choices with my responsibility to protect them from harm. Initially, I focused heavily on potential risks associated with activities like going to a waterpark rather than the benefits they could provide. Through discussion with colleagues and reviewing risk assessments, I recognised the importance of positive risk-taking and supporting individuals to live fulfilling lives rather than unnecessarily restricting opportunities.</w:t>
      </w:r>
    </w:p>
    <w:p w14:paraId="297196F0" w14:textId="77777777" w:rsidR="00D20D7E" w:rsidRPr="009D6878" w:rsidRDefault="00D20D7E" w:rsidP="00060DB8">
      <w:pPr>
        <w:spacing w:after="160"/>
        <w:rPr>
          <w:rFonts w:ascii="Arial" w:hAnsi="Arial" w:cs="Arial"/>
          <w:sz w:val="22"/>
          <w:szCs w:val="22"/>
        </w:rPr>
      </w:pPr>
      <w:r w:rsidRPr="009D6878">
        <w:rPr>
          <w:rFonts w:ascii="Arial" w:hAnsi="Arial" w:cs="Arial"/>
          <w:sz w:val="22"/>
          <w:szCs w:val="22"/>
        </w:rPr>
        <w:t>This experience increased my understanding of ethical decision making, particularly the need to balance autonomy with duty of care. It also highlighted the importance of inclusion and ensuring individuals with disabilities have the same opportunities as others to enjoy social and recreational activities.</w:t>
      </w:r>
    </w:p>
    <w:p w14:paraId="05B8431E" w14:textId="77777777" w:rsidR="00D20D7E" w:rsidRPr="009D6878" w:rsidRDefault="00D20D7E" w:rsidP="00060DB8">
      <w:pPr>
        <w:pStyle w:val="Heading2"/>
        <w:spacing w:after="160"/>
        <w:rPr>
          <w:rFonts w:ascii="Arial" w:hAnsi="Arial" w:cs="Arial"/>
          <w:sz w:val="22"/>
          <w:szCs w:val="22"/>
        </w:rPr>
      </w:pPr>
      <w:r w:rsidRPr="009D6878">
        <w:rPr>
          <w:rFonts w:ascii="Arial" w:hAnsi="Arial" w:cs="Arial"/>
          <w:sz w:val="22"/>
          <w:szCs w:val="22"/>
          <w:u w:val="single"/>
        </w:rPr>
        <w:t>Action</w:t>
      </w:r>
    </w:p>
    <w:p w14:paraId="08F385C8" w14:textId="77777777" w:rsidR="00D20D7E" w:rsidRPr="009D6878" w:rsidRDefault="00D20D7E" w:rsidP="00060DB8">
      <w:pPr>
        <w:spacing w:after="160"/>
        <w:rPr>
          <w:rFonts w:ascii="Arial" w:hAnsi="Arial" w:cs="Arial"/>
          <w:sz w:val="22"/>
          <w:szCs w:val="22"/>
        </w:rPr>
      </w:pPr>
      <w:r w:rsidRPr="009D6878">
        <w:rPr>
          <w:rFonts w:ascii="Arial" w:hAnsi="Arial" w:cs="Arial"/>
          <w:sz w:val="22"/>
          <w:szCs w:val="22"/>
        </w:rPr>
        <w:t>To improve my future practice, I will continue to develop my communication skills and knowledge of person-centred approaches. I plan to undertake Continuous Professional Development (CPD) training in learning disability awareness, person-centred care planning, alternative communication methods, and positive risk-taking to enhance my ability to support individuals with complex needs. I will also complete further training on the Mental Capacity Act (2005), safeguarding adults, and equality and diversity to strengthen my understanding of the legal and ethical frameworks that underpin practice. These training opportunities will increase my confidence when supporting individuals to make decisions while ensuring risks are managed appropriately.</w:t>
      </w:r>
    </w:p>
    <w:p w14:paraId="015FFFC2" w14:textId="77777777" w:rsidR="00D20D7E" w:rsidRPr="009D6878" w:rsidRDefault="00D20D7E" w:rsidP="00060DB8">
      <w:pPr>
        <w:spacing w:after="160"/>
        <w:rPr>
          <w:rFonts w:ascii="Arial" w:hAnsi="Arial" w:cs="Arial"/>
          <w:sz w:val="22"/>
          <w:szCs w:val="22"/>
        </w:rPr>
      </w:pPr>
      <w:r w:rsidRPr="009D6878">
        <w:rPr>
          <w:rFonts w:ascii="Arial" w:hAnsi="Arial" w:cs="Arial"/>
          <w:sz w:val="22"/>
          <w:szCs w:val="22"/>
        </w:rPr>
        <w:lastRenderedPageBreak/>
        <w:t>To address my weakness in balancing safety and independence, I will seek guidance from experienced colleagues, participate in reflective supervision, and continue to use reflective models to evaluate my practice. By building on my strengths in communication and partnership working, while developing my knowledge through CPD, I will be better equipped to provide safe, inclusive, and person-centred support that promotes independence, dignity, and wellbeing.</w:t>
      </w:r>
    </w:p>
    <w:p w14:paraId="5AE36E7F" w14:textId="77777777" w:rsidR="00F0026D" w:rsidRDefault="00F30D33" w:rsidP="00060DB8">
      <w:pPr>
        <w:pStyle w:val="Heading1"/>
        <w:jc w:val="both"/>
        <w:rPr>
          <w:rFonts w:ascii="Arial" w:hAnsi="Arial" w:cs="Arial"/>
          <w:bCs/>
          <w:sz w:val="22"/>
          <w:szCs w:val="22"/>
          <w:u w:val="single"/>
        </w:rPr>
      </w:pPr>
      <w:r>
        <w:rPr>
          <w:rFonts w:ascii="Arial" w:hAnsi="Arial" w:cs="Arial"/>
          <w:bCs/>
          <w:sz w:val="22"/>
          <w:szCs w:val="22"/>
          <w:u w:val="single"/>
        </w:rPr>
        <w:t>CONCLUSION</w:t>
      </w:r>
    </w:p>
    <w:p w14:paraId="6212E0BE" w14:textId="77777777" w:rsidR="008B7ADA" w:rsidRPr="008B7ADA" w:rsidRDefault="008B7ADA" w:rsidP="008B7ADA">
      <w:pPr>
        <w:jc w:val="both"/>
        <w:rPr>
          <w:rFonts w:ascii="Arial" w:hAnsi="Arial" w:cs="Arial"/>
          <w:sz w:val="22"/>
          <w:szCs w:val="22"/>
        </w:rPr>
      </w:pPr>
      <w:r w:rsidRPr="008B7ADA">
        <w:rPr>
          <w:rFonts w:ascii="Arial" w:hAnsi="Arial" w:cs="Arial"/>
          <w:sz w:val="22"/>
          <w:szCs w:val="22"/>
        </w:rPr>
        <w:t xml:space="preserve">In conclusion, this </w:t>
      </w:r>
      <w:r w:rsidR="00B966B2">
        <w:rPr>
          <w:rFonts w:ascii="Arial" w:hAnsi="Arial" w:cs="Arial"/>
          <w:sz w:val="22"/>
          <w:szCs w:val="22"/>
        </w:rPr>
        <w:t>report</w:t>
      </w:r>
      <w:r w:rsidRPr="008B7ADA">
        <w:rPr>
          <w:rFonts w:ascii="Arial" w:hAnsi="Arial" w:cs="Arial"/>
          <w:sz w:val="22"/>
          <w:szCs w:val="22"/>
        </w:rPr>
        <w:t xml:space="preserve"> has shown how person-centred care, partnership working, and ethical decision making collectively underpin effective adult health and social care practice. Using the social model of health emphasised the need to consider wider social and environmental factors when supporting individuals, rather than focusing solely on clinical symptoms. Joan’s Story demonstrated how personalised approaches and integrated professional collaboration can significantly improve confidence, independence, and health outcomes. </w:t>
      </w:r>
      <w:r w:rsidR="00B966B2">
        <w:rPr>
          <w:rFonts w:ascii="Arial" w:hAnsi="Arial" w:cs="Arial"/>
          <w:sz w:val="22"/>
          <w:szCs w:val="22"/>
        </w:rPr>
        <w:t xml:space="preserve">The </w:t>
      </w:r>
      <w:r w:rsidRPr="008B7ADA">
        <w:rPr>
          <w:rFonts w:ascii="Arial" w:hAnsi="Arial" w:cs="Arial"/>
          <w:sz w:val="22"/>
          <w:szCs w:val="22"/>
        </w:rPr>
        <w:t>reflective experience further highlighted how these principles guide everyday practice, particularly in promoting autonomy, inclusion, and safe positive risk-taking for adults with complex needs. Overall, applying these core principles enables practitioners to deliver compassionate, holistic, and legally informed care that enhances wellbeing and supports individuals to lead meaningful lives.</w:t>
      </w:r>
    </w:p>
    <w:p w14:paraId="0944BFD4" w14:textId="77777777" w:rsidR="00F30D33" w:rsidRPr="00F30D33" w:rsidRDefault="00F30D33" w:rsidP="00060DB8">
      <w:pPr>
        <w:jc w:val="both"/>
        <w:rPr>
          <w:rFonts w:ascii="Arial" w:hAnsi="Arial" w:cs="Arial"/>
          <w:sz w:val="22"/>
          <w:szCs w:val="22"/>
        </w:rPr>
      </w:pPr>
    </w:p>
    <w:p w14:paraId="2D7FE396" w14:textId="77777777" w:rsidR="00F30D33" w:rsidRDefault="00F30D33" w:rsidP="00060DB8">
      <w:pPr>
        <w:jc w:val="both"/>
        <w:rPr>
          <w:rFonts w:ascii="Arial" w:hAnsi="Arial" w:cs="Arial"/>
          <w:sz w:val="22"/>
          <w:szCs w:val="22"/>
        </w:rPr>
      </w:pPr>
    </w:p>
    <w:p w14:paraId="1E4AB47B" w14:textId="77777777" w:rsidR="001E0E70" w:rsidRDefault="001E0E70" w:rsidP="00060DB8">
      <w:pPr>
        <w:jc w:val="both"/>
        <w:rPr>
          <w:rFonts w:ascii="Arial" w:hAnsi="Arial" w:cs="Arial"/>
          <w:sz w:val="22"/>
          <w:szCs w:val="22"/>
        </w:rPr>
      </w:pPr>
    </w:p>
    <w:p w14:paraId="32FA94FF" w14:textId="77777777" w:rsidR="001E0E70" w:rsidRDefault="001E0E70" w:rsidP="00060DB8">
      <w:pPr>
        <w:jc w:val="both"/>
        <w:rPr>
          <w:rFonts w:ascii="Arial" w:hAnsi="Arial" w:cs="Arial"/>
          <w:sz w:val="22"/>
          <w:szCs w:val="22"/>
        </w:rPr>
      </w:pPr>
    </w:p>
    <w:p w14:paraId="5232CAF6" w14:textId="77777777" w:rsidR="001E0E70" w:rsidRDefault="001E0E70" w:rsidP="00060DB8">
      <w:pPr>
        <w:jc w:val="both"/>
        <w:rPr>
          <w:rFonts w:ascii="Arial" w:hAnsi="Arial" w:cs="Arial"/>
          <w:sz w:val="22"/>
          <w:szCs w:val="22"/>
        </w:rPr>
      </w:pPr>
    </w:p>
    <w:p w14:paraId="01A10E6C" w14:textId="77777777" w:rsidR="001E0E70" w:rsidRDefault="001E0E70" w:rsidP="00060DB8">
      <w:pPr>
        <w:jc w:val="both"/>
        <w:rPr>
          <w:rFonts w:ascii="Arial" w:hAnsi="Arial" w:cs="Arial"/>
          <w:sz w:val="22"/>
          <w:szCs w:val="22"/>
        </w:rPr>
      </w:pPr>
    </w:p>
    <w:p w14:paraId="1AB2EA8D" w14:textId="77777777" w:rsidR="001E0E70" w:rsidRDefault="001E0E70" w:rsidP="00060DB8">
      <w:pPr>
        <w:jc w:val="both"/>
        <w:rPr>
          <w:rFonts w:ascii="Arial" w:hAnsi="Arial" w:cs="Arial"/>
          <w:sz w:val="22"/>
          <w:szCs w:val="22"/>
        </w:rPr>
      </w:pPr>
    </w:p>
    <w:p w14:paraId="5CDCE83B" w14:textId="77777777" w:rsidR="001E0E70" w:rsidRDefault="001E0E70" w:rsidP="00060DB8">
      <w:pPr>
        <w:jc w:val="both"/>
        <w:rPr>
          <w:rFonts w:ascii="Arial" w:hAnsi="Arial" w:cs="Arial"/>
          <w:sz w:val="22"/>
          <w:szCs w:val="22"/>
        </w:rPr>
      </w:pPr>
    </w:p>
    <w:p w14:paraId="21C60FF1" w14:textId="77777777" w:rsidR="001E0E70" w:rsidRDefault="001E0E70" w:rsidP="00060DB8">
      <w:pPr>
        <w:jc w:val="both"/>
        <w:rPr>
          <w:rFonts w:ascii="Arial" w:hAnsi="Arial" w:cs="Arial"/>
          <w:sz w:val="22"/>
          <w:szCs w:val="22"/>
        </w:rPr>
      </w:pPr>
    </w:p>
    <w:p w14:paraId="465E4CF1" w14:textId="77777777" w:rsidR="001E0E70" w:rsidRDefault="001E0E70" w:rsidP="00060DB8">
      <w:pPr>
        <w:jc w:val="both"/>
        <w:rPr>
          <w:rFonts w:ascii="Arial" w:hAnsi="Arial" w:cs="Arial"/>
          <w:sz w:val="22"/>
          <w:szCs w:val="22"/>
        </w:rPr>
      </w:pPr>
    </w:p>
    <w:p w14:paraId="2ABAA2D4" w14:textId="77777777" w:rsidR="001E0E70" w:rsidRDefault="001E0E70" w:rsidP="00060DB8">
      <w:pPr>
        <w:jc w:val="both"/>
        <w:rPr>
          <w:rFonts w:ascii="Arial" w:hAnsi="Arial" w:cs="Arial"/>
          <w:sz w:val="22"/>
          <w:szCs w:val="22"/>
        </w:rPr>
      </w:pPr>
    </w:p>
    <w:p w14:paraId="55055A5C" w14:textId="77777777" w:rsidR="001E0E70" w:rsidRDefault="001E0E70" w:rsidP="00060DB8">
      <w:pPr>
        <w:jc w:val="both"/>
        <w:rPr>
          <w:rFonts w:ascii="Arial" w:hAnsi="Arial" w:cs="Arial"/>
          <w:sz w:val="22"/>
          <w:szCs w:val="22"/>
        </w:rPr>
      </w:pPr>
    </w:p>
    <w:p w14:paraId="49684FDE" w14:textId="77777777" w:rsidR="001E0E70" w:rsidRDefault="001E0E70" w:rsidP="00060DB8">
      <w:pPr>
        <w:jc w:val="both"/>
        <w:rPr>
          <w:rFonts w:ascii="Arial" w:hAnsi="Arial" w:cs="Arial"/>
          <w:sz w:val="22"/>
          <w:szCs w:val="22"/>
        </w:rPr>
      </w:pPr>
    </w:p>
    <w:p w14:paraId="41CCC653" w14:textId="77777777" w:rsidR="001E0E70" w:rsidRDefault="00A90203" w:rsidP="00060DB8">
      <w:pPr>
        <w:pStyle w:val="Heading1"/>
        <w:jc w:val="both"/>
        <w:rPr>
          <w:rFonts w:ascii="Arial" w:hAnsi="Arial" w:cs="Arial"/>
          <w:bCs/>
          <w:sz w:val="22"/>
          <w:szCs w:val="22"/>
          <w:u w:val="single"/>
        </w:rPr>
      </w:pPr>
      <w:r>
        <w:rPr>
          <w:rFonts w:ascii="Arial" w:hAnsi="Arial" w:cs="Arial"/>
          <w:bCs/>
          <w:sz w:val="22"/>
          <w:szCs w:val="22"/>
          <w:u w:val="single"/>
        </w:rPr>
        <w:lastRenderedPageBreak/>
        <w:t>Reference List</w:t>
      </w:r>
    </w:p>
    <w:p w14:paraId="67E12D59" w14:textId="77777777" w:rsidR="00661707" w:rsidRPr="00D3335E" w:rsidRDefault="00661707" w:rsidP="00661707">
      <w:pPr>
        <w:spacing w:after="160"/>
        <w:rPr>
          <w:rFonts w:ascii="Arial" w:hAnsi="Arial" w:cs="Arial"/>
          <w:sz w:val="22"/>
          <w:szCs w:val="22"/>
        </w:rPr>
      </w:pPr>
      <w:r w:rsidRPr="00D3335E">
        <w:rPr>
          <w:rFonts w:ascii="Arial" w:hAnsi="Arial" w:cs="Arial"/>
          <w:sz w:val="22"/>
          <w:szCs w:val="22"/>
        </w:rPr>
        <w:t>Care Quality Commission (202</w:t>
      </w:r>
      <w:r>
        <w:rPr>
          <w:rFonts w:ascii="Arial" w:hAnsi="Arial" w:cs="Arial"/>
          <w:sz w:val="22"/>
          <w:szCs w:val="22"/>
        </w:rPr>
        <w:t>5</w:t>
      </w:r>
      <w:r w:rsidRPr="00D3335E">
        <w:rPr>
          <w:rFonts w:ascii="Arial" w:hAnsi="Arial" w:cs="Arial"/>
          <w:sz w:val="22"/>
          <w:szCs w:val="22"/>
        </w:rPr>
        <w:t xml:space="preserve">). </w:t>
      </w:r>
      <w:r w:rsidRPr="00D3335E">
        <w:rPr>
          <w:rFonts w:ascii="Arial" w:hAnsi="Arial" w:cs="Arial"/>
          <w:i/>
          <w:iCs/>
          <w:sz w:val="22"/>
          <w:szCs w:val="22"/>
        </w:rPr>
        <w:t>Regulations for service providers and managers</w:t>
      </w:r>
      <w:r w:rsidRPr="00D3335E">
        <w:rPr>
          <w:rFonts w:ascii="Arial" w:hAnsi="Arial" w:cs="Arial"/>
          <w:sz w:val="22"/>
          <w:szCs w:val="22"/>
        </w:rPr>
        <w:t xml:space="preserve">. [online] Cqc.org.uk. Available at: </w:t>
      </w:r>
      <w:hyperlink r:id="rId9" w:history="1">
        <w:r w:rsidRPr="00D3335E">
          <w:rPr>
            <w:rStyle w:val="Hyperlink"/>
            <w:rFonts w:ascii="Arial" w:hAnsi="Arial" w:cs="Arial"/>
            <w:sz w:val="22"/>
            <w:szCs w:val="22"/>
          </w:rPr>
          <w:t>https://www.cqc.org.uk/guidance-regulation/providers/regulations-service-providers-and-managers/health-social-care-act/regulation-9</w:t>
        </w:r>
      </w:hyperlink>
      <w:r w:rsidRPr="00D3335E">
        <w:rPr>
          <w:rFonts w:ascii="Arial" w:hAnsi="Arial" w:cs="Arial"/>
          <w:sz w:val="22"/>
          <w:szCs w:val="22"/>
        </w:rPr>
        <w:t xml:space="preserve"> (Accessed 28 September 2026)</w:t>
      </w:r>
    </w:p>
    <w:p w14:paraId="4495AF4F" w14:textId="77777777" w:rsidR="00661707" w:rsidRPr="00D3335E" w:rsidRDefault="00661707" w:rsidP="00661707">
      <w:pPr>
        <w:spacing w:after="160"/>
        <w:rPr>
          <w:rFonts w:ascii="Arial" w:hAnsi="Arial" w:cs="Arial"/>
          <w:sz w:val="22"/>
          <w:szCs w:val="22"/>
        </w:rPr>
      </w:pPr>
      <w:r w:rsidRPr="00D3335E">
        <w:rPr>
          <w:rFonts w:ascii="Arial" w:hAnsi="Arial" w:cs="Arial"/>
          <w:sz w:val="22"/>
          <w:szCs w:val="22"/>
        </w:rPr>
        <w:t xml:space="preserve">Coulter, A. and Oldham, J. (2016). Person-centred care: What Is It and How Do We Get there? </w:t>
      </w:r>
      <w:r w:rsidRPr="00D3335E">
        <w:rPr>
          <w:rFonts w:ascii="Arial" w:hAnsi="Arial" w:cs="Arial"/>
          <w:i/>
          <w:iCs/>
          <w:sz w:val="22"/>
          <w:szCs w:val="22"/>
        </w:rPr>
        <w:t>Future Hospital Journal</w:t>
      </w:r>
      <w:r w:rsidRPr="00D3335E">
        <w:rPr>
          <w:rFonts w:ascii="Arial" w:hAnsi="Arial" w:cs="Arial"/>
          <w:sz w:val="22"/>
          <w:szCs w:val="22"/>
        </w:rPr>
        <w:t xml:space="preserve">, [online] 3(2), pp.114–116. doi:10.7861/futurehosp.3-2-114. Available at: </w:t>
      </w:r>
      <w:hyperlink r:id="rId10" w:history="1">
        <w:r w:rsidRPr="00D3335E">
          <w:rPr>
            <w:rStyle w:val="Hyperlink"/>
            <w:rFonts w:ascii="Arial" w:hAnsi="Arial" w:cs="Arial"/>
            <w:sz w:val="22"/>
            <w:szCs w:val="22"/>
          </w:rPr>
          <w:t>https://pmc.ncbi.nlm.nih.gov/articles/PMC6465833/</w:t>
        </w:r>
      </w:hyperlink>
      <w:r w:rsidRPr="00D3335E">
        <w:rPr>
          <w:rFonts w:ascii="Arial" w:hAnsi="Arial" w:cs="Arial"/>
          <w:sz w:val="22"/>
          <w:szCs w:val="22"/>
        </w:rPr>
        <w:t xml:space="preserve"> (Accessed 30 September 2026)</w:t>
      </w:r>
    </w:p>
    <w:p w14:paraId="3D734CD4" w14:textId="77777777" w:rsidR="00661707" w:rsidRPr="00D3335E" w:rsidRDefault="00661707" w:rsidP="00661707">
      <w:pPr>
        <w:spacing w:after="160"/>
        <w:rPr>
          <w:rFonts w:ascii="Arial" w:hAnsi="Arial" w:cs="Arial"/>
          <w:sz w:val="22"/>
          <w:szCs w:val="22"/>
        </w:rPr>
      </w:pPr>
      <w:r w:rsidRPr="00D3335E">
        <w:rPr>
          <w:rFonts w:ascii="Arial" w:hAnsi="Arial" w:cs="Arial"/>
          <w:sz w:val="22"/>
          <w:szCs w:val="22"/>
        </w:rPr>
        <w:t xml:space="preserve">Department of Health and Social Care (2025). </w:t>
      </w:r>
      <w:r w:rsidRPr="00D3335E">
        <w:rPr>
          <w:rFonts w:ascii="Arial" w:hAnsi="Arial" w:cs="Arial"/>
          <w:i/>
          <w:iCs/>
          <w:sz w:val="22"/>
          <w:szCs w:val="22"/>
        </w:rPr>
        <w:t>Health and Care Act 2022</w:t>
      </w:r>
      <w:r w:rsidRPr="00D3335E">
        <w:rPr>
          <w:rFonts w:ascii="Arial" w:hAnsi="Arial" w:cs="Arial"/>
          <w:sz w:val="22"/>
          <w:szCs w:val="22"/>
        </w:rPr>
        <w:t xml:space="preserve">. [online] GOV.UK. Available at: </w:t>
      </w:r>
      <w:hyperlink r:id="rId11" w:history="1">
        <w:r w:rsidRPr="00D3335E">
          <w:rPr>
            <w:rStyle w:val="Hyperlink"/>
            <w:rFonts w:ascii="Arial" w:hAnsi="Arial" w:cs="Arial"/>
            <w:sz w:val="22"/>
            <w:szCs w:val="22"/>
          </w:rPr>
          <w:t>https://www.gov.uk/government/collections/health-and-care-act-2022</w:t>
        </w:r>
      </w:hyperlink>
      <w:r w:rsidRPr="00D3335E">
        <w:rPr>
          <w:rFonts w:ascii="Arial" w:hAnsi="Arial" w:cs="Arial"/>
          <w:sz w:val="22"/>
          <w:szCs w:val="22"/>
        </w:rPr>
        <w:t xml:space="preserve"> (Accessed 28 September 2026)</w:t>
      </w:r>
    </w:p>
    <w:p w14:paraId="0B5746C6" w14:textId="77777777" w:rsidR="00661707" w:rsidRPr="00D3335E" w:rsidRDefault="00661707" w:rsidP="00661707">
      <w:pPr>
        <w:spacing w:after="160"/>
        <w:rPr>
          <w:rFonts w:ascii="Arial" w:hAnsi="Arial" w:cs="Arial"/>
          <w:sz w:val="22"/>
          <w:szCs w:val="22"/>
        </w:rPr>
      </w:pPr>
      <w:r w:rsidRPr="00D3335E">
        <w:rPr>
          <w:rFonts w:ascii="Arial" w:hAnsi="Arial" w:cs="Arial"/>
          <w:sz w:val="22"/>
          <w:szCs w:val="22"/>
        </w:rPr>
        <w:t xml:space="preserve">Dziak, M. (2024). </w:t>
      </w:r>
      <w:r w:rsidRPr="00D3335E">
        <w:rPr>
          <w:rFonts w:ascii="Arial" w:hAnsi="Arial" w:cs="Arial"/>
          <w:i/>
          <w:iCs/>
          <w:sz w:val="22"/>
          <w:szCs w:val="22"/>
        </w:rPr>
        <w:t>Social Model of Health | EBSCO</w:t>
      </w:r>
      <w:r w:rsidRPr="00D3335E">
        <w:rPr>
          <w:rFonts w:ascii="Arial" w:hAnsi="Arial" w:cs="Arial"/>
          <w:sz w:val="22"/>
          <w:szCs w:val="22"/>
        </w:rPr>
        <w:t xml:space="preserve">. [online] EBSCO Information Services, Inc. | www.ebsco.com. Available at: </w:t>
      </w:r>
      <w:hyperlink r:id="rId12" w:history="1">
        <w:r w:rsidRPr="00D3335E">
          <w:rPr>
            <w:rStyle w:val="Hyperlink"/>
            <w:rFonts w:ascii="Arial" w:hAnsi="Arial" w:cs="Arial"/>
            <w:sz w:val="22"/>
            <w:szCs w:val="22"/>
          </w:rPr>
          <w:t>https://www.ebsco.com/research-starters/public-health/social-model-health</w:t>
        </w:r>
      </w:hyperlink>
      <w:r w:rsidRPr="00D3335E">
        <w:rPr>
          <w:rFonts w:ascii="Arial" w:hAnsi="Arial" w:cs="Arial"/>
          <w:sz w:val="22"/>
          <w:szCs w:val="22"/>
        </w:rPr>
        <w:t xml:space="preserve"> (Accessed 30 September 2026)</w:t>
      </w:r>
    </w:p>
    <w:p w14:paraId="2E42C0AB" w14:textId="77777777" w:rsidR="00661707" w:rsidRPr="00D3335E" w:rsidRDefault="00313951" w:rsidP="00661707">
      <w:pPr>
        <w:spacing w:after="160"/>
        <w:rPr>
          <w:rFonts w:ascii="Arial" w:hAnsi="Arial" w:cs="Arial"/>
          <w:sz w:val="22"/>
          <w:szCs w:val="22"/>
        </w:rPr>
      </w:pPr>
      <w:r>
        <w:rPr>
          <w:rFonts w:ascii="Arial" w:hAnsi="Arial" w:cs="Arial"/>
          <w:sz w:val="22"/>
          <w:szCs w:val="22"/>
        </w:rPr>
        <w:t xml:space="preserve">R, </w:t>
      </w:r>
      <w:r w:rsidR="00661707" w:rsidRPr="00D3335E">
        <w:rPr>
          <w:rFonts w:ascii="Arial" w:hAnsi="Arial" w:cs="Arial"/>
          <w:sz w:val="22"/>
          <w:szCs w:val="22"/>
        </w:rPr>
        <w:t xml:space="preserve">Evans (2026). </w:t>
      </w:r>
      <w:r w:rsidR="00661707" w:rsidRPr="00D3335E">
        <w:rPr>
          <w:rFonts w:ascii="Arial" w:hAnsi="Arial" w:cs="Arial"/>
          <w:i/>
          <w:iCs/>
          <w:sz w:val="22"/>
          <w:szCs w:val="22"/>
        </w:rPr>
        <w:t xml:space="preserve">What Is Partnership Working </w:t>
      </w:r>
      <w:proofErr w:type="gramStart"/>
      <w:r w:rsidR="00661707" w:rsidRPr="00D3335E">
        <w:rPr>
          <w:rFonts w:ascii="Arial" w:hAnsi="Arial" w:cs="Arial"/>
          <w:i/>
          <w:iCs/>
          <w:sz w:val="22"/>
          <w:szCs w:val="22"/>
        </w:rPr>
        <w:t>In</w:t>
      </w:r>
      <w:proofErr w:type="gramEnd"/>
      <w:r w:rsidR="00661707" w:rsidRPr="00D3335E">
        <w:rPr>
          <w:rFonts w:ascii="Arial" w:hAnsi="Arial" w:cs="Arial"/>
          <w:i/>
          <w:iCs/>
          <w:sz w:val="22"/>
          <w:szCs w:val="22"/>
        </w:rPr>
        <w:t xml:space="preserve"> Health </w:t>
      </w:r>
      <w:proofErr w:type="gramStart"/>
      <w:r w:rsidR="00661707" w:rsidRPr="00D3335E">
        <w:rPr>
          <w:rFonts w:ascii="Arial" w:hAnsi="Arial" w:cs="Arial"/>
          <w:i/>
          <w:iCs/>
          <w:sz w:val="22"/>
          <w:szCs w:val="22"/>
        </w:rPr>
        <w:t>And</w:t>
      </w:r>
      <w:proofErr w:type="gramEnd"/>
      <w:r w:rsidR="00661707" w:rsidRPr="00D3335E">
        <w:rPr>
          <w:rFonts w:ascii="Arial" w:hAnsi="Arial" w:cs="Arial"/>
          <w:i/>
          <w:iCs/>
          <w:sz w:val="22"/>
          <w:szCs w:val="22"/>
        </w:rPr>
        <w:t xml:space="preserve"> Social Care? | Royal Open College</w:t>
      </w:r>
      <w:r w:rsidR="00661707" w:rsidRPr="00D3335E">
        <w:rPr>
          <w:rFonts w:ascii="Arial" w:hAnsi="Arial" w:cs="Arial"/>
          <w:sz w:val="22"/>
          <w:szCs w:val="22"/>
        </w:rPr>
        <w:t xml:space="preserve">. [online] Royal Open College. Available at: </w:t>
      </w:r>
      <w:hyperlink r:id="rId13" w:history="1">
        <w:r w:rsidR="00661707" w:rsidRPr="00D3335E">
          <w:rPr>
            <w:rStyle w:val="Hyperlink"/>
            <w:rFonts w:ascii="Arial" w:hAnsi="Arial" w:cs="Arial"/>
            <w:sz w:val="22"/>
            <w:szCs w:val="22"/>
          </w:rPr>
          <w:t>https://royalopencollege.org/blog/healthcare/what-is-partnership-working-in-health-and-social-care/</w:t>
        </w:r>
      </w:hyperlink>
      <w:r w:rsidR="00661707" w:rsidRPr="00D3335E">
        <w:rPr>
          <w:rFonts w:ascii="Arial" w:hAnsi="Arial" w:cs="Arial"/>
          <w:sz w:val="22"/>
          <w:szCs w:val="22"/>
        </w:rPr>
        <w:t xml:space="preserve"> (Accessed 03 October 2026)</w:t>
      </w:r>
    </w:p>
    <w:p w14:paraId="51E63670" w14:textId="77777777" w:rsidR="00661707" w:rsidRPr="00D3335E" w:rsidRDefault="00661707" w:rsidP="00661707">
      <w:pPr>
        <w:spacing w:after="160"/>
        <w:rPr>
          <w:rFonts w:ascii="Arial" w:hAnsi="Arial" w:cs="Arial"/>
          <w:sz w:val="22"/>
          <w:szCs w:val="22"/>
        </w:rPr>
      </w:pPr>
      <w:r w:rsidRPr="00D3335E">
        <w:rPr>
          <w:rFonts w:ascii="Arial" w:hAnsi="Arial" w:cs="Arial"/>
          <w:sz w:val="22"/>
          <w:szCs w:val="22"/>
        </w:rPr>
        <w:t xml:space="preserve">Field, L., Nagy, L., Knaggs, T. and Collett, J. (2024). Positive risk-taking within social care for adults with physical disabilities: A review of guidelines in practice in England. </w:t>
      </w:r>
      <w:r w:rsidRPr="00D3335E">
        <w:rPr>
          <w:rFonts w:ascii="Arial" w:hAnsi="Arial" w:cs="Arial"/>
          <w:i/>
          <w:iCs/>
          <w:sz w:val="22"/>
          <w:szCs w:val="22"/>
        </w:rPr>
        <w:t>British Journal of Occupational Therapy</w:t>
      </w:r>
      <w:r w:rsidRPr="00D3335E">
        <w:rPr>
          <w:rFonts w:ascii="Arial" w:hAnsi="Arial" w:cs="Arial"/>
          <w:sz w:val="22"/>
          <w:szCs w:val="22"/>
        </w:rPr>
        <w:t xml:space="preserve">, 87(8). doi:10.1177/03080226241246511. Available at: </w:t>
      </w:r>
      <w:hyperlink r:id="rId14" w:history="1">
        <w:r w:rsidRPr="00D3335E">
          <w:rPr>
            <w:rStyle w:val="Hyperlink"/>
            <w:rFonts w:ascii="Arial" w:hAnsi="Arial" w:cs="Arial"/>
            <w:sz w:val="22"/>
            <w:szCs w:val="22"/>
          </w:rPr>
          <w:t>https://pmc.ncbi.nlm.nih.gov/articles/PMC11887869/</w:t>
        </w:r>
      </w:hyperlink>
      <w:r w:rsidRPr="00D3335E">
        <w:rPr>
          <w:rFonts w:ascii="Arial" w:hAnsi="Arial" w:cs="Arial"/>
          <w:sz w:val="22"/>
          <w:szCs w:val="22"/>
        </w:rPr>
        <w:t xml:space="preserve"> (Accessed 01 October 2026)</w:t>
      </w:r>
    </w:p>
    <w:p w14:paraId="07C34A1F" w14:textId="77777777" w:rsidR="00661707" w:rsidRPr="00D3335E" w:rsidRDefault="00661707" w:rsidP="00661707">
      <w:pPr>
        <w:spacing w:after="160"/>
        <w:rPr>
          <w:rFonts w:ascii="Arial" w:hAnsi="Arial" w:cs="Arial"/>
          <w:sz w:val="22"/>
          <w:szCs w:val="22"/>
        </w:rPr>
      </w:pPr>
      <w:r w:rsidRPr="00D3335E">
        <w:rPr>
          <w:rFonts w:ascii="Arial" w:hAnsi="Arial" w:cs="Arial"/>
          <w:sz w:val="22"/>
          <w:szCs w:val="22"/>
        </w:rPr>
        <w:t xml:space="preserve">GOV.UK (2026). </w:t>
      </w:r>
      <w:r w:rsidRPr="00D3335E">
        <w:rPr>
          <w:rFonts w:ascii="Arial" w:hAnsi="Arial" w:cs="Arial"/>
          <w:i/>
          <w:iCs/>
          <w:sz w:val="22"/>
          <w:szCs w:val="22"/>
        </w:rPr>
        <w:t>Equality Act 2010</w:t>
      </w:r>
      <w:r w:rsidRPr="00D3335E">
        <w:rPr>
          <w:rFonts w:ascii="Arial" w:hAnsi="Arial" w:cs="Arial"/>
          <w:sz w:val="22"/>
          <w:szCs w:val="22"/>
        </w:rPr>
        <w:t xml:space="preserve">. [online] GOV.UK. Available at: </w:t>
      </w:r>
      <w:hyperlink r:id="rId15" w:history="1">
        <w:r w:rsidRPr="00D3335E">
          <w:rPr>
            <w:rStyle w:val="Hyperlink"/>
            <w:rFonts w:ascii="Arial" w:hAnsi="Arial" w:cs="Arial"/>
            <w:sz w:val="22"/>
            <w:szCs w:val="22"/>
          </w:rPr>
          <w:t>https://www.gov.uk/guidance/equality-act-2010-guidance</w:t>
        </w:r>
      </w:hyperlink>
      <w:r w:rsidRPr="00D3335E">
        <w:rPr>
          <w:rFonts w:ascii="Arial" w:hAnsi="Arial" w:cs="Arial"/>
          <w:sz w:val="22"/>
          <w:szCs w:val="22"/>
        </w:rPr>
        <w:t xml:space="preserve"> (Accessed 05 October 2026)</w:t>
      </w:r>
    </w:p>
    <w:p w14:paraId="69FF3C29" w14:textId="77777777" w:rsidR="00661707" w:rsidRPr="00D3335E" w:rsidRDefault="00661707" w:rsidP="00661707">
      <w:pPr>
        <w:spacing w:after="160"/>
        <w:rPr>
          <w:rFonts w:ascii="Arial" w:hAnsi="Arial" w:cs="Arial"/>
          <w:sz w:val="22"/>
          <w:szCs w:val="22"/>
        </w:rPr>
      </w:pPr>
      <w:r w:rsidRPr="00D3335E">
        <w:rPr>
          <w:rFonts w:ascii="Arial" w:hAnsi="Arial" w:cs="Arial"/>
          <w:sz w:val="22"/>
          <w:szCs w:val="22"/>
        </w:rPr>
        <w:t xml:space="preserve">McCance, T. and McCormack, B. (2025). The person-centred nursing framework: A mid-range theory for nursing practice. </w:t>
      </w:r>
      <w:r w:rsidRPr="00D3335E">
        <w:rPr>
          <w:rFonts w:ascii="Arial" w:hAnsi="Arial" w:cs="Arial"/>
          <w:i/>
          <w:iCs/>
          <w:sz w:val="22"/>
          <w:szCs w:val="22"/>
        </w:rPr>
        <w:t>Journal of Research in Nursing</w:t>
      </w:r>
      <w:r w:rsidRPr="00D3335E">
        <w:rPr>
          <w:rFonts w:ascii="Arial" w:hAnsi="Arial" w:cs="Arial"/>
          <w:sz w:val="22"/>
          <w:szCs w:val="22"/>
        </w:rPr>
        <w:t xml:space="preserve">, [online] 30(1), pp.47–60. doi:10.1177/17449871241281428. Available at: </w:t>
      </w:r>
      <w:hyperlink r:id="rId16" w:history="1">
        <w:r w:rsidRPr="00D3335E">
          <w:rPr>
            <w:rStyle w:val="Hyperlink"/>
            <w:rFonts w:ascii="Arial" w:hAnsi="Arial" w:cs="Arial"/>
            <w:sz w:val="22"/>
            <w:szCs w:val="22"/>
          </w:rPr>
          <w:t>https://journals.sagepub.com/doi/full/10.1177/17449871241281428</w:t>
        </w:r>
      </w:hyperlink>
      <w:r w:rsidRPr="00D3335E">
        <w:rPr>
          <w:rFonts w:ascii="Arial" w:hAnsi="Arial" w:cs="Arial"/>
          <w:sz w:val="22"/>
          <w:szCs w:val="22"/>
        </w:rPr>
        <w:t xml:space="preserve"> (Accessed 20 September 2026)</w:t>
      </w:r>
    </w:p>
    <w:p w14:paraId="7FB3D3DF" w14:textId="77777777" w:rsidR="00661707" w:rsidRPr="00D3335E" w:rsidRDefault="00661707" w:rsidP="00661707">
      <w:pPr>
        <w:spacing w:after="160"/>
        <w:rPr>
          <w:rFonts w:ascii="Arial" w:hAnsi="Arial" w:cs="Arial"/>
          <w:sz w:val="22"/>
          <w:szCs w:val="22"/>
        </w:rPr>
      </w:pPr>
      <w:r w:rsidRPr="00D3335E">
        <w:rPr>
          <w:rFonts w:ascii="Arial" w:hAnsi="Arial" w:cs="Arial"/>
          <w:sz w:val="22"/>
          <w:szCs w:val="22"/>
        </w:rPr>
        <w:t xml:space="preserve">NHS (2025). </w:t>
      </w:r>
      <w:r w:rsidRPr="00D3335E">
        <w:rPr>
          <w:rFonts w:ascii="Arial" w:hAnsi="Arial" w:cs="Arial"/>
          <w:i/>
          <w:iCs/>
          <w:sz w:val="22"/>
          <w:szCs w:val="22"/>
        </w:rPr>
        <w:t>Social Model for Health and Wellbeing</w:t>
      </w:r>
      <w:r w:rsidRPr="00D3335E">
        <w:rPr>
          <w:rFonts w:ascii="Arial" w:hAnsi="Arial" w:cs="Arial"/>
          <w:sz w:val="22"/>
          <w:szCs w:val="22"/>
        </w:rPr>
        <w:t xml:space="preserve">. [online] Hywel Dda University Health Board. Available at: </w:t>
      </w:r>
      <w:hyperlink r:id="rId17" w:history="1">
        <w:r w:rsidRPr="00D3335E">
          <w:rPr>
            <w:rStyle w:val="Hyperlink"/>
            <w:rFonts w:ascii="Arial" w:hAnsi="Arial" w:cs="Arial"/>
            <w:sz w:val="22"/>
            <w:szCs w:val="22"/>
          </w:rPr>
          <w:t>https://hduhb.nhs.wales/healthcare/services-and-teams/social-model-for-health-and-wellbeing/</w:t>
        </w:r>
      </w:hyperlink>
      <w:r w:rsidRPr="00D3335E">
        <w:rPr>
          <w:rFonts w:ascii="Arial" w:hAnsi="Arial" w:cs="Arial"/>
          <w:sz w:val="22"/>
          <w:szCs w:val="22"/>
        </w:rPr>
        <w:t xml:space="preserve"> (Accessed 21 September 2026)</w:t>
      </w:r>
    </w:p>
    <w:p w14:paraId="30D41031" w14:textId="77777777" w:rsidR="00661707" w:rsidRPr="00D3335E" w:rsidRDefault="00661707" w:rsidP="00661707">
      <w:pPr>
        <w:spacing w:after="160"/>
        <w:rPr>
          <w:rFonts w:ascii="Arial" w:hAnsi="Arial" w:cs="Arial"/>
          <w:sz w:val="22"/>
          <w:szCs w:val="22"/>
        </w:rPr>
      </w:pPr>
      <w:r w:rsidRPr="00D3335E">
        <w:rPr>
          <w:rFonts w:ascii="Arial" w:hAnsi="Arial" w:cs="Arial"/>
          <w:sz w:val="22"/>
          <w:szCs w:val="22"/>
        </w:rPr>
        <w:lastRenderedPageBreak/>
        <w:t xml:space="preserve">NHS (2026). </w:t>
      </w:r>
      <w:r w:rsidRPr="00D3335E">
        <w:rPr>
          <w:rFonts w:ascii="Arial" w:hAnsi="Arial" w:cs="Arial"/>
          <w:i/>
          <w:iCs/>
          <w:sz w:val="22"/>
          <w:szCs w:val="22"/>
        </w:rPr>
        <w:t>Mental Capacity Act</w:t>
      </w:r>
      <w:r w:rsidRPr="00D3335E">
        <w:rPr>
          <w:rFonts w:ascii="Arial" w:hAnsi="Arial" w:cs="Arial"/>
          <w:sz w:val="22"/>
          <w:szCs w:val="22"/>
        </w:rPr>
        <w:t xml:space="preserve">. [online] Health Research Authority. Available at: </w:t>
      </w:r>
      <w:hyperlink r:id="rId18" w:history="1">
        <w:r w:rsidRPr="00D3335E">
          <w:rPr>
            <w:rStyle w:val="Hyperlink"/>
            <w:rFonts w:ascii="Arial" w:hAnsi="Arial" w:cs="Arial"/>
            <w:sz w:val="22"/>
            <w:szCs w:val="22"/>
          </w:rPr>
          <w:t>https://www.hra.nhs.uk/planning-and-improving-research/policies-standards-legislation/mental-capacity-act/</w:t>
        </w:r>
      </w:hyperlink>
      <w:r w:rsidRPr="00D3335E">
        <w:rPr>
          <w:rFonts w:ascii="Arial" w:hAnsi="Arial" w:cs="Arial"/>
          <w:sz w:val="22"/>
          <w:szCs w:val="22"/>
        </w:rPr>
        <w:t xml:space="preserve"> (Accessed 02 September 2026)</w:t>
      </w:r>
    </w:p>
    <w:p w14:paraId="527DFD25" w14:textId="77777777" w:rsidR="00661707" w:rsidRPr="00D3335E" w:rsidRDefault="00661707" w:rsidP="00661707">
      <w:pPr>
        <w:spacing w:after="160"/>
        <w:rPr>
          <w:rFonts w:ascii="Arial" w:hAnsi="Arial" w:cs="Arial"/>
          <w:sz w:val="22"/>
          <w:szCs w:val="22"/>
        </w:rPr>
      </w:pPr>
      <w:r w:rsidRPr="00D3335E">
        <w:rPr>
          <w:rFonts w:ascii="Arial" w:hAnsi="Arial" w:cs="Arial"/>
          <w:sz w:val="22"/>
          <w:szCs w:val="22"/>
        </w:rPr>
        <w:t xml:space="preserve">NHS England (2023). </w:t>
      </w:r>
      <w:r w:rsidRPr="00D3335E">
        <w:rPr>
          <w:rFonts w:ascii="Arial" w:hAnsi="Arial" w:cs="Arial"/>
          <w:i/>
          <w:iCs/>
          <w:sz w:val="22"/>
          <w:szCs w:val="22"/>
        </w:rPr>
        <w:t>NHS England » Joan’s Story</w:t>
      </w:r>
      <w:r w:rsidRPr="00D3335E">
        <w:rPr>
          <w:rFonts w:ascii="Arial" w:hAnsi="Arial" w:cs="Arial"/>
          <w:sz w:val="22"/>
          <w:szCs w:val="22"/>
        </w:rPr>
        <w:t xml:space="preserve">. [online] Available at: </w:t>
      </w:r>
      <w:hyperlink r:id="rId19" w:history="1">
        <w:r w:rsidRPr="00D3335E">
          <w:rPr>
            <w:rStyle w:val="Hyperlink"/>
            <w:rFonts w:ascii="Arial" w:hAnsi="Arial" w:cs="Arial"/>
            <w:sz w:val="22"/>
            <w:szCs w:val="22"/>
          </w:rPr>
          <w:t>https://www.england.nhs.uk/personalisedcare/comprehensive-model/case-studies/joans-story/</w:t>
        </w:r>
      </w:hyperlink>
      <w:r w:rsidRPr="00D3335E">
        <w:rPr>
          <w:rFonts w:ascii="Arial" w:hAnsi="Arial" w:cs="Arial"/>
          <w:sz w:val="22"/>
          <w:szCs w:val="22"/>
        </w:rPr>
        <w:t xml:space="preserve"> (Accessed 19 September 2026)</w:t>
      </w:r>
    </w:p>
    <w:p w14:paraId="46654A02" w14:textId="77777777" w:rsidR="00661707" w:rsidRPr="00D3335E" w:rsidRDefault="00661707" w:rsidP="00661707">
      <w:pPr>
        <w:spacing w:after="160"/>
        <w:rPr>
          <w:rFonts w:ascii="Arial" w:hAnsi="Arial" w:cs="Arial"/>
          <w:sz w:val="22"/>
          <w:szCs w:val="22"/>
        </w:rPr>
      </w:pPr>
      <w:r w:rsidRPr="00D3335E">
        <w:rPr>
          <w:rFonts w:ascii="Arial" w:hAnsi="Arial" w:cs="Arial"/>
          <w:sz w:val="22"/>
          <w:szCs w:val="22"/>
        </w:rPr>
        <w:t xml:space="preserve">NHS Professionals (2026). </w:t>
      </w:r>
      <w:r w:rsidRPr="00D3335E">
        <w:rPr>
          <w:rFonts w:ascii="Arial" w:hAnsi="Arial" w:cs="Arial"/>
          <w:i/>
          <w:iCs/>
          <w:sz w:val="22"/>
          <w:szCs w:val="22"/>
        </w:rPr>
        <w:t>The 6 Cs of Care</w:t>
      </w:r>
      <w:r w:rsidRPr="00D3335E">
        <w:rPr>
          <w:rFonts w:ascii="Arial" w:hAnsi="Arial" w:cs="Arial"/>
          <w:sz w:val="22"/>
          <w:szCs w:val="22"/>
        </w:rPr>
        <w:t xml:space="preserve">. [online] NHS Professionals. Available at: </w:t>
      </w:r>
      <w:hyperlink r:id="rId20" w:history="1">
        <w:r w:rsidRPr="00D3335E">
          <w:rPr>
            <w:rStyle w:val="Hyperlink"/>
            <w:rFonts w:ascii="Arial" w:hAnsi="Arial" w:cs="Arial"/>
            <w:sz w:val="22"/>
            <w:szCs w:val="22"/>
          </w:rPr>
          <w:t>https://www.nhsprofessionals.nhs.uk/nhs-staffing-pool-hub/working-in-healthcare/the-6-cs-of-care</w:t>
        </w:r>
      </w:hyperlink>
      <w:r w:rsidRPr="00D3335E">
        <w:rPr>
          <w:rFonts w:ascii="Arial" w:hAnsi="Arial" w:cs="Arial"/>
          <w:sz w:val="22"/>
          <w:szCs w:val="22"/>
        </w:rPr>
        <w:t xml:space="preserve"> (Accessed 01 October 2026)</w:t>
      </w:r>
    </w:p>
    <w:p w14:paraId="36D51933" w14:textId="77777777" w:rsidR="00661707" w:rsidRPr="00D3335E" w:rsidRDefault="00661707" w:rsidP="00661707">
      <w:pPr>
        <w:spacing w:after="160"/>
        <w:rPr>
          <w:rFonts w:ascii="Arial" w:hAnsi="Arial" w:cs="Arial"/>
          <w:sz w:val="22"/>
          <w:szCs w:val="22"/>
        </w:rPr>
      </w:pPr>
      <w:r w:rsidRPr="00D3335E">
        <w:rPr>
          <w:rFonts w:ascii="Arial" w:hAnsi="Arial" w:cs="Arial"/>
          <w:sz w:val="22"/>
          <w:szCs w:val="22"/>
        </w:rPr>
        <w:t xml:space="preserve">NICE (2016). </w:t>
      </w:r>
      <w:r w:rsidRPr="00D3335E">
        <w:rPr>
          <w:rFonts w:ascii="Arial" w:hAnsi="Arial" w:cs="Arial"/>
          <w:i/>
          <w:iCs/>
          <w:sz w:val="22"/>
          <w:szCs w:val="22"/>
        </w:rPr>
        <w:t>Recommendations | Multimorbidity: clinical assessment and management | Guidance | NICE</w:t>
      </w:r>
      <w:r w:rsidRPr="00D3335E">
        <w:rPr>
          <w:rFonts w:ascii="Arial" w:hAnsi="Arial" w:cs="Arial"/>
          <w:sz w:val="22"/>
          <w:szCs w:val="22"/>
        </w:rPr>
        <w:t xml:space="preserve">. [online] www.nice.org.uk. Available at: </w:t>
      </w:r>
      <w:hyperlink r:id="rId21" w:anchor="taking-account-of-multimorbidity-in-tailoring-the-approach-to-care" w:history="1">
        <w:r w:rsidRPr="00D3335E">
          <w:rPr>
            <w:rStyle w:val="Hyperlink"/>
            <w:rFonts w:ascii="Arial" w:hAnsi="Arial" w:cs="Arial"/>
            <w:sz w:val="22"/>
            <w:szCs w:val="22"/>
          </w:rPr>
          <w:t>https://www.nice.org.uk/guidance/NG56/chapter/Recommendations#taking-account-of-multimorbidity-in-tailoring-the-approach-to-care</w:t>
        </w:r>
      </w:hyperlink>
      <w:r w:rsidRPr="00D3335E">
        <w:rPr>
          <w:rFonts w:ascii="Arial" w:hAnsi="Arial" w:cs="Arial"/>
          <w:sz w:val="22"/>
          <w:szCs w:val="22"/>
        </w:rPr>
        <w:t xml:space="preserve"> (Accessed 29 September 2026)</w:t>
      </w:r>
    </w:p>
    <w:p w14:paraId="283497A4" w14:textId="77777777" w:rsidR="00661707" w:rsidRPr="00D3335E" w:rsidRDefault="00661707" w:rsidP="00661707">
      <w:pPr>
        <w:spacing w:after="160"/>
        <w:rPr>
          <w:rFonts w:ascii="Arial" w:hAnsi="Arial" w:cs="Arial"/>
          <w:sz w:val="22"/>
          <w:szCs w:val="22"/>
        </w:rPr>
      </w:pPr>
      <w:r w:rsidRPr="00D3335E">
        <w:rPr>
          <w:rFonts w:ascii="Arial" w:hAnsi="Arial" w:cs="Arial"/>
          <w:sz w:val="22"/>
          <w:szCs w:val="22"/>
        </w:rPr>
        <w:t xml:space="preserve">Sharkiya, S.H. (2023). Quality communication can improve patient-centred health outcomes among older patients: A rapid review. </w:t>
      </w:r>
      <w:r w:rsidRPr="00D3335E">
        <w:rPr>
          <w:rFonts w:ascii="Arial" w:hAnsi="Arial" w:cs="Arial"/>
          <w:i/>
          <w:iCs/>
          <w:sz w:val="22"/>
          <w:szCs w:val="22"/>
        </w:rPr>
        <w:t>BMC Health Services Research</w:t>
      </w:r>
      <w:r w:rsidRPr="00D3335E">
        <w:rPr>
          <w:rFonts w:ascii="Arial" w:hAnsi="Arial" w:cs="Arial"/>
          <w:sz w:val="22"/>
          <w:szCs w:val="22"/>
        </w:rPr>
        <w:t xml:space="preserve">, [online] 23(1), pp.1–14. doi:10.1186/s12913-023-09869-8. Available at: </w:t>
      </w:r>
      <w:hyperlink r:id="rId22" w:history="1">
        <w:r w:rsidRPr="00D3335E">
          <w:rPr>
            <w:rStyle w:val="Hyperlink"/>
            <w:rFonts w:ascii="Arial" w:hAnsi="Arial" w:cs="Arial"/>
            <w:sz w:val="22"/>
            <w:szCs w:val="22"/>
          </w:rPr>
          <w:t>https://link.springer.com/article/10.1186/s12913-023-09869-8</w:t>
        </w:r>
      </w:hyperlink>
      <w:r w:rsidRPr="00D3335E">
        <w:rPr>
          <w:rFonts w:ascii="Arial" w:hAnsi="Arial" w:cs="Arial"/>
          <w:sz w:val="22"/>
          <w:szCs w:val="22"/>
        </w:rPr>
        <w:t xml:space="preserve"> (Accessed 05 October 2026)</w:t>
      </w:r>
    </w:p>
    <w:p w14:paraId="04AA2774" w14:textId="77777777" w:rsidR="00661707" w:rsidRPr="00D3335E" w:rsidRDefault="00661707" w:rsidP="00661707">
      <w:pPr>
        <w:spacing w:after="160"/>
        <w:rPr>
          <w:rFonts w:ascii="Arial" w:hAnsi="Arial" w:cs="Arial"/>
          <w:sz w:val="22"/>
          <w:szCs w:val="22"/>
        </w:rPr>
      </w:pPr>
      <w:r w:rsidRPr="00D3335E">
        <w:rPr>
          <w:rFonts w:ascii="Arial" w:hAnsi="Arial" w:cs="Arial"/>
          <w:sz w:val="22"/>
          <w:szCs w:val="22"/>
        </w:rPr>
        <w:t xml:space="preserve">Social Care Institute for Excellence (2022). </w:t>
      </w:r>
      <w:r w:rsidRPr="00D3335E">
        <w:rPr>
          <w:rFonts w:ascii="Arial" w:hAnsi="Arial" w:cs="Arial"/>
          <w:i/>
          <w:iCs/>
          <w:sz w:val="22"/>
          <w:szCs w:val="22"/>
        </w:rPr>
        <w:t xml:space="preserve">Mental Capacity Act 2005 </w:t>
      </w:r>
      <w:proofErr w:type="gramStart"/>
      <w:r w:rsidRPr="00D3335E">
        <w:rPr>
          <w:rFonts w:ascii="Arial" w:hAnsi="Arial" w:cs="Arial"/>
          <w:i/>
          <w:iCs/>
          <w:sz w:val="22"/>
          <w:szCs w:val="22"/>
        </w:rPr>
        <w:t>at a Glance</w:t>
      </w:r>
      <w:proofErr w:type="gramEnd"/>
      <w:r w:rsidRPr="00D3335E">
        <w:rPr>
          <w:rFonts w:ascii="Arial" w:hAnsi="Arial" w:cs="Arial"/>
          <w:sz w:val="22"/>
          <w:szCs w:val="22"/>
        </w:rPr>
        <w:t xml:space="preserve">. [online] SCIE. Available at: </w:t>
      </w:r>
      <w:hyperlink r:id="rId23" w:history="1">
        <w:r w:rsidRPr="00D3335E">
          <w:rPr>
            <w:rStyle w:val="Hyperlink"/>
            <w:rFonts w:ascii="Arial" w:hAnsi="Arial" w:cs="Arial"/>
            <w:sz w:val="22"/>
            <w:szCs w:val="22"/>
          </w:rPr>
          <w:t>https://www.scie.org.uk/mca/introduction/mental-capacity-act-2005-at-a-glance/</w:t>
        </w:r>
      </w:hyperlink>
      <w:r w:rsidRPr="00D3335E">
        <w:rPr>
          <w:rFonts w:ascii="Arial" w:hAnsi="Arial" w:cs="Arial"/>
          <w:sz w:val="22"/>
          <w:szCs w:val="22"/>
        </w:rPr>
        <w:t xml:space="preserve"> (Accessed 03 October 2026)</w:t>
      </w:r>
    </w:p>
    <w:p w14:paraId="0EB83B73" w14:textId="77777777" w:rsidR="00661707" w:rsidRPr="00D3335E" w:rsidRDefault="00661707" w:rsidP="00661707">
      <w:pPr>
        <w:spacing w:after="160"/>
        <w:rPr>
          <w:rFonts w:ascii="Arial" w:hAnsi="Arial" w:cs="Arial"/>
          <w:sz w:val="22"/>
          <w:szCs w:val="22"/>
        </w:rPr>
      </w:pPr>
      <w:r w:rsidRPr="00D3335E">
        <w:rPr>
          <w:rFonts w:ascii="Arial" w:hAnsi="Arial" w:cs="Arial"/>
          <w:sz w:val="22"/>
          <w:szCs w:val="22"/>
        </w:rPr>
        <w:t xml:space="preserve">Thomson, L.J.M., Waterson, H. and Chatterjee, H.J. (2024). Successes and challenges of partnership working to tackle health inequalities using collaborative approaches to community-based research: mixed methods analysis of focus group evidence. </w:t>
      </w:r>
      <w:r w:rsidRPr="00D3335E">
        <w:rPr>
          <w:rFonts w:ascii="Arial" w:hAnsi="Arial" w:cs="Arial"/>
          <w:i/>
          <w:iCs/>
          <w:sz w:val="22"/>
          <w:szCs w:val="22"/>
        </w:rPr>
        <w:t>International Journal for Equity in Health</w:t>
      </w:r>
      <w:r w:rsidRPr="00D3335E">
        <w:rPr>
          <w:rFonts w:ascii="Arial" w:hAnsi="Arial" w:cs="Arial"/>
          <w:sz w:val="22"/>
          <w:szCs w:val="22"/>
        </w:rPr>
        <w:t xml:space="preserve">, [online] 23(1). doi:10.1186/s12939-024-02216-1. Available at: </w:t>
      </w:r>
      <w:hyperlink r:id="rId24" w:history="1">
        <w:r w:rsidRPr="00D3335E">
          <w:rPr>
            <w:rStyle w:val="Hyperlink"/>
            <w:rFonts w:ascii="Arial" w:hAnsi="Arial" w:cs="Arial"/>
            <w:sz w:val="22"/>
            <w:szCs w:val="22"/>
          </w:rPr>
          <w:t>https://pmc.ncbi.nlm.nih.gov/articles/PMC11223342/</w:t>
        </w:r>
      </w:hyperlink>
      <w:r w:rsidRPr="00D3335E">
        <w:rPr>
          <w:rFonts w:ascii="Arial" w:hAnsi="Arial" w:cs="Arial"/>
          <w:sz w:val="22"/>
          <w:szCs w:val="22"/>
        </w:rPr>
        <w:t xml:space="preserve"> (Accessed 24 September 2026)</w:t>
      </w:r>
    </w:p>
    <w:p w14:paraId="4CCD67FE" w14:textId="77777777" w:rsidR="00661707" w:rsidRPr="00D3335E" w:rsidRDefault="00661707" w:rsidP="00661707">
      <w:pPr>
        <w:spacing w:after="160"/>
        <w:rPr>
          <w:rFonts w:ascii="Arial" w:hAnsi="Arial" w:cs="Arial"/>
          <w:sz w:val="22"/>
          <w:szCs w:val="22"/>
        </w:rPr>
      </w:pPr>
      <w:r w:rsidRPr="00D3335E">
        <w:rPr>
          <w:rFonts w:ascii="Arial" w:hAnsi="Arial" w:cs="Arial"/>
          <w:sz w:val="22"/>
          <w:szCs w:val="22"/>
        </w:rPr>
        <w:t xml:space="preserve">Varkey, B. (2020). Principles of Clinical Ethics and Their Application to Practice. </w:t>
      </w:r>
      <w:r w:rsidRPr="00D3335E">
        <w:rPr>
          <w:rFonts w:ascii="Arial" w:hAnsi="Arial" w:cs="Arial"/>
          <w:i/>
          <w:iCs/>
          <w:sz w:val="22"/>
          <w:szCs w:val="22"/>
        </w:rPr>
        <w:t>Medical Principles and Practice</w:t>
      </w:r>
      <w:r w:rsidRPr="00D3335E">
        <w:rPr>
          <w:rFonts w:ascii="Arial" w:hAnsi="Arial" w:cs="Arial"/>
          <w:sz w:val="22"/>
          <w:szCs w:val="22"/>
        </w:rPr>
        <w:t xml:space="preserve">, [online] 30(1), pp.17–28. doi:10.1159/000509119. Available at: </w:t>
      </w:r>
      <w:hyperlink r:id="rId25" w:history="1">
        <w:r w:rsidRPr="00D3335E">
          <w:rPr>
            <w:rStyle w:val="Hyperlink"/>
            <w:rFonts w:ascii="Arial" w:hAnsi="Arial" w:cs="Arial"/>
            <w:sz w:val="22"/>
            <w:szCs w:val="22"/>
          </w:rPr>
          <w:t>https://pmc.ncbi.nlm.nih.gov/articles/PMC7923912/</w:t>
        </w:r>
      </w:hyperlink>
      <w:r w:rsidRPr="00D3335E">
        <w:rPr>
          <w:rFonts w:ascii="Arial" w:hAnsi="Arial" w:cs="Arial"/>
          <w:sz w:val="22"/>
          <w:szCs w:val="22"/>
        </w:rPr>
        <w:t xml:space="preserve"> (Accessed 29 September 2026)</w:t>
      </w:r>
    </w:p>
    <w:p w14:paraId="7F1B6478" w14:textId="77777777" w:rsidR="00A90203" w:rsidRPr="00A90203" w:rsidRDefault="00A90203" w:rsidP="00060DB8">
      <w:pPr>
        <w:jc w:val="both"/>
        <w:rPr>
          <w:rFonts w:ascii="Arial" w:hAnsi="Arial" w:cs="Arial"/>
          <w:sz w:val="22"/>
          <w:szCs w:val="22"/>
        </w:rPr>
      </w:pPr>
    </w:p>
    <w:sectPr w:rsidR="00A90203" w:rsidRPr="00A90203">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47D5DC" w14:textId="77777777" w:rsidR="003854EC" w:rsidRDefault="003854EC" w:rsidP="00C84F4A">
      <w:pPr>
        <w:spacing w:after="0" w:line="240" w:lineRule="auto"/>
      </w:pPr>
      <w:r>
        <w:separator/>
      </w:r>
    </w:p>
  </w:endnote>
  <w:endnote w:type="continuationSeparator" w:id="0">
    <w:p w14:paraId="67BB1AA5" w14:textId="77777777" w:rsidR="003854EC" w:rsidRDefault="003854EC" w:rsidP="00C84F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4980764"/>
      <w:docPartObj>
        <w:docPartGallery w:val="Page Numbers (Bottom of Page)"/>
        <w:docPartUnique/>
      </w:docPartObj>
    </w:sdtPr>
    <w:sdtEndPr>
      <w:rPr>
        <w:noProof/>
      </w:rPr>
    </w:sdtEndPr>
    <w:sdtContent>
      <w:p w14:paraId="3156E6CA" w14:textId="77777777" w:rsidR="00C84F4A" w:rsidRDefault="00C84F4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DE0A221" w14:textId="77777777" w:rsidR="00C84F4A" w:rsidRDefault="00C84F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1ED667" w14:textId="77777777" w:rsidR="003854EC" w:rsidRDefault="003854EC" w:rsidP="00C84F4A">
      <w:pPr>
        <w:spacing w:after="0" w:line="240" w:lineRule="auto"/>
      </w:pPr>
      <w:r>
        <w:separator/>
      </w:r>
    </w:p>
  </w:footnote>
  <w:footnote w:type="continuationSeparator" w:id="0">
    <w:p w14:paraId="496AFA12" w14:textId="77777777" w:rsidR="003854EC" w:rsidRDefault="003854EC" w:rsidP="00C84F4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0C5C"/>
    <w:rsid w:val="00004005"/>
    <w:rsid w:val="000420D5"/>
    <w:rsid w:val="00042CF4"/>
    <w:rsid w:val="00060DB8"/>
    <w:rsid w:val="00066A36"/>
    <w:rsid w:val="0006705C"/>
    <w:rsid w:val="000A10DB"/>
    <w:rsid w:val="000A4E9A"/>
    <w:rsid w:val="000F129D"/>
    <w:rsid w:val="00112AC8"/>
    <w:rsid w:val="00126A7E"/>
    <w:rsid w:val="00133EAE"/>
    <w:rsid w:val="001D59EB"/>
    <w:rsid w:val="001D6E4D"/>
    <w:rsid w:val="001E0E70"/>
    <w:rsid w:val="001E2389"/>
    <w:rsid w:val="001F1722"/>
    <w:rsid w:val="00210DEB"/>
    <w:rsid w:val="00220C5C"/>
    <w:rsid w:val="002322D8"/>
    <w:rsid w:val="002740E4"/>
    <w:rsid w:val="002748BA"/>
    <w:rsid w:val="002F7806"/>
    <w:rsid w:val="003108C7"/>
    <w:rsid w:val="00313951"/>
    <w:rsid w:val="003219DD"/>
    <w:rsid w:val="00343F8F"/>
    <w:rsid w:val="003808E1"/>
    <w:rsid w:val="003854EC"/>
    <w:rsid w:val="003977DC"/>
    <w:rsid w:val="003E640E"/>
    <w:rsid w:val="003F282D"/>
    <w:rsid w:val="00403F2D"/>
    <w:rsid w:val="0040665B"/>
    <w:rsid w:val="0043626D"/>
    <w:rsid w:val="00436EC4"/>
    <w:rsid w:val="00457B25"/>
    <w:rsid w:val="00495307"/>
    <w:rsid w:val="004A170E"/>
    <w:rsid w:val="004C4740"/>
    <w:rsid w:val="004E01FD"/>
    <w:rsid w:val="004F110A"/>
    <w:rsid w:val="004F246C"/>
    <w:rsid w:val="00501A1F"/>
    <w:rsid w:val="00520CCE"/>
    <w:rsid w:val="00542D49"/>
    <w:rsid w:val="00570DE5"/>
    <w:rsid w:val="00596B5D"/>
    <w:rsid w:val="005B614A"/>
    <w:rsid w:val="005F7A12"/>
    <w:rsid w:val="006210B8"/>
    <w:rsid w:val="00622D15"/>
    <w:rsid w:val="006577B4"/>
    <w:rsid w:val="00661707"/>
    <w:rsid w:val="0068282D"/>
    <w:rsid w:val="00686478"/>
    <w:rsid w:val="006E372D"/>
    <w:rsid w:val="006E401C"/>
    <w:rsid w:val="006F5CE2"/>
    <w:rsid w:val="00704299"/>
    <w:rsid w:val="00710C1F"/>
    <w:rsid w:val="00721032"/>
    <w:rsid w:val="00760F00"/>
    <w:rsid w:val="007833F0"/>
    <w:rsid w:val="007A4D5E"/>
    <w:rsid w:val="007C2C9B"/>
    <w:rsid w:val="00807622"/>
    <w:rsid w:val="00823E55"/>
    <w:rsid w:val="00842351"/>
    <w:rsid w:val="0084626B"/>
    <w:rsid w:val="00855BD5"/>
    <w:rsid w:val="00887777"/>
    <w:rsid w:val="00896655"/>
    <w:rsid w:val="008A21A3"/>
    <w:rsid w:val="008B7ADA"/>
    <w:rsid w:val="008C3D59"/>
    <w:rsid w:val="00945B67"/>
    <w:rsid w:val="00963ACF"/>
    <w:rsid w:val="00965C70"/>
    <w:rsid w:val="0097192E"/>
    <w:rsid w:val="009B2CCB"/>
    <w:rsid w:val="009D6878"/>
    <w:rsid w:val="00A01247"/>
    <w:rsid w:val="00A0756B"/>
    <w:rsid w:val="00A20692"/>
    <w:rsid w:val="00A552FF"/>
    <w:rsid w:val="00A63DC5"/>
    <w:rsid w:val="00A70E1C"/>
    <w:rsid w:val="00A90203"/>
    <w:rsid w:val="00B16907"/>
    <w:rsid w:val="00B42535"/>
    <w:rsid w:val="00B4576B"/>
    <w:rsid w:val="00B71FB0"/>
    <w:rsid w:val="00B746DA"/>
    <w:rsid w:val="00B94079"/>
    <w:rsid w:val="00B966B2"/>
    <w:rsid w:val="00BE14A7"/>
    <w:rsid w:val="00C13252"/>
    <w:rsid w:val="00C23D12"/>
    <w:rsid w:val="00C32E67"/>
    <w:rsid w:val="00C84F4A"/>
    <w:rsid w:val="00C8529C"/>
    <w:rsid w:val="00C9080C"/>
    <w:rsid w:val="00C944AD"/>
    <w:rsid w:val="00CA3295"/>
    <w:rsid w:val="00CA6624"/>
    <w:rsid w:val="00CD6FDD"/>
    <w:rsid w:val="00CF4513"/>
    <w:rsid w:val="00D20D7E"/>
    <w:rsid w:val="00D22731"/>
    <w:rsid w:val="00D257F8"/>
    <w:rsid w:val="00D35E3D"/>
    <w:rsid w:val="00D43A0D"/>
    <w:rsid w:val="00D564DC"/>
    <w:rsid w:val="00D6181B"/>
    <w:rsid w:val="00D67BF2"/>
    <w:rsid w:val="00D77DF4"/>
    <w:rsid w:val="00D81365"/>
    <w:rsid w:val="00D851A7"/>
    <w:rsid w:val="00D86C75"/>
    <w:rsid w:val="00DC56CC"/>
    <w:rsid w:val="00DE11BD"/>
    <w:rsid w:val="00E305D6"/>
    <w:rsid w:val="00E44E00"/>
    <w:rsid w:val="00E46DB2"/>
    <w:rsid w:val="00E573F9"/>
    <w:rsid w:val="00F0026D"/>
    <w:rsid w:val="00F03036"/>
    <w:rsid w:val="00F30D33"/>
    <w:rsid w:val="00F32807"/>
    <w:rsid w:val="00F864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61DAB1"/>
  <w15:chartTrackingRefBased/>
  <w15:docId w15:val="{0933112B-9389-4024-B5BF-8399B7FAD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2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4513"/>
  </w:style>
  <w:style w:type="paragraph" w:styleId="Heading1">
    <w:name w:val="heading 1"/>
    <w:basedOn w:val="Normal"/>
    <w:next w:val="Normal"/>
    <w:link w:val="Heading1Char"/>
    <w:uiPriority w:val="9"/>
    <w:qFormat/>
    <w:rsid w:val="00220C5C"/>
    <w:pPr>
      <w:keepNext/>
      <w:keepLines/>
      <w:spacing w:before="360" w:after="80"/>
      <w:outlineLvl w:val="0"/>
    </w:pPr>
    <w:rPr>
      <w:rFonts w:ascii="Calibri" w:hAnsi="Calibri" w:cstheme="majorBidi"/>
      <w:b/>
      <w:color w:val="000000"/>
      <w:sz w:val="28"/>
      <w:szCs w:val="40"/>
    </w:rPr>
  </w:style>
  <w:style w:type="paragraph" w:styleId="Heading2">
    <w:name w:val="heading 2"/>
    <w:basedOn w:val="Normal"/>
    <w:next w:val="Normal"/>
    <w:link w:val="Heading2Char"/>
    <w:uiPriority w:val="9"/>
    <w:semiHidden/>
    <w:unhideWhenUsed/>
    <w:qFormat/>
    <w:rsid w:val="00220C5C"/>
    <w:pPr>
      <w:keepNext/>
      <w:keepLines/>
      <w:spacing w:before="160" w:after="80"/>
      <w:outlineLvl w:val="1"/>
    </w:pPr>
    <w:rPr>
      <w:rFonts w:ascii="Calibri" w:hAnsi="Calibri" w:cstheme="majorBidi"/>
      <w:b/>
      <w:color w:val="000000"/>
      <w:szCs w:val="32"/>
    </w:rPr>
  </w:style>
  <w:style w:type="paragraph" w:styleId="Heading3">
    <w:name w:val="heading 3"/>
    <w:basedOn w:val="Normal"/>
    <w:next w:val="Normal"/>
    <w:link w:val="Heading3Char"/>
    <w:uiPriority w:val="9"/>
    <w:semiHidden/>
    <w:unhideWhenUsed/>
    <w:qFormat/>
    <w:rsid w:val="00220C5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20C5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20C5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20C5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20C5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20C5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20C5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0C5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20C5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20C5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20C5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20C5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20C5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20C5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20C5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20C5C"/>
    <w:rPr>
      <w:rFonts w:eastAsiaTheme="majorEastAsia" w:cstheme="majorBidi"/>
      <w:color w:val="272727" w:themeColor="text1" w:themeTint="D8"/>
    </w:rPr>
  </w:style>
  <w:style w:type="paragraph" w:styleId="Title">
    <w:name w:val="Title"/>
    <w:basedOn w:val="Normal"/>
    <w:next w:val="Normal"/>
    <w:link w:val="TitleChar"/>
    <w:uiPriority w:val="10"/>
    <w:qFormat/>
    <w:rsid w:val="00220C5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20C5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20C5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20C5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20C5C"/>
    <w:pPr>
      <w:spacing w:before="160"/>
      <w:jc w:val="center"/>
    </w:pPr>
    <w:rPr>
      <w:i/>
      <w:iCs/>
      <w:color w:val="404040" w:themeColor="text1" w:themeTint="BF"/>
    </w:rPr>
  </w:style>
  <w:style w:type="character" w:customStyle="1" w:styleId="QuoteChar">
    <w:name w:val="Quote Char"/>
    <w:basedOn w:val="DefaultParagraphFont"/>
    <w:link w:val="Quote"/>
    <w:uiPriority w:val="29"/>
    <w:rsid w:val="00220C5C"/>
    <w:rPr>
      <w:i/>
      <w:iCs/>
      <w:color w:val="404040" w:themeColor="text1" w:themeTint="BF"/>
    </w:rPr>
  </w:style>
  <w:style w:type="paragraph" w:styleId="ListParagraph">
    <w:name w:val="List Paragraph"/>
    <w:basedOn w:val="Normal"/>
    <w:uiPriority w:val="34"/>
    <w:qFormat/>
    <w:rsid w:val="00220C5C"/>
    <w:pPr>
      <w:ind w:left="720"/>
      <w:contextualSpacing/>
    </w:pPr>
  </w:style>
  <w:style w:type="character" w:styleId="IntenseEmphasis">
    <w:name w:val="Intense Emphasis"/>
    <w:basedOn w:val="DefaultParagraphFont"/>
    <w:uiPriority w:val="21"/>
    <w:qFormat/>
    <w:rsid w:val="00220C5C"/>
    <w:rPr>
      <w:i/>
      <w:iCs/>
      <w:color w:val="0F4761" w:themeColor="accent1" w:themeShade="BF"/>
    </w:rPr>
  </w:style>
  <w:style w:type="paragraph" w:styleId="IntenseQuote">
    <w:name w:val="Intense Quote"/>
    <w:basedOn w:val="Normal"/>
    <w:next w:val="Normal"/>
    <w:link w:val="IntenseQuoteChar"/>
    <w:uiPriority w:val="30"/>
    <w:qFormat/>
    <w:rsid w:val="00220C5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20C5C"/>
    <w:rPr>
      <w:i/>
      <w:iCs/>
      <w:color w:val="0F4761" w:themeColor="accent1" w:themeShade="BF"/>
    </w:rPr>
  </w:style>
  <w:style w:type="character" w:styleId="IntenseReference">
    <w:name w:val="Intense Reference"/>
    <w:basedOn w:val="DefaultParagraphFont"/>
    <w:uiPriority w:val="32"/>
    <w:qFormat/>
    <w:rsid w:val="00220C5C"/>
    <w:rPr>
      <w:b/>
      <w:bCs/>
      <w:smallCaps/>
      <w:color w:val="0F4761" w:themeColor="accent1" w:themeShade="BF"/>
      <w:spacing w:val="5"/>
    </w:rPr>
  </w:style>
  <w:style w:type="character" w:styleId="Hyperlink">
    <w:name w:val="Hyperlink"/>
    <w:basedOn w:val="DefaultParagraphFont"/>
    <w:uiPriority w:val="99"/>
    <w:unhideWhenUsed/>
    <w:rsid w:val="00C8529C"/>
    <w:rPr>
      <w:color w:val="467886" w:themeColor="hyperlink"/>
      <w:u w:val="single"/>
    </w:rPr>
  </w:style>
  <w:style w:type="character" w:styleId="UnresolvedMention">
    <w:name w:val="Unresolved Mention"/>
    <w:basedOn w:val="DefaultParagraphFont"/>
    <w:uiPriority w:val="99"/>
    <w:semiHidden/>
    <w:unhideWhenUsed/>
    <w:rsid w:val="00C8529C"/>
    <w:rPr>
      <w:color w:val="605E5C"/>
      <w:shd w:val="clear" w:color="auto" w:fill="E1DFDD"/>
    </w:rPr>
  </w:style>
  <w:style w:type="character" w:styleId="FollowedHyperlink">
    <w:name w:val="FollowedHyperlink"/>
    <w:basedOn w:val="DefaultParagraphFont"/>
    <w:uiPriority w:val="99"/>
    <w:semiHidden/>
    <w:unhideWhenUsed/>
    <w:rsid w:val="003808E1"/>
    <w:rPr>
      <w:color w:val="96607D" w:themeColor="followedHyperlink"/>
      <w:u w:val="single"/>
    </w:rPr>
  </w:style>
  <w:style w:type="paragraph" w:styleId="Header">
    <w:name w:val="header"/>
    <w:basedOn w:val="Normal"/>
    <w:link w:val="HeaderChar"/>
    <w:uiPriority w:val="99"/>
    <w:unhideWhenUsed/>
    <w:rsid w:val="00C84F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4F4A"/>
  </w:style>
  <w:style w:type="paragraph" w:styleId="Footer">
    <w:name w:val="footer"/>
    <w:basedOn w:val="Normal"/>
    <w:link w:val="FooterChar"/>
    <w:uiPriority w:val="99"/>
    <w:unhideWhenUsed/>
    <w:rsid w:val="00C84F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4F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royalopencollege.org/blog/healthcare/what-is-partnership-working-in-health-and-social-care/" TargetMode="External"/><Relationship Id="rId18" Type="http://schemas.openxmlformats.org/officeDocument/2006/relationships/hyperlink" Target="https://www.hra.nhs.uk/planning-and-improving-research/policies-standards-legislation/mental-capacity-act/"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www.nice.org.uk/guidance/NG56/chapter/Recommendations" TargetMode="External"/><Relationship Id="rId7" Type="http://schemas.openxmlformats.org/officeDocument/2006/relationships/footnotes" Target="footnotes.xml"/><Relationship Id="rId12" Type="http://schemas.openxmlformats.org/officeDocument/2006/relationships/hyperlink" Target="https://www.ebsco.com/research-starters/public-health/social-model-health" TargetMode="External"/><Relationship Id="rId17" Type="http://schemas.openxmlformats.org/officeDocument/2006/relationships/hyperlink" Target="https://hduhb.nhs.wales/healthcare/services-and-teams/social-model-for-health-and-wellbeing/" TargetMode="External"/><Relationship Id="rId25" Type="http://schemas.openxmlformats.org/officeDocument/2006/relationships/hyperlink" Target="https://pmc.ncbi.nlm.nih.gov/articles/PMC7923912/" TargetMode="External"/><Relationship Id="rId2" Type="http://schemas.openxmlformats.org/officeDocument/2006/relationships/customXml" Target="../customXml/item2.xml"/><Relationship Id="rId16" Type="http://schemas.openxmlformats.org/officeDocument/2006/relationships/hyperlink" Target="https://journals.sagepub.com/doi/full/10.1177/17449871241281428" TargetMode="External"/><Relationship Id="rId20" Type="http://schemas.openxmlformats.org/officeDocument/2006/relationships/hyperlink" Target="https://www.nhsprofessionals.nhs.uk/nhs-staffing-pool-hub/working-in-healthcare/the-6-cs-of-car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v.uk/government/collections/health-and-care-act-2022" TargetMode="External"/><Relationship Id="rId24" Type="http://schemas.openxmlformats.org/officeDocument/2006/relationships/hyperlink" Target="https://pmc.ncbi.nlm.nih.gov/articles/PMC11223342/" TargetMode="External"/><Relationship Id="rId5" Type="http://schemas.openxmlformats.org/officeDocument/2006/relationships/settings" Target="settings.xml"/><Relationship Id="rId15" Type="http://schemas.openxmlformats.org/officeDocument/2006/relationships/hyperlink" Target="https://www.gov.uk/guidance/equality-act-2010-guidance" TargetMode="External"/><Relationship Id="rId23" Type="http://schemas.openxmlformats.org/officeDocument/2006/relationships/hyperlink" Target="https://www.scie.org.uk/mca/introduction/mental-capacity-act-2005-at-a-glance/" TargetMode="External"/><Relationship Id="rId28" Type="http://schemas.openxmlformats.org/officeDocument/2006/relationships/theme" Target="theme/theme1.xml"/><Relationship Id="rId10" Type="http://schemas.openxmlformats.org/officeDocument/2006/relationships/hyperlink" Target="https://pmc.ncbi.nlm.nih.gov/articles/PMC6465833/" TargetMode="External"/><Relationship Id="rId19" Type="http://schemas.openxmlformats.org/officeDocument/2006/relationships/hyperlink" Target="https://www.england.nhs.uk/personalisedcare/comprehensive-model/case-studies/joans-story/" TargetMode="External"/><Relationship Id="rId4" Type="http://schemas.openxmlformats.org/officeDocument/2006/relationships/styles" Target="styles.xml"/><Relationship Id="rId9" Type="http://schemas.openxmlformats.org/officeDocument/2006/relationships/hyperlink" Target="https://www.cqc.org.uk/guidance-regulation/providers/regulations-service-providers-and-managers/health-social-care-act/regulation-9" TargetMode="External"/><Relationship Id="rId14" Type="http://schemas.openxmlformats.org/officeDocument/2006/relationships/hyperlink" Target="https://pmc.ncbi.nlm.nih.gov/articles/PMC11887869/" TargetMode="External"/><Relationship Id="rId22" Type="http://schemas.openxmlformats.org/officeDocument/2006/relationships/hyperlink" Target="https://link.springer.com/article/10.1186/s12913-023-09869-8"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A0FF9D509B3E446B2F8025FFAD3D85B" ma:contentTypeVersion="10" ma:contentTypeDescription="Create a new document." ma:contentTypeScope="" ma:versionID="e44696bfd197276ed615c1844fbc55ee">
  <xsd:schema xmlns:xsd="http://www.w3.org/2001/XMLSchema" xmlns:xs="http://www.w3.org/2001/XMLSchema" xmlns:p="http://schemas.microsoft.com/office/2006/metadata/properties" xmlns:ns3="390c8e97-3ed1-4319-9b31-ffc44ff5456b" targetNamespace="http://schemas.microsoft.com/office/2006/metadata/properties" ma:root="true" ma:fieldsID="c680aba1629cbeac179547b00382b1fe" ns3:_="">
    <xsd:import namespace="390c8e97-3ed1-4319-9b31-ffc44ff5456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90c8e97-3ed1-4319-9b31-ffc44ff5456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390c8e97-3ed1-4319-9b31-ffc44ff5456b"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06A65E8-2E85-4D50-B4D6-D7D83D9C6C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90c8e97-3ed1-4319-9b31-ffc44ff5456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4DED7E2-7849-47C4-9233-D20FF3F7543F}">
  <ds:schemaRefs>
    <ds:schemaRef ds:uri="http://schemas.microsoft.com/office/2006/metadata/properties"/>
    <ds:schemaRef ds:uri="http://schemas.microsoft.com/office/infopath/2007/PartnerControls"/>
    <ds:schemaRef ds:uri="390c8e97-3ed1-4319-9b31-ffc44ff5456b"/>
  </ds:schemaRefs>
</ds:datastoreItem>
</file>

<file path=customXml/itemProps3.xml><?xml version="1.0" encoding="utf-8"?>
<ds:datastoreItem xmlns:ds="http://schemas.openxmlformats.org/officeDocument/2006/customXml" ds:itemID="{B32F660E-81E9-4B20-BE9F-23588F6819E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10</Pages>
  <Words>3260</Words>
  <Characters>18588</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Nuworkpor</dc:creator>
  <cp:keywords/>
  <dc:description/>
  <cp:lastModifiedBy>Elizabeth Nuworkpor</cp:lastModifiedBy>
  <cp:revision>6</cp:revision>
  <dcterms:created xsi:type="dcterms:W3CDTF">2026-10-05T20:23:00Z</dcterms:created>
  <dcterms:modified xsi:type="dcterms:W3CDTF">2026-10-24T17:06:00Z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0x0101003A0FF9D509B3E446B2F8025FFAD3D85B</vt:lpwstr>
  </property>
</Properties>
</file>