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F927A1" w:rsidRPr="005D3F07" w14:paraId="68CAA39D" w14:textId="77777777" w:rsidTr="00E870CD">
        <w:tc>
          <w:tcPr>
            <w:tcW w:w="10485" w:type="dxa"/>
          </w:tcPr>
          <w:p w14:paraId="02F8EE88" w14:textId="4AC6E32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A57B7">
              <w:rPr>
                <w:rFonts w:ascii="Times New Roman" w:hAnsi="Times New Roman" w:cs="Times New Roman"/>
                <w:b/>
                <w:color w:val="auto"/>
                <w:sz w:val="48"/>
              </w:rPr>
              <w:t>Gillian Sherfield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6F0319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B649D">
              <w:t xml:space="preserve"> </w:t>
            </w:r>
            <w:r w:rsidR="000B649D" w:rsidRPr="000B649D">
              <w:rPr>
                <w:rFonts w:ascii="Times New Roman" w:hAnsi="Times New Roman" w:cs="Times New Roman"/>
                <w:b/>
                <w:color w:val="auto"/>
                <w:sz w:val="48"/>
              </w:rPr>
              <w:t>0752052@student.uwtsd.ac.uk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90BB90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B649D" w:rsidRPr="000B649D">
              <w:rPr>
                <w:rFonts w:ascii="Times New Roman" w:hAnsi="Times New Roman" w:cs="Times New Roman"/>
                <w:b/>
                <w:color w:val="auto"/>
                <w:sz w:val="48"/>
              </w:rPr>
              <w:t>752052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17A49383" w14:textId="4C37035B" w:rsidR="008B28E7" w:rsidRPr="002B4F4B"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r w:rsidR="002B4F4B">
              <w:rPr>
                <w:b/>
                <w:sz w:val="24"/>
                <w:szCs w:val="24"/>
              </w:rPr>
              <w:t xml:space="preserve"> </w:t>
            </w:r>
            <w:r w:rsidR="00BB7FD2">
              <w:rPr>
                <w:sz w:val="24"/>
                <w:szCs w:val="24"/>
              </w:rPr>
              <w:t xml:space="preserve">In an area </w:t>
            </w:r>
            <w:r w:rsidR="00BB7FD2" w:rsidRPr="00AE1868">
              <w:rPr>
                <w:b/>
                <w:sz w:val="24"/>
                <w:szCs w:val="24"/>
              </w:rPr>
              <w:t xml:space="preserve">that is not your </w:t>
            </w:r>
            <w:proofErr w:type="gramStart"/>
            <w:r w:rsidR="00BB7FD2" w:rsidRPr="00AE1868">
              <w:rPr>
                <w:b/>
                <w:sz w:val="24"/>
                <w:szCs w:val="24"/>
              </w:rPr>
              <w:t>main focus</w:t>
            </w:r>
            <w:proofErr w:type="gramEnd"/>
            <w:r w:rsidR="00BB7FD2" w:rsidRPr="00AE1868">
              <w:rPr>
                <w:b/>
                <w:sz w:val="24"/>
                <w:szCs w:val="24"/>
              </w:rPr>
              <w:t xml:space="preserve"> of work </w:t>
            </w:r>
            <w:r w:rsidR="00BB7FD2">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sidR="00BB7FD2">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sidR="00BB7FD2">
              <w:rPr>
                <w:sz w:val="24"/>
                <w:szCs w:val="24"/>
              </w:rPr>
              <w:t xml:space="preserve"> for safeguarding. </w:t>
            </w:r>
          </w:p>
          <w:p w14:paraId="1DC7F902" w14:textId="77777777" w:rsidR="005F7079" w:rsidRDefault="005F7079" w:rsidP="00FF7EBB">
            <w:pPr>
              <w:jc w:val="both"/>
              <w:rPr>
                <w:sz w:val="24"/>
                <w:szCs w:val="24"/>
              </w:rPr>
            </w:pPr>
          </w:p>
          <w:p w14:paraId="02D3D173" w14:textId="77777777" w:rsidR="00CB1FA4" w:rsidRDefault="00CB1FA4" w:rsidP="00FF7EBB">
            <w:pPr>
              <w:jc w:val="both"/>
              <w:rPr>
                <w:sz w:val="24"/>
                <w:szCs w:val="24"/>
              </w:rPr>
            </w:pPr>
          </w:p>
          <w:p w14:paraId="1B1E6597" w14:textId="77777777" w:rsidR="005F7079" w:rsidRPr="005F7079" w:rsidRDefault="005F7079" w:rsidP="005F7079">
            <w:pPr>
              <w:jc w:val="both"/>
              <w:rPr>
                <w:rFonts w:asciiTheme="minorHAnsi" w:hAnsiTheme="minorHAnsi" w:cstheme="minorHAnsi"/>
                <w:sz w:val="24"/>
                <w:szCs w:val="24"/>
              </w:rPr>
            </w:pPr>
            <w:r w:rsidRPr="005F7079">
              <w:rPr>
                <w:rFonts w:asciiTheme="minorHAnsi" w:hAnsiTheme="minorHAnsi" w:cstheme="minorHAnsi"/>
                <w:sz w:val="24"/>
                <w:szCs w:val="24"/>
              </w:rPr>
              <w:t>Adult social care in Wales is governed by the Social Services and Well-being (Wales) Act (SSWBA) 2014, which replaced earlier guidance such as In the Safe Hands (2000). Prior to the SSWBA, Wales lacked a clear legal safeguarding framework (Williams, 2017). Safeguarding is addressed primarily in Part 7 (ss.126–142) and integrated throughout the Act, including as a component of wellbeing (Part 2, s.2b). Adults or children experiencing, or at risk of, abuse or neglect must have their needs considered, even if they do not meet statutory eligibility criteria (Part 3, ss.20(2), 22(3), 23(3); Social Care Wales, 2023).</w:t>
            </w:r>
          </w:p>
          <w:p w14:paraId="782C0913" w14:textId="77777777" w:rsidR="005F7079" w:rsidRPr="005F7079" w:rsidRDefault="005F7079" w:rsidP="005F7079">
            <w:pPr>
              <w:jc w:val="both"/>
              <w:rPr>
                <w:rFonts w:asciiTheme="minorHAnsi" w:hAnsiTheme="minorHAnsi" w:cstheme="minorHAnsi"/>
                <w:sz w:val="24"/>
                <w:szCs w:val="24"/>
              </w:rPr>
            </w:pPr>
          </w:p>
          <w:p w14:paraId="4C651916" w14:textId="77777777" w:rsidR="005F7079" w:rsidRPr="005F7079" w:rsidRDefault="005F7079" w:rsidP="005F7079">
            <w:pPr>
              <w:jc w:val="both"/>
              <w:rPr>
                <w:rFonts w:asciiTheme="minorHAnsi" w:hAnsiTheme="minorHAnsi" w:cstheme="minorHAnsi"/>
                <w:sz w:val="24"/>
                <w:szCs w:val="24"/>
              </w:rPr>
            </w:pPr>
            <w:r w:rsidRPr="005F7079">
              <w:rPr>
                <w:rFonts w:asciiTheme="minorHAnsi" w:hAnsiTheme="minorHAnsi" w:cstheme="minorHAnsi"/>
                <w:sz w:val="24"/>
                <w:szCs w:val="24"/>
              </w:rPr>
              <w:t>The term “vulnerable adult” has been replaced by “adult at risk” (s.126). An adult at risk is someone experiencing, or at risk of, abuse or neglect, who has care and support needs, and who cannot protect themselves because of those needs (Social Care Wales, 2023). Abuse includes physical, sexual, psychological, emotional, or financial abuse and can occur in any setting (s.197).</w:t>
            </w:r>
          </w:p>
          <w:p w14:paraId="5D802C25" w14:textId="77777777" w:rsidR="005F7079" w:rsidRPr="005F7079" w:rsidRDefault="005F7079" w:rsidP="005F7079">
            <w:pPr>
              <w:jc w:val="both"/>
              <w:rPr>
                <w:rFonts w:asciiTheme="minorHAnsi" w:hAnsiTheme="minorHAnsi" w:cstheme="minorHAnsi"/>
                <w:sz w:val="24"/>
                <w:szCs w:val="24"/>
              </w:rPr>
            </w:pPr>
          </w:p>
          <w:p w14:paraId="192A6867" w14:textId="77777777" w:rsidR="005F7079" w:rsidRPr="005F7079" w:rsidRDefault="005F7079" w:rsidP="005F7079">
            <w:pPr>
              <w:jc w:val="both"/>
              <w:rPr>
                <w:rFonts w:asciiTheme="minorHAnsi" w:hAnsiTheme="minorHAnsi" w:cstheme="minorHAnsi"/>
                <w:sz w:val="24"/>
                <w:szCs w:val="24"/>
              </w:rPr>
            </w:pPr>
            <w:r w:rsidRPr="005F7079">
              <w:rPr>
                <w:rFonts w:asciiTheme="minorHAnsi" w:hAnsiTheme="minorHAnsi" w:cstheme="minorHAnsi"/>
                <w:sz w:val="24"/>
                <w:szCs w:val="24"/>
              </w:rPr>
              <w:t>Local authorities have a duty to make enquiries if there is “reasonable cause to suspect” that an adult is at risk (s.126(2)), clarifying the situation to determine the appropriate response (s.126(2a)). Safeguarding enquiries follow the principles of the SSWBA, giving the individual a voice, considering the outcomes they wish to achieve, and taking account of their characteristics, culture, and beliefs (s.6(2c)). These principles align with the Equality Act 2010 and the Welsh Language (Wales) Measure 2011. Adults may make unwise decisions, which must be respected under the Mental Capacity Act 2005. Partner agencies have a legal duty to report suspected adults at risk (s.128(1)).</w:t>
            </w:r>
          </w:p>
          <w:p w14:paraId="0AF3EC8C" w14:textId="77777777" w:rsidR="005F7079" w:rsidRPr="005F7079" w:rsidRDefault="005F7079" w:rsidP="005F7079">
            <w:pPr>
              <w:jc w:val="both"/>
              <w:rPr>
                <w:rFonts w:asciiTheme="minorHAnsi" w:hAnsiTheme="minorHAnsi" w:cstheme="minorHAnsi"/>
                <w:sz w:val="24"/>
                <w:szCs w:val="24"/>
              </w:rPr>
            </w:pPr>
          </w:p>
          <w:p w14:paraId="4AC66205" w14:textId="77777777" w:rsidR="005F7079" w:rsidRPr="005F7079" w:rsidRDefault="005F7079" w:rsidP="005F7079">
            <w:pPr>
              <w:jc w:val="both"/>
              <w:rPr>
                <w:rFonts w:asciiTheme="minorHAnsi" w:hAnsiTheme="minorHAnsi" w:cstheme="minorHAnsi"/>
                <w:sz w:val="24"/>
                <w:szCs w:val="24"/>
              </w:rPr>
            </w:pPr>
            <w:r w:rsidRPr="005F7079">
              <w:rPr>
                <w:rFonts w:asciiTheme="minorHAnsi" w:hAnsiTheme="minorHAnsi" w:cstheme="minorHAnsi"/>
                <w:sz w:val="24"/>
                <w:szCs w:val="24"/>
              </w:rPr>
              <w:t>The SSWBA also established a National Independent Safeguarding Board (s.132) to provide advice, oversight, and recommendations to six regional safeguarding boards. Regional boards focus on protecting adults with care and support needs, preventing abuse, and responding to adults experiencing or at risk of abuse or neglect (s.135(2); Welsh Government, n.d.).</w:t>
            </w:r>
          </w:p>
          <w:p w14:paraId="37AB2545" w14:textId="77777777" w:rsidR="005F7079" w:rsidRPr="005F7079" w:rsidRDefault="005F7079" w:rsidP="005F7079">
            <w:pPr>
              <w:jc w:val="both"/>
              <w:rPr>
                <w:rFonts w:asciiTheme="minorHAnsi" w:hAnsiTheme="minorHAnsi" w:cstheme="minorHAnsi"/>
                <w:sz w:val="24"/>
                <w:szCs w:val="24"/>
              </w:rPr>
            </w:pPr>
          </w:p>
          <w:p w14:paraId="28F879D0" w14:textId="3BC19E89" w:rsidR="005F7079" w:rsidRDefault="005F7079" w:rsidP="005F7079">
            <w:pPr>
              <w:jc w:val="both"/>
              <w:rPr>
                <w:rFonts w:asciiTheme="minorHAnsi" w:hAnsiTheme="minorHAnsi" w:cstheme="minorHAnsi"/>
                <w:sz w:val="24"/>
                <w:szCs w:val="24"/>
              </w:rPr>
            </w:pPr>
            <w:r w:rsidRPr="005F7079">
              <w:rPr>
                <w:rFonts w:asciiTheme="minorHAnsi" w:hAnsiTheme="minorHAnsi" w:cstheme="minorHAnsi"/>
                <w:sz w:val="24"/>
                <w:szCs w:val="24"/>
              </w:rPr>
              <w:lastRenderedPageBreak/>
              <w:t>The Wales Safeguarding Procedures 2019 provide practical guidance for safeguarding processes, including reporting concerns, making enquiries, and convening multi-agency strategy meetings. Concerns must be reported promptly, and initial enquiries are typically progressed within 24–48 hours to assess risk. Strategy meetings coordinate responses across agencies to ensure timely protection and support for adults at risk.</w:t>
            </w:r>
          </w:p>
          <w:p w14:paraId="677E83CE" w14:textId="77777777" w:rsidR="009D7118" w:rsidRDefault="009D7118" w:rsidP="005F7079">
            <w:pPr>
              <w:jc w:val="both"/>
              <w:rPr>
                <w:rFonts w:asciiTheme="minorHAnsi" w:hAnsiTheme="minorHAnsi" w:cstheme="minorHAnsi"/>
                <w:sz w:val="24"/>
                <w:szCs w:val="24"/>
              </w:rPr>
            </w:pPr>
          </w:p>
          <w:p w14:paraId="6510D72D" w14:textId="4BB485D1" w:rsidR="00CB1FA4" w:rsidRDefault="00CB1FA4" w:rsidP="005F7079">
            <w:pPr>
              <w:jc w:val="both"/>
              <w:rPr>
                <w:rFonts w:asciiTheme="minorHAnsi" w:hAnsiTheme="minorHAnsi" w:cstheme="minorHAnsi"/>
                <w:sz w:val="24"/>
                <w:szCs w:val="24"/>
              </w:rPr>
            </w:pPr>
            <w:r>
              <w:rPr>
                <w:rFonts w:asciiTheme="minorHAnsi" w:hAnsiTheme="minorHAnsi" w:cstheme="minorHAnsi"/>
                <w:sz w:val="24"/>
                <w:szCs w:val="24"/>
              </w:rPr>
              <w:t>493</w:t>
            </w:r>
          </w:p>
          <w:p w14:paraId="6131CC0D" w14:textId="77777777" w:rsidR="005F7079" w:rsidRPr="005F7079" w:rsidRDefault="005F7079" w:rsidP="005F7079">
            <w:pPr>
              <w:jc w:val="both"/>
              <w:rPr>
                <w:rFonts w:asciiTheme="minorHAnsi" w:hAnsiTheme="minorHAnsi" w:cstheme="minorHAnsi"/>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2ADF1EC3" w14:textId="539F32B4" w:rsidR="00FC0334" w:rsidRPr="002B4F4B"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r w:rsidR="002B4F4B">
              <w:rPr>
                <w:b/>
                <w:sz w:val="24"/>
                <w:szCs w:val="24"/>
              </w:rPr>
              <w:t xml:space="preserve"> </w:t>
            </w: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87CE0C" w14:textId="77777777" w:rsidR="00ED33C7" w:rsidRDefault="00ED33C7" w:rsidP="00FC0334">
            <w:pPr>
              <w:jc w:val="both"/>
              <w:rPr>
                <w:rFonts w:asciiTheme="minorHAnsi" w:hAnsiTheme="minorHAnsi" w:cstheme="minorHAnsi"/>
                <w:color w:val="FF0000"/>
                <w:sz w:val="24"/>
                <w:szCs w:val="24"/>
              </w:rPr>
            </w:pPr>
          </w:p>
          <w:p w14:paraId="6258187C" w14:textId="77777777" w:rsidR="009D7118" w:rsidRDefault="009D7118" w:rsidP="00FC0334">
            <w:pPr>
              <w:jc w:val="both"/>
              <w:rPr>
                <w:rFonts w:asciiTheme="minorHAnsi" w:hAnsiTheme="minorHAnsi" w:cstheme="minorHAnsi"/>
                <w:color w:val="FF0000"/>
                <w:sz w:val="24"/>
                <w:szCs w:val="24"/>
              </w:rPr>
            </w:pPr>
          </w:p>
          <w:p w14:paraId="01B5EC79" w14:textId="77777777" w:rsidR="00ED33C7" w:rsidRPr="00ED33C7" w:rsidRDefault="00ED33C7" w:rsidP="00ED33C7">
            <w:pPr>
              <w:jc w:val="both"/>
              <w:rPr>
                <w:rFonts w:asciiTheme="minorHAnsi" w:hAnsiTheme="minorHAnsi" w:cstheme="minorHAnsi"/>
                <w:color w:val="auto"/>
                <w:sz w:val="24"/>
                <w:szCs w:val="24"/>
              </w:rPr>
            </w:pPr>
            <w:r w:rsidRPr="00ED33C7">
              <w:rPr>
                <w:rFonts w:asciiTheme="minorHAnsi" w:hAnsiTheme="minorHAnsi" w:cstheme="minorHAnsi"/>
                <w:color w:val="auto"/>
                <w:sz w:val="24"/>
                <w:szCs w:val="24"/>
              </w:rPr>
              <w:t>The Human Rights Act 1998 protects the right to liberty (Article 5) and respect for private and family life (Article 8) (Equality and Human Rights Commission, 2018). Generally, consent is required from adults, carers, or those with parental responsibility before assessments, and individuals or families can refuse assessments (SSWBA 2014, ss. 20, 22–23, 25–27).</w:t>
            </w:r>
          </w:p>
          <w:p w14:paraId="3B3D7E40" w14:textId="77777777" w:rsidR="00ED33C7" w:rsidRPr="00ED33C7" w:rsidRDefault="00ED33C7" w:rsidP="00ED33C7">
            <w:pPr>
              <w:jc w:val="both"/>
              <w:rPr>
                <w:rFonts w:asciiTheme="minorHAnsi" w:hAnsiTheme="minorHAnsi" w:cstheme="minorHAnsi"/>
                <w:color w:val="auto"/>
                <w:sz w:val="24"/>
                <w:szCs w:val="24"/>
              </w:rPr>
            </w:pPr>
          </w:p>
          <w:p w14:paraId="4121421B" w14:textId="77777777" w:rsidR="00ED33C7" w:rsidRPr="00ED33C7" w:rsidRDefault="00ED33C7" w:rsidP="00ED33C7">
            <w:pPr>
              <w:jc w:val="both"/>
              <w:rPr>
                <w:rFonts w:asciiTheme="minorHAnsi" w:hAnsiTheme="minorHAnsi" w:cstheme="minorHAnsi"/>
                <w:color w:val="auto"/>
                <w:sz w:val="24"/>
                <w:szCs w:val="24"/>
              </w:rPr>
            </w:pPr>
            <w:r w:rsidRPr="00ED33C7">
              <w:rPr>
                <w:rFonts w:asciiTheme="minorHAnsi" w:hAnsiTheme="minorHAnsi" w:cstheme="minorHAnsi"/>
                <w:color w:val="auto"/>
                <w:sz w:val="24"/>
                <w:szCs w:val="24"/>
              </w:rPr>
              <w:t>In safeguarding contexts, however, children and parents cannot refuse consent where abuse or neglect is suspected. Adults can refuse consent unless exceptions apply, as outlined in the Wales Safeguarding Procedures 2019—such as risk to life, risk to others, or coercive control.</w:t>
            </w:r>
          </w:p>
          <w:p w14:paraId="33F1E305" w14:textId="77777777" w:rsidR="00ED33C7" w:rsidRPr="00ED33C7" w:rsidRDefault="00ED33C7" w:rsidP="00ED33C7">
            <w:pPr>
              <w:jc w:val="both"/>
              <w:rPr>
                <w:rFonts w:asciiTheme="minorHAnsi" w:hAnsiTheme="minorHAnsi" w:cstheme="minorHAnsi"/>
                <w:color w:val="auto"/>
                <w:sz w:val="24"/>
                <w:szCs w:val="24"/>
              </w:rPr>
            </w:pPr>
          </w:p>
          <w:p w14:paraId="619F0F28" w14:textId="77777777" w:rsidR="00ED33C7" w:rsidRPr="00ED33C7" w:rsidRDefault="00ED33C7" w:rsidP="00ED33C7">
            <w:pPr>
              <w:jc w:val="both"/>
              <w:rPr>
                <w:rFonts w:asciiTheme="minorHAnsi" w:hAnsiTheme="minorHAnsi" w:cstheme="minorHAnsi"/>
                <w:color w:val="auto"/>
                <w:sz w:val="24"/>
                <w:szCs w:val="24"/>
              </w:rPr>
            </w:pPr>
            <w:r w:rsidRPr="00ED33C7">
              <w:rPr>
                <w:rFonts w:asciiTheme="minorHAnsi" w:hAnsiTheme="minorHAnsi" w:cstheme="minorHAnsi"/>
                <w:color w:val="auto"/>
                <w:sz w:val="24"/>
                <w:szCs w:val="24"/>
              </w:rPr>
              <w:t>Adult assessments assume the individual is “best placed to judge their own well-being” (WG, 2015a, p. 8), in line with the Mental Capacity Act 2005: a person is presumed to have capacity unless proven otherwise (MCA, s. 1(2)) and unwise decisions do not indicate incapacity (MCA, s. 1(5)). This primarily applies to those over 16 (Department for Constitutional Affairs, 2007, p. 216). Individuals aged 16–17 can refuse assessments, whereas children under 16 require assessment to determine whether they can make an ‘informed decision’ (WG, 2015a, p. 22).</w:t>
            </w:r>
          </w:p>
          <w:p w14:paraId="2E15514B" w14:textId="77777777" w:rsidR="00ED33C7" w:rsidRPr="00ED33C7" w:rsidRDefault="00ED33C7" w:rsidP="00ED33C7">
            <w:pPr>
              <w:jc w:val="both"/>
              <w:rPr>
                <w:rFonts w:asciiTheme="minorHAnsi" w:hAnsiTheme="minorHAnsi" w:cstheme="minorHAnsi"/>
                <w:color w:val="auto"/>
                <w:sz w:val="24"/>
                <w:szCs w:val="24"/>
              </w:rPr>
            </w:pPr>
          </w:p>
          <w:p w14:paraId="02DC62F9" w14:textId="77777777" w:rsidR="00ED33C7" w:rsidRPr="00ED33C7" w:rsidRDefault="00ED33C7" w:rsidP="00ED33C7">
            <w:pPr>
              <w:jc w:val="both"/>
              <w:rPr>
                <w:rFonts w:asciiTheme="minorHAnsi" w:hAnsiTheme="minorHAnsi" w:cstheme="minorHAnsi"/>
                <w:color w:val="auto"/>
                <w:sz w:val="24"/>
                <w:szCs w:val="24"/>
              </w:rPr>
            </w:pPr>
            <w:r w:rsidRPr="00ED33C7">
              <w:rPr>
                <w:rFonts w:asciiTheme="minorHAnsi" w:hAnsiTheme="minorHAnsi" w:cstheme="minorHAnsi"/>
                <w:color w:val="auto"/>
                <w:sz w:val="24"/>
                <w:szCs w:val="24"/>
              </w:rPr>
              <w:t>Consent may be overridden in safeguarding situations. For adults, this occurs where capacity is compromised or there is a risk of abuse or neglect (WG, 2015a, p. 22). For children under 16, intervention is required when there is suspicion of abuse or neglect (WG, 2015a, p. 22; Social Care Wales, 2023, s. 2). Section 47 enquiries under the Children Act 1989 (s. 105) apply to children under 18, including 16–17-year-olds. Parental responsibility is considered, but safeguarding takes precedence if the parent lacks capacity or a child’s informed decision conflicts with parental views (WG, 2015a, p. 23).</w:t>
            </w:r>
          </w:p>
          <w:p w14:paraId="5BCD8AD3" w14:textId="77777777" w:rsidR="00ED33C7" w:rsidRPr="00ED33C7" w:rsidRDefault="00ED33C7" w:rsidP="00ED33C7">
            <w:pPr>
              <w:jc w:val="both"/>
              <w:rPr>
                <w:rFonts w:asciiTheme="minorHAnsi" w:hAnsiTheme="minorHAnsi" w:cstheme="minorHAnsi"/>
                <w:color w:val="auto"/>
                <w:sz w:val="24"/>
                <w:szCs w:val="24"/>
              </w:rPr>
            </w:pPr>
          </w:p>
          <w:p w14:paraId="28C7166F" w14:textId="7753AC79" w:rsidR="00ED33C7" w:rsidRDefault="00ED33C7" w:rsidP="00ED33C7">
            <w:pPr>
              <w:jc w:val="both"/>
              <w:rPr>
                <w:rFonts w:asciiTheme="minorHAnsi" w:hAnsiTheme="minorHAnsi" w:cstheme="minorHAnsi"/>
                <w:color w:val="auto"/>
                <w:sz w:val="24"/>
                <w:szCs w:val="24"/>
              </w:rPr>
            </w:pPr>
            <w:r w:rsidRPr="00ED33C7">
              <w:rPr>
                <w:rFonts w:asciiTheme="minorHAnsi" w:hAnsiTheme="minorHAnsi" w:cstheme="minorHAnsi"/>
                <w:color w:val="auto"/>
                <w:sz w:val="24"/>
                <w:szCs w:val="24"/>
              </w:rPr>
              <w:t xml:space="preserve">Balancing protection with respect for autonomy requires careful ethical judgment, reflecting the complexity of families’ experiences and lessons from practice reviews (Braye, Orr, &amp; Preston-Shoot, 2017; Child Safeguarding Practice Review Panel, 2022). The Wales Safeguarding Procedures provide </w:t>
            </w:r>
            <w:r w:rsidRPr="00ED33C7">
              <w:rPr>
                <w:rFonts w:asciiTheme="minorHAnsi" w:hAnsiTheme="minorHAnsi" w:cstheme="minorHAnsi"/>
                <w:color w:val="auto"/>
                <w:sz w:val="24"/>
                <w:szCs w:val="24"/>
              </w:rPr>
              <w:lastRenderedPageBreak/>
              <w:t>guidance for these situations, and practitioners should also consider Gillick Competency and Fraser Guidelines to assess whether children under 16 can make informed decisions about their care.</w:t>
            </w:r>
          </w:p>
          <w:p w14:paraId="4C5CFB45" w14:textId="77777777" w:rsidR="009D7118" w:rsidRDefault="009D7118" w:rsidP="00ED33C7">
            <w:pPr>
              <w:jc w:val="both"/>
              <w:rPr>
                <w:rFonts w:asciiTheme="minorHAnsi" w:hAnsiTheme="minorHAnsi" w:cstheme="minorHAnsi"/>
                <w:color w:val="auto"/>
                <w:sz w:val="24"/>
                <w:szCs w:val="24"/>
              </w:rPr>
            </w:pPr>
          </w:p>
          <w:p w14:paraId="34444288" w14:textId="68B03E90" w:rsidR="00ED33C7" w:rsidRPr="00ED33C7" w:rsidRDefault="00ED33C7" w:rsidP="00ED33C7">
            <w:pPr>
              <w:jc w:val="both"/>
              <w:rPr>
                <w:rFonts w:asciiTheme="minorHAnsi" w:hAnsiTheme="minorHAnsi" w:cstheme="minorHAnsi"/>
                <w:color w:val="auto"/>
                <w:sz w:val="24"/>
                <w:szCs w:val="24"/>
              </w:rPr>
            </w:pPr>
            <w:r>
              <w:rPr>
                <w:rFonts w:asciiTheme="minorHAnsi" w:hAnsiTheme="minorHAnsi" w:cstheme="minorHAnsi"/>
                <w:color w:val="auto"/>
                <w:sz w:val="24"/>
                <w:szCs w:val="24"/>
              </w:rPr>
              <w:t>397</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FF6C8" w14:textId="77777777" w:rsidR="00D514B7" w:rsidRDefault="00D514B7">
      <w:r>
        <w:separator/>
      </w:r>
    </w:p>
  </w:endnote>
  <w:endnote w:type="continuationSeparator" w:id="0">
    <w:p w14:paraId="55D028B3" w14:textId="77777777" w:rsidR="00D514B7" w:rsidRDefault="00D514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82C73" w14:textId="77777777" w:rsidR="00D514B7" w:rsidRDefault="00D514B7">
      <w:r>
        <w:separator/>
      </w:r>
    </w:p>
  </w:footnote>
  <w:footnote w:type="continuationSeparator" w:id="0">
    <w:p w14:paraId="590B0B7B" w14:textId="77777777" w:rsidR="00D514B7" w:rsidRDefault="00D514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A73"/>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3EF"/>
    <w:rsid w:val="00095C1B"/>
    <w:rsid w:val="00096DEA"/>
    <w:rsid w:val="000A4240"/>
    <w:rsid w:val="000A469A"/>
    <w:rsid w:val="000A584A"/>
    <w:rsid w:val="000A6458"/>
    <w:rsid w:val="000B649D"/>
    <w:rsid w:val="000B7C2E"/>
    <w:rsid w:val="000C31C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0BE7"/>
    <w:rsid w:val="001A57B7"/>
    <w:rsid w:val="001A59BB"/>
    <w:rsid w:val="001A607E"/>
    <w:rsid w:val="001A6A51"/>
    <w:rsid w:val="001A79C4"/>
    <w:rsid w:val="001B331A"/>
    <w:rsid w:val="001C0237"/>
    <w:rsid w:val="001C0E74"/>
    <w:rsid w:val="001C4DB8"/>
    <w:rsid w:val="001C50B8"/>
    <w:rsid w:val="001D229F"/>
    <w:rsid w:val="001E2EB6"/>
    <w:rsid w:val="001F4552"/>
    <w:rsid w:val="00200C61"/>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7CB0"/>
    <w:rsid w:val="00260663"/>
    <w:rsid w:val="002657E9"/>
    <w:rsid w:val="0026665E"/>
    <w:rsid w:val="00266EC4"/>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4F4B"/>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DC3"/>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D10"/>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AEE"/>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97D5A"/>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97"/>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6797B"/>
    <w:rsid w:val="00574A0C"/>
    <w:rsid w:val="0057780F"/>
    <w:rsid w:val="00581E0A"/>
    <w:rsid w:val="00586D89"/>
    <w:rsid w:val="005877C8"/>
    <w:rsid w:val="00587923"/>
    <w:rsid w:val="00594F9F"/>
    <w:rsid w:val="005A1B4C"/>
    <w:rsid w:val="005A545C"/>
    <w:rsid w:val="005B271A"/>
    <w:rsid w:val="005B3A2D"/>
    <w:rsid w:val="005C1567"/>
    <w:rsid w:val="005C28D3"/>
    <w:rsid w:val="005C5F0E"/>
    <w:rsid w:val="005C6CE5"/>
    <w:rsid w:val="005D3F07"/>
    <w:rsid w:val="005D4A1E"/>
    <w:rsid w:val="005D4F72"/>
    <w:rsid w:val="005E13EA"/>
    <w:rsid w:val="005E17F1"/>
    <w:rsid w:val="005F64AA"/>
    <w:rsid w:val="005F7079"/>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061"/>
    <w:rsid w:val="00684732"/>
    <w:rsid w:val="00684B16"/>
    <w:rsid w:val="00687016"/>
    <w:rsid w:val="006872A0"/>
    <w:rsid w:val="0069625A"/>
    <w:rsid w:val="00696A88"/>
    <w:rsid w:val="00696F65"/>
    <w:rsid w:val="00697572"/>
    <w:rsid w:val="006B4496"/>
    <w:rsid w:val="006B5E67"/>
    <w:rsid w:val="006B6612"/>
    <w:rsid w:val="006C2EB5"/>
    <w:rsid w:val="006D18A3"/>
    <w:rsid w:val="006D251B"/>
    <w:rsid w:val="006D5970"/>
    <w:rsid w:val="006E3FCD"/>
    <w:rsid w:val="006E481E"/>
    <w:rsid w:val="006E795F"/>
    <w:rsid w:val="006F036C"/>
    <w:rsid w:val="006F0862"/>
    <w:rsid w:val="006F1438"/>
    <w:rsid w:val="006F2A9E"/>
    <w:rsid w:val="006F5ED3"/>
    <w:rsid w:val="00700249"/>
    <w:rsid w:val="00706488"/>
    <w:rsid w:val="007069CD"/>
    <w:rsid w:val="00706BB5"/>
    <w:rsid w:val="00710392"/>
    <w:rsid w:val="0071231A"/>
    <w:rsid w:val="00712E90"/>
    <w:rsid w:val="00713B7E"/>
    <w:rsid w:val="0072678F"/>
    <w:rsid w:val="007276E5"/>
    <w:rsid w:val="00727C4C"/>
    <w:rsid w:val="00734809"/>
    <w:rsid w:val="0073714E"/>
    <w:rsid w:val="007374EF"/>
    <w:rsid w:val="007406E1"/>
    <w:rsid w:val="00743E40"/>
    <w:rsid w:val="00745016"/>
    <w:rsid w:val="00747DFD"/>
    <w:rsid w:val="0075031F"/>
    <w:rsid w:val="00751263"/>
    <w:rsid w:val="007544FC"/>
    <w:rsid w:val="00755427"/>
    <w:rsid w:val="00756548"/>
    <w:rsid w:val="0075673A"/>
    <w:rsid w:val="0075704F"/>
    <w:rsid w:val="00760670"/>
    <w:rsid w:val="00763B2D"/>
    <w:rsid w:val="00764B50"/>
    <w:rsid w:val="00764C84"/>
    <w:rsid w:val="00766106"/>
    <w:rsid w:val="007710AD"/>
    <w:rsid w:val="00772924"/>
    <w:rsid w:val="0078112D"/>
    <w:rsid w:val="007872F2"/>
    <w:rsid w:val="007873F9"/>
    <w:rsid w:val="007908E0"/>
    <w:rsid w:val="00793EB3"/>
    <w:rsid w:val="00794205"/>
    <w:rsid w:val="0079422A"/>
    <w:rsid w:val="007A1F6A"/>
    <w:rsid w:val="007A628F"/>
    <w:rsid w:val="007A75E9"/>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17FC7"/>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7F24"/>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118"/>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DF5"/>
    <w:rsid w:val="00A23F3B"/>
    <w:rsid w:val="00A24406"/>
    <w:rsid w:val="00A25F64"/>
    <w:rsid w:val="00A275F6"/>
    <w:rsid w:val="00A303B9"/>
    <w:rsid w:val="00A37416"/>
    <w:rsid w:val="00A40ED6"/>
    <w:rsid w:val="00A47621"/>
    <w:rsid w:val="00A479CD"/>
    <w:rsid w:val="00A50CFC"/>
    <w:rsid w:val="00A54D34"/>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88E"/>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CDA"/>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2C8F"/>
    <w:rsid w:val="00CA3593"/>
    <w:rsid w:val="00CA5726"/>
    <w:rsid w:val="00CA7E6A"/>
    <w:rsid w:val="00CB1FA4"/>
    <w:rsid w:val="00CB258E"/>
    <w:rsid w:val="00CB3C8F"/>
    <w:rsid w:val="00CC02F1"/>
    <w:rsid w:val="00CC1122"/>
    <w:rsid w:val="00CC11A6"/>
    <w:rsid w:val="00CC135E"/>
    <w:rsid w:val="00CC7226"/>
    <w:rsid w:val="00CD0735"/>
    <w:rsid w:val="00CD437B"/>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1160"/>
    <w:rsid w:val="00D22C8F"/>
    <w:rsid w:val="00D3203C"/>
    <w:rsid w:val="00D33491"/>
    <w:rsid w:val="00D3442D"/>
    <w:rsid w:val="00D36F00"/>
    <w:rsid w:val="00D44B67"/>
    <w:rsid w:val="00D44F8E"/>
    <w:rsid w:val="00D514B7"/>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2364"/>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0CD"/>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33C7"/>
    <w:rsid w:val="00ED5D03"/>
    <w:rsid w:val="00EE01ED"/>
    <w:rsid w:val="00EE1AC1"/>
    <w:rsid w:val="00EE39D6"/>
    <w:rsid w:val="00EE52AD"/>
    <w:rsid w:val="00EE5BC3"/>
    <w:rsid w:val="00EE6FAB"/>
    <w:rsid w:val="00EF328C"/>
    <w:rsid w:val="00EF68BB"/>
    <w:rsid w:val="00F01CD6"/>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TotalTime>
  <Pages>4</Pages>
  <Words>1019</Words>
  <Characters>5086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Gillian Sherfield</cp:lastModifiedBy>
  <cp:revision>39</cp:revision>
  <cp:lastPrinted>2020-02-11T19:20:00Z</cp:lastPrinted>
  <dcterms:created xsi:type="dcterms:W3CDTF">2022-09-29T11:35:00Z</dcterms:created>
  <dcterms:modified xsi:type="dcterms:W3CDTF">2025-11-22T19:33:00Z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