
<file path=[Content_Types].xml><?xml version="1.0" encoding="utf-8"?>
<Types xmlns="http://schemas.openxmlformats.org/package/2006/content-types">
  <Default Extension="xml" ContentType="application/xml"/>
  <Default Extension="rels" ContentType="application/vnd.openxmlformats-package.relationships+xml"/>
  <Default Extension="jpeg" ContentType="image/jpg"/>
  <Default Extension="png" ContentType="image/png"/>
  <Default Extension="bmp" ContentType="image/bmp"/>
  <Default Extension="gif" ContentType="image/gif"/>
  <Default Extension="tif" ContentType="image/tif"/>
  <Default Extension="pdf" ContentType="application/pdf"/>
  <Default Extension="mov" ContentType="application/movie"/>
  <Default Extension="vml" ContentType="application/vnd.openxmlformats-officedocument.vmlDrawing"/>
  <Default Extension="xlsx" ContentType="application/vnd.openxmlformats-officedocument.spreadsheetml.sheet"/>
  <Override PartName="/docProps/core.xml" ContentType="application/vnd.openxmlformats-package.core-properties+xml"/>
  <Override PartName="/docProps/app.xml" ContentType="application/vnd.openxmlformats-officedocument.extended-properties+xml"/>
  <Override PartName="/word/document.xml" ContentType="application/vnd.openxmlformats-officedocument.wordprocessingml.document.main+xml"/>
  <Override PartName="/word/settings.xml" ContentType="application/vnd.openxmlformats-officedocument.wordprocessingml.settings+xml"/>
  <Override PartName="/word/fontTable.xml" ContentType="application/vnd.openxmlformats-officedocument.wordprocessingml.fontTable+xml"/>
  <Override PartName="/word/styles.xml" ContentType="application/vnd.openxmlformats-officedocument.wordprocessingml.styles+xml"/>
  <Override PartName="/word/header1.xml" ContentType="application/vnd.openxmlformats-officedocument.wordprocessingml.header+xml"/>
  <Override PartName="/word/footer1.xml" ContentType="application/vnd.openxmlformats-officedocument.wordprocessingml.footer+xml"/>
  <Override PartName="/word/numbering.xml" ContentType="application/vnd.openxmlformats-officedocument.wordprocessingml.numbering+xml"/>
  <Override PartName="/word/theme/theme1.xml" ContentType="application/vnd.openxmlformats-officedocument.theme+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Relationships>

</file>

<file path=word/document.xml><?xml version="1.0" encoding="utf-8"?>
<w:document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body>
    <w:p>
      <w:pPr>
        <w:pStyle w:val="Body"/>
      </w:pPr>
      <w:r>
        <mc:AlternateContent>
          <mc:Choice Requires="wpg">
            <w:drawing>
              <wp:inline distT="0" distB="0" distL="0" distR="0">
                <wp:extent cx="2306776" cy="1284109"/>
                <wp:effectExtent l="0" t="0" r="0" b="0"/>
                <wp:docPr id="1073741827" name="officeArt object" descr="officeArt object"/>
                <wp:cNvGraphicFramePr/>
                <a:graphic xmlns:a="http://schemas.openxmlformats.org/drawingml/2006/main">
                  <a:graphicData uri="http://schemas.microsoft.com/office/word/2010/wordprocessingGroup">
                    <wpg:wgp>
                      <wpg:cNvGrpSpPr/>
                      <wpg:grpSpPr>
                        <a:xfrm>
                          <a:off x="0" y="0"/>
                          <a:ext cx="2306776" cy="1284109"/>
                          <a:chOff x="0" y="0"/>
                          <a:chExt cx="2306775" cy="1284108"/>
                        </a:xfrm>
                      </wpg:grpSpPr>
                      <pic:pic xmlns:pic="http://schemas.openxmlformats.org/drawingml/2006/picture">
                        <pic:nvPicPr>
                          <pic:cNvPr id="1073741825" name="image1.png" descr="image1.png"/>
                          <pic:cNvPicPr>
                            <a:picLocks noChangeAspect="1"/>
                          </pic:cNvPicPr>
                        </pic:nvPicPr>
                        <pic:blipFill>
                          <a:blip r:embed="rId4">
                            <a:extLst/>
                          </a:blip>
                          <a:stretch>
                            <a:fillRect/>
                          </a:stretch>
                        </pic:blipFill>
                        <pic:spPr>
                          <a:xfrm>
                            <a:off x="92583" y="58916"/>
                            <a:ext cx="2121610" cy="1031609"/>
                          </a:xfrm>
                          <a:prstGeom prst="rect">
                            <a:avLst/>
                          </a:prstGeom>
                          <a:ln w="12700" cap="flat">
                            <a:noFill/>
                            <a:miter lim="400000"/>
                          </a:ln>
                          <a:effectLst/>
                        </pic:spPr>
                      </pic:pic>
                      <pic:pic xmlns:pic="http://schemas.openxmlformats.org/drawingml/2006/picture">
                        <pic:nvPicPr>
                          <pic:cNvPr id="1073741826" name="image2.png"/>
                          <pic:cNvPicPr>
                            <a:picLocks noChangeAspect="1"/>
                          </pic:cNvPicPr>
                        </pic:nvPicPr>
                        <pic:blipFill>
                          <a:blip r:embed="rId5">
                            <a:extLst/>
                          </a:blip>
                          <a:stretch>
                            <a:fillRect/>
                          </a:stretch>
                        </pic:blipFill>
                        <pic:spPr>
                          <a:xfrm>
                            <a:off x="0" y="0"/>
                            <a:ext cx="2306776" cy="1284109"/>
                          </a:xfrm>
                          <a:prstGeom prst="rect">
                            <a:avLst/>
                          </a:prstGeom>
                          <a:ln w="12700" cap="flat">
                            <a:noFill/>
                            <a:miter lim="400000"/>
                          </a:ln>
                          <a:effectLst/>
                        </pic:spPr>
                      </pic:pic>
                    </wpg:wgp>
                  </a:graphicData>
                </a:graphic>
              </wp:inline>
            </w:drawing>
          </mc:Choice>
          <mc:Fallback>
            <w:pict>
              <v:group id="_x0000_s1026" style="visibility:visible;width:181.6pt;height:101.1pt;" coordorigin="0,0" coordsize="2306776,1284108">
                <v:shape id="_x0000_s1027" type="#_x0000_t75" style="position:absolute;left:92583;top:58917;width:2121609;height:1031608;">
                  <v:imagedata r:id="rId4" o:title="image1.png"/>
                </v:shape>
                <v:shape id="_x0000_s1028" type="#_x0000_t75" style="position:absolute;left:0;top:0;width:2306775;height:1284108;">
                  <v:imagedata r:id="rId5" o:title="image2.png"/>
                </v:shape>
              </v:group>
            </w:pict>
          </mc:Fallback>
        </mc:AlternateContent>
      </w:r>
    </w:p>
    <w:p>
      <w:pPr>
        <w:pStyle w:val="Body"/>
        <w:rPr>
          <w:lang w:val="en-US"/>
        </w:rPr>
      </w:pPr>
    </w:p>
    <w:p>
      <w:pPr>
        <w:pStyle w:val="Body"/>
        <w:rPr>
          <w:lang w:val="en-US"/>
        </w:rPr>
      </w:pPr>
    </w:p>
    <w:p>
      <w:pPr>
        <w:pStyle w:val="Body"/>
        <w:jc w:val="center"/>
        <w:rPr>
          <w:sz w:val="44"/>
          <w:szCs w:val="44"/>
          <w:lang w:val="en-US"/>
        </w:rPr>
      </w:pPr>
      <w:r>
        <w:rPr>
          <w:sz w:val="44"/>
          <w:szCs w:val="44"/>
          <w:rtl w:val="0"/>
          <w:lang w:val="en-US"/>
        </w:rPr>
        <w:t>Accounting Fundamentals</w:t>
      </w:r>
      <w:r>
        <w:rPr>
          <w:sz w:val="44"/>
          <w:szCs w:val="44"/>
          <w:rtl w:val="0"/>
          <w:lang w:val="en-US"/>
        </w:rPr>
        <w:t xml:space="preserve"> </w:t>
      </w:r>
      <w:r>
        <w:rPr>
          <w:sz w:val="44"/>
          <w:szCs w:val="44"/>
          <w:rtl w:val="0"/>
          <w:lang w:val="en-US"/>
        </w:rPr>
        <w:t>LCBB4001</w:t>
      </w:r>
    </w:p>
    <w:p>
      <w:pPr>
        <w:pStyle w:val="Body"/>
        <w:jc w:val="center"/>
        <w:rPr>
          <w:sz w:val="44"/>
          <w:szCs w:val="44"/>
        </w:rPr>
      </w:pPr>
      <w:r>
        <w:rPr>
          <w:sz w:val="44"/>
          <w:szCs w:val="44"/>
          <w:rtl w:val="0"/>
          <w:lang w:val="en-US"/>
        </w:rPr>
        <w:t xml:space="preserve">Component 1 </w:t>
      </w:r>
    </w:p>
    <w:p>
      <w:pPr>
        <w:pStyle w:val="Body"/>
        <w:jc w:val="center"/>
        <w:rPr>
          <w:sz w:val="44"/>
          <w:szCs w:val="44"/>
          <w:lang w:val="en-US"/>
        </w:rPr>
      </w:pPr>
      <w:r>
        <w:rPr>
          <w:sz w:val="44"/>
          <w:szCs w:val="44"/>
          <w:rtl w:val="0"/>
          <w:lang w:val="en-US"/>
        </w:rPr>
        <w:t>Coursework: Essay</w:t>
      </w:r>
    </w:p>
    <w:p>
      <w:pPr>
        <w:pStyle w:val="Default"/>
        <w:bidi w:val="0"/>
        <w:spacing w:after="160" w:line="259" w:lineRule="auto"/>
        <w:ind w:left="0" w:right="0" w:firstLine="0"/>
        <w:jc w:val="left"/>
        <w:rPr>
          <w:sz w:val="44"/>
          <w:szCs w:val="44"/>
          <w:u w:color="000000"/>
          <w:rtl w:val="0"/>
          <w:lang w:val="en-US"/>
          <w14:textOutline w14:w="12700" w14:cap="flat">
            <w14:noFill/>
            <w14:miter w14:lim="400000"/>
          </w14:textOutline>
        </w:rPr>
      </w:pPr>
    </w:p>
    <w:p>
      <w:pPr>
        <w:pStyle w:val="Default"/>
        <w:bidi w:val="0"/>
        <w:spacing w:after="160" w:line="259" w:lineRule="auto"/>
        <w:ind w:left="0" w:right="0" w:firstLine="0"/>
        <w:jc w:val="left"/>
        <w:rPr>
          <w:sz w:val="44"/>
          <w:szCs w:val="44"/>
          <w:u w:color="000000"/>
          <w:rtl w:val="0"/>
          <w:lang w:val="en-US"/>
          <w14:textOutline w14:w="12700" w14:cap="flat">
            <w14:noFill/>
            <w14:miter w14:lim="400000"/>
          </w14:textOutline>
        </w:rPr>
      </w:pPr>
    </w:p>
    <w:p>
      <w:pPr>
        <w:pStyle w:val="Default"/>
        <w:bidi w:val="0"/>
        <w:spacing w:after="160" w:line="259" w:lineRule="auto"/>
        <w:ind w:left="0" w:right="0" w:firstLine="0"/>
        <w:jc w:val="left"/>
        <w:rPr>
          <w:i w:val="1"/>
          <w:iCs w:val="1"/>
          <w:outline w:val="0"/>
          <w:color w:val="1d2228"/>
          <w:sz w:val="26"/>
          <w:szCs w:val="26"/>
          <w:u w:color="1d2228"/>
          <w:shd w:val="clear" w:color="auto" w:fill="ffffff"/>
          <w:rtl w:val="0"/>
          <w14:textOutline w14:w="12700" w14:cap="flat">
            <w14:noFill/>
            <w14:miter w14:lim="400000"/>
          </w14:textOutline>
          <w14:textFill>
            <w14:solidFill>
              <w14:srgbClr w14:val="1D2228"/>
            </w14:solidFill>
          </w14:textFill>
        </w:rPr>
      </w:pPr>
      <w:r>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t xml:space="preserve">Student name: Brindusa-Mihaela Ciobanu   </w:t>
      </w:r>
    </w:p>
    <w:p>
      <w:pPr>
        <w:pStyle w:val="Default"/>
        <w:bidi w:val="0"/>
        <w:spacing w:after="160" w:line="259" w:lineRule="auto"/>
        <w:ind w:left="0" w:right="0" w:firstLine="0"/>
        <w:jc w:val="left"/>
        <w:rPr>
          <w:sz w:val="44"/>
          <w:szCs w:val="44"/>
          <w:u w:color="000000"/>
          <w:rtl w:val="0"/>
          <w:lang w:val="en-US"/>
          <w14:textOutline w14:w="12700" w14:cap="flat">
            <w14:noFill/>
            <w14:miter w14:lim="400000"/>
          </w14:textOutline>
        </w:rPr>
      </w:pPr>
      <w:r>
        <w:rPr>
          <w:i w:val="1"/>
          <w:iCs w:val="1"/>
          <w:outline w:val="0"/>
          <w:color w:val="1d2228"/>
          <w:sz w:val="26"/>
          <w:szCs w:val="26"/>
          <w:u w:color="1d2228"/>
          <w:shd w:val="clear" w:color="auto" w:fill="ffffff"/>
          <w:rtl w:val="0"/>
          <w:lang w:val="en-US"/>
          <w14:textOutline w14:w="12700" w14:cap="flat">
            <w14:noFill/>
            <w14:miter w14:lim="400000"/>
          </w14:textOutline>
          <w14:textFill>
            <w14:solidFill>
              <w14:srgbClr w14:val="1D2228"/>
            </w14:solidFill>
          </w14:textFill>
        </w:rPr>
        <w:t>Student ID: 2247469</w:t>
      </w:r>
    </w:p>
    <w:p>
      <w:pPr>
        <w:pStyle w:val="Body"/>
        <w:jc w:val="center"/>
        <w:rPr>
          <w:sz w:val="44"/>
          <w:szCs w:val="44"/>
        </w:rPr>
      </w:pPr>
    </w:p>
    <w:p>
      <w:pPr>
        <w:pStyle w:val="Body"/>
      </w:pPr>
      <w:r>
        <w:rPr>
          <w:rFonts w:ascii="Arial Unicode MS" w:cs="Arial Unicode MS" w:hAnsi="Arial Unicode MS" w:eastAsia="Arial Unicode MS"/>
          <w:b w:val="0"/>
          <w:bCs w:val="0"/>
          <w:i w:val="0"/>
          <w:iCs w:val="0"/>
          <w:lang w:val="en-US"/>
        </w:rPr>
        <w:br w:type="page"/>
      </w:r>
    </w:p>
    <w:p>
      <w:pPr>
        <w:pStyle w:val="Heading"/>
      </w:pPr>
      <w:r>
        <w:rPr>
          <w:rtl w:val="0"/>
          <w:lang w:val="en-US"/>
        </w:rPr>
        <w:t>Introduction</w:t>
      </w:r>
    </w:p>
    <w:p>
      <w:pPr>
        <w:pStyle w:val="Body"/>
      </w:pPr>
      <w:r>
        <w:rPr>
          <w:rtl w:val="0"/>
          <w:lang w:val="en-US"/>
        </w:rPr>
        <w:t>Global sweets and confectionery leader Sweets plc is examined for its financial performance and predicament. The company's financial records for 2021 and 2022 are examined to determine its strategic direction, operational efficiency, and financial situation. It also covers basic accounting principles, regulatory compliance, correct financial reporting, and financial statement complexity. Financial Ratios like ROCE, ROE, EPS, net profit margin etc. and efficiency and effectiveness of operations are used to assess the company's financial health. By analysing results within the industry framework, the study seeks to improve strategic decision-making, long-term growth, and shareholder value. This detailed essay helps stakeholders comprehend Sweets plc's financial health, business direction, and position in the competitive worldwide market.</w:t>
      </w:r>
    </w:p>
    <w:p>
      <w:pPr>
        <w:pStyle w:val="Body"/>
        <w:rPr>
          <w:b w:val="1"/>
          <w:bCs w:val="1"/>
          <w:u w:val="single"/>
        </w:rPr>
      </w:pPr>
      <w:r>
        <w:rPr>
          <w:b w:val="1"/>
          <w:bCs w:val="1"/>
          <w:u w:val="single"/>
          <w:rtl w:val="0"/>
          <w:lang w:val="en-US"/>
        </w:rPr>
        <w:t>Question 1</w:t>
      </w:r>
    </w:p>
    <w:p>
      <w:pPr>
        <w:pStyle w:val="Body"/>
        <w:rPr>
          <w:b w:val="1"/>
          <w:bCs w:val="1"/>
        </w:rPr>
      </w:pPr>
      <w:r>
        <w:rPr>
          <w:b w:val="1"/>
          <w:bCs w:val="1"/>
          <w:rtl w:val="0"/>
          <w:lang w:val="en-US"/>
        </w:rPr>
        <w:t>Comments</w:t>
      </w:r>
    </w:p>
    <w:p>
      <w:pPr>
        <w:pStyle w:val="Body"/>
      </w:pPr>
      <w:r>
        <w:rPr>
          <w:rtl w:val="0"/>
          <w:lang w:val="en-US"/>
        </w:rPr>
        <w:t>1. An association's financial well-being at a particular moment, ordinarily at the decision of a reporting period, is portrayed on a yet-to-be-determined sheet, which is otherwise called the proclamation of financial status (Chiappetta, Shaw and Wild, 2017). The financial record gives an outline of the resources, liabilities, and equity of an organisation, rather than the income explanation that subtleties the cash coming in and going out over a specific timeframe. It gives an image of the organisation's total assets by posting its resources, liabilities, and the piece of its worth that has a place with investors (equity). Indeed, even though it's critical to take a gander at the financial record to perceive how the cash was moving during the period, it doesn't show how much was coming in or going out. In its place, the assertion of income records proper data, painting a full perspective on the money management and functional proficiency of the business (Sheriff, 2023).</w:t>
      </w:r>
    </w:p>
    <w:p>
      <w:pPr>
        <w:pStyle w:val="Body"/>
      </w:pPr>
      <w:r>
        <w:rPr>
          <w:rtl w:val="0"/>
          <w:lang w:val="en-US"/>
        </w:rPr>
        <w:t>2. As opposed to being sold for cash in no less than a year, non-current resources cover a great many assets that a firm holds for long-term use in its tasks. The objective is to produce income from these resources (Wild, 2022). Property, plant, hardware, and elusive resources are vital to the organisation's capacity to do its primary exercises and accomplish its drawn-out development objectives. As opposed to the normal faith in steadiness, non-current resources are characterised not by their actual portability but rather by their drawn-out financial worth and handiness (Finkler, Calabrese and Ward, 2018). They are long-term interests in the organisation's assets</w:t>
      </w:r>
      <w:r>
        <w:rPr>
          <w:rtl w:val="0"/>
          <w:lang w:val="en-US"/>
        </w:rPr>
        <w:t>—</w:t>
      </w:r>
      <w:r>
        <w:rPr>
          <w:rtl w:val="0"/>
          <w:lang w:val="en-US"/>
        </w:rPr>
        <w:t>its actual plant, programming, and licen</w:t>
      </w:r>
      <w:r>
        <w:rPr>
          <w:rtl w:val="0"/>
          <w:lang w:val="en-US"/>
        </w:rPr>
        <w:t>s</w:t>
      </w:r>
      <w:r>
        <w:rPr>
          <w:rtl w:val="0"/>
          <w:lang w:val="en-US"/>
        </w:rPr>
        <w:t>ed innovation</w:t>
      </w:r>
      <w:r>
        <w:rPr>
          <w:rtl w:val="0"/>
          <w:lang w:val="en-US"/>
        </w:rPr>
        <w:t>—</w:t>
      </w:r>
      <w:r>
        <w:rPr>
          <w:rtl w:val="0"/>
          <w:lang w:val="en-US"/>
        </w:rPr>
        <w:t>that are essential to its capacity to contend and create results. They are significant for the organisation's working productivity, benefit, and long-term supportability, despite the fact that they aren't effortlessly switched over completely to cash at present.</w:t>
      </w:r>
    </w:p>
    <w:p>
      <w:pPr>
        <w:pStyle w:val="Body"/>
      </w:pPr>
      <w:r>
        <w:rPr>
          <w:rtl w:val="0"/>
          <w:lang w:val="en-US"/>
        </w:rPr>
        <w:t>3. Managers have a moral commitment to give precise financial data to their partners in general, including current and expected investors, leasers, and government organisations (Dyckman, 2018). Keeping financial announcements transparent is fundamental to this obligation since it advances trust and considers an informed dynamic in all areas. To construct trust with their partners, Managers should convey total and exact financial information. This gives an air of liability and genuineness. They recognise that financial exposures affect the speculation of local areas, banks, and administrative observers, and responsibility goes beyond their immediate investors. Eventually, transparent financial detailing is the underpinning of good corporate administration. It gives partners the data they need to assess chances, make wise asset portions, and play a functioning role in the organisation's prosperity (Macfarland and Ayars, 2018).</w:t>
      </w:r>
    </w:p>
    <w:p>
      <w:pPr>
        <w:pStyle w:val="Body"/>
      </w:pPr>
      <w:r>
        <w:rPr>
          <w:rtl w:val="0"/>
          <w:lang w:val="en-US"/>
        </w:rPr>
        <w:t xml:space="preserve">4. To precisely record financial transactions, one should represent the two prepayments (like prepaid costs) and accruals (like accrued expenses). The financial statements have not yet mirrored these transactions, but rather they are addressed by these sections. </w:t>
      </w:r>
      <w:r>
        <w:rPr>
          <w:rtl w:val="0"/>
          <w:lang w:val="en-US"/>
        </w:rPr>
        <w:t xml:space="preserve">Their </w:t>
      </w:r>
      <w:r>
        <w:rPr>
          <w:rtl w:val="0"/>
          <w:lang w:val="en-US"/>
        </w:rPr>
        <w:t>joining is basic since it ensures that budget summaries precisely reflect what is going on and functional achievement (Sheriff, 2023). It is important to designate prepayments to the right accounting time frames in the future so they are in accordance with the matching rule since they reflect costs that have gotten comfortable with development. Conversely, acknowledgement is fundamental for accumulations, which address expenses that have been caused but not yet paid, to give a precise image of the organisation's responsibilities and liabilities (Chiappetta, Shaw and Wild, 2017). Representing prepayments and gatherings in budget summaries assists organisations with showing their entire financial picture, which further develops straightforwardness and responsibility by providing partners with a superior thought of the organisation's liquidity, productivity, and generally speaking, financial well-being.</w:t>
      </w:r>
    </w:p>
    <w:p>
      <w:pPr>
        <w:pStyle w:val="Body"/>
      </w:pPr>
      <w:r>
        <w:rPr>
          <w:rtl w:val="0"/>
          <w:lang w:val="en-US"/>
        </w:rPr>
        <w:t>5. To keep up with dependability, transparency, and responsibility in financial detailing structures, financial record guidelines are fundamental. To guarantee consistency and equivalence across budget reports, these guidelines act as defences, as shown by evaluating prerequisites and accounting principles (Dyckman, 2018). Organisations can safeguard investors' inclinations and construct market certainty by giving steady and dependable data to partners by following laid-out guidelines. Investors, creditors, and different partners can pursue better choices with the assistance of these principles that decrease the probability of bogus or deceiving financial disclosures. In this manner, administrative management is significant for guaranteeing the financial framework's validity and dependability, advancing public trust in corporate administration principles, and supporting the economy's proficient arrangement of assets (Bragg, 2022).</w:t>
      </w:r>
    </w:p>
    <w:p>
      <w:pPr>
        <w:pStyle w:val="Body"/>
      </w:pPr>
      <w:r>
        <w:rPr>
          <w:rtl w:val="0"/>
          <w:lang w:val="en-US"/>
        </w:rPr>
        <w:t>6. To guarantee that all financial records are exact and complete, two pivotal moves towards accounting are the compromise of record (T) accounts and the formation of a preliminary equilibrium. To approve the harmony among charges and attributes and to give an early evaluation of conditional exactness, a preliminary equilibrium gives a short outline of all record adjustments (Sharma, 2023). By fixing irregularities now, should rest assured that budget summaries will be dependable for future detailing and examination. Accountants affirm the exactness of financial information by going through this interaction, which lessens the probability of errors that could influence the unwavering quality of financial reports. (Ballada, 2019) This precise method carries out twofold responsibility: it checks the rightness of kept transactions and gives partners confidence in the straightforwardness and steadfastness of the financial information imparted to them, which thusly advances trust and considers better choices (Woulard, 2021).</w:t>
      </w:r>
    </w:p>
    <w:p>
      <w:pPr>
        <w:pStyle w:val="Body"/>
        <w:rPr>
          <w:b w:val="1"/>
          <w:bCs w:val="1"/>
          <w:u w:val="single"/>
        </w:rPr>
      </w:pPr>
      <w:r>
        <w:rPr>
          <w:b w:val="1"/>
          <w:bCs w:val="1"/>
          <w:u w:val="single"/>
          <w:rtl w:val="0"/>
          <w:lang w:val="en-US"/>
        </w:rPr>
        <w:t>Question 2</w:t>
      </w:r>
    </w:p>
    <w:p>
      <w:pPr>
        <w:pStyle w:val="Body"/>
        <w:rPr>
          <w:b w:val="1"/>
          <w:bCs w:val="1"/>
        </w:rPr>
      </w:pPr>
      <w:r>
        <w:rPr>
          <w:b w:val="1"/>
          <w:bCs w:val="1"/>
          <w:rtl w:val="0"/>
          <w:lang w:val="en-US"/>
        </w:rPr>
        <w:t>Income Statement</w:t>
      </w:r>
    </w:p>
    <w:tbl>
      <w:tblPr>
        <w:tblW w:w="9496" w:type="dxa"/>
        <w:jc w:val="left"/>
        <w:tblInd w:w="108" w:type="dxa"/>
        <w:tblBorders>
          <w:top w:val="single" w:color="ffffff" w:sz="8" w:space="0" w:shadow="0" w:frame="0"/>
          <w:left w:val="single" w:color="ffffff" w:sz="8" w:space="0" w:shadow="0" w:frame="0"/>
          <w:bottom w:val="single" w:color="ffffff" w:sz="8" w:space="0" w:shadow="0" w:frame="0"/>
          <w:right w:val="single" w:color="ffffff" w:sz="8" w:space="0" w:shadow="0" w:frame="0"/>
          <w:insideH w:val="single" w:color="ffffff" w:sz="8" w:space="0" w:shadow="0" w:frame="0"/>
          <w:insideV w:val="single" w:color="ffffff" w:sz="8" w:space="0" w:shadow="0" w:frame="0"/>
        </w:tblBorders>
        <w:shd w:val="clear" w:color="auto" w:fill="d0ddef"/>
        <w:tblLayout w:type="fixed"/>
      </w:tblPr>
      <w:tblGrid>
        <w:gridCol w:w="7595"/>
        <w:gridCol w:w="1901"/>
      </w:tblGrid>
      <w:tr>
        <w:tblPrEx>
          <w:shd w:val="clear" w:color="auto" w:fill="d0ddef"/>
        </w:tblPrEx>
        <w:trPr>
          <w:trHeight w:val="481" w:hRule="atLeast"/>
        </w:trPr>
        <w:tc>
          <w:tcPr>
            <w:tcW w:type="dxa" w:w="949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tl w:val="0"/>
                <w:lang w:val="en-US"/>
              </w:rPr>
              <w:t>Income Statement for Wales Plc</w:t>
            </w:r>
          </w:p>
        </w:tc>
      </w:tr>
      <w:tr>
        <w:tblPrEx>
          <w:shd w:val="clear" w:color="auto" w:fill="d0ddef"/>
        </w:tblPrEx>
        <w:trPr>
          <w:trHeight w:val="512" w:hRule="atLeast"/>
        </w:trPr>
        <w:tc>
          <w:tcPr>
            <w:tcW w:type="dxa" w:w="9496"/>
            <w:gridSpan w:val="2"/>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bottom"/>
          </w:tcPr>
          <w:p>
            <w:pPr>
              <w:pStyle w:val="Body"/>
              <w:jc w:val="center"/>
            </w:pPr>
            <w:r>
              <w:rPr>
                <w:rtl w:val="0"/>
                <w:lang w:val="en-US"/>
              </w:rPr>
              <w:t>For the Year Ended 31st December 2022</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Sales (Revenue)</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900,000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Less: Cost of Sales</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578,650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Gross Profit</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321,350 </w:t>
            </w:r>
          </w:p>
        </w:tc>
      </w:tr>
      <w:tr>
        <w:tblPrEx>
          <w:shd w:val="clear" w:color="auto" w:fill="d0ddef"/>
        </w:tblPrEx>
        <w:trPr>
          <w:trHeight w:val="889"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Depreciation on Equipment (10% of </w:t>
            </w:r>
            <w:r>
              <w:rPr>
                <w:rtl w:val="0"/>
                <w:lang w:val="en-US"/>
              </w:rPr>
              <w:t>£</w:t>
            </w:r>
            <w:r>
              <w:rPr>
                <w:rtl w:val="0"/>
                <w:lang w:val="en-US"/>
              </w:rPr>
              <w:t>650,000)</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65,000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Administrative Expenses</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160,000 </w:t>
            </w:r>
          </w:p>
        </w:tc>
      </w:tr>
      <w:tr>
        <w:tblPrEx>
          <w:shd w:val="clear" w:color="auto" w:fill="d0ddef"/>
        </w:tblPrEx>
        <w:trPr>
          <w:trHeight w:val="811"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Unpaid Salaries (December 2022)</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10,000 </w:t>
            </w:r>
          </w:p>
        </w:tc>
      </w:tr>
      <w:tr>
        <w:tblPrEx>
          <w:shd w:val="clear" w:color="auto" w:fill="d0ddef"/>
        </w:tblPrEx>
        <w:trPr>
          <w:trHeight w:val="772"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Directors</w:t>
            </w:r>
            <w:r>
              <w:rPr>
                <w:rtl w:val="0"/>
                <w:lang w:val="en-US"/>
              </w:rPr>
              <w:t xml:space="preserve">’ </w:t>
            </w:r>
            <w:r>
              <w:rPr>
                <w:rtl w:val="0"/>
                <w:lang w:val="en-US"/>
              </w:rPr>
              <w:t>Remuneration</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5,000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Distribution Costs</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28,000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Interest Paid</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2,000 </w:t>
            </w:r>
          </w:p>
        </w:tc>
      </w:tr>
      <w:tr>
        <w:tblPrEx>
          <w:shd w:val="clear" w:color="auto" w:fill="d0ddef"/>
        </w:tblPrEx>
        <w:trPr>
          <w:trHeight w:val="772"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Commission owed to Salesmen</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2,000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Total Operating Expenses</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272,000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Operating Profit</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49,350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Less: Corporation Tax</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15,000 </w:t>
            </w:r>
          </w:p>
        </w:tc>
      </w:tr>
      <w:tr>
        <w:tblPrEx>
          <w:shd w:val="clear" w:color="auto" w:fill="d0ddef"/>
        </w:tblPrEx>
        <w:trPr>
          <w:trHeight w:val="745" w:hRule="atLeast"/>
        </w:trPr>
        <w:tc>
          <w:tcPr>
            <w:tcW w:type="dxa" w:w="7595"/>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Net Profit</w:t>
            </w:r>
          </w:p>
        </w:tc>
        <w:tc>
          <w:tcPr>
            <w:tcW w:type="dxa" w:w="1901"/>
            <w:tcBorders>
              <w:top w:val="single" w:color="000000" w:sz="4" w:space="0" w:shadow="0" w:frame="0"/>
              <w:left w:val="single" w:color="000000" w:sz="4" w:space="0" w:shadow="0" w:frame="0"/>
              <w:bottom w:val="single" w:color="000000" w:sz="4" w:space="0" w:shadow="0" w:frame="0"/>
              <w:right w:val="single" w:color="000000" w:sz="4" w:space="0" w:shadow="0" w:frame="0"/>
            </w:tcBorders>
            <w:shd w:val="clear" w:color="auto" w:fill="auto"/>
            <w:tcMar>
              <w:top w:type="dxa" w:w="80"/>
              <w:left w:type="dxa" w:w="80"/>
              <w:bottom w:type="dxa" w:w="80"/>
              <w:right w:type="dxa" w:w="80"/>
            </w:tcMar>
            <w:vAlign w:val="center"/>
          </w:tcPr>
          <w:p>
            <w:pPr>
              <w:pStyle w:val="Body"/>
            </w:pPr>
            <w:r>
              <w:rPr>
                <w:rtl w:val="0"/>
                <w:lang w:val="en-US"/>
              </w:rPr>
              <w:t xml:space="preserve"> £                  </w:t>
            </w:r>
            <w:r>
              <w:rPr>
                <w:rtl w:val="0"/>
                <w:lang w:val="en-US"/>
              </w:rPr>
              <w:t xml:space="preserve">34,350 </w:t>
            </w:r>
          </w:p>
        </w:tc>
      </w:tr>
    </w:tbl>
    <w:p>
      <w:pPr>
        <w:pStyle w:val="Body"/>
        <w:widowControl w:val="0"/>
        <w:spacing w:line="240" w:lineRule="auto"/>
        <w:rPr>
          <w:b w:val="1"/>
          <w:bCs w:val="1"/>
        </w:rPr>
      </w:pPr>
    </w:p>
    <w:p>
      <w:pPr>
        <w:pStyle w:val="Body"/>
        <w:rPr>
          <w:b w:val="1"/>
          <w:bCs w:val="1"/>
          <w:u w:val="single"/>
        </w:rPr>
      </w:pPr>
      <w:r>
        <w:rPr>
          <w:b w:val="1"/>
          <w:bCs w:val="1"/>
          <w:u w:val="single"/>
          <w:rtl w:val="0"/>
          <w:lang w:val="en-US"/>
        </w:rPr>
        <w:t xml:space="preserve">Question 3 </w:t>
      </w:r>
    </w:p>
    <w:p>
      <w:pPr>
        <w:pStyle w:val="Body"/>
        <w:rPr>
          <w:b w:val="1"/>
          <w:bCs w:val="1"/>
        </w:rPr>
      </w:pPr>
      <w:r>
        <w:rPr>
          <w:b w:val="1"/>
          <w:bCs w:val="1"/>
          <w:rtl w:val="0"/>
          <w:lang w:val="en-US"/>
        </w:rPr>
        <w:t>a) Ratio Calculation</w:t>
      </w:r>
    </w:p>
    <w:p>
      <w:pPr>
        <w:pStyle w:val="Body"/>
        <w:numPr>
          <w:ilvl w:val="0"/>
          <w:numId w:val="2"/>
        </w:numPr>
        <w:bidi w:val="0"/>
        <w:ind w:right="0"/>
        <w:jc w:val="both"/>
        <w:rPr>
          <w:rtl w:val="0"/>
          <w:lang w:val="en-US"/>
        </w:rPr>
      </w:pPr>
      <w:r>
        <w:rPr>
          <w:b w:val="1"/>
          <w:bCs w:val="1"/>
          <w:rtl w:val="0"/>
          <w:lang w:val="en-US"/>
        </w:rPr>
        <w:t>Return on Capital Employed (ROCE)</w:t>
      </w:r>
      <w:r>
        <w:rPr>
          <w:rtl w:val="0"/>
          <w:lang w:val="en-US"/>
        </w:rPr>
        <w:t xml:space="preserve">: </w:t>
      </w:r>
    </w:p>
    <w:p>
      <w:pPr>
        <w:pStyle w:val="Body"/>
      </w:pPr>
      <w:r>
        <w:rPr>
          <w:rtl w:val="0"/>
          <w:lang w:val="en-US"/>
        </w:rPr>
        <w:t>Formula: Operating Profit / (Total Assets - Current Liabilities).</w:t>
      </w:r>
    </w:p>
    <w:p>
      <w:pPr>
        <w:pStyle w:val="Body"/>
      </w:pPr>
      <w:r>
        <w:rPr>
          <w:rtl w:val="0"/>
          <w:lang w:val="en-US"/>
        </w:rPr>
        <w:t xml:space="preserve">For 2022: 805 / (9,736 - 2,511) = 0.11 or 11% </w:t>
      </w:r>
    </w:p>
    <w:p>
      <w:pPr>
        <w:pStyle w:val="Body"/>
      </w:pPr>
      <w:r>
        <w:rPr>
          <w:rtl w:val="0"/>
          <w:lang w:val="en-US"/>
        </w:rPr>
        <w:t>For 2021: 699 / (10,087 - 3,046) = 0.10 or 10%</w:t>
      </w:r>
    </w:p>
    <w:p>
      <w:pPr>
        <w:pStyle w:val="Body"/>
        <w:numPr>
          <w:ilvl w:val="0"/>
          <w:numId w:val="3"/>
        </w:numPr>
        <w:bidi w:val="0"/>
        <w:ind w:right="0"/>
        <w:jc w:val="both"/>
        <w:rPr>
          <w:rtl w:val="0"/>
          <w:lang w:val="en-US"/>
        </w:rPr>
      </w:pPr>
      <w:r>
        <w:rPr>
          <w:b w:val="1"/>
          <w:bCs w:val="1"/>
          <w:rtl w:val="0"/>
          <w:lang w:val="en-US"/>
        </w:rPr>
        <w:t>Return on Equity (ROE)</w:t>
      </w:r>
      <w:r>
        <w:rPr>
          <w:rtl w:val="0"/>
          <w:lang w:val="en-US"/>
        </w:rPr>
        <w:t>:</w:t>
      </w:r>
    </w:p>
    <w:p>
      <w:pPr>
        <w:pStyle w:val="Body"/>
      </w:pPr>
      <w:r>
        <w:rPr>
          <w:rtl w:val="0"/>
          <w:lang w:val="en-US"/>
        </w:rPr>
        <w:t>Formula: Net Income / Total Equity.</w:t>
      </w:r>
    </w:p>
    <w:p>
      <w:pPr>
        <w:pStyle w:val="Body"/>
      </w:pPr>
      <w:r>
        <w:rPr>
          <w:rtl w:val="0"/>
          <w:lang w:val="en-US"/>
        </w:rPr>
        <w:t>For 2022: 431 / 3,088 = 0.14 or 14%</w:t>
      </w:r>
    </w:p>
    <w:p>
      <w:pPr>
        <w:pStyle w:val="Body"/>
      </w:pPr>
      <w:r>
        <w:rPr>
          <w:rtl w:val="0"/>
          <w:lang w:val="en-US"/>
        </w:rPr>
        <w:t>For 2021: 366 / 2,912 = 0.13 or 13%</w:t>
      </w:r>
    </w:p>
    <w:p>
      <w:pPr>
        <w:pStyle w:val="Body"/>
        <w:numPr>
          <w:ilvl w:val="0"/>
          <w:numId w:val="3"/>
        </w:numPr>
        <w:bidi w:val="0"/>
        <w:ind w:right="0"/>
        <w:jc w:val="both"/>
        <w:rPr>
          <w:rtl w:val="0"/>
          <w:lang w:val="en-US"/>
        </w:rPr>
      </w:pPr>
      <w:r>
        <w:rPr>
          <w:b w:val="1"/>
          <w:bCs w:val="1"/>
          <w:rtl w:val="0"/>
          <w:lang w:val="en-US"/>
        </w:rPr>
        <w:t>Earnings Per Share (EPS)</w:t>
      </w:r>
      <w:r>
        <w:rPr>
          <w:rtl w:val="0"/>
          <w:lang w:val="en-US"/>
        </w:rPr>
        <w:t xml:space="preserve">: </w:t>
      </w:r>
    </w:p>
    <w:p>
      <w:pPr>
        <w:pStyle w:val="Body"/>
      </w:pPr>
      <w:r>
        <w:rPr>
          <w:rtl w:val="0"/>
          <w:lang w:val="en-US"/>
        </w:rPr>
        <w:t>This is calculated as Net Income / Number of Shares. The number of shares is calculated as Share Capital / Par Value.</w:t>
      </w:r>
    </w:p>
    <w:p>
      <w:pPr>
        <w:pStyle w:val="Body"/>
        <w:rPr>
          <w:b w:val="1"/>
          <w:bCs w:val="1"/>
        </w:rPr>
      </w:pPr>
      <w:r>
        <w:rPr>
          <w:b w:val="1"/>
          <w:bCs w:val="1"/>
          <w:rtl w:val="0"/>
          <w:lang w:val="en-US"/>
        </w:rPr>
        <w:t xml:space="preserve">Formula: </w:t>
      </w:r>
      <w:r>
        <w:rPr>
          <w:rtl w:val="0"/>
          <w:lang w:val="en-US"/>
        </w:rPr>
        <w:t>Net Income / Number of Shares</w:t>
      </w:r>
    </w:p>
    <w:p>
      <w:pPr>
        <w:pStyle w:val="Body"/>
      </w:pPr>
      <w:r>
        <w:rPr>
          <w:rtl w:val="0"/>
          <w:lang w:val="en-US"/>
        </w:rPr>
        <w:t>For 2022: 431 / (300 / 0.50) = 2.87</w:t>
      </w:r>
    </w:p>
    <w:p>
      <w:pPr>
        <w:pStyle w:val="Body"/>
      </w:pPr>
      <w:r>
        <w:rPr>
          <w:rtl w:val="0"/>
          <w:lang w:val="en-US"/>
        </w:rPr>
        <w:t>For 2021: 366 / (300 / 0.50) = 2.44</w:t>
      </w:r>
    </w:p>
    <w:p>
      <w:pPr>
        <w:pStyle w:val="Body"/>
        <w:numPr>
          <w:ilvl w:val="0"/>
          <w:numId w:val="3"/>
        </w:numPr>
        <w:bidi w:val="0"/>
        <w:ind w:right="0"/>
        <w:jc w:val="both"/>
        <w:rPr>
          <w:rtl w:val="0"/>
          <w:lang w:val="en-US"/>
        </w:rPr>
      </w:pPr>
      <w:r>
        <w:rPr>
          <w:b w:val="1"/>
          <w:bCs w:val="1"/>
          <w:rtl w:val="0"/>
          <w:lang w:val="en-US"/>
        </w:rPr>
        <w:t>Net Profit Margin</w:t>
      </w:r>
      <w:r>
        <w:rPr>
          <w:rtl w:val="0"/>
          <w:lang w:val="en-US"/>
        </w:rPr>
        <w:t>:</w:t>
      </w:r>
    </w:p>
    <w:p>
      <w:pPr>
        <w:pStyle w:val="Body"/>
        <w:tabs>
          <w:tab w:val="left" w:pos="360"/>
        </w:tabs>
      </w:pPr>
      <w:r>
        <w:rPr>
          <w:rtl w:val="0"/>
          <w:lang w:val="en-US"/>
        </w:rPr>
        <w:t>Net Income / Revenue.</w:t>
      </w:r>
    </w:p>
    <w:p>
      <w:pPr>
        <w:pStyle w:val="Body"/>
      </w:pPr>
      <w:r>
        <w:rPr>
          <w:rtl w:val="0"/>
          <w:lang w:val="en-US"/>
        </w:rPr>
        <w:t xml:space="preserve">For 2022: 431 / 6,738 = 0.06 or 6% </w:t>
      </w:r>
    </w:p>
    <w:p>
      <w:pPr>
        <w:pStyle w:val="Body"/>
      </w:pPr>
      <w:r>
        <w:rPr>
          <w:rtl w:val="0"/>
          <w:lang w:val="en-US"/>
        </w:rPr>
        <w:t>For 2021: 366 / 6,441 = 0.06 or 6%</w:t>
      </w:r>
    </w:p>
    <w:p>
      <w:pPr>
        <w:pStyle w:val="Body"/>
        <w:numPr>
          <w:ilvl w:val="0"/>
          <w:numId w:val="3"/>
        </w:numPr>
        <w:bidi w:val="0"/>
        <w:ind w:right="0"/>
        <w:jc w:val="both"/>
        <w:rPr>
          <w:rtl w:val="0"/>
          <w:lang w:val="en-US"/>
        </w:rPr>
      </w:pPr>
      <w:r>
        <w:rPr>
          <w:b w:val="1"/>
          <w:bCs w:val="1"/>
          <w:rtl w:val="0"/>
          <w:lang w:val="en-US"/>
        </w:rPr>
        <w:t>Asset Turnover</w:t>
      </w:r>
      <w:r>
        <w:rPr>
          <w:rtl w:val="0"/>
          <w:lang w:val="en-US"/>
        </w:rPr>
        <w:t>:</w:t>
      </w:r>
    </w:p>
    <w:p>
      <w:pPr>
        <w:pStyle w:val="Body"/>
      </w:pPr>
      <w:r>
        <w:rPr>
          <w:b w:val="1"/>
          <w:bCs w:val="1"/>
          <w:rtl w:val="0"/>
          <w:lang w:val="en-US"/>
        </w:rPr>
        <w:t>Formula</w:t>
      </w:r>
      <w:r>
        <w:rPr>
          <w:rtl w:val="0"/>
          <w:lang w:val="en-US"/>
        </w:rPr>
        <w:t>: Revenue / Total Assets.</w:t>
      </w:r>
    </w:p>
    <w:p>
      <w:pPr>
        <w:pStyle w:val="Body"/>
      </w:pPr>
      <w:r>
        <w:rPr>
          <w:rtl w:val="0"/>
          <w:lang w:val="en-US"/>
        </w:rPr>
        <w:t>For 2022: 6,738 / 9,736 = 0.69 For 2021: 6,441 / 10,087 = 0.64</w:t>
      </w:r>
    </w:p>
    <w:p>
      <w:pPr>
        <w:pStyle w:val="Body"/>
        <w:numPr>
          <w:ilvl w:val="0"/>
          <w:numId w:val="3"/>
        </w:numPr>
        <w:bidi w:val="0"/>
        <w:ind w:right="0"/>
        <w:jc w:val="both"/>
        <w:rPr>
          <w:rtl w:val="0"/>
          <w:lang w:val="en-US"/>
        </w:rPr>
      </w:pPr>
      <w:r>
        <w:rPr>
          <w:b w:val="1"/>
          <w:bCs w:val="1"/>
          <w:rtl w:val="0"/>
          <w:lang w:val="en-US"/>
        </w:rPr>
        <w:t>Stock Holding Days</w:t>
      </w:r>
      <w:r>
        <w:rPr>
          <w:rtl w:val="0"/>
          <w:lang w:val="en-US"/>
        </w:rPr>
        <w:t xml:space="preserve">: </w:t>
      </w:r>
    </w:p>
    <w:p>
      <w:pPr>
        <w:pStyle w:val="Body"/>
        <w:tabs>
          <w:tab w:val="left" w:pos="360"/>
        </w:tabs>
      </w:pPr>
      <w:r>
        <w:rPr>
          <w:b w:val="1"/>
          <w:bCs w:val="1"/>
          <w:rtl w:val="0"/>
          <w:lang w:val="en-US"/>
        </w:rPr>
        <w:t>Formula</w:t>
      </w:r>
      <w:r>
        <w:rPr>
          <w:rtl w:val="0"/>
          <w:lang w:val="en-US"/>
        </w:rPr>
        <w:t>: (Inventory / Cost of Sales) * 365.</w:t>
      </w:r>
    </w:p>
    <w:p>
      <w:pPr>
        <w:pStyle w:val="Body"/>
      </w:pPr>
      <w:r>
        <w:rPr>
          <w:rtl w:val="0"/>
          <w:lang w:val="en-US"/>
        </w:rPr>
        <w:t>For 2022: (708 / 3,235) * 365 = 80 days</w:t>
      </w:r>
    </w:p>
    <w:p>
      <w:pPr>
        <w:pStyle w:val="Body"/>
      </w:pPr>
      <w:r>
        <w:rPr>
          <w:rtl w:val="0"/>
          <w:lang w:val="en-US"/>
        </w:rPr>
        <w:t>For 2021: (659 / 3,096) * 365 = 78 days</w:t>
      </w:r>
    </w:p>
    <w:p>
      <w:pPr>
        <w:pStyle w:val="Body"/>
        <w:numPr>
          <w:ilvl w:val="0"/>
          <w:numId w:val="3"/>
        </w:numPr>
        <w:bidi w:val="0"/>
        <w:ind w:right="0"/>
        <w:jc w:val="both"/>
        <w:rPr>
          <w:rtl w:val="0"/>
          <w:lang w:val="en-US"/>
        </w:rPr>
      </w:pPr>
      <w:r>
        <w:rPr>
          <w:b w:val="1"/>
          <w:bCs w:val="1"/>
          <w:rtl w:val="0"/>
          <w:lang w:val="en-US"/>
        </w:rPr>
        <w:t>Debtors Collection Period</w:t>
      </w:r>
      <w:r>
        <w:rPr>
          <w:rtl w:val="0"/>
          <w:lang w:val="en-US"/>
        </w:rPr>
        <w:t>:</w:t>
      </w:r>
    </w:p>
    <w:p>
      <w:pPr>
        <w:pStyle w:val="Body"/>
      </w:pPr>
      <w:r>
        <w:rPr>
          <w:b w:val="1"/>
          <w:bCs w:val="1"/>
          <w:rtl w:val="0"/>
          <w:lang w:val="en-US"/>
        </w:rPr>
        <w:t>Formula</w:t>
      </w:r>
      <w:r>
        <w:rPr>
          <w:rtl w:val="0"/>
          <w:lang w:val="en-US"/>
        </w:rPr>
        <w:t>: (Trade Receivables / Revenue) * 365.</w:t>
      </w:r>
    </w:p>
    <w:p>
      <w:pPr>
        <w:pStyle w:val="Body"/>
      </w:pPr>
      <w:r>
        <w:rPr>
          <w:rtl w:val="0"/>
          <w:lang w:val="en-US"/>
        </w:rPr>
        <w:t> </w:t>
      </w:r>
      <w:r>
        <w:rPr>
          <w:rtl w:val="0"/>
          <w:lang w:val="en-US"/>
        </w:rPr>
        <w:t>For 2022: (1,249 / 6,738) * 365 = 68 days</w:t>
      </w:r>
    </w:p>
    <w:p>
      <w:pPr>
        <w:pStyle w:val="Body"/>
      </w:pPr>
      <w:r>
        <w:rPr>
          <w:rtl w:val="0"/>
          <w:lang w:val="en-US"/>
        </w:rPr>
        <w:t>For 2021: (1,287 / 6,441) * 365 = 73 days</w:t>
      </w:r>
    </w:p>
    <w:p>
      <w:pPr>
        <w:pStyle w:val="Body"/>
        <w:numPr>
          <w:ilvl w:val="0"/>
          <w:numId w:val="3"/>
        </w:numPr>
        <w:bidi w:val="0"/>
        <w:ind w:right="0"/>
        <w:jc w:val="both"/>
        <w:rPr>
          <w:rtl w:val="0"/>
          <w:lang w:val="en-US"/>
        </w:rPr>
      </w:pPr>
      <w:r>
        <w:rPr>
          <w:b w:val="1"/>
          <w:bCs w:val="1"/>
          <w:rtl w:val="0"/>
          <w:lang w:val="en-US"/>
        </w:rPr>
        <w:t>Current Ratio</w:t>
      </w:r>
      <w:r>
        <w:rPr>
          <w:rtl w:val="0"/>
          <w:lang w:val="en-US"/>
        </w:rPr>
        <w:t xml:space="preserve">: </w:t>
      </w:r>
    </w:p>
    <w:p>
      <w:pPr>
        <w:pStyle w:val="Body"/>
        <w:tabs>
          <w:tab w:val="left" w:pos="360"/>
        </w:tabs>
      </w:pPr>
      <w:r>
        <w:rPr>
          <w:b w:val="1"/>
          <w:bCs w:val="1"/>
          <w:rtl w:val="0"/>
          <w:lang w:val="en-US"/>
        </w:rPr>
        <w:t>Formula</w:t>
      </w:r>
      <w:r>
        <w:rPr>
          <w:rtl w:val="0"/>
          <w:lang w:val="en-US"/>
        </w:rPr>
        <w:t>: Current Assets / Current Liabilities.</w:t>
      </w:r>
    </w:p>
    <w:p>
      <w:pPr>
        <w:pStyle w:val="Body"/>
      </w:pPr>
      <w:r>
        <w:rPr>
          <w:rtl w:val="0"/>
          <w:lang w:val="en-US"/>
        </w:rPr>
        <w:t>For 2022: 2,303 / 2,511 = 0.92</w:t>
      </w:r>
    </w:p>
    <w:p>
      <w:pPr>
        <w:pStyle w:val="Body"/>
      </w:pPr>
      <w:r>
        <w:rPr>
          <w:rtl w:val="0"/>
          <w:lang w:val="en-US"/>
        </w:rPr>
        <w:t>For 2021: 2,355 / 3,046 = 0.77</w:t>
      </w:r>
    </w:p>
    <w:p>
      <w:pPr>
        <w:pStyle w:val="Body"/>
        <w:numPr>
          <w:ilvl w:val="0"/>
          <w:numId w:val="3"/>
        </w:numPr>
        <w:bidi w:val="0"/>
        <w:ind w:right="0"/>
        <w:jc w:val="both"/>
        <w:rPr>
          <w:rtl w:val="0"/>
          <w:lang w:val="en-US"/>
        </w:rPr>
      </w:pPr>
      <w:r>
        <w:rPr>
          <w:b w:val="1"/>
          <w:bCs w:val="1"/>
          <w:rtl w:val="0"/>
          <w:lang w:val="en-US"/>
        </w:rPr>
        <w:t>Gearing Ratio</w:t>
      </w:r>
      <w:r>
        <w:rPr>
          <w:rtl w:val="0"/>
          <w:lang w:val="en-US"/>
        </w:rPr>
        <w:t xml:space="preserve">: </w:t>
      </w:r>
    </w:p>
    <w:p>
      <w:pPr>
        <w:pStyle w:val="Body"/>
      </w:pPr>
      <w:r>
        <w:rPr>
          <w:b w:val="1"/>
          <w:bCs w:val="1"/>
          <w:rtl w:val="0"/>
          <w:lang w:val="en-US"/>
        </w:rPr>
        <w:t>Formula</w:t>
      </w:r>
      <w:r>
        <w:rPr>
          <w:rtl w:val="0"/>
          <w:lang w:val="en-US"/>
        </w:rPr>
        <w:t>: Long-Term Debt / (Long-Term Debt + Equity).</w:t>
      </w:r>
      <w:r>
        <w:rPr>
          <w:rtl w:val="0"/>
          <w:lang w:val="en-US"/>
        </w:rPr>
        <w:t> </w:t>
      </w:r>
    </w:p>
    <w:p>
      <w:pPr>
        <w:pStyle w:val="Body"/>
      </w:pPr>
      <w:r>
        <w:rPr>
          <w:rtl w:val="0"/>
          <w:lang w:val="en-US"/>
        </w:rPr>
        <w:t xml:space="preserve">For 2022: 4,137 / (4,137 + 3,088) = 0.57 or 57% </w:t>
      </w:r>
    </w:p>
    <w:p>
      <w:pPr>
        <w:pStyle w:val="Body"/>
      </w:pPr>
      <w:r>
        <w:rPr>
          <w:rtl w:val="0"/>
          <w:lang w:val="en-US"/>
        </w:rPr>
        <w:t>For 2021: 4,129 / (4,129 + 2,912) = 0.59 or 59%</w:t>
      </w:r>
    </w:p>
    <w:p>
      <w:pPr>
        <w:pStyle w:val="Body"/>
        <w:numPr>
          <w:ilvl w:val="0"/>
          <w:numId w:val="3"/>
        </w:numPr>
        <w:bidi w:val="0"/>
        <w:ind w:right="0"/>
        <w:jc w:val="both"/>
        <w:rPr>
          <w:rtl w:val="0"/>
          <w:lang w:val="en-US"/>
        </w:rPr>
      </w:pPr>
      <w:r>
        <w:rPr>
          <w:b w:val="1"/>
          <w:bCs w:val="1"/>
          <w:rtl w:val="0"/>
          <w:lang w:val="en-US"/>
        </w:rPr>
        <w:t>Interest Cover</w:t>
      </w:r>
      <w:r>
        <w:rPr>
          <w:rtl w:val="0"/>
          <w:lang w:val="en-US"/>
        </w:rPr>
        <w:t xml:space="preserve">: </w:t>
      </w:r>
    </w:p>
    <w:p>
      <w:pPr>
        <w:pStyle w:val="Body"/>
      </w:pPr>
      <w:r>
        <w:rPr>
          <w:b w:val="1"/>
          <w:bCs w:val="1"/>
          <w:rtl w:val="0"/>
          <w:lang w:val="en-US"/>
        </w:rPr>
        <w:t>Formula</w:t>
      </w:r>
      <w:r>
        <w:rPr>
          <w:rtl w:val="0"/>
          <w:lang w:val="en-US"/>
        </w:rPr>
        <w:t>: Operating Profit / Interest Payable.</w:t>
      </w:r>
    </w:p>
    <w:p>
      <w:pPr>
        <w:pStyle w:val="Body"/>
      </w:pPr>
      <w:r>
        <w:rPr>
          <w:rtl w:val="0"/>
          <w:lang w:val="en-US"/>
        </w:rPr>
        <w:t>For 2022: 805 / 226 = 3.56 times</w:t>
      </w:r>
    </w:p>
    <w:p>
      <w:pPr>
        <w:pStyle w:val="Body"/>
      </w:pPr>
      <w:r>
        <w:rPr>
          <w:rtl w:val="0"/>
          <w:lang w:val="en-US"/>
        </w:rPr>
        <w:t>For 2021: 699 / 181 = 3.86 times</w:t>
      </w:r>
    </w:p>
    <w:p>
      <w:pPr>
        <w:pStyle w:val="Body"/>
        <w:rPr>
          <w:b w:val="1"/>
          <w:bCs w:val="1"/>
        </w:rPr>
      </w:pPr>
      <w:r>
        <w:rPr>
          <w:b w:val="1"/>
          <w:bCs w:val="1"/>
          <w:rtl w:val="0"/>
          <w:lang w:val="en-US"/>
        </w:rPr>
        <w:t>b) Critical Analysis of Financial Position</w:t>
      </w:r>
    </w:p>
    <w:p>
      <w:pPr>
        <w:pStyle w:val="Normal (Web)"/>
        <w:spacing w:before="120" w:after="120" w:line="360" w:lineRule="auto"/>
        <w:jc w:val="both"/>
        <w:rPr>
          <w:lang w:val="en-US"/>
        </w:rPr>
      </w:pPr>
      <w:r>
        <w:rPr>
          <w:rtl w:val="0"/>
          <w:lang w:val="en-US"/>
        </w:rPr>
        <w:t>A few insights into the tasks, profitability, liquidity, solvency, and effectiveness of Sweets plc are uncovered by investigating the organisation's financial performance and position.</w:t>
      </w:r>
    </w:p>
    <w:p>
      <w:pPr>
        <w:pStyle w:val="Normal (Web)"/>
        <w:spacing w:before="120" w:after="120" w:line="360" w:lineRule="auto"/>
        <w:jc w:val="both"/>
        <w:rPr>
          <w:b w:val="1"/>
          <w:bCs w:val="1"/>
          <w:lang w:val="en-US"/>
        </w:rPr>
      </w:pPr>
      <w:r>
        <w:rPr>
          <w:b w:val="1"/>
          <w:bCs w:val="1"/>
          <w:rtl w:val="0"/>
          <w:lang w:val="en-US"/>
        </w:rPr>
        <w:t>Profitability:</w:t>
      </w:r>
    </w:p>
    <w:p>
      <w:pPr>
        <w:pStyle w:val="Body"/>
      </w:pPr>
      <w:r>
        <w:rPr>
          <w:rtl w:val="0"/>
          <w:lang w:val="en-US"/>
        </w:rPr>
        <w:t>Profitability measures showed critical enhancements for Sweets plc, featuring the organisation's capable asset management and steady working effectiveness. The return on capital employed (ROCE) increased from 10% in 2021 to 11% in 2022, which shows that the organisation is truly adept at bringing in cash compared with the cash it places in. This increment shows that Sweets plc utilised its assets to make higher practical increases, and that implies that the organisation is better at distinguishing its assets and utilising them (Schroeder, Clark and Cathey, 2022).</w:t>
      </w:r>
    </w:p>
    <w:p>
      <w:pPr>
        <w:pStyle w:val="Body"/>
      </w:pPr>
      <w:r>
        <w:rPr>
          <w:rtl w:val="0"/>
          <w:lang w:val="en-US"/>
        </w:rPr>
        <w:t>The return on equity (ROE) increased from 13% in 2021 to 14% in 2022, showing that the business was getting more cash and that investors' cash was all around being spent. This shows that Sweets plc is improving and has more cash since purchasers got additional cash flow from their venture (Abed et al., 2022).</w:t>
      </w:r>
    </w:p>
    <w:p>
      <w:pPr>
        <w:pStyle w:val="Body"/>
      </w:pPr>
      <w:r>
        <w:rPr>
          <w:rtl w:val="0"/>
          <w:lang w:val="en-US"/>
        </w:rPr>
        <w:t>The way that Sweets plc's net profit margin remained something similar at 6% in 2021 and 2022 is more verification of how well the organisation handles its expenses. Despite the fact that the organisation got more cash flow, a major lump of that cash was transformed into an advantage. This showed how diligent and talented they were in exploring and attempting market factors (Carvalho and Almeida, 2022).</w:t>
      </w:r>
    </w:p>
    <w:p>
      <w:pPr>
        <w:pStyle w:val="Normal (Web)"/>
        <w:spacing w:before="120" w:after="120" w:line="360" w:lineRule="auto"/>
        <w:jc w:val="both"/>
        <w:rPr>
          <w:lang w:val="en-US"/>
        </w:rPr>
      </w:pPr>
      <w:r>
        <w:rPr>
          <w:rtl w:val="0"/>
          <w:lang w:val="en-US"/>
        </w:rPr>
        <w:t xml:space="preserve">Earnings per share, or EPS, is a ratio of an organisation's financial well-being. Earning per share for Sweets plc's investors worked on in 2022, ascending from </w:t>
      </w:r>
      <w:r>
        <w:rPr>
          <w:rtl w:val="0"/>
          <w:lang w:val="en-US"/>
        </w:rPr>
        <w:t>£</w:t>
      </w:r>
      <w:r>
        <w:rPr>
          <w:rtl w:val="0"/>
          <w:lang w:val="en-US"/>
        </w:rPr>
        <w:t xml:space="preserve">2.44 in 2021 to </w:t>
      </w:r>
      <w:r>
        <w:rPr>
          <w:rtl w:val="0"/>
          <w:lang w:val="en-US"/>
        </w:rPr>
        <w:t>£</w:t>
      </w:r>
      <w:r>
        <w:rPr>
          <w:rtl w:val="0"/>
          <w:lang w:val="en-US"/>
        </w:rPr>
        <w:t>2.87. This development might be owing to expanded profitability or a diminishing in the number of exceptional offers, yet it demonstrates that the organisation's net gain expanded at a quicker rate than its remarkable offers (Ferry and Slack, 2021).</w:t>
      </w:r>
    </w:p>
    <w:p>
      <w:pPr>
        <w:pStyle w:val="Normal (Web)"/>
        <w:spacing w:before="120" w:after="120" w:line="360" w:lineRule="auto"/>
        <w:jc w:val="both"/>
        <w:rPr>
          <w:lang w:val="en-US"/>
        </w:rPr>
      </w:pPr>
      <w:r>
        <w:rPr>
          <w:rtl w:val="0"/>
          <w:lang w:val="en-US"/>
        </w:rPr>
        <w:t>These benefit measurements show that Sweets plc is a strong financial player that focuses on returning money to financial backers and expanding investor esteem. The organisation's essential smart and functional flexibility was in plain view when it kept up with and expanded benefits despite a cutthroat market. This looks good for the organisation's future development and achievement (Hanlon, Yeung and Zuo, 2021).</w:t>
      </w:r>
    </w:p>
    <w:p>
      <w:pPr>
        <w:pStyle w:val="Normal (Web)"/>
        <w:spacing w:before="120" w:after="120" w:line="360" w:lineRule="auto"/>
        <w:jc w:val="both"/>
        <w:rPr>
          <w:b w:val="1"/>
          <w:bCs w:val="1"/>
          <w:lang w:val="en-US"/>
        </w:rPr>
      </w:pPr>
      <w:r>
        <w:rPr>
          <w:b w:val="1"/>
          <w:bCs w:val="1"/>
          <w:rtl w:val="0"/>
          <w:lang w:val="en-US"/>
        </w:rPr>
        <w:t>Liquidity:</w:t>
      </w:r>
    </w:p>
    <w:p>
      <w:pPr>
        <w:pStyle w:val="Normal (Web)"/>
        <w:spacing w:before="120" w:after="120" w:line="360" w:lineRule="auto"/>
        <w:jc w:val="both"/>
        <w:rPr>
          <w:lang w:val="en-US"/>
        </w:rPr>
      </w:pPr>
      <w:r>
        <w:rPr>
          <w:rtl w:val="0"/>
          <w:lang w:val="en-US"/>
        </w:rPr>
        <w:t>If a business is solvent and has adequate liquid assets, covering its bills both now and in the future ought to be possible.</w:t>
      </w:r>
    </w:p>
    <w:p>
      <w:pPr>
        <w:pStyle w:val="Normal (Web)"/>
        <w:spacing w:before="120" w:after="120" w:line="360" w:lineRule="auto"/>
        <w:jc w:val="both"/>
        <w:rPr>
          <w:lang w:val="en-US"/>
        </w:rPr>
      </w:pPr>
      <w:r>
        <w:rPr>
          <w:rtl w:val="0"/>
          <w:lang w:val="en-US"/>
        </w:rPr>
        <w:t>With a current ratio that expanded from 0.77 in 2021 to 0.92 in 2022, Sweets plc's liquidity went through a critical improvement. A higher capacity to settle short-term liabilities with current assets is recommended by this improvement. Creditors and investors ought to relax, realising the firm can deal with its short-term financial responsibilities because of the current ratio's ascent, which shows better liquidity management (Ergasheva, Turgunovna and Abrorovna, 2022).</w:t>
      </w:r>
    </w:p>
    <w:p>
      <w:pPr>
        <w:pStyle w:val="Normal (Web)"/>
        <w:spacing w:before="120" w:after="120" w:line="360" w:lineRule="auto"/>
        <w:jc w:val="both"/>
        <w:rPr>
          <w:b w:val="1"/>
          <w:bCs w:val="1"/>
          <w:lang w:val="en-US"/>
        </w:rPr>
      </w:pPr>
      <w:r>
        <w:rPr>
          <w:b w:val="1"/>
          <w:bCs w:val="1"/>
          <w:rtl w:val="0"/>
          <w:lang w:val="en-US"/>
        </w:rPr>
        <w:t>Solvency:</w:t>
      </w:r>
    </w:p>
    <w:p>
      <w:pPr>
        <w:pStyle w:val="Normal (Web)"/>
        <w:spacing w:before="120" w:after="120" w:line="360" w:lineRule="auto"/>
        <w:jc w:val="both"/>
        <w:rPr>
          <w:lang w:val="en-US"/>
        </w:rPr>
      </w:pPr>
      <w:r>
        <w:rPr>
          <w:rtl w:val="0"/>
          <w:lang w:val="en-US"/>
        </w:rPr>
        <w:t>Regardless of proceeding to depend vigorously on debt financing, Sweet's plc exhibited empowering patterns concerning solvency. In 2022, the equipping ratio dropped from 59% in 2021 to 57%, suggesting that the organisation's financial influence was marginally diminished and its solvency had reached the next level. Although the organisation's debt load is still high, the outfitting ratio has gone down, and that implies the capital construction is more adjusted and the financial gamble is lower. Notwithstanding, it is as yet defenceless against financial slumps (Comte et al., 2022).</w:t>
      </w:r>
    </w:p>
    <w:p>
      <w:pPr>
        <w:pStyle w:val="Normal (Web)"/>
        <w:spacing w:before="120" w:after="120" w:line="360" w:lineRule="auto"/>
        <w:jc w:val="both"/>
        <w:rPr>
          <w:lang w:val="en-US"/>
        </w:rPr>
      </w:pPr>
      <w:r>
        <w:rPr>
          <w:rtl w:val="0"/>
          <w:lang w:val="en-US"/>
        </w:rPr>
        <w:t>While Sweets plc's interest cover ratio was 3.86 times in 2021, it tumbled to 3.56 times in 2022, a little decline. The capacity of the partnership to meet its advantage costs with its working pay has diminished barely, as shown by this decay. The manager ought to watch out for the interest cover ratio, in any event, when it's presently fitting, to ensure the business can take care of its bills, particularly when financing costs are rising or the economy is unsound (Bragg, 2022).</w:t>
      </w:r>
    </w:p>
    <w:p>
      <w:pPr>
        <w:pStyle w:val="Normal (Web)"/>
        <w:spacing w:before="120" w:after="120" w:line="360" w:lineRule="auto"/>
        <w:jc w:val="both"/>
        <w:rPr>
          <w:lang w:val="en-US"/>
        </w:rPr>
      </w:pPr>
      <w:r>
        <w:rPr>
          <w:rtl w:val="0"/>
          <w:lang w:val="en-US"/>
        </w:rPr>
        <w:t>Signs of solvency and liquidity both improved for Sweets plc, showing what is going on and more cautious treatment of the organisation's assets. The firm might keep its funds stable and diminish its capital design by giving close consideration to its advantage cover ratio and keeping a decent blend of debt and value-supporting assets (Finkler, Calabrese and Ward, 2018).</w:t>
      </w:r>
    </w:p>
    <w:p>
      <w:pPr>
        <w:pStyle w:val="Normal (Web)"/>
        <w:spacing w:before="120" w:after="120" w:line="360" w:lineRule="auto"/>
        <w:jc w:val="both"/>
        <w:rPr>
          <w:b w:val="1"/>
          <w:bCs w:val="1"/>
          <w:lang w:val="en-US"/>
        </w:rPr>
      </w:pPr>
      <w:r>
        <w:rPr>
          <w:b w:val="1"/>
          <w:bCs w:val="1"/>
          <w:rtl w:val="0"/>
          <w:lang w:val="en-US"/>
        </w:rPr>
        <w:t>Efficiency:</w:t>
      </w:r>
    </w:p>
    <w:p>
      <w:pPr>
        <w:pStyle w:val="Normal (Web)"/>
        <w:spacing w:before="120" w:after="120" w:line="360" w:lineRule="auto"/>
        <w:jc w:val="both"/>
        <w:rPr>
          <w:lang w:val="en-US"/>
        </w:rPr>
      </w:pPr>
      <w:r>
        <w:rPr>
          <w:rtl w:val="0"/>
          <w:lang w:val="en-US"/>
        </w:rPr>
        <w:t>The proactive way to deal with asset usage and functional smoothing out shown by Sweets plc was highlighted by amazing efficiency increments across key functional KPIs. A significant ratio of compelling asset use, the asset turnover ratio, expanded decisively from 0.64 in 2021 to 0.69 in 2022. This increment shows that Sweets plc is vastly improved at transforming its assets into cash, which means better functional efficiency and more proficient utilisation of assets. The organisation's gifted initiative is likely to be credited with this improvement, which prompted a superior utilisation of assets, which thus expanded efficiency and drove income development (Macfarland and Ayars, 2018).</w:t>
      </w:r>
    </w:p>
    <w:p>
      <w:pPr>
        <w:pStyle w:val="Normal (Web)"/>
        <w:spacing w:before="120" w:after="120" w:line="360" w:lineRule="auto"/>
        <w:jc w:val="both"/>
        <w:rPr>
          <w:lang w:val="en-US"/>
        </w:rPr>
      </w:pPr>
      <w:r>
        <w:rPr>
          <w:rtl w:val="0"/>
          <w:lang w:val="en-US"/>
        </w:rPr>
        <w:t>Stock holding days expanded somewhat from 78 days in 2021 to 80 days in 2022, showing an unassuming drop in stock turnover efficiency, regardless of the general proficiency enhancements. Management gets an opportunity to reexamine stock control gauges and boost working capital usage, regardless of whether this increment could demonstrate issues with stock administration. Sweets plc can increase functional efficiency, income elements, and the effect of long stock holding periods by executing more grounded stock administration systems (Sheriff, 2023).</w:t>
      </w:r>
    </w:p>
    <w:p>
      <w:pPr>
        <w:pStyle w:val="Normal (Web)"/>
        <w:spacing w:before="120" w:after="120" w:line="360" w:lineRule="auto"/>
        <w:jc w:val="both"/>
        <w:rPr>
          <w:lang w:val="en-US"/>
        </w:rPr>
      </w:pPr>
      <w:r>
        <w:rPr>
          <w:rtl w:val="0"/>
          <w:lang w:val="en-US"/>
        </w:rPr>
        <w:t>An uplifting proof of improved effectiveness in overseeing receivables and quicker cash transformation is the way that the Debtor's Collection Period dropped fundamentally from 73 days in 2021 to 68 days in 2022. Quicker debtor payment collection and better liquidity management are the results of Sweets plc's fruitful endeavours to smooth out its receivables tasks, which are reflected in this drop (Schroeder, Clark and Cathey, 2022). This vertical pattern, further developed income execution, and expanded functional efficiency can be kept up with on the off chance that the firm finds ways to further develop its receivables management methods (Woulard, 2021).</w:t>
      </w:r>
    </w:p>
    <w:p>
      <w:pPr>
        <w:pStyle w:val="Normal (Web)"/>
        <w:spacing w:before="120" w:after="120" w:line="360" w:lineRule="auto"/>
        <w:jc w:val="both"/>
        <w:rPr>
          <w:lang w:val="en-US"/>
        </w:rPr>
      </w:pPr>
      <w:r>
        <w:rPr>
          <w:rtl w:val="0"/>
          <w:lang w:val="en-US"/>
        </w:rPr>
        <w:t>Sweets plc took extraordinary steps in further developing asset turnover and debt assortment, yet they ought to focus on further developing their stock administration techniques since there was a little expansion in stock holding days. Sweets plc may economically create, remain in front of the opposition, and work on generally speaking proficiency by utilising these data to proactively address functional failures (Sharma, 2023).</w:t>
      </w:r>
    </w:p>
    <w:p>
      <w:pPr>
        <w:pStyle w:val="Normal (Web)"/>
        <w:spacing w:before="120" w:after="120" w:line="360" w:lineRule="auto"/>
        <w:jc w:val="both"/>
        <w:rPr>
          <w:lang w:val="en-US"/>
        </w:rPr>
      </w:pPr>
      <w:r>
        <w:rPr>
          <w:rtl w:val="0"/>
          <w:lang w:val="en-US"/>
        </w:rPr>
        <w:t>Further developed profitability, liquidity, solvency, and efficiency estimates described Sweets plc's solid financial performance and position in 2022. To make a big difference in its development direction and decrease chances, the organisation should be keeping watch for significant financial markers (Ballada, 2019). Further advancement of functional effectiveness, reinforcing of liquidity savings, and wise administration of debt levels are strategies that the administration might seek to guarantee financial supportability over the long term (Dyckman, 2018).</w:t>
      </w:r>
    </w:p>
    <w:p>
      <w:pPr>
        <w:pStyle w:val="Heading"/>
      </w:pPr>
      <w:r>
        <w:rPr>
          <w:rtl w:val="0"/>
          <w:lang w:val="en-US"/>
        </w:rPr>
        <w:t>Conclusion</w:t>
      </w:r>
    </w:p>
    <w:p>
      <w:pPr>
        <w:pStyle w:val="Body"/>
      </w:pPr>
      <w:r>
        <w:rPr>
          <w:rtl w:val="0"/>
          <w:lang w:val="en-US"/>
        </w:rPr>
        <w:t>Sweets plc's financial analysis reveals its strengths, weaknesses, opportunities, and dangers. It also shows better ROCE, ROE, and net profit margin for the organisation. Asset turnover and debtor collection periods demonstrate resource management and operations. However, rising stock holdings necessitate inventory management improvements. Improved liquidity and solvency allow the company to handle long-term and short-term debt. Sweets plc has persevered and strategically planned for growth and profitability despite economic uncertainties. Future growth, risk mitigation, and value creation are promising. Sweets plc needs operational excellence, prudent financial management, and strategic innovation to succeed.</w:t>
      </w:r>
    </w:p>
    <w:p>
      <w:pPr>
        <w:pStyle w:val="Body"/>
        <w:rPr>
          <w:lang w:val="en-US"/>
        </w:rPr>
      </w:pPr>
    </w:p>
    <w:p>
      <w:pPr>
        <w:pStyle w:val="Body"/>
        <w:jc w:val="left"/>
      </w:pPr>
      <w:r>
        <w:rPr>
          <w:rFonts w:ascii="Arial Unicode MS" w:cs="Arial Unicode MS" w:hAnsi="Arial Unicode MS" w:eastAsia="Arial Unicode MS"/>
          <w:b w:val="0"/>
          <w:bCs w:val="0"/>
          <w:i w:val="0"/>
          <w:iCs w:val="0"/>
          <w:lang w:val="en-US"/>
        </w:rPr>
        <w:br w:type="page"/>
      </w:r>
    </w:p>
    <w:p>
      <w:pPr>
        <w:pStyle w:val="Heading"/>
      </w:pPr>
      <w:r>
        <w:rPr>
          <w:rtl w:val="0"/>
          <w:lang w:val="en-US"/>
        </w:rPr>
        <w:t>References</w:t>
      </w:r>
    </w:p>
    <w:p>
      <w:pPr>
        <w:pStyle w:val="Body"/>
      </w:pPr>
      <w:r>
        <w:rPr>
          <w:rtl w:val="0"/>
          <w:lang w:val="en-US"/>
        </w:rPr>
        <w:t xml:space="preserve">Abed, I.A. </w:t>
      </w:r>
      <w:r>
        <w:rPr>
          <w:i w:val="1"/>
          <w:iCs w:val="1"/>
          <w:rtl w:val="0"/>
          <w:lang w:val="en-US"/>
        </w:rPr>
        <w:t>et al.</w:t>
      </w:r>
      <w:r>
        <w:rPr>
          <w:rtl w:val="0"/>
          <w:lang w:val="en-US"/>
        </w:rPr>
        <w:t xml:space="preserve"> (2022) </w:t>
      </w:r>
      <w:r>
        <w:rPr>
          <w:rtl w:val="0"/>
          <w:lang w:val="en-US"/>
        </w:rPr>
        <w:t>‘</w:t>
      </w:r>
      <w:r>
        <w:rPr>
          <w:rtl w:val="0"/>
          <w:lang w:val="en-US"/>
        </w:rPr>
        <w:t>Creative Accounting Determinants and Financial Reporting Quality: Systematic Literature Review</w:t>
      </w:r>
      <w:r>
        <w:rPr>
          <w:rtl w:val="0"/>
          <w:lang w:val="en-US"/>
        </w:rPr>
        <w:t>’</w:t>
      </w:r>
      <w:r>
        <w:rPr>
          <w:rtl w:val="0"/>
          <w:lang w:val="en-US"/>
        </w:rPr>
        <w:t xml:space="preserve">, </w:t>
      </w:r>
      <w:r>
        <w:rPr>
          <w:i w:val="1"/>
          <w:iCs w:val="1"/>
          <w:rtl w:val="0"/>
          <w:lang w:val="en-US"/>
        </w:rPr>
        <w:t>Risks</w:t>
      </w:r>
      <w:r>
        <w:rPr>
          <w:rtl w:val="0"/>
          <w:lang w:val="en-US"/>
        </w:rPr>
        <w:t>, 10(4), p. 76. Available at: https://doi.org/10.3390/risks10040076.</w:t>
      </w:r>
    </w:p>
    <w:p>
      <w:pPr>
        <w:pStyle w:val="Body"/>
      </w:pPr>
      <w:r>
        <w:rPr>
          <w:rtl w:val="0"/>
          <w:lang w:val="en-US"/>
        </w:rPr>
        <w:t xml:space="preserve">Ballada, W. (2019) </w:t>
      </w:r>
      <w:r>
        <w:rPr>
          <w:i w:val="1"/>
          <w:iCs w:val="1"/>
          <w:rtl w:val="0"/>
          <w:lang w:val="en-US"/>
        </w:rPr>
        <w:t>Accounting Fundamentals</w:t>
      </w:r>
      <w:r>
        <w:rPr>
          <w:rtl w:val="0"/>
          <w:lang w:val="en-US"/>
        </w:rPr>
        <w:t xml:space="preserve">, </w:t>
      </w:r>
      <w:r>
        <w:rPr>
          <w:i w:val="1"/>
          <w:iCs w:val="1"/>
          <w:rtl w:val="0"/>
          <w:lang w:val="en-US"/>
        </w:rPr>
        <w:t>Google Books</w:t>
      </w:r>
      <w:r>
        <w:rPr>
          <w:rtl w:val="0"/>
          <w:lang w:val="en-US"/>
        </w:rPr>
        <w:t>. WIN Ballada and Susan Ballada. Available at: https://www.google.com/books/edition/Accounting_Fundamentals/vcjGxQEACAAJ?hl=en (Accessed: 13 April 2024).</w:t>
      </w:r>
    </w:p>
    <w:p>
      <w:pPr>
        <w:pStyle w:val="Body"/>
      </w:pPr>
      <w:r>
        <w:rPr>
          <w:rtl w:val="0"/>
          <w:lang w:val="en-US"/>
        </w:rPr>
        <w:t xml:space="preserve">Bragg, S.M. (2022) </w:t>
      </w:r>
      <w:r>
        <w:rPr>
          <w:i w:val="1"/>
          <w:iCs w:val="1"/>
          <w:rtl w:val="0"/>
          <w:lang w:val="en-US"/>
        </w:rPr>
        <w:t>Cost Accounting Fundamentals: Seventh Edition</w:t>
      </w:r>
      <w:r>
        <w:rPr>
          <w:rtl w:val="0"/>
          <w:lang w:val="en-US"/>
        </w:rPr>
        <w:t xml:space="preserve">, </w:t>
      </w:r>
      <w:r>
        <w:rPr>
          <w:i w:val="1"/>
          <w:iCs w:val="1"/>
          <w:rtl w:val="0"/>
          <w:lang w:val="en-US"/>
        </w:rPr>
        <w:t>Google Books</w:t>
      </w:r>
      <w:r>
        <w:rPr>
          <w:rtl w:val="0"/>
          <w:lang w:val="en-US"/>
        </w:rPr>
        <w:t>. Accounting Tools. Available at: https://www.google.com/books/edition/Cost_Accounting_Fundamentals/ttH2zgEACAAJ?hl=en (Accessed: 13 April 2024).</w:t>
      </w:r>
    </w:p>
    <w:p>
      <w:pPr>
        <w:pStyle w:val="Body"/>
      </w:pPr>
      <w:r>
        <w:rPr>
          <w:rtl w:val="0"/>
          <w:lang w:val="en-US"/>
        </w:rPr>
        <w:t xml:space="preserve">Carvalho, C. and Almeida, A.C. (2022) </w:t>
      </w:r>
      <w:r>
        <w:rPr>
          <w:rtl w:val="0"/>
          <w:lang w:val="en-US"/>
        </w:rPr>
        <w:t>‘</w:t>
      </w:r>
      <w:r>
        <w:rPr>
          <w:rtl w:val="0"/>
          <w:lang w:val="en-US"/>
        </w:rPr>
        <w:t>The Adequacy of Accounting Education in the Development of Transversal Skills Needed to Meet Market Demands</w:t>
      </w:r>
      <w:r>
        <w:rPr>
          <w:rtl w:val="0"/>
          <w:lang w:val="en-US"/>
        </w:rPr>
        <w:t>’</w:t>
      </w:r>
      <w:r>
        <w:rPr>
          <w:rtl w:val="0"/>
          <w:lang w:val="en-US"/>
        </w:rPr>
        <w:t xml:space="preserve">, </w:t>
      </w:r>
      <w:r>
        <w:rPr>
          <w:i w:val="1"/>
          <w:iCs w:val="1"/>
          <w:rtl w:val="0"/>
          <w:lang w:val="en-US"/>
        </w:rPr>
        <w:t>Sustainability</w:t>
      </w:r>
      <w:r>
        <w:rPr>
          <w:rtl w:val="0"/>
          <w:lang w:val="en-US"/>
        </w:rPr>
        <w:t>, 14(10), p. 5755. Available at: https://doi.org/10.3390/su14105755.</w:t>
      </w:r>
    </w:p>
    <w:p>
      <w:pPr>
        <w:pStyle w:val="Body"/>
      </w:pPr>
      <w:r>
        <w:rPr>
          <w:rtl w:val="0"/>
          <w:lang w:val="en-US"/>
        </w:rPr>
        <w:t xml:space="preserve">Chiappetta, B., Shaw, K.W. and Wild, J.J. (2017) </w:t>
      </w:r>
      <w:r>
        <w:rPr>
          <w:i w:val="1"/>
          <w:iCs w:val="1"/>
          <w:rtl w:val="0"/>
          <w:lang w:val="en-US"/>
        </w:rPr>
        <w:t>Financial Accounting Fundamentals</w:t>
      </w:r>
      <w:r>
        <w:rPr>
          <w:rtl w:val="0"/>
          <w:lang w:val="en-US"/>
        </w:rPr>
        <w:t xml:space="preserve">, </w:t>
      </w:r>
      <w:r>
        <w:rPr>
          <w:i w:val="1"/>
          <w:iCs w:val="1"/>
          <w:rtl w:val="0"/>
          <w:lang w:val="en-US"/>
        </w:rPr>
        <w:t>Google Books</w:t>
      </w:r>
      <w:r>
        <w:rPr>
          <w:rtl w:val="0"/>
          <w:lang w:val="en-US"/>
        </w:rPr>
        <w:t>. McGraw-Hill Education. Available at: https://www.google.com/books/edition/Financial_Accounting_Fundamentals/mcBgvgAACAAJ?hl=en.</w:t>
      </w:r>
    </w:p>
    <w:p>
      <w:pPr>
        <w:pStyle w:val="Body"/>
      </w:pPr>
      <w:r>
        <w:rPr>
          <w:rtl w:val="0"/>
          <w:lang w:val="en-US"/>
        </w:rPr>
        <w:t xml:space="preserve">Comte, A. </w:t>
      </w:r>
      <w:r>
        <w:rPr>
          <w:i w:val="1"/>
          <w:iCs w:val="1"/>
          <w:rtl w:val="0"/>
          <w:lang w:val="en-US"/>
        </w:rPr>
        <w:t>et al.</w:t>
      </w:r>
      <w:r>
        <w:rPr>
          <w:rtl w:val="0"/>
          <w:lang w:val="en-US"/>
        </w:rPr>
        <w:t xml:space="preserve"> (2022) </w:t>
      </w:r>
      <w:r>
        <w:rPr>
          <w:rtl w:val="0"/>
          <w:lang w:val="en-US"/>
        </w:rPr>
        <w:t>‘</w:t>
      </w:r>
      <w:r>
        <w:rPr>
          <w:rtl w:val="0"/>
          <w:lang w:val="en-US"/>
        </w:rPr>
        <w:t>Ecosystem accounting: Past scientific developments and future challenges</w:t>
      </w:r>
      <w:r>
        <w:rPr>
          <w:rtl w:val="0"/>
          <w:lang w:val="en-US"/>
        </w:rPr>
        <w:t>’</w:t>
      </w:r>
      <w:r>
        <w:rPr>
          <w:rtl w:val="0"/>
          <w:lang w:val="en-US"/>
        </w:rPr>
        <w:t xml:space="preserve">, </w:t>
      </w:r>
      <w:r>
        <w:rPr>
          <w:i w:val="1"/>
          <w:iCs w:val="1"/>
          <w:rtl w:val="0"/>
          <w:lang w:val="en-US"/>
        </w:rPr>
        <w:t>Ecosystem Services</w:t>
      </w:r>
      <w:r>
        <w:rPr>
          <w:rtl w:val="0"/>
          <w:lang w:val="en-US"/>
        </w:rPr>
        <w:t>, 58, p. 101486. Available at: https://doi.org/10.1016/j.ecoser.2022.101486.</w:t>
      </w:r>
    </w:p>
    <w:p>
      <w:pPr>
        <w:pStyle w:val="Body"/>
      </w:pPr>
      <w:r>
        <w:rPr>
          <w:rtl w:val="0"/>
          <w:lang w:val="en-US"/>
        </w:rPr>
        <w:t xml:space="preserve">Dyckman, P.W. (2018) </w:t>
      </w:r>
      <w:r>
        <w:rPr>
          <w:i w:val="1"/>
          <w:iCs w:val="1"/>
          <w:rtl w:val="0"/>
          <w:lang w:val="en-US"/>
        </w:rPr>
        <w:t>Financial Accounting Fundamentals: An Introduction to Financial Accounting for Students and Professionals</w:t>
      </w:r>
      <w:r>
        <w:rPr>
          <w:rtl w:val="0"/>
          <w:lang w:val="en-US"/>
        </w:rPr>
        <w:t xml:space="preserve">, </w:t>
      </w:r>
      <w:r>
        <w:rPr>
          <w:i w:val="1"/>
          <w:iCs w:val="1"/>
          <w:rtl w:val="0"/>
          <w:lang w:val="en-US"/>
        </w:rPr>
        <w:t>Google Books</w:t>
      </w:r>
      <w:r>
        <w:rPr>
          <w:rtl w:val="0"/>
          <w:lang w:val="en-US"/>
        </w:rPr>
        <w:t>. Amazon Digital Services LLC - KDP Print US. Available at: https://www.google.com/books/edition/Financial_Accounting_Fundamentals/hnwiwAEACAAJ?hl=en.</w:t>
      </w:r>
    </w:p>
    <w:p>
      <w:pPr>
        <w:pStyle w:val="Body"/>
      </w:pPr>
      <w:r>
        <w:rPr>
          <w:rtl w:val="0"/>
          <w:lang w:val="en-US"/>
        </w:rPr>
        <w:t xml:space="preserve">Ergasheva, S., Turgunovna and Abrorovna, M. (2022) </w:t>
      </w:r>
      <w:r>
        <w:rPr>
          <w:i w:val="1"/>
          <w:iCs w:val="1"/>
          <w:rtl w:val="0"/>
          <w:lang w:val="en-US"/>
        </w:rPr>
        <w:t>Accounting Policy of The Enterprise: Development and Amendments</w:t>
      </w:r>
      <w:r>
        <w:rPr>
          <w:rtl w:val="0"/>
          <w:lang w:val="en-US"/>
        </w:rPr>
        <w:t xml:space="preserve">, </w:t>
      </w:r>
      <w:r>
        <w:rPr>
          <w:i w:val="1"/>
          <w:iCs w:val="1"/>
          <w:rtl w:val="0"/>
          <w:lang w:val="en-US"/>
        </w:rPr>
        <w:t>Asian Journal of Technology &amp; Management Research (AJTMR)</w:t>
      </w:r>
      <w:r>
        <w:rPr>
          <w:rtl w:val="0"/>
          <w:lang w:val="en-US"/>
        </w:rPr>
        <w:t>. Available at: https://ajtmr.com/papers/Vol11Issue2/Vol11Iss2_P5.pdf.</w:t>
      </w:r>
    </w:p>
    <w:p>
      <w:pPr>
        <w:pStyle w:val="Body"/>
      </w:pPr>
      <w:r>
        <w:rPr>
          <w:rtl w:val="0"/>
          <w:lang w:val="en-US"/>
        </w:rPr>
        <w:t xml:space="preserve">Ferry, L. and Slack, R. (2021) </w:t>
      </w:r>
      <w:r>
        <w:rPr>
          <w:rtl w:val="0"/>
          <w:lang w:val="en-US"/>
        </w:rPr>
        <w:t>‘</w:t>
      </w:r>
      <w:r>
        <w:rPr>
          <w:rtl w:val="0"/>
          <w:lang w:val="en-US"/>
        </w:rPr>
        <w:t>(Counter) accounting for hybrid organising: a case of the Great Exhibition of the North</w:t>
      </w:r>
      <w:r>
        <w:rPr>
          <w:rtl w:val="0"/>
          <w:lang w:val="en-US"/>
        </w:rPr>
        <w:t>’</w:t>
      </w:r>
      <w:r>
        <w:rPr>
          <w:rtl w:val="0"/>
          <w:lang w:val="en-US"/>
        </w:rPr>
        <w:t xml:space="preserve">, </w:t>
      </w:r>
      <w:r>
        <w:rPr>
          <w:i w:val="1"/>
          <w:iCs w:val="1"/>
          <w:rtl w:val="0"/>
          <w:lang w:val="en-US"/>
        </w:rPr>
        <w:t>Accounting, Auditing &amp; Accountability Journal</w:t>
      </w:r>
      <w:r>
        <w:rPr>
          <w:rtl w:val="0"/>
          <w:lang w:val="en-US"/>
        </w:rPr>
        <w:t>, ahead-of-print(ahead-of-print). Available at: https://doi.org/10.1108/aaaj-12-2019-4303.</w:t>
      </w:r>
    </w:p>
    <w:p>
      <w:pPr>
        <w:pStyle w:val="Body"/>
      </w:pPr>
      <w:r>
        <w:rPr>
          <w:rtl w:val="0"/>
          <w:lang w:val="en-US"/>
        </w:rPr>
        <w:t xml:space="preserve">Finkler, Calabrese, T. and Ward, D.M. (2018) </w:t>
      </w:r>
      <w:r>
        <w:rPr>
          <w:i w:val="1"/>
          <w:iCs w:val="1"/>
          <w:rtl w:val="0"/>
          <w:lang w:val="en-US"/>
        </w:rPr>
        <w:t>Accounting Fundamentals for Health Care Management</w:t>
      </w:r>
      <w:r>
        <w:rPr>
          <w:rtl w:val="0"/>
          <w:lang w:val="en-US"/>
        </w:rPr>
        <w:t xml:space="preserve">, </w:t>
      </w:r>
      <w:r>
        <w:rPr>
          <w:i w:val="1"/>
          <w:iCs w:val="1"/>
          <w:rtl w:val="0"/>
          <w:lang w:val="en-US"/>
        </w:rPr>
        <w:t>Google Books</w:t>
      </w:r>
      <w:r>
        <w:rPr>
          <w:rtl w:val="0"/>
          <w:lang w:val="en-US"/>
        </w:rPr>
        <w:t>. Jones &amp; Bartlett Learning. Available at: https://www.google.com/books/edition/Accounting_Fundamentals_for_Health_Care/g1BLDwAAQBAJ?hl=en&amp;gbpv=1&amp;dq=Accounting+Fundamentals&amp;printsec=frontcover (Accessed: 13 April 2024).</w:t>
      </w:r>
    </w:p>
    <w:p>
      <w:pPr>
        <w:pStyle w:val="Body"/>
      </w:pPr>
      <w:r>
        <w:rPr>
          <w:rtl w:val="0"/>
          <w:lang w:val="en-US"/>
        </w:rPr>
        <w:t xml:space="preserve">Hanlon, M., Yeung, K. and Zuo, L. (2021) </w:t>
      </w:r>
      <w:r>
        <w:rPr>
          <w:rtl w:val="0"/>
          <w:lang w:val="en-US"/>
        </w:rPr>
        <w:t>‘</w:t>
      </w:r>
      <w:r>
        <w:rPr>
          <w:rtl w:val="0"/>
          <w:lang w:val="en-US"/>
        </w:rPr>
        <w:t>Behavioral Economics of Accounting: A Review of Archival Research on Individual Decision Makers</w:t>
      </w:r>
      <w:r>
        <w:rPr>
          <w:rtl w:val="0"/>
          <w:lang w:val="en-US"/>
        </w:rPr>
        <w:t>†’</w:t>
      </w:r>
      <w:r>
        <w:rPr>
          <w:rtl w:val="0"/>
          <w:lang w:val="en-US"/>
        </w:rPr>
        <w:t xml:space="preserve">, </w:t>
      </w:r>
      <w:r>
        <w:rPr>
          <w:i w:val="1"/>
          <w:iCs w:val="1"/>
          <w:rtl w:val="0"/>
          <w:lang w:val="en-US"/>
        </w:rPr>
        <w:t>Contemporary Accounting Research</w:t>
      </w:r>
      <w:r>
        <w:rPr>
          <w:rtl w:val="0"/>
          <w:lang w:val="en-US"/>
        </w:rPr>
        <w:t>, 39(2). Available at: https://doi.org/10.1111/1911-3846.12739.</w:t>
      </w:r>
    </w:p>
    <w:p>
      <w:pPr>
        <w:pStyle w:val="Body"/>
      </w:pPr>
      <w:r>
        <w:rPr>
          <w:rtl w:val="0"/>
          <w:lang w:val="en-US"/>
        </w:rPr>
        <w:t xml:space="preserve">Macfarland, G. a and Ayars, R.D. (2018) </w:t>
      </w:r>
      <w:r>
        <w:rPr>
          <w:i w:val="1"/>
          <w:iCs w:val="1"/>
          <w:rtl w:val="0"/>
          <w:lang w:val="en-US"/>
        </w:rPr>
        <w:t>Accounting Fundamentals</w:t>
      </w:r>
      <w:r>
        <w:rPr>
          <w:rtl w:val="0"/>
          <w:lang w:val="en-US"/>
        </w:rPr>
        <w:t xml:space="preserve">, </w:t>
      </w:r>
      <w:r>
        <w:rPr>
          <w:i w:val="1"/>
          <w:iCs w:val="1"/>
          <w:rtl w:val="0"/>
          <w:lang w:val="en-US"/>
        </w:rPr>
        <w:t>Google Books</w:t>
      </w:r>
      <w:r>
        <w:rPr>
          <w:rtl w:val="0"/>
          <w:lang w:val="en-US"/>
        </w:rPr>
        <w:t>. Creative Media Partners, LLC. Available at: https://www.google.com/books/edition/Accounting_Fundamentals/6TpPtwEACAAJ?hl=en.</w:t>
      </w:r>
    </w:p>
    <w:p>
      <w:pPr>
        <w:pStyle w:val="Body"/>
      </w:pPr>
      <w:r>
        <w:rPr>
          <w:rtl w:val="0"/>
          <w:lang w:val="en-US"/>
        </w:rPr>
        <w:t xml:space="preserve">Schroeder, R.G., Clark, M.W. and Cathey, J.M. (2022) </w:t>
      </w:r>
      <w:r>
        <w:rPr>
          <w:i w:val="1"/>
          <w:iCs w:val="1"/>
          <w:rtl w:val="0"/>
          <w:lang w:val="en-US"/>
        </w:rPr>
        <w:t>Financial Accounting Theory and Analysis: Text and Cases</w:t>
      </w:r>
      <w:r>
        <w:rPr>
          <w:rtl w:val="0"/>
          <w:lang w:val="en-US"/>
        </w:rPr>
        <w:t xml:space="preserve">, </w:t>
      </w:r>
      <w:r>
        <w:rPr>
          <w:i w:val="1"/>
          <w:iCs w:val="1"/>
          <w:rtl w:val="0"/>
          <w:lang w:val="en-US"/>
        </w:rPr>
        <w:t>Google Books</w:t>
      </w:r>
      <w:r>
        <w:rPr>
          <w:rtl w:val="0"/>
          <w:lang w:val="en-US"/>
        </w:rPr>
        <w:t>. John Wiley &amp; Sons. Available at: https://books.google.com/books?hl=en&amp;lr=&amp;id=8F6LEAAAQBAJ&amp;oi=fnd&amp;pg=PA2&amp;dq=accounting+fundamentals&amp;ots=DxNGAw8RFV&amp;sig=8EEUkp7vZfsMbhsgMAJO5rnbYJE&amp;redir_esc=y#v=onepage&amp;q=accounting%20fundamentals&amp;f=false (Accessed: 13 April 2024).</w:t>
      </w:r>
    </w:p>
    <w:p>
      <w:pPr>
        <w:pStyle w:val="Body"/>
      </w:pPr>
      <w:r>
        <w:rPr>
          <w:rtl w:val="0"/>
          <w:lang w:val="en-US"/>
        </w:rPr>
        <w:t xml:space="preserve">Sharma, S. (2023) </w:t>
      </w:r>
      <w:r>
        <w:rPr>
          <w:i w:val="1"/>
          <w:iCs w:val="1"/>
          <w:rtl w:val="0"/>
          <w:lang w:val="en-US"/>
        </w:rPr>
        <w:t>Accounting Fundamentals</w:t>
      </w:r>
      <w:r>
        <w:rPr>
          <w:rtl w:val="0"/>
          <w:lang w:val="en-US"/>
        </w:rPr>
        <w:t xml:space="preserve">, </w:t>
      </w:r>
      <w:r>
        <w:rPr>
          <w:i w:val="1"/>
          <w:iCs w:val="1"/>
          <w:rtl w:val="0"/>
          <w:lang w:val="en-US"/>
        </w:rPr>
        <w:t>Google Books</w:t>
      </w:r>
      <w:r>
        <w:rPr>
          <w:rtl w:val="0"/>
          <w:lang w:val="en-US"/>
        </w:rPr>
        <w:t>. Laxmi Publications Pvt. Limited. Available at: https://www.google.com/books/edition/Accounting_Fundamentals/H4wL0AEACAAJ?hl=en (Accessed: 13 April 2024).</w:t>
      </w:r>
    </w:p>
    <w:p>
      <w:pPr>
        <w:pStyle w:val="Body"/>
      </w:pPr>
      <w:r>
        <w:rPr>
          <w:rtl w:val="0"/>
          <w:lang w:val="en-US"/>
        </w:rPr>
        <w:t xml:space="preserve">Sheriff, S. (2023) </w:t>
      </w:r>
      <w:r>
        <w:rPr>
          <w:i w:val="1"/>
          <w:iCs w:val="1"/>
          <w:rtl w:val="0"/>
          <w:lang w:val="en-US"/>
        </w:rPr>
        <w:t>Accounting Fundamentals: A Non-Finance Manager</w:t>
      </w:r>
      <w:r>
        <w:rPr>
          <w:i w:val="1"/>
          <w:iCs w:val="1"/>
          <w:rtl w:val="0"/>
          <w:lang w:val="en-US"/>
        </w:rPr>
        <w:t>’</w:t>
      </w:r>
      <w:r>
        <w:rPr>
          <w:i w:val="1"/>
          <w:iCs w:val="1"/>
          <w:rtl w:val="0"/>
          <w:lang w:val="en-US"/>
        </w:rPr>
        <w:t>s Guide to Finance and Accounting</w:t>
      </w:r>
      <w:r>
        <w:rPr>
          <w:rtl w:val="0"/>
          <w:lang w:val="en-US"/>
        </w:rPr>
        <w:t xml:space="preserve">, </w:t>
      </w:r>
      <w:r>
        <w:rPr>
          <w:i w:val="1"/>
          <w:iCs w:val="1"/>
          <w:rtl w:val="0"/>
          <w:lang w:val="en-US"/>
        </w:rPr>
        <w:t>Google Books</w:t>
      </w:r>
      <w:r>
        <w:rPr>
          <w:rtl w:val="0"/>
          <w:lang w:val="en-US"/>
        </w:rPr>
        <w:t>. Amazon Digital Services LLC - Kdp. Available at: https://www.google.com/books/edition/Accounting_Fundamentals/UUwV0AEACAAJ?hl=en (Accessed: 13 April 2024).</w:t>
      </w:r>
    </w:p>
    <w:p>
      <w:pPr>
        <w:pStyle w:val="Body"/>
      </w:pPr>
      <w:r>
        <w:rPr>
          <w:rtl w:val="0"/>
          <w:lang w:val="en-US"/>
        </w:rPr>
        <w:t xml:space="preserve">Wild, J.J. (2022) </w:t>
      </w:r>
      <w:r>
        <w:rPr>
          <w:i w:val="1"/>
          <w:iCs w:val="1"/>
          <w:rtl w:val="0"/>
          <w:lang w:val="en-US"/>
        </w:rPr>
        <w:t>Financial Accounting Fundamentals</w:t>
      </w:r>
      <w:r>
        <w:rPr>
          <w:rtl w:val="0"/>
          <w:lang w:val="en-US"/>
        </w:rPr>
        <w:t xml:space="preserve">, </w:t>
      </w:r>
      <w:r>
        <w:rPr>
          <w:i w:val="1"/>
          <w:iCs w:val="1"/>
          <w:rtl w:val="0"/>
          <w:lang w:val="en-US"/>
        </w:rPr>
        <w:t>Google Books</w:t>
      </w:r>
      <w:r>
        <w:rPr>
          <w:rtl w:val="0"/>
          <w:lang w:val="en-US"/>
        </w:rPr>
        <w:t>. McGraw Hill LLC. Available at: https://www.google.com/books/edition/Financial_Accounting_Fundamentals/HzPczwEACAAJ?hl=en (Accessed: 13 April 2024).</w:t>
      </w:r>
    </w:p>
    <w:p>
      <w:pPr>
        <w:pStyle w:val="Body"/>
      </w:pPr>
      <w:r>
        <w:rPr>
          <w:rtl w:val="0"/>
          <w:lang w:val="en-US"/>
        </w:rPr>
        <w:t xml:space="preserve">Woulard, M. (2021) </w:t>
      </w:r>
      <w:r>
        <w:rPr>
          <w:i w:val="1"/>
          <w:iCs w:val="1"/>
          <w:rtl w:val="0"/>
          <w:lang w:val="en-US"/>
        </w:rPr>
        <w:t>Accounting Fundamentals: a Guide to Learning the Basics of Error Correction and Suspense Account: How to Use Suspense Account in Accounting</w:t>
      </w:r>
      <w:r>
        <w:rPr>
          <w:rtl w:val="0"/>
          <w:lang w:val="en-US"/>
        </w:rPr>
        <w:t xml:space="preserve">, </w:t>
      </w:r>
      <w:r>
        <w:rPr>
          <w:i w:val="1"/>
          <w:iCs w:val="1"/>
          <w:rtl w:val="0"/>
          <w:lang w:val="en-US"/>
        </w:rPr>
        <w:t>Google Books</w:t>
      </w:r>
      <w:r>
        <w:rPr>
          <w:rtl w:val="0"/>
          <w:lang w:val="en-US"/>
        </w:rPr>
        <w:t>. Independently Published. Available at: https://www.google.com/books/edition/Accounting_Fundamentals_a_Guide_to_Learn/ByuszgEACAAJ?hl=en (Accessed: 13 April 2024).</w:t>
      </w:r>
      <w:r/>
    </w:p>
    <w:sectPr>
      <w:headerReference w:type="default" r:id="rId6"/>
      <w:footerReference w:type="default" r:id="rId7"/>
      <w:pgSz w:w="11900" w:h="16840" w:orient="portrait"/>
      <w:pgMar w:top="1440" w:right="1440" w:bottom="1440" w:left="1440" w:header="720" w:footer="720"/>
      <w:bidi w:val="0"/>
    </w:sectPr>
  </w:body>
</w:document>
</file>

<file path=word/fontTable.xml><?xml version="1.0" encoding="utf-8"?>
<w:fonts xmlns:w="http://schemas.openxmlformats.org/wordprocessingml/2006/main">
  <w:font w:name="Times New Roman">
    <w:charset w:val="00"/>
    <w:family w:val="roman"/>
    <w:pitch w:val="variable"/>
  </w:font>
  <w:font w:name="Symbol">
    <w:charset w:val="02"/>
    <w:family w:val="roman"/>
    <w:pitch w:val="variable"/>
  </w:font>
  <w:font w:name="Arial">
    <w:charset w:val="00"/>
    <w:family w:val="swiss"/>
    <w:pitch w:val="variable"/>
  </w:font>
  <w:font w:name="Arial Unicode MS">
    <w:charset w:val="00"/>
    <w:family w:val="roman"/>
    <w:pitch w:val="default"/>
  </w:font>
  <w:font w:name="Helvetica Neue">
    <w:charset w:val="00"/>
    <w:family w:val="roman"/>
    <w:pitch w:val="default"/>
  </w:font>
  <w:font w:name="Calibri">
    <w:charset w:val="00"/>
    <w:family w:val="roman"/>
    <w:pitch w:val="default"/>
  </w:font>
</w:fonts>
</file>

<file path=word/footer1.xml><?xml version="1.0" encoding="utf-8"?>
<w:ft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footer"/>
      <w:tabs>
        <w:tab w:val="right" w:pos="9000"/>
        <w:tab w:val="clear" w:pos="9360"/>
      </w:tabs>
      <w:jc w:val="right"/>
    </w:pPr>
    <w:r>
      <w:rPr>
        <w:rtl w:val="0"/>
      </w:rPr>
      <w:fldChar w:fldCharType="begin" w:fldLock="0"/>
    </w:r>
    <w:r>
      <w:rPr>
        <w:rtl w:val="0"/>
      </w:rPr>
      <w:instrText xml:space="preserve"> PAGE </w:instrText>
    </w:r>
    <w:r>
      <w:rPr>
        <w:rtl w:val="0"/>
      </w:rPr>
      <w:fldChar w:fldCharType="separate" w:fldLock="0"/>
    </w:r>
    <w:r>
      <w:rPr>
        <w:rtl w:val="0"/>
      </w:rPr>
    </w:r>
    <w:r>
      <w:rPr>
        <w:rtl w:val="0"/>
      </w:rPr>
      <w:fldChar w:fldCharType="end" w:fldLock="0"/>
    </w:r>
    <w:r/>
  </w:p>
</w:ftr>
</file>

<file path=word/header1.xml><?xml version="1.0" encoding="utf-8"?>
<w:hdr xmlns:r="http://schemas.openxmlformats.org/officeDocument/2006/relationships" xmlns:wp="http://schemas.openxmlformats.org/drawingml/2006/wordprocessingDrawing" xmlns:w="http://schemas.openxmlformats.org/wordprocessingml/2006/main" xmlns:w10="urn:schemas-microsoft-com:office:word" xmlns:w14="http://schemas.microsoft.com/office/word/2010/wordml" xmlns:wps="http://schemas.microsoft.com/office/word/2010/wordprocessingShape" xmlns:wpg="http://schemas.microsoft.com/office/word/2010/wordprocessingGroup" xmlns:mc="http://schemas.openxmlformats.org/markup-compatibility/2006" xmlns:v="urn:schemas-microsoft-com:vml" xmlns:o="urn:schemas-microsoft-com:office:office" xmlns:m="http://schemas.openxmlformats.org/officeDocument/2006/math" mc:Ignorable="w14">
  <w:p>
    <w:pPr>
      <w:pStyle w:val="Header &amp; Footer"/>
      <w:bidi w:val="0"/>
    </w:pPr>
    <w:r/>
  </w:p>
</w:hdr>
</file>

<file path=word/numbering.xml><?xml version="1.0" encoding="utf-8"?>
<w:numbering xmlns:w="http://schemas.openxmlformats.org/wordprocessingml/2006/main" xmlns:wp="http://schemas.openxmlformats.org/drawingml/2006/wordprocessingDrawing" xmlns:w14="http://schemas.microsoft.com/office/word/2010/wordml" xmlns:r="http://schemas.openxmlformats.org/officeDocument/2006/relationships" xmlns:v="urn:schemas-microsoft-com:vml" xmlns:o="urn:schemas-microsoft-com:office:office">
  <w:abstractNum w:abstractNumId="0">
    <w:multiLevelType w:val="hybridMultilevel"/>
    <w:numStyleLink w:val="Imported Style 1"/>
  </w:abstractNum>
  <w:abstractNum w:abstractNumId="1">
    <w:multiLevelType w:val="hybridMultilevel"/>
    <w:styleLink w:val="Imported Style 1"/>
    <w:lvl w:ilvl="0">
      <w:start w:val="1"/>
      <w:numFmt w:val="decimal"/>
      <w:suff w:val="tab"/>
      <w:lvlText w:val="%1."/>
      <w:lvlJc w:val="left"/>
      <w:pPr>
        <w:tabs>
          <w:tab w:val="left" w:pos="720"/>
        </w:tabs>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 w:ilvl="1">
      <w:start w:val="1"/>
      <w:numFmt w:val="decimal"/>
      <w:suff w:val="tab"/>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 w:ilvl="2">
      <w:start w:val="1"/>
      <w:numFmt w:val="decimal"/>
      <w:suff w:val="tab"/>
      <w:lvlText w:val="%3."/>
      <w:lvlJc w:val="left"/>
      <w:pPr>
        <w:tabs>
          <w:tab w:val="left" w:pos="360"/>
          <w:tab w:val="left" w:pos="720"/>
        </w:tabs>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 w:ilvl="3">
      <w:start w:val="1"/>
      <w:numFmt w:val="decimal"/>
      <w:suff w:val="tab"/>
      <w:lvlText w:val="%4."/>
      <w:lvlJc w:val="left"/>
      <w:pPr>
        <w:tabs>
          <w:tab w:val="left" w:pos="360"/>
          <w:tab w:val="left" w:pos="720"/>
        </w:tabs>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 w:ilvl="4">
      <w:start w:val="1"/>
      <w:numFmt w:val="decimal"/>
      <w:suff w:val="tab"/>
      <w:lvlText w:val="%5."/>
      <w:lvlJc w:val="left"/>
      <w:pPr>
        <w:tabs>
          <w:tab w:val="left" w:pos="360"/>
          <w:tab w:val="left" w:pos="720"/>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 w:ilvl="5">
      <w:start w:val="1"/>
      <w:numFmt w:val="decimal"/>
      <w:suff w:val="tab"/>
      <w:lvlText w:val="%6."/>
      <w:lvlJc w:val="left"/>
      <w:pPr>
        <w:tabs>
          <w:tab w:val="left" w:pos="360"/>
          <w:tab w:val="left" w:pos="720"/>
        </w:tabs>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 w:ilvl="6">
      <w:start w:val="1"/>
      <w:numFmt w:val="decimal"/>
      <w:suff w:val="tab"/>
      <w:lvlText w:val="%7."/>
      <w:lvlJc w:val="left"/>
      <w:pPr>
        <w:tabs>
          <w:tab w:val="left" w:pos="360"/>
          <w:tab w:val="left" w:pos="720"/>
        </w:tabs>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 w:ilvl="7">
      <w:start w:val="1"/>
      <w:numFmt w:val="decimal"/>
      <w:suff w:val="tab"/>
      <w:lvlText w:val="%8."/>
      <w:lvlJc w:val="left"/>
      <w:pPr>
        <w:tabs>
          <w:tab w:val="left" w:pos="360"/>
          <w:tab w:val="left" w:pos="720"/>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 w:ilvl="8">
      <w:start w:val="1"/>
      <w:numFmt w:val="decimal"/>
      <w:suff w:val="tab"/>
      <w:lvlText w:val="%9."/>
      <w:lvlJc w:val="left"/>
      <w:pPr>
        <w:tabs>
          <w:tab w:val="left" w:pos="360"/>
          <w:tab w:val="left" w:pos="720"/>
        </w:tabs>
        <w:ind w:left="5760" w:hanging="720"/>
      </w:pPr>
      <w:rPr>
        <w:rFonts w:hAnsi="Arial Unicode MS"/>
        <w:caps w:val="0"/>
        <w:smallCaps w:val="0"/>
        <w:strike w:val="0"/>
        <w:dstrike w:val="0"/>
        <w:outline w:val="0"/>
        <w:emboss w:val="0"/>
        <w:imprint w:val="0"/>
        <w:spacing w:val="0"/>
        <w:w w:val="100"/>
        <w:kern w:val="0"/>
        <w:position w:val="0"/>
        <w:highlight w:val="none"/>
        <w:vertAlign w:val="baseline"/>
      </w:rPr>
    </w:lvl>
  </w:abstractNum>
  <w:num w:numId="1">
    <w:abstractNumId w:val="1"/>
  </w:num>
  <w:num w:numId="2">
    <w:abstractNumId w:val="0"/>
  </w:num>
  <w:num w:numId="3">
    <w:abstractNumId w:val="0"/>
    <w:lvlOverride w:ilvl="0">
      <w:lvl w:ilvl="0">
        <w:start w:val="1"/>
        <w:numFmt w:val="decimal"/>
        <w:suff w:val="tab"/>
        <w:lvlText w:val="%1."/>
        <w:lvlJc w:val="left"/>
        <w:pPr>
          <w:ind w:left="360" w:hanging="36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1">
      <w:lvl w:ilvl="1">
        <w:start w:val="1"/>
        <w:numFmt w:val="decimal"/>
        <w:suff w:val="tab"/>
        <w:lvlText w:val="%2."/>
        <w:lvlJc w:val="left"/>
        <w:pPr>
          <w:ind w:left="7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2">
      <w:lvl w:ilvl="2">
        <w:start w:val="1"/>
        <w:numFmt w:val="decimal"/>
        <w:suff w:val="tab"/>
        <w:lvlText w:val="%3."/>
        <w:lvlJc w:val="left"/>
        <w:pPr>
          <w:tabs>
            <w:tab w:val="left" w:pos="360"/>
          </w:tabs>
          <w:ind w:left="14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3">
      <w:lvl w:ilvl="3">
        <w:start w:val="1"/>
        <w:numFmt w:val="decimal"/>
        <w:suff w:val="tab"/>
        <w:lvlText w:val="%4."/>
        <w:lvlJc w:val="left"/>
        <w:pPr>
          <w:tabs>
            <w:tab w:val="left" w:pos="360"/>
          </w:tabs>
          <w:ind w:left="216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4">
      <w:lvl w:ilvl="4">
        <w:start w:val="1"/>
        <w:numFmt w:val="decimal"/>
        <w:suff w:val="tab"/>
        <w:lvlText w:val="%5."/>
        <w:lvlJc w:val="left"/>
        <w:pPr>
          <w:tabs>
            <w:tab w:val="left" w:pos="360"/>
          </w:tabs>
          <w:ind w:left="288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5">
      <w:lvl w:ilvl="5">
        <w:start w:val="1"/>
        <w:numFmt w:val="decimal"/>
        <w:suff w:val="tab"/>
        <w:lvlText w:val="%6."/>
        <w:lvlJc w:val="left"/>
        <w:pPr>
          <w:tabs>
            <w:tab w:val="left" w:pos="360"/>
          </w:tabs>
          <w:ind w:left="360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6">
      <w:lvl w:ilvl="6">
        <w:start w:val="1"/>
        <w:numFmt w:val="decimal"/>
        <w:suff w:val="tab"/>
        <w:lvlText w:val="%7."/>
        <w:lvlJc w:val="left"/>
        <w:pPr>
          <w:tabs>
            <w:tab w:val="left" w:pos="360"/>
          </w:tabs>
          <w:ind w:left="432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7">
      <w:lvl w:ilvl="7">
        <w:start w:val="1"/>
        <w:numFmt w:val="decimal"/>
        <w:suff w:val="tab"/>
        <w:lvlText w:val="%8."/>
        <w:lvlJc w:val="left"/>
        <w:pPr>
          <w:tabs>
            <w:tab w:val="left" w:pos="360"/>
          </w:tabs>
          <w:ind w:left="5040" w:hanging="720"/>
        </w:pPr>
        <w:rPr>
          <w:rFonts w:hAnsi="Arial Unicode MS"/>
          <w:caps w:val="0"/>
          <w:smallCaps w:val="0"/>
          <w:strike w:val="0"/>
          <w:dstrike w:val="0"/>
          <w:outline w:val="0"/>
          <w:emboss w:val="0"/>
          <w:imprint w:val="0"/>
          <w:spacing w:val="0"/>
          <w:w w:val="100"/>
          <w:kern w:val="0"/>
          <w:position w:val="0"/>
          <w:highlight w:val="none"/>
          <w:vertAlign w:val="baseline"/>
        </w:rPr>
      </w:lvl>
    </w:lvlOverride>
    <w:lvlOverride w:ilvl="8">
      <w:lvl w:ilvl="8">
        <w:start w:val="1"/>
        <w:numFmt w:val="decimal"/>
        <w:suff w:val="tab"/>
        <w:lvlText w:val="%9."/>
        <w:lvlJc w:val="left"/>
        <w:pPr>
          <w:tabs>
            <w:tab w:val="left" w:pos="360"/>
          </w:tabs>
          <w:ind w:left="5760" w:hanging="720"/>
        </w:pPr>
        <w:rPr>
          <w:rFonts w:hAnsi="Arial Unicode MS"/>
          <w:caps w:val="0"/>
          <w:smallCaps w:val="0"/>
          <w:strike w:val="0"/>
          <w:dstrike w:val="0"/>
          <w:outline w:val="0"/>
          <w:emboss w:val="0"/>
          <w:imprint w:val="0"/>
          <w:spacing w:val="0"/>
          <w:w w:val="100"/>
          <w:kern w:val="0"/>
          <w:position w:val="0"/>
          <w:highlight w:val="none"/>
          <w:vertAlign w:val="baseline"/>
        </w:rPr>
      </w:lvl>
    </w:lvlOverride>
  </w:num>
</w:numbering>
</file>

<file path=word/settings.xml><?xml version="1.0" encoding="utf-8"?>
<w:settings xmlns:mc="http://schemas.openxmlformats.org/markup-compatibility/2006" xmlns:o="urn:schemas-microsoft-com:office:office" xmlns:v="urn:schemas-microsoft-com:vml" xmlns:w="http://schemas.openxmlformats.org/wordprocessingml/2006/main">
  <w:view w:val="print"/>
  <w:mirrorMargins w:val="0"/>
  <w:bordersDoNotSurroundHeader w:val="0"/>
  <w:bordersDoNotSurroundFooter w:val="0"/>
  <w:displayBackgroundShape/>
  <w:revisionView w:markup="1" w:comments="1" w:insDel="1" w:formatting="0"/>
  <w:defaultTabStop w:val="720"/>
  <w:autoHyphenation w:val="0"/>
  <w:evenAndOddHeaders w:val="0"/>
  <w:bookFoldPrinting w:val="0"/>
  <w:noLineBreaksAfter w:lang="English" w:val="‘“(〔[{〈《「『【⦅〘〖«〝︵︷︹︻︽︿﹁﹃﹇﹙﹛﹝｢"/>
  <w:noLineBreaksBefore w:lang="English" w:val="’”)〕]}〉"/>
  <w:compat>
    <w:compatSetting w:name="compatibilityMode" w:uri="http://schemas.microsoft.com/office/word" w:val="15"/>
  </w:compat>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w="http://schemas.openxmlformats.org/wordprocessingml/2006/main" xmlns:mc="http://schemas.openxmlformats.org/markup-compatibility/2006" xmlns:w14="http://schemas.microsoft.com/office/word/2010/wordml" mc:Ignorable="w14">
  <w:docDefaults>
    <w:rPrDefault>
      <w:rPr>
        <w:rFonts w:ascii="Times New Roman" w:cs="Times New Roman" w:hAnsi="Times New Roman" w:eastAsia="Arial Unicode MS"/>
        <w:b w:val="0"/>
        <w:bCs w:val="0"/>
        <w:i w:val="0"/>
        <w:iCs w:val="0"/>
        <w:caps w:val="0"/>
        <w:smallCaps w:val="0"/>
        <w:strike w:val="0"/>
        <w:dstrike w:val="0"/>
        <w:outline w:val="0"/>
        <w:emboss w:val="0"/>
        <w:imprint w:val="0"/>
        <w:vanish w:val="0"/>
        <w:color w:val="auto"/>
        <w:spacing w:val="0"/>
        <w:w w:val="100"/>
        <w:kern w:val="0"/>
        <w:position w:val="0"/>
        <w:sz w:val="20"/>
        <w:szCs w:val="20"/>
        <w:u w:val="none" w:color="auto"/>
        <w:bdr w:val="nil"/>
        <w:vertAlign w:val="baseline"/>
        <w:lang/>
      </w:rPr>
    </w:rPrDefault>
    <w:pPrDefault>
      <w:pPr>
        <w:keepNext w:val="0"/>
        <w:keepLines w:val="0"/>
        <w:pageBreakBefore w:val="0"/>
        <w:framePr w:anchorLock="0" w:w="0" w:h="0" w:vSpace="0" w:hSpace="0" w:xAlign="left" w:y="0" w:hRule="exact" w:vAnchor="margin"/>
        <w:widowControl w:val="1"/>
        <w:numPr>
          <w:ilvl w:val="0"/>
          <w:numId w:val="0"/>
        </w:numPr>
        <w:suppressLineNumbers w:val="0"/>
        <w:pBdr>
          <w:top w:val="nil"/>
          <w:left w:val="nil"/>
          <w:bottom w:val="nil"/>
          <w:right w:val="nil"/>
          <w:between w:val="nil"/>
          <w:bar w:val="nil"/>
        </w:pBdr>
        <w:shd w:val="clear" w:color="auto" w:fill="auto"/>
        <w:suppressAutoHyphens w:val="0"/>
        <w:spacing w:before="0" w:beforeAutospacing="0" w:after="0" w:afterAutospacing="0" w:line="240" w:lineRule="auto"/>
        <w:ind w:left="0" w:right="0" w:firstLine="0"/>
        <w:jc w:val="left"/>
        <w:outlineLvl w:val="9"/>
      </w:pPr>
    </w:pPrDefault>
  </w:docDefaults>
  <w:style w:type="paragraph" w:default="1" w:styleId="Normal">
    <w:name w:val="Normal"/>
    <w:next w:val="Normal"/>
    <w:pPr/>
    <w:rPr>
      <w:sz w:val="24"/>
      <w:szCs w:val="24"/>
      <w:lang w:val="en-US" w:eastAsia="en-US" w:bidi="ar-SA"/>
    </w:rPr>
  </w:style>
  <w:style w:type="character" w:default="1" w:styleId="Default Paragraph Font">
    <w:name w:val="Default Paragraph Font"/>
    <w:next w:val="Default Paragraph Font"/>
  </w:style>
  <w:style w:type="character" w:styleId="Hyperlink">
    <w:name w:val="Hyperlink"/>
    <w:rPr>
      <w:u w:val="single"/>
    </w:rPr>
  </w:style>
  <w:style w:type="table" w:default="1" w:styleId="Table Normal">
    <w:name w:val="Table Normal"/>
    <w:next w:val="Table Normal"/>
    <w:pPr/>
    <w:tblPr>
      <w:tblInd w:w="0" w:type="dxa"/>
    </w:tblPr>
    <w:trPr/>
    <w:tcPr/>
    <w:tblStylePr w:type="firstRow"/>
    <w:tblStylePr w:type="lastRow"/>
    <w:tblStylePr w:type="firstCol"/>
    <w:tblStylePr w:type="lastCol"/>
    <w:tblStylePr w:type="band1Vert"/>
    <w:tblStylePr w:type="band2Vert"/>
    <w:tblStylePr w:type="band1Horz"/>
    <w:tblStylePr w:type="band2Horz"/>
    <w:tblStylePr w:type="neCell"/>
    <w:tblStylePr w:type="nwCell"/>
    <w:tblStylePr w:type="seCell"/>
    <w:tblStylePr w:type="swCell"/>
  </w:style>
  <w:style w:type="numbering" w:default="1" w:styleId="No List">
    <w:name w:val="No List"/>
    <w:next w:val="No List"/>
    <w:pPr/>
  </w:style>
  <w:style w:type="paragraph" w:styleId="Header &amp; Footer">
    <w:name w:val="Header &amp; Footer"/>
    <w:next w:val="Header &amp; Footer"/>
    <w:pPr>
      <w:keepNext w:val="0"/>
      <w:keepLines w:val="0"/>
      <w:pageBreakBefore w:val="0"/>
      <w:widowControl w:val="1"/>
      <w:shd w:val="clear" w:color="auto" w:fill="auto"/>
      <w:tabs>
        <w:tab w:val="right" w:pos="9020"/>
      </w:tabs>
      <w:suppressAutoHyphens w:val="0"/>
      <w:bidi w:val="0"/>
      <w:spacing w:before="0" w:after="0" w:line="240" w:lineRule="auto"/>
      <w:ind w:left="0" w:right="0" w:firstLine="0"/>
      <w:jc w:val="left"/>
      <w:outlineLvl w:val="9"/>
    </w:pPr>
    <w:rPr>
      <w:rFonts w:ascii="Helvetica Neue" w:cs="Arial Unicode MS" w:hAnsi="Helvetica Neue" w:eastAsia="Arial Unicode MS"/>
      <w:b w:val="0"/>
      <w:bCs w:val="0"/>
      <w:i w:val="0"/>
      <w:iCs w:val="0"/>
      <w:caps w:val="0"/>
      <w:smallCaps w:val="0"/>
      <w:strike w:val="0"/>
      <w:dstrike w:val="0"/>
      <w:outline w:val="0"/>
      <w:color w:val="000000"/>
      <w:spacing w:val="0"/>
      <w:kern w:val="0"/>
      <w:position w:val="0"/>
      <w:sz w:val="24"/>
      <w:szCs w:val="24"/>
      <w:u w:val="none"/>
      <w:vertAlign w:val="baseline"/>
      <w14:textOutline>
        <w14:noFill/>
      </w14:textOutline>
      <w14:textFill>
        <w14:solidFill>
          <w14:srgbClr w14:val="000000"/>
        </w14:solidFill>
      </w14:textFill>
    </w:rPr>
  </w:style>
  <w:style w:type="paragraph" w:styleId="footer">
    <w:name w:val="footer"/>
    <w:next w:val="footer"/>
    <w:pPr>
      <w:keepNext w:val="0"/>
      <w:keepLines w:val="0"/>
      <w:pageBreakBefore w:val="0"/>
      <w:widowControl w:val="1"/>
      <w:shd w:val="clear" w:color="auto" w:fill="auto"/>
      <w:tabs>
        <w:tab w:val="center" w:pos="4680"/>
        <w:tab w:val="right" w:pos="9360"/>
      </w:tabs>
      <w:suppressAutoHyphens w:val="0"/>
      <w:bidi w:val="0"/>
      <w:spacing w:before="0" w:after="0" w:line="24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 w:type="paragraph" w:styleId="Body">
    <w:name w:val="Body"/>
    <w:next w:val="Body"/>
    <w:pPr>
      <w:keepNext w:val="0"/>
      <w:keepLines w:val="0"/>
      <w:pageBreakBefore w:val="0"/>
      <w:widowControl w:val="1"/>
      <w:shd w:val="clear" w:color="auto" w:fill="auto"/>
      <w:suppressAutoHyphens w:val="0"/>
      <w:bidi w:val="0"/>
      <w:spacing w:before="120" w:after="120" w:line="360" w:lineRule="auto"/>
      <w:ind w:left="0" w:right="0" w:firstLine="0"/>
      <w:jc w:val="both"/>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14:textOutline>
        <w14:noFill/>
      </w14:textOutline>
      <w14:textFill>
        <w14:solidFill>
          <w14:srgbClr w14:val="000000"/>
        </w14:solidFill>
      </w14:textFill>
    </w:rPr>
  </w:style>
  <w:style w:type="paragraph" w:styleId="Default">
    <w:name w:val="Default"/>
    <w:next w:val="Default"/>
    <w:pPr>
      <w:keepNext w:val="0"/>
      <w:keepLines w:val="0"/>
      <w:pageBreakBefore w:val="0"/>
      <w:widowControl w:val="1"/>
      <w:shd w:val="clear" w:color="auto" w:fill="auto"/>
      <w:suppressAutoHyphens w:val="0"/>
      <w:bidi w:val="0"/>
      <w:spacing w:before="0" w:after="0" w:line="240" w:lineRule="auto"/>
      <w:ind w:left="0" w:right="0" w:firstLine="0"/>
      <w:jc w:val="left"/>
      <w:outlineLvl w:val="9"/>
    </w:pPr>
    <w:rPr>
      <w:rFonts w:ascii="Helvetica Neue" w:cs="Helvetica Neue" w:hAnsi="Helvetica Neue" w:eastAsia="Helvetica Neue"/>
      <w:b w:val="0"/>
      <w:bCs w:val="0"/>
      <w:i w:val="0"/>
      <w:iCs w:val="0"/>
      <w:caps w:val="0"/>
      <w:smallCaps w:val="0"/>
      <w:strike w:val="0"/>
      <w:dstrike w:val="0"/>
      <w:outline w:val="0"/>
      <w:color w:val="000000"/>
      <w:spacing w:val="0"/>
      <w:kern w:val="0"/>
      <w:position w:val="0"/>
      <w:sz w:val="22"/>
      <w:szCs w:val="22"/>
      <w:u w:val="none"/>
      <w:vertAlign w:val="baseline"/>
      <w14:textOutline>
        <w14:noFill/>
      </w14:textOutline>
      <w14:textFill>
        <w14:solidFill>
          <w14:srgbClr w14:val="000000"/>
        </w14:solidFill>
      </w14:textFill>
    </w:rPr>
  </w:style>
  <w:style w:type="paragraph" w:styleId="Heading">
    <w:name w:val="Heading"/>
    <w:next w:val="Body"/>
    <w:pPr>
      <w:keepNext w:val="1"/>
      <w:keepLines w:val="1"/>
      <w:pageBreakBefore w:val="0"/>
      <w:widowControl w:val="1"/>
      <w:shd w:val="clear" w:color="auto" w:fill="auto"/>
      <w:suppressAutoHyphens w:val="0"/>
      <w:bidi w:val="0"/>
      <w:spacing w:before="120" w:after="120" w:line="360" w:lineRule="auto"/>
      <w:ind w:left="0" w:right="0" w:firstLine="0"/>
      <w:jc w:val="both"/>
      <w:outlineLvl w:val="0"/>
    </w:pPr>
    <w:rPr>
      <w:rFonts w:ascii="Times New Roman" w:cs="Arial Unicode MS" w:hAnsi="Times New Roman" w:eastAsia="Arial Unicode MS"/>
      <w:b w:val="1"/>
      <w:bCs w:val="1"/>
      <w:i w:val="0"/>
      <w:iCs w:val="0"/>
      <w:caps w:val="0"/>
      <w:smallCaps w:val="0"/>
      <w:strike w:val="0"/>
      <w:dstrike w:val="0"/>
      <w:outline w:val="0"/>
      <w:color w:val="002060"/>
      <w:spacing w:val="0"/>
      <w:kern w:val="0"/>
      <w:position w:val="0"/>
      <w:sz w:val="32"/>
      <w:szCs w:val="32"/>
      <w:u w:val="none" w:color="002060"/>
      <w:vertAlign w:val="baseline"/>
      <w:lang w:val="en-US"/>
      <w14:textOutline>
        <w14:noFill/>
      </w14:textOutline>
      <w14:textFill>
        <w14:solidFill>
          <w14:srgbClr w14:val="002060"/>
        </w14:solidFill>
      </w14:textFill>
    </w:rPr>
  </w:style>
  <w:style w:type="numbering" w:styleId="Imported Style 1">
    <w:name w:val="Imported Style 1"/>
    <w:pPr>
      <w:numPr>
        <w:numId w:val="1"/>
      </w:numPr>
    </w:pPr>
  </w:style>
  <w:style w:type="paragraph" w:styleId="Normal (Web)">
    <w:name w:val="Normal (Web)"/>
    <w:next w:val="Normal (Web)"/>
    <w:pPr>
      <w:keepNext w:val="0"/>
      <w:keepLines w:val="0"/>
      <w:pageBreakBefore w:val="0"/>
      <w:widowControl w:val="1"/>
      <w:shd w:val="clear" w:color="auto" w:fill="auto"/>
      <w:suppressAutoHyphens w:val="0"/>
      <w:bidi w:val="0"/>
      <w:spacing w:before="100" w:after="100" w:line="240" w:lineRule="auto"/>
      <w:ind w:left="0" w:right="0" w:firstLine="0"/>
      <w:jc w:val="left"/>
      <w:outlineLvl w:val="9"/>
    </w:pPr>
    <w:rPr>
      <w:rFonts w:ascii="Times New Roman" w:cs="Arial Unicode MS" w:hAnsi="Times New Roman" w:eastAsia="Arial Unicode MS"/>
      <w:b w:val="0"/>
      <w:bCs w:val="0"/>
      <w:i w:val="0"/>
      <w:iCs w:val="0"/>
      <w:caps w:val="0"/>
      <w:smallCaps w:val="0"/>
      <w:strike w:val="0"/>
      <w:dstrike w:val="0"/>
      <w:outline w:val="0"/>
      <w:color w:val="000000"/>
      <w:spacing w:val="0"/>
      <w:kern w:val="0"/>
      <w:position w:val="0"/>
      <w:sz w:val="24"/>
      <w:szCs w:val="24"/>
      <w:u w:val="none" w:color="000000"/>
      <w:vertAlign w:val="baseline"/>
      <w:lang w:val="en-US"/>
      <w14:textFill>
        <w14:solidFill>
          <w14:srgbClr w14:val="000000"/>
        </w14:solidFill>
      </w14:textFill>
    </w:rPr>
  </w:style>
</w:styles>
</file>

<file path=word/_rels/document.xml.rels><?xml version="1.0" encoding="UTF-8"?>
<Relationships xmlns="http://schemas.openxmlformats.org/package/2006/relationships"><Relationship Id="rId1" Type="http://schemas.openxmlformats.org/officeDocument/2006/relationships/settings" Target="settings.xml"/><Relationship Id="rId2" Type="http://schemas.openxmlformats.org/officeDocument/2006/relationships/fontTable" Target="fontTable.xml"/><Relationship Id="rId3" Type="http://schemas.openxmlformats.org/officeDocument/2006/relationships/styles" Target="styles.xml"/><Relationship Id="rId4" Type="http://schemas.openxmlformats.org/officeDocument/2006/relationships/image" Target="media/image1.png"/><Relationship Id="rId5" Type="http://schemas.openxmlformats.org/officeDocument/2006/relationships/image" Target="media/image2.png"/><Relationship Id="rId6" Type="http://schemas.openxmlformats.org/officeDocument/2006/relationships/header" Target="header1.xml"/><Relationship Id="rId7" Type="http://schemas.openxmlformats.org/officeDocument/2006/relationships/footer" Target="footer1.xml"/><Relationship Id="rId8" Type="http://schemas.openxmlformats.org/officeDocument/2006/relationships/numbering" Target="numbering.xml"/><Relationship Id="rId9" Type="http://schemas.openxmlformats.org/officeDocument/2006/relationships/theme" Target="theme/theme1.xml"/></Relationships>

</file>

<file path=word/theme/theme1.xml><?xml version="1.0" encoding="utf-8"?>
<a:theme xmlns:a="http://schemas.openxmlformats.org/drawingml/2006/main" xmlns:r="http://schemas.openxmlformats.org/officeDocument/2006/relationships" name="Office Theme">
  <a:themeElements>
    <a:clrScheme name="Office Theme">
      <a:dk1>
        <a:srgbClr val="000000"/>
      </a:dk1>
      <a:lt1>
        <a:srgbClr val="FFFFFF"/>
      </a:lt1>
      <a:dk2>
        <a:srgbClr val="A7A7A7"/>
      </a:dk2>
      <a:lt2>
        <a:srgbClr val="535353"/>
      </a:lt2>
      <a:accent1>
        <a:srgbClr val="5B9BD5"/>
      </a:accent1>
      <a:accent2>
        <a:srgbClr val="ED7D31"/>
      </a:accent2>
      <a:accent3>
        <a:srgbClr val="A5A5A5"/>
      </a:accent3>
      <a:accent4>
        <a:srgbClr val="FFC000"/>
      </a:accent4>
      <a:accent5>
        <a:srgbClr val="4472C4"/>
      </a:accent5>
      <a:accent6>
        <a:srgbClr val="70AD47"/>
      </a:accent6>
      <a:hlink>
        <a:srgbClr val="0000FF"/>
      </a:hlink>
      <a:folHlink>
        <a:srgbClr val="FF00FF"/>
      </a:folHlink>
    </a:clrScheme>
    <a:fontScheme name="Office Theme">
      <a:majorFont>
        <a:latin typeface="Helvetica Neue"/>
        <a:ea typeface="Helvetica Neue"/>
        <a:cs typeface="Helvetica Neue"/>
      </a:majorFont>
      <a:minorFont>
        <a:latin typeface="Helvetica Neue"/>
        <a:ea typeface="Helvetica Neue"/>
        <a:cs typeface="Helvetica Neue"/>
      </a:minorFont>
    </a:fontScheme>
    <a:fmtScheme name="Office Them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29999"/>
              </a:schemeClr>
            </a:gs>
            <a:gs pos="100000">
              <a:schemeClr val="phClr">
                <a:tint val="50000"/>
                <a:shade val="100000"/>
                <a:satMod val="350000"/>
              </a:schemeClr>
            </a:gs>
          </a:gsLst>
          <a:lin ang="16200000" scaled="0"/>
        </a:gradFill>
      </a:fillStyleLst>
      <a:lnStyleLst>
        <a:ln w="9525" cap="flat" cmpd="sng" algn="ctr">
          <a:solidFill>
            <a:schemeClr val="phClr">
              <a:shade val="95000"/>
              <a:satMod val="104999"/>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effectStyle>
        <a:effectStyle>
          <a:effectLst/>
        </a:effectStyle>
        <a:effectStyle>
          <a:effectLst/>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solidFill>
          <a:srgbClr val="FFFFFF"/>
        </a:solidFill>
        <a:ln w="12700" cap="flat">
          <a:solidFill>
            <a:schemeClr val="accent1"/>
          </a:solidFill>
          <a:prstDash val="solid"/>
          <a:miter lim="800000"/>
        </a:ln>
        <a:effectLst/>
        <a:sp3d/>
      </a:spPr>
      <a:bodyPr rot="0" spcFirstLastPara="1" vertOverflow="overflow" horzOverflow="overflow" vert="horz" wrap="square" lIns="45719" tIns="45719" rIns="45719" bIns="45719" numCol="1" spcCol="38100" rtlCol="0" anchor="ctr"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spDef>
    <a:lnDef>
      <a:spPr>
        <a:noFill/>
        <a:ln w="12700" cap="flat">
          <a:solidFill>
            <a:schemeClr val="accent1"/>
          </a:solidFill>
          <a:prstDash val="solid"/>
          <a:miter lim="800000"/>
        </a:ln>
        <a:effectLst/>
        <a:sp3d/>
      </a:spPr>
      <a:bodyPr rot="0" spcFirstLastPara="1" vertOverflow="overflow" horzOverflow="overflow" vert="horz" wrap="square" lIns="91439" tIns="45719" rIns="91439" bIns="45719" numCol="1" spcCol="38100" rtlCol="0" anchor="t" upright="0">
        <a:noAutofit/>
      </a:bodyPr>
      <a:lstStyle>
        <a:def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lnDef>
    <a:txDef>
      <a:spPr>
        <a:noFill/>
        <a:ln w="12700" cap="flat">
          <a:noFill/>
          <a:miter lim="400000"/>
        </a:ln>
        <a:effectLst/>
        <a:sp3d/>
      </a:spPr>
      <a:bodyPr rot="0" spcFirstLastPara="1" vertOverflow="overflow" horzOverflow="overflow" vert="horz" wrap="square" lIns="45719" tIns="45719" rIns="45719" bIns="45719" numCol="1" spcCol="38100" rtlCol="0" anchor="t" upright="0">
        <a:spAutoFit/>
      </a:bodyPr>
      <a:lstStyle>
        <a:defPPr marL="0" marR="0" indent="0" algn="l" defTabSz="914400" rtl="0" fontAlgn="auto" latinLnBrk="0"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latin typeface="Calibri"/>
            <a:ea typeface="Calibri"/>
            <a:cs typeface="Calibri"/>
            <a:sym typeface="Calibri"/>
          </a:defRPr>
        </a:defPPr>
        <a:lvl1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1pPr>
        <a:lvl2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2pPr>
        <a:lvl3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3pPr>
        <a:lvl4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4pPr>
        <a:lvl5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5pPr>
        <a:lvl6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6pPr>
        <a:lvl7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7pPr>
        <a:lvl8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8pPr>
        <a:lvl9pPr marL="0" marR="0" indent="0" algn="l" defTabSz="914400" rtl="0" fontAlgn="auto" latinLnBrk="1" hangingPunct="0">
          <a:lnSpc>
            <a:spcPct val="100000"/>
          </a:lnSpc>
          <a:spcBef>
            <a:spcPts val="0"/>
          </a:spcBef>
          <a:spcAft>
            <a:spcPts val="0"/>
          </a:spcAft>
          <a:buClrTx/>
          <a:buSzTx/>
          <a:buFontTx/>
          <a:buNone/>
          <a:tabLst/>
          <a:defRPr b="0" baseline="0" cap="none" i="0" spc="0" strike="noStrike" sz="1800" u="none" kumimoji="0" normalizeH="0">
            <a:ln>
              <a:noFill/>
            </a:ln>
            <a:solidFill>
              <a:srgbClr val="000000"/>
            </a:solidFill>
            <a:effectLst/>
            <a:uFillTx/>
          </a:defRPr>
        </a:lvl9pPr>
      </a:lstStyle>
      <a:style>
        <a:lnRef idx="0"/>
        <a:fillRef idx="0"/>
        <a:effectRef idx="0"/>
        <a:fontRef idx="none"/>
      </a:style>
    </a:txDef>
  </a:objectDefaults>
</a:theme>
</file>

<file path=docProps/app.xml><?xml version="1.0" encoding="utf-8"?>
<Properties xmlns="http://schemas.openxmlformats.org/officeDocument/2006/extended-properties" xmlns:vt="http://schemas.openxmlformats.org/officeDocument/2006/docPropsVTypes"/>
</file>

<file path=docProps/core.xml><?xml version="1.0" encoding="utf-8"?>
<cp:coreProperties xmlns:cp="http://schemas.openxmlformats.org/package/2006/metadata/core-properties" xmlns:dc="http://purl.org/dc/elements/1.1/" xmlns:dcterms="http://purl.org/dc/terms/" xmlns:xsi="http://www.w3.org/2001/XMLSchema-instance"/>
</file>