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CE302D" w14:textId="788DA9E8" w:rsidR="00BB1E41" w:rsidRPr="00BB1E41" w:rsidRDefault="00BB1E41">
      <w:pPr>
        <w:rPr>
          <w:u w:val="single"/>
        </w:rPr>
      </w:pPr>
      <w:r w:rsidRPr="00BB1E41">
        <w:rPr>
          <w:u w:val="single"/>
        </w:rPr>
        <w:t>Game of Diadems: Discussion of Plans:</w:t>
      </w:r>
    </w:p>
    <w:p w14:paraId="573932DD" w14:textId="55456AEF" w:rsidR="00BB1E41" w:rsidRDefault="00BB1E41">
      <w:r>
        <w:t>Prior to</w:t>
      </w:r>
      <w:r w:rsidR="00C254DA">
        <w:t xml:space="preserve"> </w:t>
      </w:r>
      <w:r>
        <w:t xml:space="preserve">this module, it was possible to </w:t>
      </w:r>
      <w:r w:rsidR="00A53F12">
        <w:t>hold</w:t>
      </w:r>
      <w:r>
        <w:t xml:space="preserve"> certain assumptions, perceptions and interpretations of the Hellenistic period.</w:t>
      </w:r>
      <w:r w:rsidR="00A53F12">
        <w:t xml:space="preserve"> </w:t>
      </w:r>
      <w:r>
        <w:t xml:space="preserve">Throughout each of the re-enacted years various goals and plans were </w:t>
      </w:r>
      <w:r w:rsidR="00A53F12">
        <w:t>developed. Whilst some of these plans were easy to accomplish and successfully carried out others failed.</w:t>
      </w:r>
      <w:r w:rsidR="00316355" w:rsidRPr="00316355">
        <w:t xml:space="preserve"> </w:t>
      </w:r>
      <w:r w:rsidR="00C254DA">
        <w:t xml:space="preserve">These successes and failures </w:t>
      </w:r>
      <w:r w:rsidR="00316355">
        <w:t>compelled me to learn and think about the Hellenistic world in ways I hadn’t previously.</w:t>
      </w:r>
    </w:p>
    <w:p w14:paraId="5E63ADF6" w14:textId="10A7C7DB" w:rsidR="00A53F12" w:rsidRDefault="00A53F12">
      <w:r>
        <w:t>One example of a successful plan would be in building the Eastern Empire within the first five to seven years of roleplay. By using our individual status and power as satraps we were able to secure land, income and military potential whilst also allying together to ensure mutual security against external opposing threats.</w:t>
      </w:r>
      <w:r w:rsidR="00AA0655">
        <w:t xml:space="preserve"> </w:t>
      </w:r>
      <w:r w:rsidR="00B739A0">
        <w:t xml:space="preserve">As </w:t>
      </w:r>
      <w:r w:rsidR="00AA0655">
        <w:t>a result of this success the nature and need for “friendship” within the Hellenistic world became apparent. It showed how these “</w:t>
      </w:r>
      <w:proofErr w:type="gramStart"/>
      <w:r w:rsidR="00AA0655">
        <w:t>friendship’s</w:t>
      </w:r>
      <w:proofErr w:type="gramEnd"/>
      <w:r w:rsidR="00AA0655">
        <w:t xml:space="preserve">” could be developed between individuals and equally how they could be demolished. For our version of the Eastern Empire the “friendship” we cultivated was based on military alliance. </w:t>
      </w:r>
      <w:r w:rsidR="00703097">
        <w:t>Throughout the module</w:t>
      </w:r>
      <w:r w:rsidR="00016F10">
        <w:t>,</w:t>
      </w:r>
      <w:r w:rsidR="00703097">
        <w:t xml:space="preserve"> as internal conflict developed</w:t>
      </w:r>
      <w:r w:rsidR="00016F10">
        <w:t>,</w:t>
      </w:r>
      <w:r w:rsidR="00703097">
        <w:t xml:space="preserve"> it</w:t>
      </w:r>
      <w:r w:rsidR="00AA0655">
        <w:t xml:space="preserve"> outlined the difficult nature of alliances and just how fragile they could be when power was a motivating factor for mutiny.</w:t>
      </w:r>
      <w:r w:rsidR="00C9288A">
        <w:t xml:space="preserve"> The struggle to balance personal motivation and control with that of a wider coalition was reflected in the conflicts among peers resulting from Alexander’s dea</w:t>
      </w:r>
      <w:r w:rsidR="002C5D46">
        <w:t>th</w:t>
      </w:r>
      <w:r w:rsidR="00C9288A">
        <w:t xml:space="preserve"> without a clear successor. For example,</w:t>
      </w:r>
      <w:r w:rsidR="001F53FA">
        <w:t xml:space="preserve"> Babylonian conference scheming</w:t>
      </w:r>
      <w:r w:rsidR="001F53FA">
        <w:rPr>
          <w:rStyle w:val="FootnoteReference"/>
        </w:rPr>
        <w:footnoteReference w:id="1"/>
      </w:r>
      <w:r w:rsidR="001F53FA">
        <w:t>,</w:t>
      </w:r>
      <w:r w:rsidR="00C9288A">
        <w:t xml:space="preserve"> </w:t>
      </w:r>
      <w:r w:rsidR="00A53F39">
        <w:t xml:space="preserve">the war over Syrian succession between Ptolemy II and </w:t>
      </w:r>
      <w:proofErr w:type="spellStart"/>
      <w:r w:rsidR="00A53F39">
        <w:t>Antiochos</w:t>
      </w:r>
      <w:proofErr w:type="spellEnd"/>
      <w:r w:rsidR="00A53F39">
        <w:t xml:space="preserve"> I</w:t>
      </w:r>
      <w:r w:rsidR="00932401">
        <w:rPr>
          <w:rStyle w:val="FootnoteReference"/>
        </w:rPr>
        <w:footnoteReference w:id="2"/>
      </w:r>
      <w:r w:rsidR="00A53F39">
        <w:t>,</w:t>
      </w:r>
      <w:r w:rsidR="001F53FA">
        <w:t xml:space="preserve"> </w:t>
      </w:r>
      <w:proofErr w:type="spellStart"/>
      <w:r w:rsidR="00871AEC">
        <w:t>Antigonos</w:t>
      </w:r>
      <w:proofErr w:type="spellEnd"/>
      <w:r w:rsidR="00871AEC">
        <w:t>’ desire for the rule of Asia.</w:t>
      </w:r>
      <w:r w:rsidR="00871AEC">
        <w:rPr>
          <w:rStyle w:val="FootnoteReference"/>
        </w:rPr>
        <w:footnoteReference w:id="3"/>
      </w:r>
    </w:p>
    <w:p w14:paraId="71E5718B" w14:textId="6F8831B4" w:rsidR="00D75A98" w:rsidRDefault="00976759">
      <w:r>
        <w:t xml:space="preserve">The nature of the module allowed us to learn about the </w:t>
      </w:r>
      <w:r w:rsidR="006D580F">
        <w:t>economy of the places we found ourselves in control of. Having to consider irrigation, the cost of raising and moving an army and the building up of cities added an extra layer of insight into the Hellenistic world.</w:t>
      </w:r>
      <w:r w:rsidR="004C574A">
        <w:t xml:space="preserve"> Never before had I contemplated the need for a baggage train </w:t>
      </w:r>
      <w:r w:rsidR="00DD4F0E">
        <w:t xml:space="preserve">to </w:t>
      </w:r>
      <w:r w:rsidR="004C574A">
        <w:t>feed</w:t>
      </w:r>
      <w:r w:rsidR="00DD4F0E">
        <w:t xml:space="preserve"> a moving</w:t>
      </w:r>
      <w:r w:rsidR="004C574A">
        <w:t xml:space="preserve"> army nor had I realised the importance of improving farming methods.</w:t>
      </w:r>
      <w:r w:rsidR="00C42D87">
        <w:t xml:space="preserve"> </w:t>
      </w:r>
      <w:r w:rsidR="00016F10">
        <w:t>L</w:t>
      </w:r>
      <w:r w:rsidR="00C42D87">
        <w:t xml:space="preserve">essons were quickly learned following impactful repercussions </w:t>
      </w:r>
      <w:r w:rsidR="002C5D46">
        <w:t xml:space="preserve">due to a </w:t>
      </w:r>
      <w:r w:rsidR="00C42D87">
        <w:t>fail</w:t>
      </w:r>
      <w:r w:rsidR="002C5D46">
        <w:t xml:space="preserve">ure </w:t>
      </w:r>
      <w:r w:rsidR="00C42D87">
        <w:t xml:space="preserve">to address these seemingly simple factors. For example, </w:t>
      </w:r>
      <w:r w:rsidR="008A1486">
        <w:t>losing most of my pre-existing treasury in the first year simply on feeding my standing army and having multiple bad harvests causing</w:t>
      </w:r>
      <w:r w:rsidR="00016F10">
        <w:t xml:space="preserve"> a low income and later rioting. By highlighting these factors in the module, it encouraged us to look at all periods of antiquity in much the same detail. </w:t>
      </w:r>
    </w:p>
    <w:p w14:paraId="0FBA40FF" w14:textId="6BF72294" w:rsidR="00016F10" w:rsidRDefault="005910ED">
      <w:r>
        <w:t>M</w:t>
      </w:r>
      <w:r w:rsidR="00016F10">
        <w:t>ilitary action also had crucial lessons to teach</w:t>
      </w:r>
      <w:r w:rsidR="002C5D46">
        <w:t xml:space="preserve"> us</w:t>
      </w:r>
      <w:r w:rsidR="00016F10">
        <w:t>. Having planned our advancement into Asia Minor we</w:t>
      </w:r>
      <w:r>
        <w:t xml:space="preserve"> overlooked potential geographical issues. Whilst we consulted various maps to decide a proposed route, we didn’t consider the actual environments we’d encounter. This changed the way plans for military movement had to be made and forced us to contemplate more carefully the geographical setting of the Hellenistic world. </w:t>
      </w:r>
    </w:p>
    <w:p w14:paraId="11628957" w14:textId="0C3B8455" w:rsidR="00316355" w:rsidRDefault="00316355">
      <w:r>
        <w:t>The outcomes resulting from these successes and failures allowed me to learn about the intricacies and complexity of the chaotic time following the death of Alexander the Great. Suddenly the actions of individuals, societies and empires become a lot clearer than previously seemed and far easier to justify.</w:t>
      </w:r>
    </w:p>
    <w:p w14:paraId="7795EC5E" w14:textId="2AEFBDE2" w:rsidR="00316355" w:rsidRDefault="00316355"/>
    <w:p w14:paraId="543F51AF" w14:textId="77777777" w:rsidR="00423DEB" w:rsidRDefault="00423DEB">
      <w:pPr>
        <w:rPr>
          <w:u w:val="single"/>
        </w:rPr>
      </w:pPr>
    </w:p>
    <w:p w14:paraId="4A545D45" w14:textId="59CACDA0" w:rsidR="00423DEB" w:rsidRPr="00423DEB" w:rsidRDefault="00423DEB">
      <w:pPr>
        <w:rPr>
          <w:u w:val="single"/>
        </w:rPr>
      </w:pPr>
      <w:r w:rsidRPr="00423DEB">
        <w:rPr>
          <w:u w:val="single"/>
        </w:rPr>
        <w:lastRenderedPageBreak/>
        <w:t>Bibliography:</w:t>
      </w:r>
    </w:p>
    <w:p w14:paraId="1615B4EE" w14:textId="24CEFC03" w:rsidR="00423DEB" w:rsidRDefault="00423DEB">
      <w:proofErr w:type="spellStart"/>
      <w:r>
        <w:t>Eriskine</w:t>
      </w:r>
      <w:proofErr w:type="spellEnd"/>
      <w:r>
        <w:t xml:space="preserve">, A. (2009). </w:t>
      </w:r>
      <w:r>
        <w:rPr>
          <w:i/>
        </w:rPr>
        <w:t xml:space="preserve">A Companion to the Hellenistic World. </w:t>
      </w:r>
      <w:r>
        <w:t xml:space="preserve">John Wiley &amp; Sons. </w:t>
      </w:r>
    </w:p>
    <w:p w14:paraId="33A6C958" w14:textId="3F49CF96" w:rsidR="00423DEB" w:rsidRPr="00423DEB" w:rsidRDefault="00423DEB">
      <w:r>
        <w:t xml:space="preserve">Waterfield, R. (2012). </w:t>
      </w:r>
      <w:r>
        <w:rPr>
          <w:i/>
        </w:rPr>
        <w:t xml:space="preserve">Dividing the Spoils:  The War for Alexander the Great’s Empire. </w:t>
      </w:r>
      <w:r>
        <w:t xml:space="preserve">Oxford: Oxford University Press. </w:t>
      </w:r>
      <w:bookmarkStart w:id="0" w:name="_GoBack"/>
      <w:bookmarkEnd w:id="0"/>
    </w:p>
    <w:sectPr w:rsidR="00423DEB" w:rsidRPr="00423D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E15C0" w14:textId="77777777" w:rsidR="002A7D35" w:rsidRDefault="002A7D35" w:rsidP="00932401">
      <w:pPr>
        <w:spacing w:after="0" w:line="240" w:lineRule="auto"/>
      </w:pPr>
      <w:r>
        <w:separator/>
      </w:r>
    </w:p>
  </w:endnote>
  <w:endnote w:type="continuationSeparator" w:id="0">
    <w:p w14:paraId="2DC97A8C" w14:textId="77777777" w:rsidR="002A7D35" w:rsidRDefault="002A7D35" w:rsidP="00932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F827E" w14:textId="77777777" w:rsidR="002A7D35" w:rsidRDefault="002A7D35" w:rsidP="00932401">
      <w:pPr>
        <w:spacing w:after="0" w:line="240" w:lineRule="auto"/>
      </w:pPr>
      <w:r>
        <w:separator/>
      </w:r>
    </w:p>
  </w:footnote>
  <w:footnote w:type="continuationSeparator" w:id="0">
    <w:p w14:paraId="215A95D4" w14:textId="77777777" w:rsidR="002A7D35" w:rsidRDefault="002A7D35" w:rsidP="00932401">
      <w:pPr>
        <w:spacing w:after="0" w:line="240" w:lineRule="auto"/>
      </w:pPr>
      <w:r>
        <w:continuationSeparator/>
      </w:r>
    </w:p>
  </w:footnote>
  <w:footnote w:id="1">
    <w:p w14:paraId="75242272" w14:textId="2C6A6E11" w:rsidR="001F53FA" w:rsidRDefault="001F53FA">
      <w:pPr>
        <w:pStyle w:val="FootnoteText"/>
      </w:pPr>
      <w:r>
        <w:rPr>
          <w:rStyle w:val="FootnoteReference"/>
        </w:rPr>
        <w:footnoteRef/>
      </w:r>
      <w:r>
        <w:t xml:space="preserve"> Waterfield, R. 2012. 57-58.</w:t>
      </w:r>
    </w:p>
  </w:footnote>
  <w:footnote w:id="2">
    <w:p w14:paraId="1DA77611" w14:textId="47F9FC55" w:rsidR="00932401" w:rsidRDefault="00932401">
      <w:pPr>
        <w:pStyle w:val="FootnoteText"/>
      </w:pPr>
      <w:r>
        <w:rPr>
          <w:rStyle w:val="FootnoteReference"/>
        </w:rPr>
        <w:footnoteRef/>
      </w:r>
      <w:r>
        <w:t xml:space="preserve"> Erskine, A. 2009. 37.</w:t>
      </w:r>
    </w:p>
  </w:footnote>
  <w:footnote w:id="3">
    <w:p w14:paraId="18AA1A42" w14:textId="0288B520" w:rsidR="00871AEC" w:rsidRDefault="00871AEC">
      <w:pPr>
        <w:pStyle w:val="FootnoteText"/>
      </w:pPr>
      <w:r>
        <w:rPr>
          <w:rStyle w:val="FootnoteReference"/>
        </w:rPr>
        <w:footnoteRef/>
      </w:r>
      <w:r>
        <w:t xml:space="preserve"> Waterfield, R. 2012. 107.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41"/>
    <w:rsid w:val="00016F10"/>
    <w:rsid w:val="001F53FA"/>
    <w:rsid w:val="002A7D35"/>
    <w:rsid w:val="002C5D46"/>
    <w:rsid w:val="00316355"/>
    <w:rsid w:val="003C6BF7"/>
    <w:rsid w:val="00423DEB"/>
    <w:rsid w:val="004C574A"/>
    <w:rsid w:val="005910ED"/>
    <w:rsid w:val="006D580F"/>
    <w:rsid w:val="00703097"/>
    <w:rsid w:val="00871AEC"/>
    <w:rsid w:val="008A1486"/>
    <w:rsid w:val="00932401"/>
    <w:rsid w:val="00976759"/>
    <w:rsid w:val="00A53F12"/>
    <w:rsid w:val="00A53F39"/>
    <w:rsid w:val="00AA0655"/>
    <w:rsid w:val="00B739A0"/>
    <w:rsid w:val="00BA6590"/>
    <w:rsid w:val="00BB1E41"/>
    <w:rsid w:val="00C254DA"/>
    <w:rsid w:val="00C42D87"/>
    <w:rsid w:val="00C9288A"/>
    <w:rsid w:val="00D75A98"/>
    <w:rsid w:val="00DD4F0E"/>
    <w:rsid w:val="00F34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138EE"/>
  <w15:chartTrackingRefBased/>
  <w15:docId w15:val="{BBC14BC4-1C5D-4FAB-968D-875AC7D2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324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2401"/>
    <w:rPr>
      <w:sz w:val="20"/>
      <w:szCs w:val="20"/>
    </w:rPr>
  </w:style>
  <w:style w:type="character" w:styleId="FootnoteReference">
    <w:name w:val="footnote reference"/>
    <w:basedOn w:val="DefaultParagraphFont"/>
    <w:uiPriority w:val="99"/>
    <w:semiHidden/>
    <w:unhideWhenUsed/>
    <w:rsid w:val="0093240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2</Pages>
  <Words>512</Words>
  <Characters>2919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 (1700991)</dc:creator>
  <cp:keywords/>
  <dc:description/>
  <cp:lastModifiedBy>Sophie Sheep</cp:lastModifiedBy>
  <cp:revision>145</cp:revision>
  <dcterms:created xsi:type="dcterms:W3CDTF">2018-11-15T11:38:00Z</dcterms:created>
  <dcterms:modified xsi:type="dcterms:W3CDTF">2018-11-16T13:24:00Z</dcterms:modified>
</cp:coreProperties>
</file>