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C78B2" w14:textId="77777777" w:rsidR="00AF4EBB" w:rsidRDefault="00AF4EBB" w:rsidP="00942BF6">
      <w:pPr>
        <w:pStyle w:val="Title"/>
      </w:pPr>
      <w:r w:rsidRPr="00942BF6">
        <w:t>T</w:t>
      </w:r>
      <w:r w:rsidR="00D14021" w:rsidRPr="00942BF6">
        <w:t xml:space="preserve">he </w:t>
      </w:r>
      <w:r w:rsidRPr="00942BF6">
        <w:t xml:space="preserve">Concept of Consent in the </w:t>
      </w:r>
      <w:r w:rsidR="00D14021" w:rsidRPr="00942BF6">
        <w:t xml:space="preserve">UK </w:t>
      </w:r>
      <w:r w:rsidRPr="00942BF6">
        <w:t>and Its Role in Cases Involving Battery</w:t>
      </w:r>
    </w:p>
    <w:p w14:paraId="7BE09212" w14:textId="36A62FA2" w:rsidR="00BD1310" w:rsidRDefault="00BD1310" w:rsidP="00BD1310">
      <w:pPr>
        <w:rPr>
          <w:lang w:val="en-US"/>
        </w:rPr>
      </w:pPr>
      <w:r>
        <w:rPr>
          <w:lang w:val="en-US"/>
        </w:rPr>
        <w:t xml:space="preserve">Maryam </w:t>
      </w:r>
      <w:proofErr w:type="spellStart"/>
      <w:r>
        <w:rPr>
          <w:lang w:val="en-US"/>
        </w:rPr>
        <w:t>rahouf</w:t>
      </w:r>
      <w:proofErr w:type="spellEnd"/>
      <w:r>
        <w:rPr>
          <w:lang w:val="en-US"/>
        </w:rPr>
        <w:t xml:space="preserve"> </w:t>
      </w:r>
    </w:p>
    <w:p w14:paraId="22391A01" w14:textId="7FB336C6" w:rsidR="00BD1310" w:rsidRDefault="00BD1310" w:rsidP="00BD1310">
      <w:pPr>
        <w:rPr>
          <w:lang w:val="en-US"/>
        </w:rPr>
      </w:pPr>
      <w:r>
        <w:rPr>
          <w:lang w:val="en-US"/>
        </w:rPr>
        <w:t xml:space="preserve">Laura Humphries </w:t>
      </w:r>
    </w:p>
    <w:p w14:paraId="2877B116" w14:textId="023FF089" w:rsidR="00BD1310" w:rsidRDefault="00BD1310" w:rsidP="00BD1310">
      <w:pPr>
        <w:rPr>
          <w:lang w:val="en-US"/>
        </w:rPr>
      </w:pPr>
      <w:r>
        <w:rPr>
          <w:lang w:val="en-US"/>
        </w:rPr>
        <w:t xml:space="preserve">2230118 </w:t>
      </w:r>
    </w:p>
    <w:p w14:paraId="6E9B928E" w14:textId="77777777" w:rsidR="00BD1310" w:rsidRDefault="00BD1310" w:rsidP="00BD1310">
      <w:pPr>
        <w:rPr>
          <w:lang w:val="en-US"/>
        </w:rPr>
      </w:pPr>
    </w:p>
    <w:p w14:paraId="2ED35BA6" w14:textId="77777777" w:rsidR="00BD1310" w:rsidRPr="00BD1310" w:rsidRDefault="00BD1310" w:rsidP="00BD1310">
      <w:pPr>
        <w:rPr>
          <w:lang w:val="en-US"/>
        </w:rPr>
      </w:pPr>
    </w:p>
    <w:p w14:paraId="6A7F0181" w14:textId="77777777" w:rsidR="00D14021" w:rsidRDefault="0061451E" w:rsidP="00175CC6">
      <w:pPr>
        <w:pStyle w:val="Heading1"/>
        <w:spacing w:before="0" w:line="360" w:lineRule="auto"/>
      </w:pPr>
      <w:r>
        <w:t>Introduction</w:t>
      </w:r>
    </w:p>
    <w:p w14:paraId="25699E96" w14:textId="77777777" w:rsidR="00AF4EBB" w:rsidRDefault="000333FF" w:rsidP="00175CC6">
      <w:pPr>
        <w:spacing w:after="0" w:line="360" w:lineRule="auto"/>
      </w:pPr>
      <w:r w:rsidRPr="000333FF">
        <w:t xml:space="preserve">The concept of consent holds significant legal implications in cases involving non-fatal offences, since it can serve as a determining factor between criminal culpability and exoneration. The concept of consent can be seen as a legal defence or a refutation of </w:t>
      </w:r>
      <w:r w:rsidR="00BD6623">
        <w:t>“</w:t>
      </w:r>
      <w:r w:rsidR="00DA1750">
        <w:t xml:space="preserve">the actus reus or </w:t>
      </w:r>
      <w:proofErr w:type="spellStart"/>
      <w:r w:rsidR="00DA1750">
        <w:t>mens</w:t>
      </w:r>
      <w:proofErr w:type="spellEnd"/>
      <w:r w:rsidR="00DA1750">
        <w:t xml:space="preserve"> rea</w:t>
      </w:r>
      <w:r w:rsidR="00BD6623">
        <w:t>”</w:t>
      </w:r>
      <w:r w:rsidR="00DA1750">
        <w:t xml:space="preserve"> (</w:t>
      </w:r>
      <w:r w:rsidR="00DA1750" w:rsidRPr="002E6889">
        <w:t>Chisholm,</w:t>
      </w:r>
      <w:r w:rsidR="00DA1750">
        <w:t xml:space="preserve"> 2021</w:t>
      </w:r>
      <w:r w:rsidR="00B140EC">
        <w:t xml:space="preserve">; </w:t>
      </w:r>
      <w:r w:rsidR="00B140EC" w:rsidRPr="00B140EC">
        <w:t>Dyer, 2019</w:t>
      </w:r>
      <w:r w:rsidR="00DA1750">
        <w:t>).</w:t>
      </w:r>
      <w:r w:rsidRPr="000333FF">
        <w:t xml:space="preserve"> It is important to note that there are variations in the regulations pertaining to consent between sexual offences and other non-lethal felonies. </w:t>
      </w:r>
      <w:r w:rsidR="00114483">
        <w:t>“</w:t>
      </w:r>
      <w:r w:rsidRPr="000333FF">
        <w:t>The Sexual Offences Act 2003</w:t>
      </w:r>
      <w:r w:rsidR="00114483">
        <w:t>”</w:t>
      </w:r>
      <w:r w:rsidRPr="000333FF">
        <w:t xml:space="preserve"> serves as the governing legislation for matters pertaining to sexual crimes, specifically with regards to consent</w:t>
      </w:r>
      <w:r w:rsidR="00E9628F">
        <w:t xml:space="preserve"> (</w:t>
      </w:r>
      <w:r w:rsidR="00E9628F" w:rsidRPr="00896294">
        <w:t>Geisinger,</w:t>
      </w:r>
      <w:r w:rsidR="00E9628F">
        <w:t xml:space="preserve"> 2020</w:t>
      </w:r>
      <w:r w:rsidR="007C218A">
        <w:t>; Cross, 2023</w:t>
      </w:r>
      <w:r w:rsidR="00E9628F">
        <w:t>)</w:t>
      </w:r>
      <w:r w:rsidRPr="000333FF">
        <w:t xml:space="preserve">. </w:t>
      </w:r>
      <w:r w:rsidR="003B25B3" w:rsidRPr="000333FF">
        <w:t>On the other hand</w:t>
      </w:r>
      <w:r w:rsidRPr="000333FF">
        <w:t xml:space="preserve">, consent for non-fatal offences outside the realm of sexual crimes remains subject to the principles established by common law. The focus of this </w:t>
      </w:r>
      <w:r w:rsidR="00244C31">
        <w:t>paper</w:t>
      </w:r>
      <w:r w:rsidRPr="000333FF">
        <w:t xml:space="preserve"> pertains to the concept of consent in relation to </w:t>
      </w:r>
      <w:r w:rsidR="00691D7B">
        <w:t>battery</w:t>
      </w:r>
      <w:r w:rsidRPr="000333FF">
        <w:t xml:space="preserve"> committed against individuals.</w:t>
      </w:r>
    </w:p>
    <w:p w14:paraId="5FF5A979" w14:textId="77777777" w:rsidR="0061451E" w:rsidRDefault="0061451E" w:rsidP="00175CC6">
      <w:pPr>
        <w:pStyle w:val="Heading1"/>
        <w:spacing w:before="0" w:line="360" w:lineRule="auto"/>
      </w:pPr>
      <w:r>
        <w:t>Discussion</w:t>
      </w:r>
    </w:p>
    <w:p w14:paraId="6E735DA6" w14:textId="77777777" w:rsidR="00055382" w:rsidRPr="00BC0E79" w:rsidRDefault="00350A2C" w:rsidP="00175CC6">
      <w:pPr>
        <w:spacing w:after="0" w:line="360" w:lineRule="auto"/>
      </w:pPr>
      <w:r w:rsidRPr="00350A2C">
        <w:t xml:space="preserve">The inclusion of consent is a fundamental component within the definitions of assault and battery, encompassing both the actus reus and </w:t>
      </w:r>
      <w:proofErr w:type="spellStart"/>
      <w:r w:rsidRPr="00350A2C">
        <w:t>mens</w:t>
      </w:r>
      <w:proofErr w:type="spellEnd"/>
      <w:r w:rsidRPr="00350A2C">
        <w:t xml:space="preserve"> rea aspects. In order to establish the actus reus of assault or battery, it is necessary for the apprehension of imminent force (assault) or the act of touching or applying force (battery) to be deemed unlawful</w:t>
      </w:r>
      <w:r w:rsidR="009724B6">
        <w:t xml:space="preserve"> (</w:t>
      </w:r>
      <w:r w:rsidR="009724B6" w:rsidRPr="00896294">
        <w:t>Geisinger,</w:t>
      </w:r>
      <w:r w:rsidR="009724B6">
        <w:t xml:space="preserve"> 2020</w:t>
      </w:r>
      <w:r w:rsidR="00B36959">
        <w:t>; Henderson, 2021</w:t>
      </w:r>
      <w:r w:rsidR="009724B6">
        <w:t>)</w:t>
      </w:r>
      <w:r w:rsidRPr="00350A2C">
        <w:t>. In cases involving the mental element of assault or battery, it is necessary for the defendant to possess the intention or display recklessness towards the actus reus</w:t>
      </w:r>
      <w:r w:rsidR="0082325C">
        <w:t xml:space="preserve"> (</w:t>
      </w:r>
      <w:r w:rsidR="0082325C" w:rsidRPr="0082325C">
        <w:t>Dyer, 2019</w:t>
      </w:r>
      <w:r w:rsidR="0082325C">
        <w:t>)</w:t>
      </w:r>
      <w:r w:rsidR="00FD41D0">
        <w:t>. Consequently, in cases where the victim</w:t>
      </w:r>
      <w:r w:rsidRPr="00350A2C">
        <w:t xml:space="preserve"> provides consent, the occurrence of assault or battery is negat</w:t>
      </w:r>
      <w:r w:rsidR="004A0D31">
        <w:t>ed. In the case of Kimber (1983)</w:t>
      </w:r>
      <w:r w:rsidRPr="00350A2C">
        <w:t>, the defendant (referred to as</w:t>
      </w:r>
      <w:r w:rsidR="00952523">
        <w:t xml:space="preserve"> D</w:t>
      </w:r>
      <w:r w:rsidRPr="00350A2C">
        <w:t>) visited a psychiatric hospital with the purpose of visiting a family member</w:t>
      </w:r>
      <w:r w:rsidR="001426C7">
        <w:t xml:space="preserve"> (Kimber case law, 1983</w:t>
      </w:r>
      <w:r w:rsidR="000448EA">
        <w:t xml:space="preserve">; </w:t>
      </w:r>
      <w:r w:rsidR="000448EA" w:rsidRPr="000448EA">
        <w:t>publications.parliament.uk</w:t>
      </w:r>
      <w:r w:rsidR="000448EA">
        <w:t>, 2023</w:t>
      </w:r>
      <w:r w:rsidR="001426C7">
        <w:t>)</w:t>
      </w:r>
      <w:r w:rsidRPr="00350A2C">
        <w:t xml:space="preserve">. While situated in the hospital grounds, the individual proceeded towards </w:t>
      </w:r>
      <w:r w:rsidR="0082385D">
        <w:t>victim (</w:t>
      </w:r>
      <w:r w:rsidRPr="00350A2C">
        <w:t>V</w:t>
      </w:r>
      <w:r w:rsidR="0082385D">
        <w:t>)</w:t>
      </w:r>
      <w:r w:rsidRPr="00350A2C">
        <w:t xml:space="preserve">, who was afflicted with severe schizophrenia. D engaged in verbal </w:t>
      </w:r>
      <w:r w:rsidRPr="00350A2C">
        <w:lastRenderedPageBreak/>
        <w:t>communication with the individual, then guiding her along a specific course, and ultimately engaging in non-consensual sexual contact</w:t>
      </w:r>
      <w:r w:rsidR="001426C7">
        <w:t xml:space="preserve"> (Kimber case law, 1983</w:t>
      </w:r>
      <w:r w:rsidR="00467D9B">
        <w:t xml:space="preserve">; </w:t>
      </w:r>
      <w:r w:rsidR="00467D9B" w:rsidRPr="000448EA">
        <w:t>publications.parliament.uk</w:t>
      </w:r>
      <w:r w:rsidR="00467D9B">
        <w:t>, 2023</w:t>
      </w:r>
      <w:r w:rsidR="001426C7">
        <w:t>)</w:t>
      </w:r>
      <w:r w:rsidRPr="00350A2C">
        <w:t>.</w:t>
      </w:r>
      <w:r w:rsidR="004175EB" w:rsidRPr="004175EB">
        <w:t xml:space="preserve"> </w:t>
      </w:r>
      <w:r w:rsidR="00063645" w:rsidRPr="00063645">
        <w:t>D was found guilty by a jury of committing an offence relating to assault, namely indecent assault. The appellant, D, lodged an appeal on the grounds of jury instructions pertaining to the issue of consent</w:t>
      </w:r>
      <w:r w:rsidR="001426C7">
        <w:t xml:space="preserve"> (Kimber case law, 1983</w:t>
      </w:r>
      <w:r w:rsidR="00C35E4C">
        <w:t xml:space="preserve">; </w:t>
      </w:r>
      <w:r w:rsidR="00C35E4C" w:rsidRPr="000448EA">
        <w:t>publications.parliament.uk</w:t>
      </w:r>
      <w:r w:rsidR="00C35E4C">
        <w:t>, 2023</w:t>
      </w:r>
      <w:r w:rsidR="001426C7">
        <w:t>)</w:t>
      </w:r>
      <w:r w:rsidR="00063645" w:rsidRPr="00063645">
        <w:t xml:space="preserve">. The court determined that </w:t>
      </w:r>
      <w:r w:rsidR="003C1D94">
        <w:t>“</w:t>
      </w:r>
      <w:r w:rsidR="00063645" w:rsidRPr="00063645">
        <w:t>the actus reus</w:t>
      </w:r>
      <w:r w:rsidR="003C1D94">
        <w:t>”</w:t>
      </w:r>
      <w:r w:rsidR="00063645" w:rsidRPr="00063645">
        <w:t xml:space="preserve"> of assault or battery encompasses the absence of legality, whereas </w:t>
      </w:r>
      <w:r w:rsidR="003C1D94">
        <w:t>“</w:t>
      </w:r>
      <w:r w:rsidR="00063645" w:rsidRPr="00063645">
        <w:t xml:space="preserve">the </w:t>
      </w:r>
      <w:proofErr w:type="spellStart"/>
      <w:r w:rsidR="00063645" w:rsidRPr="00063645">
        <w:t>mens</w:t>
      </w:r>
      <w:proofErr w:type="spellEnd"/>
      <w:r w:rsidR="00063645" w:rsidRPr="00063645">
        <w:t xml:space="preserve"> rea</w:t>
      </w:r>
      <w:r w:rsidR="003C1D94">
        <w:t>”</w:t>
      </w:r>
      <w:r w:rsidR="00063645" w:rsidRPr="00063645">
        <w:t xml:space="preserve"> encompasses the presence of intent or recklessness in relation to engaging in criminal behaviour</w:t>
      </w:r>
      <w:r w:rsidR="004928E1">
        <w:t xml:space="preserve"> (</w:t>
      </w:r>
      <w:r w:rsidR="004928E1" w:rsidRPr="004928E1">
        <w:t>Farah, 2023</w:t>
      </w:r>
      <w:r w:rsidR="004928E1">
        <w:t>)</w:t>
      </w:r>
      <w:r w:rsidR="00063645" w:rsidRPr="00063645">
        <w:t>. The concept of unlawfulness encompasses the absence of permission.</w:t>
      </w:r>
      <w:r w:rsidR="00F719AF">
        <w:t xml:space="preserve"> </w:t>
      </w:r>
      <w:r w:rsidR="00DC2AD3">
        <w:t>In cases when victim</w:t>
      </w:r>
      <w:r w:rsidR="00FE100A">
        <w:t>'s permission is present, defendant</w:t>
      </w:r>
      <w:r w:rsidR="00A37CDA">
        <w:t>’</w:t>
      </w:r>
      <w:r w:rsidR="00063645" w:rsidRPr="00063645">
        <w:t xml:space="preserve">s actions would not fulfil </w:t>
      </w:r>
      <w:r w:rsidR="003250BD">
        <w:t>“</w:t>
      </w:r>
      <w:r w:rsidR="00063645" w:rsidRPr="00063645">
        <w:t xml:space="preserve">the </w:t>
      </w:r>
      <w:proofErr w:type="spellStart"/>
      <w:r w:rsidR="00063645" w:rsidRPr="00063645">
        <w:t>mens</w:t>
      </w:r>
      <w:proofErr w:type="spellEnd"/>
      <w:r w:rsidR="00063645" w:rsidRPr="00063645">
        <w:t xml:space="preserve"> rea (mental state)</w:t>
      </w:r>
      <w:r w:rsidR="003250BD">
        <w:t>”</w:t>
      </w:r>
      <w:r w:rsidR="00063645" w:rsidRPr="00063645">
        <w:t xml:space="preserve"> requirement for assault or battery, as </w:t>
      </w:r>
      <w:r w:rsidR="0082385D">
        <w:t>defendant</w:t>
      </w:r>
      <w:r w:rsidR="00B35309" w:rsidRPr="00063645">
        <w:t xml:space="preserve"> </w:t>
      </w:r>
      <w:r w:rsidR="00063645" w:rsidRPr="00063645">
        <w:t>would not have had the belief that his actions were unlawful</w:t>
      </w:r>
      <w:r w:rsidR="00A15BEC">
        <w:t xml:space="preserve"> (</w:t>
      </w:r>
      <w:r w:rsidR="00A15BEC" w:rsidRPr="004928E1">
        <w:t>Farah, 2023</w:t>
      </w:r>
      <w:r w:rsidR="00A15BEC">
        <w:t>)</w:t>
      </w:r>
      <w:r w:rsidR="00063645" w:rsidRPr="00063645">
        <w:t>.</w:t>
      </w:r>
    </w:p>
    <w:p w14:paraId="5ADC8936" w14:textId="77777777" w:rsidR="00F226B6" w:rsidRDefault="00752E58" w:rsidP="00175CC6">
      <w:pPr>
        <w:spacing w:after="0" w:line="360" w:lineRule="auto"/>
      </w:pPr>
      <w:r w:rsidRPr="00752E58">
        <w:t>Similarly</w:t>
      </w:r>
      <w:r w:rsidR="00F47A35">
        <w:t xml:space="preserve">, in the case of </w:t>
      </w:r>
      <w:proofErr w:type="spellStart"/>
      <w:r w:rsidR="00F47A35">
        <w:t>Slingsby</w:t>
      </w:r>
      <w:proofErr w:type="spellEnd"/>
      <w:r w:rsidR="00F47A35">
        <w:t xml:space="preserve"> (1995)</w:t>
      </w:r>
      <w:r w:rsidRPr="00752E58">
        <w:t>, the individual referred to as V engaged in sexual intercourse with the one referred to as D</w:t>
      </w:r>
      <w:r w:rsidR="00266F20">
        <w:t xml:space="preserve"> (</w:t>
      </w:r>
      <w:proofErr w:type="spellStart"/>
      <w:r w:rsidR="00266F20">
        <w:t>Slingsby</w:t>
      </w:r>
      <w:proofErr w:type="spellEnd"/>
      <w:r w:rsidR="00266F20">
        <w:t xml:space="preserve"> case law, 1995</w:t>
      </w:r>
      <w:r w:rsidR="0046344A">
        <w:t xml:space="preserve">; </w:t>
      </w:r>
      <w:r w:rsidR="0046344A" w:rsidRPr="0046344A">
        <w:t>Northern Ireland Human Rights Commission, 2021</w:t>
      </w:r>
      <w:r w:rsidR="00266F20">
        <w:t>)</w:t>
      </w:r>
      <w:r w:rsidRPr="00752E58">
        <w:t xml:space="preserve">. During the act of sexual intercourse, individual D engaged in the insertion of their fingers into individual V's rectal region, while simultaneously wearing a ring on their finger. D inadvertently inflicted injuries with the ring, which ultimately led to V's demise due to </w:t>
      </w:r>
      <w:proofErr w:type="spellStart"/>
      <w:r w:rsidRPr="00752E58">
        <w:t>septicemia</w:t>
      </w:r>
      <w:proofErr w:type="spellEnd"/>
      <w:r w:rsidRPr="00752E58">
        <w:t>, a condition characterised by blood poisoning</w:t>
      </w:r>
      <w:r w:rsidR="00266F20">
        <w:t xml:space="preserve"> (</w:t>
      </w:r>
      <w:proofErr w:type="spellStart"/>
      <w:r w:rsidR="00266F20">
        <w:t>Slingsby</w:t>
      </w:r>
      <w:proofErr w:type="spellEnd"/>
      <w:r w:rsidR="00266F20">
        <w:t xml:space="preserve"> case law, 1995</w:t>
      </w:r>
      <w:r w:rsidR="0046344A">
        <w:t xml:space="preserve">; </w:t>
      </w:r>
      <w:r w:rsidR="0046344A" w:rsidRPr="0046344A">
        <w:t>Northern Ireland Human Rights Commission, 2021</w:t>
      </w:r>
      <w:r w:rsidR="00266F20">
        <w:t>)</w:t>
      </w:r>
      <w:r w:rsidRPr="00752E58">
        <w:t>. The defendant, D, has been formally accused by the prosecutors of committing constructive manslaughter, which is also commonly referred to as unlawful act manslaughter. In order to establish this offence, the prosecution must demonstrate that the defendant engaged in a criminal act</w:t>
      </w:r>
      <w:r w:rsidR="0046344A">
        <w:t xml:space="preserve"> (</w:t>
      </w:r>
      <w:r w:rsidR="0046344A" w:rsidRPr="0046344A">
        <w:t>Northern Ireland Human Rights Commission, 2021</w:t>
      </w:r>
      <w:r w:rsidR="0046344A">
        <w:t>)</w:t>
      </w:r>
      <w:r w:rsidRPr="00752E58">
        <w:t>. Consequently, they asserted that the defendant's conduct throughout the sexual encounter constituted battery against the victim. The lawyers representing D put up the argument that V provided consent, thereby negating the occurrence of battery</w:t>
      </w:r>
      <w:r w:rsidR="00266F20">
        <w:t xml:space="preserve"> (</w:t>
      </w:r>
      <w:proofErr w:type="spellStart"/>
      <w:r w:rsidR="00266F20">
        <w:t>Slingsby</w:t>
      </w:r>
      <w:proofErr w:type="spellEnd"/>
      <w:r w:rsidR="00266F20">
        <w:t xml:space="preserve"> case law, 1995</w:t>
      </w:r>
      <w:r w:rsidR="006863BC">
        <w:t xml:space="preserve">; </w:t>
      </w:r>
      <w:r w:rsidR="006863BC" w:rsidRPr="0046344A">
        <w:t>Northern Ireland Human Rights Commission, 2021</w:t>
      </w:r>
      <w:r w:rsidR="00266F20">
        <w:t>)</w:t>
      </w:r>
      <w:r w:rsidRPr="00752E58">
        <w:t>. The decision was made that the trial judge withdrew the matter from the jury. The conclusion was reached that the defendant, D, did not commit battery as the victim, V, had given their consent. Therefore, this particular case is used as a precedent supporting the assertion that if V willingly agrees to D's physical contact or use of force, it cannot be considered as a battery</w:t>
      </w:r>
      <w:r w:rsidR="006863BC">
        <w:t xml:space="preserve"> (</w:t>
      </w:r>
      <w:r w:rsidR="006863BC" w:rsidRPr="0046344A">
        <w:t>Northern Ireland Human Rights Commission, 2021</w:t>
      </w:r>
      <w:r w:rsidR="006863BC">
        <w:t>)</w:t>
      </w:r>
      <w:r w:rsidRPr="00752E58">
        <w:t>.</w:t>
      </w:r>
    </w:p>
    <w:p w14:paraId="5988C9A3" w14:textId="77777777" w:rsidR="00D3546A" w:rsidRDefault="003853A1" w:rsidP="00175CC6">
      <w:pPr>
        <w:spacing w:after="0" w:line="360" w:lineRule="auto"/>
      </w:pPr>
      <w:r w:rsidRPr="003853A1">
        <w:lastRenderedPageBreak/>
        <w:t>Nevertheless, it is important to acknowledge that there are certain limitations to the concept of consent, particularly when it comes to the acceptance of bodily injury. This principle is shown in the Donovan case of 1934</w:t>
      </w:r>
      <w:r w:rsidR="00571E05">
        <w:t xml:space="preserve"> (Donovan case law, </w:t>
      </w:r>
      <w:r w:rsidR="00571E05" w:rsidRPr="003853A1">
        <w:t>1934</w:t>
      </w:r>
      <w:r w:rsidR="00B049BB">
        <w:t xml:space="preserve">; </w:t>
      </w:r>
      <w:r w:rsidR="00B049BB" w:rsidRPr="006D7E35">
        <w:t>ECR, 1935</w:t>
      </w:r>
      <w:r w:rsidR="00571E05">
        <w:t>)</w:t>
      </w:r>
      <w:r w:rsidRPr="003853A1">
        <w:t>. In this particular case, the individual identified as D utilised a cane to strike a seventeen-year-old individual engaged in prostitution, with the intention of deriving sexual satisfaction. Two days following the incident, a medical professional conducted an examination and concluded tha</w:t>
      </w:r>
      <w:r w:rsidR="001836A4">
        <w:t>t the individual had endured a “</w:t>
      </w:r>
      <w:r w:rsidRPr="003853A1">
        <w:t>relatively significan</w:t>
      </w:r>
      <w:r w:rsidR="00571E05">
        <w:t>t physical assault</w:t>
      </w:r>
      <w:r w:rsidR="001836A4">
        <w:t>”</w:t>
      </w:r>
      <w:r w:rsidR="00571E05">
        <w:t xml:space="preserve"> (Donovan case law, </w:t>
      </w:r>
      <w:r w:rsidR="00571E05" w:rsidRPr="003853A1">
        <w:t>1934</w:t>
      </w:r>
      <w:r w:rsidR="00B049BB">
        <w:t xml:space="preserve">; </w:t>
      </w:r>
      <w:r w:rsidR="00B049BB" w:rsidRPr="006D7E35">
        <w:t>ECR, 1935</w:t>
      </w:r>
      <w:r w:rsidR="00571E05">
        <w:t>).</w:t>
      </w:r>
      <w:r w:rsidRPr="003853A1">
        <w:t xml:space="preserve"> During the prosecution of D, V asserted that she had provided consent. During D's appeal, the court deliberated on the boundaries of consent in relation to bodily damage.</w:t>
      </w:r>
      <w:r w:rsidR="000A69ED">
        <w:t xml:space="preserve"> </w:t>
      </w:r>
      <w:r w:rsidR="00AF04AB" w:rsidRPr="00AF04AB">
        <w:t>It has been established that, as a prevailing principle, the act of causing physical damage is deemed unlawful and cannot be rendered permissible through the expression of agreement</w:t>
      </w:r>
      <w:r w:rsidR="00B049BB">
        <w:t xml:space="preserve"> (</w:t>
      </w:r>
      <w:r w:rsidR="00B049BB" w:rsidRPr="006D7E35">
        <w:t>ECR, 1935</w:t>
      </w:r>
      <w:r w:rsidR="00B049BB">
        <w:t>)</w:t>
      </w:r>
      <w:r w:rsidR="00AF04AB" w:rsidRPr="00AF04AB">
        <w:t xml:space="preserve">. In his exposition, Swift J elucidated that: </w:t>
      </w:r>
      <w:r w:rsidR="00F74A86">
        <w:t>“</w:t>
      </w:r>
      <w:r w:rsidR="006C212E" w:rsidRPr="006C212E">
        <w:t>If an act is unlawful in the sens</w:t>
      </w:r>
      <w:r w:rsidR="00C5279C">
        <w:t xml:space="preserve">e of being in itself a criminal </w:t>
      </w:r>
      <w:r w:rsidR="006C212E" w:rsidRPr="006C212E">
        <w:t>act, it is plain that it cannot be rendered lawful because the person to whose detriment it is done</w:t>
      </w:r>
      <w:r w:rsidR="00C5279C">
        <w:t xml:space="preserve"> </w:t>
      </w:r>
      <w:r w:rsidR="006C212E" w:rsidRPr="006C212E">
        <w:t>consents to it. No person can licens</w:t>
      </w:r>
      <w:r w:rsidR="00C5279C">
        <w:t xml:space="preserve">e another to commit a crime…As a general rule, although it </w:t>
      </w:r>
      <w:r w:rsidR="006C212E" w:rsidRPr="006C212E">
        <w:t>is a rule to which there are well established exceptions, it is an unlawfu</w:t>
      </w:r>
      <w:r w:rsidR="00C5279C">
        <w:t xml:space="preserve">l act to beat another </w:t>
      </w:r>
      <w:r w:rsidR="006C212E" w:rsidRPr="006C212E">
        <w:t>person with such a degree of violence that the inflicti</w:t>
      </w:r>
      <w:r w:rsidR="00C5279C">
        <w:t xml:space="preserve">on of bodily harm is a probable </w:t>
      </w:r>
      <w:r w:rsidR="006C212E" w:rsidRPr="006C212E">
        <w:t>consequence, and when such an act is proved, consent is immaterial</w:t>
      </w:r>
      <w:r w:rsidR="002F034E">
        <w:t xml:space="preserve"> (Donovan case law, </w:t>
      </w:r>
      <w:r w:rsidR="002F034E" w:rsidRPr="003853A1">
        <w:t>1934</w:t>
      </w:r>
      <w:r w:rsidR="00C65FD8">
        <w:t>, 207</w:t>
      </w:r>
      <w:r w:rsidR="002F034E">
        <w:t>)</w:t>
      </w:r>
      <w:r w:rsidR="006C212E" w:rsidRPr="006C212E">
        <w:t>.”</w:t>
      </w:r>
    </w:p>
    <w:p w14:paraId="6FAC5711" w14:textId="77777777" w:rsidR="00A8585D" w:rsidRDefault="003F7F30" w:rsidP="00175CC6">
      <w:pPr>
        <w:spacing w:after="0" w:line="360" w:lineRule="auto"/>
      </w:pPr>
      <w:r w:rsidRPr="003F7F30">
        <w:t xml:space="preserve">The court recognised that there exist exceptions to this overarching principle. More precisely, it referenced a form of recreation or amusement characterised by a lack of refinement and structure. In his work, Swift J referenced the words of </w:t>
      </w:r>
      <w:r w:rsidR="00962A90">
        <w:t>“</w:t>
      </w:r>
      <w:r w:rsidRPr="003F7F30">
        <w:t>Sir Michael Foster,</w:t>
      </w:r>
      <w:r w:rsidR="00962A90">
        <w:t>”</w:t>
      </w:r>
      <w:r w:rsidRPr="003F7F30">
        <w:t xml:space="preserve"> a commentator, who discussed the scenario of individuals who willingly participate in physical competitions, such as cudgel fighting, fencing, or wrestling, that have the potential to result in bodily injury</w:t>
      </w:r>
      <w:r w:rsidR="002F034E">
        <w:t xml:space="preserve"> (Donovan case law, </w:t>
      </w:r>
      <w:r w:rsidR="002F034E" w:rsidRPr="003853A1">
        <w:t>1934</w:t>
      </w:r>
      <w:r w:rsidR="006C1A41">
        <w:t xml:space="preserve">; </w:t>
      </w:r>
      <w:r w:rsidR="006C1A41" w:rsidRPr="006D7E35">
        <w:t>ECR, 1935</w:t>
      </w:r>
      <w:r w:rsidR="002F034E">
        <w:t>)</w:t>
      </w:r>
      <w:r w:rsidRPr="003F7F30">
        <w:t>. The author of this scholarly work highlights two key aspects about these competitions: firstly, the absence of any intention to cause physical injury from either party, and secondly, the</w:t>
      </w:r>
      <w:r w:rsidR="00024CE5">
        <w:t>ir purpose as “manly diversions”</w:t>
      </w:r>
      <w:r w:rsidRPr="003F7F30">
        <w:t xml:space="preserve"> aimed at fostering strength, skill, and agility, ultimately equipping individuals for both personal and public defence when necessary</w:t>
      </w:r>
      <w:r w:rsidR="0037386A">
        <w:t xml:space="preserve"> (</w:t>
      </w:r>
      <w:r w:rsidR="0037386A" w:rsidRPr="006D7E35">
        <w:t>ECR, 1935</w:t>
      </w:r>
      <w:r w:rsidR="0037386A">
        <w:t>)</w:t>
      </w:r>
      <w:r w:rsidRPr="003F7F30">
        <w:t>. Due to these justifications, he asserts his inability to deem these exercises as illegal.</w:t>
      </w:r>
    </w:p>
    <w:p w14:paraId="419513BF" w14:textId="77777777" w:rsidR="0096205C" w:rsidRDefault="00390BA3" w:rsidP="00175CC6">
      <w:pPr>
        <w:spacing w:after="0" w:line="360" w:lineRule="auto"/>
      </w:pPr>
      <w:r>
        <w:t>Considering these facts</w:t>
      </w:r>
      <w:r w:rsidR="008E113E" w:rsidRPr="008E113E">
        <w:t xml:space="preserve"> </w:t>
      </w:r>
      <w:r>
        <w:t>the actions of</w:t>
      </w:r>
      <w:r w:rsidR="008E113E" w:rsidRPr="008E113E">
        <w:t xml:space="preserve"> D </w:t>
      </w:r>
      <w:r>
        <w:t xml:space="preserve">were </w:t>
      </w:r>
      <w:r w:rsidR="008E113E" w:rsidRPr="008E113E">
        <w:t>“</w:t>
      </w:r>
      <w:r w:rsidR="007055B0">
        <w:t>…</w:t>
      </w:r>
      <w:r w:rsidR="008E113E" w:rsidRPr="008E113E">
        <w:t xml:space="preserve">malum in se [evil in itself]. Nothing could be more absurd or more repellent to the ordinary intelligence than to regard his conduct as comparable with that of a participant in one of those ‘manly diversions’ of which Sir Michael </w:t>
      </w:r>
      <w:r w:rsidR="008E113E" w:rsidRPr="008E113E">
        <w:lastRenderedPageBreak/>
        <w:t>Foster wrote. Nor is his act to be compared with the rough but innocent horse-</w:t>
      </w:r>
      <w:r w:rsidR="000A0D14" w:rsidRPr="000A0D14">
        <w:t xml:space="preserve"> play…”</w:t>
      </w:r>
      <w:r w:rsidR="0026038C">
        <w:t xml:space="preserve"> (</w:t>
      </w:r>
      <w:r w:rsidR="0026038C" w:rsidRPr="00084D3B">
        <w:rPr>
          <w:lang w:val="en-US"/>
        </w:rPr>
        <w:t>Chisholm,</w:t>
      </w:r>
      <w:r w:rsidR="0026038C">
        <w:rPr>
          <w:lang w:val="en-US"/>
        </w:rPr>
        <w:t xml:space="preserve"> 2021</w:t>
      </w:r>
      <w:r w:rsidR="00F22A9A">
        <w:rPr>
          <w:lang w:val="en-US"/>
        </w:rPr>
        <w:t>, 7</w:t>
      </w:r>
      <w:r w:rsidR="0026038C">
        <w:rPr>
          <w:lang w:val="en-US"/>
        </w:rPr>
        <w:t>).</w:t>
      </w:r>
      <w:r w:rsidR="000A0D14" w:rsidRPr="000A0D14">
        <w:t xml:space="preserve"> </w:t>
      </w:r>
    </w:p>
    <w:p w14:paraId="0F2367DF" w14:textId="77777777" w:rsidR="0096205C" w:rsidRDefault="00EB6E83" w:rsidP="00175CC6">
      <w:pPr>
        <w:spacing w:after="0" w:line="360" w:lineRule="auto"/>
      </w:pPr>
      <w:r w:rsidRPr="00EB6E83">
        <w:t xml:space="preserve">In his statement, Swift J underscored two key points: </w:t>
      </w:r>
      <w:proofErr w:type="spellStart"/>
      <w:r w:rsidRPr="00EB6E83">
        <w:t>i</w:t>
      </w:r>
      <w:proofErr w:type="spellEnd"/>
      <w:r w:rsidRPr="00EB6E83">
        <w:t>) D's conduct were potentially meant to inflict physical injury, and ii) these actions were carried out with a goal that the court deemed to be morally objectionable</w:t>
      </w:r>
      <w:r w:rsidR="00653D1E">
        <w:t xml:space="preserve"> (</w:t>
      </w:r>
      <w:r w:rsidR="00653D1E" w:rsidRPr="00084D3B">
        <w:rPr>
          <w:lang w:val="en-US"/>
        </w:rPr>
        <w:t>Chisholm,</w:t>
      </w:r>
      <w:r w:rsidR="00653D1E">
        <w:rPr>
          <w:lang w:val="en-US"/>
        </w:rPr>
        <w:t xml:space="preserve"> 2021)</w:t>
      </w:r>
      <w:r w:rsidRPr="00EB6E83">
        <w:t>. In brief, deviations from the prevailing principle that consent cannot be given for bodily damage appear to hinge upon the presence of intent to do harm and the existence of a public policy rationale justifying the permissibility of consenting to such conduct. The exceptions were further elaborated upon in the significant case of Brown.</w:t>
      </w:r>
    </w:p>
    <w:p w14:paraId="5C54958D" w14:textId="77777777" w:rsidR="008E113E" w:rsidRDefault="00BF3769" w:rsidP="00175CC6">
      <w:pPr>
        <w:spacing w:after="0" w:line="360" w:lineRule="auto"/>
      </w:pPr>
      <w:r w:rsidRPr="00BF3769">
        <w:t>The contemporary reiteration of the overarching principle can be located in the work of Brown [1994]. The legal proceedings involved the conviction of five individuals who were part of a larger group consisting of numerous males engaged in sado-masochistic gay activities</w:t>
      </w:r>
      <w:r w:rsidR="00EE0358">
        <w:t xml:space="preserve"> (</w:t>
      </w:r>
      <w:r w:rsidR="00EE0358" w:rsidRPr="00EE0358">
        <w:t>Giles, 1994</w:t>
      </w:r>
      <w:r w:rsidR="00EE0358">
        <w:t>)</w:t>
      </w:r>
      <w:r w:rsidRPr="00BF3769">
        <w:t xml:space="preserve">. The charges brought against them were in accordance with </w:t>
      </w:r>
      <w:r w:rsidR="00302BE9">
        <w:t>“</w:t>
      </w:r>
      <w:r w:rsidRPr="00BF3769">
        <w:t>sections 47 and 20 of the Offences Against the Person Act 1861,</w:t>
      </w:r>
      <w:r w:rsidR="00302BE9">
        <w:t>”</w:t>
      </w:r>
      <w:r w:rsidRPr="00BF3769">
        <w:t xml:space="preserve"> specifically for causing </w:t>
      </w:r>
      <w:r w:rsidR="00302BE9">
        <w:t>ABH</w:t>
      </w:r>
      <w:r w:rsidRPr="00BF3769">
        <w:t xml:space="preserve"> and </w:t>
      </w:r>
      <w:r w:rsidR="00302BE9">
        <w:t>GBH</w:t>
      </w:r>
      <w:r w:rsidRPr="00BF3769">
        <w:t xml:space="preserve"> respectively</w:t>
      </w:r>
      <w:r w:rsidR="00C66F45">
        <w:t xml:space="preserve"> (Brown case law, 1994</w:t>
      </w:r>
      <w:r w:rsidR="0083497A">
        <w:t xml:space="preserve">; </w:t>
      </w:r>
      <w:r w:rsidR="0083497A" w:rsidRPr="00EE0358">
        <w:t>Giles, 1994</w:t>
      </w:r>
      <w:r w:rsidR="00C66F45">
        <w:t>)</w:t>
      </w:r>
      <w:r w:rsidRPr="00BF3769">
        <w:t>. The individuals engaged in discreet gatherings, characterised by uninhibited behaviour, which were subsequently exposed to law enforcement authorities upon the discovery of incriminating video recordings. The behaviours exhibited by the individuals in question, referred to as the Ds, are profoundly repugnant, a sentiment acknowledged even by judges who hold a sympathetic stance towards the Ds</w:t>
      </w:r>
      <w:r w:rsidR="000A6C45">
        <w:t xml:space="preserve"> (</w:t>
      </w:r>
      <w:r w:rsidR="000A6C45" w:rsidRPr="00EE0358">
        <w:t>Giles, 1994</w:t>
      </w:r>
      <w:r w:rsidR="000A6C45">
        <w:t>)</w:t>
      </w:r>
      <w:r w:rsidRPr="00BF3769">
        <w:t>.</w:t>
      </w:r>
      <w:r w:rsidR="0085788A">
        <w:t xml:space="preserve"> </w:t>
      </w:r>
      <w:r w:rsidRPr="00BF3769">
        <w:t>The gatherings encompassed activities involving faeces, bestiality, the involvement of a fifteen-year old adolescent, and some individuals inside the group who had succumbed to AIDS, indicating a potential occurrence of HIV transmission</w:t>
      </w:r>
      <w:r w:rsidR="004C69BC">
        <w:t xml:space="preserve"> (Brown case law, 1994</w:t>
      </w:r>
      <w:r w:rsidR="00776096">
        <w:t xml:space="preserve">; </w:t>
      </w:r>
      <w:r w:rsidR="00776096" w:rsidRPr="00EE0358">
        <w:t>Giles, 1994</w:t>
      </w:r>
      <w:r w:rsidR="004C69BC">
        <w:t>)</w:t>
      </w:r>
      <w:r w:rsidRPr="00BF3769">
        <w:t xml:space="preserve">. Regarding the convictions under </w:t>
      </w:r>
      <w:r w:rsidR="003F069A">
        <w:t>“</w:t>
      </w:r>
      <w:r w:rsidRPr="00BF3769">
        <w:t>sections 47 and 20,</w:t>
      </w:r>
      <w:r w:rsidR="003F069A">
        <w:t>”</w:t>
      </w:r>
      <w:r w:rsidRPr="00BF3769">
        <w:t xml:space="preserve"> it is pertinent to note that individuals within the organisation engaged in acts of physical assault against other members, resulting in injuries to their genitalia inflicted by means of a scalpel, affixing them to boards with nails, and the insertion of fishhooks. During the appeal process, the defendants contended that the individuals involved had provided consent, and so the absence of consent should be considered a crucial component of the offences under </w:t>
      </w:r>
      <w:r w:rsidR="003F069A">
        <w:t>“</w:t>
      </w:r>
      <w:r w:rsidR="00A8052A">
        <w:t>sections 47 and 20</w:t>
      </w:r>
      <w:r w:rsidR="003F069A">
        <w:t>”</w:t>
      </w:r>
      <w:r w:rsidR="00A8052A">
        <w:t xml:space="preserve"> (</w:t>
      </w:r>
      <w:r w:rsidR="00A8052A" w:rsidRPr="00864A32">
        <w:rPr>
          <w:lang w:val="en-US"/>
        </w:rPr>
        <w:t>Geisinger</w:t>
      </w:r>
      <w:r w:rsidR="00A8052A">
        <w:rPr>
          <w:lang w:val="en-US"/>
        </w:rPr>
        <w:t>, 2020</w:t>
      </w:r>
      <w:r w:rsidR="00C1522E">
        <w:rPr>
          <w:lang w:val="en-US"/>
        </w:rPr>
        <w:t xml:space="preserve">; </w:t>
      </w:r>
      <w:r w:rsidR="00C1522E" w:rsidRPr="00EC4689">
        <w:t>Herring, 2023</w:t>
      </w:r>
      <w:r w:rsidR="00A8052A">
        <w:rPr>
          <w:lang w:val="en-US"/>
        </w:rPr>
        <w:t>).</w:t>
      </w:r>
    </w:p>
    <w:p w14:paraId="33FA1D43" w14:textId="77777777" w:rsidR="000115ED" w:rsidRDefault="003927CF" w:rsidP="00175CC6">
      <w:pPr>
        <w:spacing w:after="0" w:line="360" w:lineRule="auto"/>
      </w:pPr>
      <w:r w:rsidRPr="003927CF">
        <w:t>The appeal was denied by the House of Lords by a majority vote of 3 to 2</w:t>
      </w:r>
      <w:r w:rsidR="00290097">
        <w:t xml:space="preserve"> (</w:t>
      </w:r>
      <w:r w:rsidR="00290097" w:rsidRPr="00864A32">
        <w:rPr>
          <w:lang w:val="en-US"/>
        </w:rPr>
        <w:t>Geisinger</w:t>
      </w:r>
      <w:r w:rsidR="00290097">
        <w:rPr>
          <w:lang w:val="en-US"/>
        </w:rPr>
        <w:t>, 2020</w:t>
      </w:r>
      <w:r w:rsidR="00C1522E">
        <w:rPr>
          <w:lang w:val="en-US"/>
        </w:rPr>
        <w:t xml:space="preserve">; </w:t>
      </w:r>
      <w:r w:rsidR="00C1522E" w:rsidRPr="00EC4689">
        <w:t>Herring, 2023</w:t>
      </w:r>
      <w:r w:rsidR="00290097">
        <w:rPr>
          <w:lang w:val="en-US"/>
        </w:rPr>
        <w:t>)</w:t>
      </w:r>
      <w:r w:rsidRPr="003927CF">
        <w:t xml:space="preserve">. The ruling established that, as a general principle, the act of </w:t>
      </w:r>
      <w:r w:rsidR="00DE5907">
        <w:t>causing ABH</w:t>
      </w:r>
      <w:r w:rsidRPr="003927CF">
        <w:t xml:space="preserve"> or </w:t>
      </w:r>
      <w:r w:rsidR="00DE5907">
        <w:t>GBH</w:t>
      </w:r>
      <w:r w:rsidRPr="003927CF">
        <w:t xml:space="preserve"> cannot be justified on the basis of consent. In essence, it can be argued that individuals, as a general rule, are unable to provide consent for the infliction of </w:t>
      </w:r>
      <w:r w:rsidR="00DE5907">
        <w:t>ABH</w:t>
      </w:r>
      <w:r w:rsidRPr="003927CF">
        <w:t xml:space="preserve"> or </w:t>
      </w:r>
      <w:r w:rsidR="00DE5907">
        <w:t>GBH</w:t>
      </w:r>
      <w:r w:rsidRPr="003927CF">
        <w:t xml:space="preserve">. There exist </w:t>
      </w:r>
      <w:r w:rsidRPr="003927CF">
        <w:lastRenderedPageBreak/>
        <w:t>instances that deviate from the established principle. Individuals have the capacity to provide consent for specific actions that are classified inside diverse unique categories, the exact parameters of which may not be entirely elucidated</w:t>
      </w:r>
      <w:r w:rsidR="00C1522E">
        <w:t xml:space="preserve"> (</w:t>
      </w:r>
      <w:r w:rsidR="00C1522E" w:rsidRPr="00EC4689">
        <w:t>Herring, 2023</w:t>
      </w:r>
      <w:r w:rsidR="00C1522E">
        <w:t>)</w:t>
      </w:r>
      <w:r w:rsidRPr="003927CF">
        <w:t xml:space="preserve">. These activities encompass several domains such as sports, perilous exhibitions, playful behaviour, surgical procedures, body art practises like tattooing and piercing, religious rituals involving flagellation or circumcision, and engaging in behaviours that knowingly increase the risk of contracting sexually transmitted diseases. The act of engaging in sado-masochistic activities that </w:t>
      </w:r>
      <w:r w:rsidR="00357E28">
        <w:t>lead to ABH</w:t>
      </w:r>
      <w:r w:rsidRPr="003927CF">
        <w:t xml:space="preserve"> or </w:t>
      </w:r>
      <w:r w:rsidR="00357E28">
        <w:t>GBH</w:t>
      </w:r>
      <w:r w:rsidRPr="003927CF">
        <w:t xml:space="preserve"> does not fall inside any legal exception and cannot be legally consented to</w:t>
      </w:r>
      <w:r w:rsidR="00CB3ADC">
        <w:t xml:space="preserve"> (Brown case law, 1994)</w:t>
      </w:r>
      <w:r w:rsidRPr="003927CF">
        <w:t>.</w:t>
      </w:r>
    </w:p>
    <w:p w14:paraId="1D41616B" w14:textId="77777777" w:rsidR="006059D6" w:rsidRDefault="008E595B" w:rsidP="00175CC6">
      <w:pPr>
        <w:spacing w:after="0" w:line="360" w:lineRule="auto"/>
      </w:pPr>
      <w:r>
        <w:t>A</w:t>
      </w:r>
      <w:r w:rsidR="00C8792E" w:rsidRPr="00C8792E">
        <w:t>nalysts have expressed their disapproval of this decision on the grounds that it fails to uphold the liberal tenet of individual autonomy</w:t>
      </w:r>
      <w:r w:rsidR="00BF269B">
        <w:t xml:space="preserve"> (</w:t>
      </w:r>
      <w:r w:rsidR="00BF269B" w:rsidRPr="00BF269B">
        <w:t>Chisholm, 2023</w:t>
      </w:r>
      <w:r w:rsidR="00BF269B">
        <w:t>)</w:t>
      </w:r>
      <w:r w:rsidR="00C8792E" w:rsidRPr="00C8792E">
        <w:t xml:space="preserve">. Moreover, there is a prevalent belief that the unappealing aspects of the case influenced certain judges to be less open towards the reasons presented by the appellants. Furthermore, scholars and analysts have expressed the desire for the reversal of the Brown decision, particularly in light of the enactment of </w:t>
      </w:r>
      <w:r w:rsidR="0062448B">
        <w:t>“</w:t>
      </w:r>
      <w:r w:rsidR="00C8792E" w:rsidRPr="00C8792E">
        <w:t>the Human Rights Act 1998.</w:t>
      </w:r>
      <w:r w:rsidR="0062448B">
        <w:t>”</w:t>
      </w:r>
      <w:r w:rsidR="00C8792E" w:rsidRPr="00C8792E">
        <w:t xml:space="preserve"> However, it is noteworthy that such a reversal has not materialised</w:t>
      </w:r>
      <w:r w:rsidR="00BF269B">
        <w:t xml:space="preserve"> (</w:t>
      </w:r>
      <w:r w:rsidR="00BF269B" w:rsidRPr="00BF269B">
        <w:t>Chisholm, 2023</w:t>
      </w:r>
      <w:r w:rsidR="00BF269B">
        <w:t>)</w:t>
      </w:r>
      <w:r w:rsidR="00C8792E" w:rsidRPr="00C8792E">
        <w:t>.</w:t>
      </w:r>
    </w:p>
    <w:p w14:paraId="704303AF" w14:textId="77777777" w:rsidR="0061451E" w:rsidRDefault="0061451E" w:rsidP="00175CC6">
      <w:pPr>
        <w:pStyle w:val="Heading1"/>
        <w:spacing w:before="0" w:line="360" w:lineRule="auto"/>
      </w:pPr>
      <w:r>
        <w:t>Conclusion</w:t>
      </w:r>
    </w:p>
    <w:p w14:paraId="55F14B28" w14:textId="77777777" w:rsidR="008C1A03" w:rsidRDefault="001D10E6" w:rsidP="008C1A03">
      <w:pPr>
        <w:spacing w:after="0" w:line="360" w:lineRule="auto"/>
      </w:pPr>
      <w:r>
        <w:t xml:space="preserve">The notion of consent is viewed as the primary determinant of proving one’s innocence in many legally viable situations. </w:t>
      </w:r>
      <w:r w:rsidR="00824BEA">
        <w:t>In the case of battery, in order for actus reus to exist one has to take part in unlawful and forcible touching of another</w:t>
      </w:r>
      <w:r w:rsidR="00BC63D9">
        <w:t xml:space="preserve">, and </w:t>
      </w:r>
      <w:proofErr w:type="spellStart"/>
      <w:r w:rsidR="00BC63D9">
        <w:t>mens</w:t>
      </w:r>
      <w:proofErr w:type="spellEnd"/>
      <w:r w:rsidR="00BC63D9">
        <w:t xml:space="preserve"> rea requires either intended or reckless actions</w:t>
      </w:r>
      <w:r w:rsidR="00824BEA">
        <w:t xml:space="preserve">. </w:t>
      </w:r>
      <w:r w:rsidR="00BC63D9">
        <w:t xml:space="preserve">However, in the case where there is consent from the victim, battery can no longer apply. </w:t>
      </w:r>
      <w:r w:rsidR="00F47672">
        <w:t>Though following case law such as Donovan [1934], actions like actual bodily harm and grave bodily harm is not possible thus holding the notion of consent for the two instances null and void</w:t>
      </w:r>
      <w:r w:rsidR="00A2579B">
        <w:t xml:space="preserve"> (i.e. the general rule)</w:t>
      </w:r>
      <w:r w:rsidR="00F47672">
        <w:t>.</w:t>
      </w:r>
      <w:r w:rsidR="00194645">
        <w:t xml:space="preserve"> Thus, cases of the sort following the general rule as applied in Brown [1994]. </w:t>
      </w:r>
      <w:r w:rsidR="008C1A03">
        <w:br w:type="page"/>
      </w:r>
    </w:p>
    <w:p w14:paraId="24DD1DAB" w14:textId="77777777" w:rsidR="008C1A03" w:rsidRPr="008C1A03" w:rsidRDefault="008C1A03" w:rsidP="00175CC6">
      <w:pPr>
        <w:spacing w:after="0" w:line="360" w:lineRule="auto"/>
        <w:rPr>
          <w:b/>
        </w:rPr>
      </w:pPr>
      <w:r w:rsidRPr="008C1A03">
        <w:rPr>
          <w:b/>
        </w:rPr>
        <w:lastRenderedPageBreak/>
        <w:t>Bibliography</w:t>
      </w:r>
    </w:p>
    <w:p w14:paraId="51C7DE52" w14:textId="77777777" w:rsidR="006E396A" w:rsidRDefault="006E396A" w:rsidP="008C1A03">
      <w:pPr>
        <w:spacing w:after="0" w:line="360" w:lineRule="auto"/>
      </w:pPr>
      <w:r w:rsidRPr="008C1A03">
        <w:rPr>
          <w:i/>
        </w:rPr>
        <w:t>Brown</w:t>
      </w:r>
      <w:r>
        <w:t xml:space="preserve"> [1994] 1 A.C. 212</w:t>
      </w:r>
    </w:p>
    <w:p w14:paraId="7BA8C847" w14:textId="77777777" w:rsidR="006E396A" w:rsidRDefault="006E396A" w:rsidP="008C1A03">
      <w:pPr>
        <w:spacing w:after="0" w:line="360" w:lineRule="auto"/>
      </w:pPr>
      <w:r w:rsidRPr="009C3B78">
        <w:t>Chisholm, N., 2021. English Law of Consent to Non-Fatal, Non-Sexual Offences: Outline and Case Summaries. </w:t>
      </w:r>
      <w:r w:rsidRPr="009C3B78">
        <w:rPr>
          <w:i/>
          <w:iCs/>
        </w:rPr>
        <w:t>Non-Sexual Offences: Outline and Case Summaries (January 22, 2021)</w:t>
      </w:r>
      <w:r w:rsidRPr="009C3B78">
        <w:t>.</w:t>
      </w:r>
    </w:p>
    <w:p w14:paraId="1518397E" w14:textId="77777777" w:rsidR="006E396A" w:rsidRDefault="006E396A" w:rsidP="008C1A03">
      <w:pPr>
        <w:spacing w:after="0" w:line="360" w:lineRule="auto"/>
      </w:pPr>
      <w:r w:rsidRPr="00331840">
        <w:t>Chisholm, N., 2023. English Criminal Law: Examination Strategy &amp; General Tips. </w:t>
      </w:r>
      <w:r w:rsidRPr="00331840">
        <w:rPr>
          <w:i/>
          <w:iCs/>
        </w:rPr>
        <w:t>Available at SSRN 4443933</w:t>
      </w:r>
      <w:r w:rsidRPr="00331840">
        <w:t>.</w:t>
      </w:r>
    </w:p>
    <w:p w14:paraId="5D624740" w14:textId="77777777" w:rsidR="006E396A" w:rsidRDefault="006E396A" w:rsidP="00175CC6">
      <w:pPr>
        <w:spacing w:after="0" w:line="360" w:lineRule="auto"/>
      </w:pPr>
      <w:r w:rsidRPr="00CC0D6A">
        <w:t xml:space="preserve">Cross, N., 2023. Criminal justice, actus reus and </w:t>
      </w:r>
      <w:proofErr w:type="spellStart"/>
      <w:r w:rsidRPr="00CC0D6A">
        <w:t>mens</w:t>
      </w:r>
      <w:proofErr w:type="spellEnd"/>
      <w:r w:rsidRPr="00CC0D6A">
        <w:t xml:space="preserve"> rea. In </w:t>
      </w:r>
      <w:r w:rsidRPr="00CC0D6A">
        <w:rPr>
          <w:i/>
          <w:iCs/>
        </w:rPr>
        <w:t>Forensic Psychology, Crime and Policing</w:t>
      </w:r>
      <w:r w:rsidRPr="00CC0D6A">
        <w:t> (pp. 108-113). Policy Press.</w:t>
      </w:r>
    </w:p>
    <w:p w14:paraId="1E545019" w14:textId="77777777" w:rsidR="006E396A" w:rsidRDefault="006E396A" w:rsidP="008C1A03">
      <w:pPr>
        <w:spacing w:after="0" w:line="360" w:lineRule="auto"/>
      </w:pPr>
      <w:r w:rsidRPr="008C1A03">
        <w:rPr>
          <w:i/>
        </w:rPr>
        <w:t>Donovan</w:t>
      </w:r>
      <w:r>
        <w:t xml:space="preserve"> [1934] 2 KB 498</w:t>
      </w:r>
    </w:p>
    <w:p w14:paraId="23918D80" w14:textId="77777777" w:rsidR="006E396A" w:rsidRDefault="006E396A" w:rsidP="00175CC6">
      <w:pPr>
        <w:spacing w:after="0" w:line="360" w:lineRule="auto"/>
      </w:pPr>
      <w:r w:rsidRPr="00EA2A80">
        <w:t xml:space="preserve">Dyer, A., 2019. The </w:t>
      </w:r>
      <w:proofErr w:type="spellStart"/>
      <w:r w:rsidRPr="00EA2A80">
        <w:t>mens</w:t>
      </w:r>
      <w:proofErr w:type="spellEnd"/>
      <w:r w:rsidRPr="00EA2A80">
        <w:t xml:space="preserve"> rea for sexual assault, sexual touching and sexual act offences in New South Wales: Leave it alone (although you might consider imposing an evidential burden on the accused). </w:t>
      </w:r>
      <w:r w:rsidRPr="00EA2A80">
        <w:rPr>
          <w:i/>
          <w:iCs/>
        </w:rPr>
        <w:t xml:space="preserve">A. Dyer," The </w:t>
      </w:r>
      <w:proofErr w:type="spellStart"/>
      <w:r w:rsidRPr="00EA2A80">
        <w:rPr>
          <w:i/>
          <w:iCs/>
        </w:rPr>
        <w:t>Mens</w:t>
      </w:r>
      <w:proofErr w:type="spellEnd"/>
      <w:r w:rsidRPr="00EA2A80">
        <w:rPr>
          <w:i/>
          <w:iCs/>
        </w:rPr>
        <w:t xml:space="preserve"> Rea for Sexual Assault, Sexual Touching and Sexual Act Offences in New South Wales: Leave it Alone (Although You Might Consider Imposing an Evidential Burden on the Accused)", Australian Bar Review</w:t>
      </w:r>
      <w:r w:rsidRPr="00EA2A80">
        <w:t>.</w:t>
      </w:r>
    </w:p>
    <w:p w14:paraId="21EE26BE" w14:textId="77777777" w:rsidR="006E396A" w:rsidRDefault="006E396A" w:rsidP="00175CC6">
      <w:pPr>
        <w:spacing w:after="0" w:line="360" w:lineRule="auto"/>
      </w:pPr>
      <w:r w:rsidRPr="006D7E35">
        <w:t xml:space="preserve">ECR, 1935. Criminal Law. Assault. Consent. How Far Consent Is a Defence. Burden of Proof of Consent. R. v. </w:t>
      </w:r>
      <w:proofErr w:type="gramStart"/>
      <w:r w:rsidRPr="006D7E35">
        <w:t>Donovan.[</w:t>
      </w:r>
      <w:proofErr w:type="gramEnd"/>
      <w:r w:rsidRPr="006D7E35">
        <w:t>1934] 2 KB 498. </w:t>
      </w:r>
      <w:r w:rsidRPr="006D7E35">
        <w:rPr>
          <w:i/>
          <w:iCs/>
        </w:rPr>
        <w:t>The Cambridge Law Journal</w:t>
      </w:r>
      <w:r w:rsidRPr="006D7E35">
        <w:t>, pp.392-394.</w:t>
      </w:r>
    </w:p>
    <w:p w14:paraId="48510630" w14:textId="77777777" w:rsidR="006E396A" w:rsidRDefault="006E396A" w:rsidP="00175CC6">
      <w:pPr>
        <w:spacing w:after="0" w:line="360" w:lineRule="auto"/>
      </w:pPr>
      <w:r w:rsidRPr="001C4589">
        <w:t>Farah, R., 2023. Identity in Sexual Offences Law. In </w:t>
      </w:r>
      <w:r w:rsidRPr="001C4589">
        <w:rPr>
          <w:i/>
          <w:iCs/>
        </w:rPr>
        <w:t>Rereading Identity Deception in the UK Sexual Offences Act 2003: Incorporating Personal Traits and Attributes</w:t>
      </w:r>
      <w:r w:rsidRPr="001C4589">
        <w:t> (pp. 23-30). Cham: Springer Nature Switzerland.</w:t>
      </w:r>
    </w:p>
    <w:p w14:paraId="67673DFF" w14:textId="77777777" w:rsidR="006E396A" w:rsidRDefault="006E396A" w:rsidP="008C1A03">
      <w:pPr>
        <w:spacing w:after="0" w:line="360" w:lineRule="auto"/>
      </w:pPr>
      <w:r w:rsidRPr="009C3B78">
        <w:t>Geisinger, A., 2020. Does Saying" Yes" Always Make It Right? The Role of Consent in Civil Battery. </w:t>
      </w:r>
      <w:r w:rsidRPr="009C3B78">
        <w:rPr>
          <w:i/>
          <w:iCs/>
        </w:rPr>
        <w:t>UC Davis L. Rev.</w:t>
      </w:r>
      <w:r w:rsidRPr="009C3B78">
        <w:t>, </w:t>
      </w:r>
      <w:r w:rsidRPr="009C3B78">
        <w:rPr>
          <w:i/>
          <w:iCs/>
        </w:rPr>
        <w:t>54</w:t>
      </w:r>
      <w:r w:rsidRPr="009C3B78">
        <w:t>, p.1853.</w:t>
      </w:r>
    </w:p>
    <w:p w14:paraId="7EC24250" w14:textId="77777777" w:rsidR="006E396A" w:rsidRDefault="006E396A" w:rsidP="00175CC6">
      <w:pPr>
        <w:spacing w:after="0" w:line="360" w:lineRule="auto"/>
      </w:pPr>
      <w:r w:rsidRPr="00EE0358">
        <w:t>Giles, M., 1994. R v Brown: Consensual harm and the public interest. </w:t>
      </w:r>
      <w:r w:rsidRPr="00EE0358">
        <w:rPr>
          <w:i/>
          <w:iCs/>
        </w:rPr>
        <w:t>The Modern Law Review</w:t>
      </w:r>
      <w:r w:rsidRPr="00EE0358">
        <w:t>, </w:t>
      </w:r>
      <w:r w:rsidRPr="00EE0358">
        <w:rPr>
          <w:i/>
          <w:iCs/>
        </w:rPr>
        <w:t>57</w:t>
      </w:r>
      <w:r w:rsidRPr="00EE0358">
        <w:t>(1), pp.101-111.</w:t>
      </w:r>
    </w:p>
    <w:p w14:paraId="7D76FFBA" w14:textId="77777777" w:rsidR="006E396A" w:rsidRDefault="006E396A" w:rsidP="00175CC6">
      <w:pPr>
        <w:spacing w:after="0" w:line="360" w:lineRule="auto"/>
      </w:pPr>
      <w:r w:rsidRPr="00B36959">
        <w:t>Henderson, R., 2021. Assault (and Battery). </w:t>
      </w:r>
      <w:r w:rsidRPr="00B36959">
        <w:rPr>
          <w:i/>
          <w:iCs/>
        </w:rPr>
        <w:t>Alaska Criminal Law-2022 Edition</w:t>
      </w:r>
      <w:r w:rsidRPr="00B36959">
        <w:t>.</w:t>
      </w:r>
    </w:p>
    <w:p w14:paraId="593D8EC3" w14:textId="77777777" w:rsidR="006E396A" w:rsidRDefault="006E396A" w:rsidP="00175CC6">
      <w:pPr>
        <w:spacing w:after="0" w:line="360" w:lineRule="auto"/>
      </w:pPr>
      <w:r w:rsidRPr="00EC4689">
        <w:t>Herring, J., 2023. Rethinking sexual crimes: from women’s consent to men’s responsibility. </w:t>
      </w:r>
      <w:proofErr w:type="spellStart"/>
      <w:r w:rsidRPr="00EC4689">
        <w:rPr>
          <w:i/>
          <w:iCs/>
        </w:rPr>
        <w:t>Anatomia</w:t>
      </w:r>
      <w:proofErr w:type="spellEnd"/>
      <w:r w:rsidRPr="00EC4689">
        <w:rPr>
          <w:i/>
          <w:iCs/>
        </w:rPr>
        <w:t xml:space="preserve"> do Crime</w:t>
      </w:r>
      <w:r w:rsidRPr="00EC4689">
        <w:t>, </w:t>
      </w:r>
      <w:r w:rsidRPr="00EC4689">
        <w:rPr>
          <w:i/>
          <w:iCs/>
        </w:rPr>
        <w:t>17</w:t>
      </w:r>
      <w:r w:rsidRPr="00EC4689">
        <w:t>(Jan-Jun), pp.19-34.</w:t>
      </w:r>
    </w:p>
    <w:p w14:paraId="299AA2FC" w14:textId="77777777" w:rsidR="006E396A" w:rsidRDefault="006E396A" w:rsidP="008C1A03">
      <w:pPr>
        <w:spacing w:after="0" w:line="360" w:lineRule="auto"/>
      </w:pPr>
      <w:r w:rsidRPr="008C1A03">
        <w:rPr>
          <w:i/>
        </w:rPr>
        <w:t>Kimber</w:t>
      </w:r>
      <w:r>
        <w:t xml:space="preserve"> [1983] 1 WLR 1118</w:t>
      </w:r>
    </w:p>
    <w:p w14:paraId="2C6B76B7" w14:textId="77777777" w:rsidR="006E396A" w:rsidRDefault="006E396A" w:rsidP="00175CC6">
      <w:pPr>
        <w:spacing w:after="0" w:line="360" w:lineRule="auto"/>
      </w:pPr>
      <w:r w:rsidRPr="00B63868">
        <w:t>Northern Ireland Human Rights Commission, 2021. Response to the Department of Justice Consultation on Consent to Serious Harm for Sexual Gratification.</w:t>
      </w:r>
    </w:p>
    <w:p w14:paraId="31B603CD" w14:textId="77777777" w:rsidR="006E396A" w:rsidRDefault="006E396A" w:rsidP="00175CC6">
      <w:pPr>
        <w:spacing w:after="0" w:line="360" w:lineRule="auto"/>
      </w:pPr>
      <w:r w:rsidRPr="00F65980">
        <w:t>publications.parliament.uk</w:t>
      </w:r>
      <w:r>
        <w:t>., 2023.</w:t>
      </w:r>
      <w:r w:rsidRPr="00F65980">
        <w:t xml:space="preserve"> Judgments - B (By His Mother and Next Friend) v. Director of Public Prosecutions</w:t>
      </w:r>
      <w:r>
        <w:t xml:space="preserve">. Retrieved from: </w:t>
      </w:r>
      <w:r w:rsidRPr="00F65980">
        <w:lastRenderedPageBreak/>
        <w:t>https://publications.parliament.uk/pa/ld199900/ldjudgmt/jd000223/b-1.htm#:~:text=In%20Regina%20v.-,Kimber%20%5B1983%5D%201%20W.L.R.,to%20be%20found%20not%20guilty.</w:t>
      </w:r>
    </w:p>
    <w:p w14:paraId="2EBCA797" w14:textId="77777777" w:rsidR="006E396A" w:rsidRDefault="006E396A" w:rsidP="00175CC6">
      <w:pPr>
        <w:spacing w:after="0" w:line="360" w:lineRule="auto"/>
      </w:pPr>
      <w:proofErr w:type="spellStart"/>
      <w:r w:rsidRPr="008C1A03">
        <w:rPr>
          <w:i/>
        </w:rPr>
        <w:t>Slingsby</w:t>
      </w:r>
      <w:proofErr w:type="spellEnd"/>
      <w:r>
        <w:t xml:space="preserve"> [1995] Crim LR 570</w:t>
      </w:r>
    </w:p>
    <w:sectPr w:rsidR="006E396A">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90BDD" w14:textId="77777777" w:rsidR="00434C42" w:rsidRDefault="00434C42" w:rsidP="00FD41D0">
      <w:pPr>
        <w:spacing w:after="0" w:line="240" w:lineRule="auto"/>
      </w:pPr>
      <w:r>
        <w:separator/>
      </w:r>
    </w:p>
  </w:endnote>
  <w:endnote w:type="continuationSeparator" w:id="0">
    <w:p w14:paraId="52B7436F" w14:textId="77777777" w:rsidR="00434C42" w:rsidRDefault="00434C42" w:rsidP="00FD4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7EE3E" w14:textId="77777777" w:rsidR="00434C42" w:rsidRDefault="00434C42" w:rsidP="00FD41D0">
      <w:pPr>
        <w:spacing w:after="0" w:line="240" w:lineRule="auto"/>
      </w:pPr>
      <w:r>
        <w:separator/>
      </w:r>
    </w:p>
  </w:footnote>
  <w:footnote w:type="continuationSeparator" w:id="0">
    <w:p w14:paraId="5A59DAD4" w14:textId="77777777" w:rsidR="00434C42" w:rsidRDefault="00434C42" w:rsidP="00FD41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2536982"/>
      <w:docPartObj>
        <w:docPartGallery w:val="Page Numbers (Top of Page)"/>
        <w:docPartUnique/>
      </w:docPartObj>
    </w:sdtPr>
    <w:sdtEndPr>
      <w:rPr>
        <w:noProof/>
      </w:rPr>
    </w:sdtEndPr>
    <w:sdtContent>
      <w:p w14:paraId="4E9EAD82" w14:textId="77777777" w:rsidR="007B6C42" w:rsidRDefault="007B6C42">
        <w:pPr>
          <w:pStyle w:val="Header"/>
          <w:jc w:val="right"/>
        </w:pPr>
        <w:r>
          <w:fldChar w:fldCharType="begin"/>
        </w:r>
        <w:r>
          <w:instrText xml:space="preserve"> PAGE   \* MERGEFORMAT </w:instrText>
        </w:r>
        <w:r>
          <w:fldChar w:fldCharType="separate"/>
        </w:r>
        <w:r w:rsidR="006E396A">
          <w:rPr>
            <w:noProof/>
          </w:rPr>
          <w:t>7</w:t>
        </w:r>
        <w:r>
          <w:rPr>
            <w:noProof/>
          </w:rPr>
          <w:fldChar w:fldCharType="end"/>
        </w:r>
      </w:p>
    </w:sdtContent>
  </w:sdt>
  <w:p w14:paraId="38732D9E" w14:textId="77777777" w:rsidR="007B6C42" w:rsidRDefault="007B6C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1346FE"/>
    <w:multiLevelType w:val="multilevel"/>
    <w:tmpl w:val="A9C21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5862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021"/>
    <w:rsid w:val="0000064F"/>
    <w:rsid w:val="00000E5A"/>
    <w:rsid w:val="000077DE"/>
    <w:rsid w:val="00007879"/>
    <w:rsid w:val="000115ED"/>
    <w:rsid w:val="00024CE5"/>
    <w:rsid w:val="000333FF"/>
    <w:rsid w:val="00036B4C"/>
    <w:rsid w:val="000448EA"/>
    <w:rsid w:val="00055382"/>
    <w:rsid w:val="00063645"/>
    <w:rsid w:val="00082761"/>
    <w:rsid w:val="00084D3B"/>
    <w:rsid w:val="000A0D14"/>
    <w:rsid w:val="000A4E53"/>
    <w:rsid w:val="000A5B9E"/>
    <w:rsid w:val="000A69ED"/>
    <w:rsid w:val="000A6C45"/>
    <w:rsid w:val="000C22C4"/>
    <w:rsid w:val="000C233C"/>
    <w:rsid w:val="000C5376"/>
    <w:rsid w:val="0011415D"/>
    <w:rsid w:val="00114483"/>
    <w:rsid w:val="001160F7"/>
    <w:rsid w:val="00125BEA"/>
    <w:rsid w:val="00130C3B"/>
    <w:rsid w:val="00136207"/>
    <w:rsid w:val="001426C7"/>
    <w:rsid w:val="001438A9"/>
    <w:rsid w:val="00144AB3"/>
    <w:rsid w:val="00144C81"/>
    <w:rsid w:val="00167743"/>
    <w:rsid w:val="00174D0B"/>
    <w:rsid w:val="00175CC6"/>
    <w:rsid w:val="001836A4"/>
    <w:rsid w:val="0018780D"/>
    <w:rsid w:val="00194443"/>
    <w:rsid w:val="00194645"/>
    <w:rsid w:val="001B6602"/>
    <w:rsid w:val="001C3B13"/>
    <w:rsid w:val="001C4589"/>
    <w:rsid w:val="001D10E6"/>
    <w:rsid w:val="00207977"/>
    <w:rsid w:val="002268E6"/>
    <w:rsid w:val="0023437D"/>
    <w:rsid w:val="0024265A"/>
    <w:rsid w:val="00244C31"/>
    <w:rsid w:val="0026038C"/>
    <w:rsid w:val="00261607"/>
    <w:rsid w:val="00266F20"/>
    <w:rsid w:val="00270CFA"/>
    <w:rsid w:val="00290097"/>
    <w:rsid w:val="00290B31"/>
    <w:rsid w:val="002D2CF2"/>
    <w:rsid w:val="002E6889"/>
    <w:rsid w:val="002F034E"/>
    <w:rsid w:val="002F2A7F"/>
    <w:rsid w:val="00302BE9"/>
    <w:rsid w:val="00311B3C"/>
    <w:rsid w:val="003250BD"/>
    <w:rsid w:val="00331840"/>
    <w:rsid w:val="00350A2C"/>
    <w:rsid w:val="00357E28"/>
    <w:rsid w:val="0037198D"/>
    <w:rsid w:val="0037386A"/>
    <w:rsid w:val="00374051"/>
    <w:rsid w:val="00376CA7"/>
    <w:rsid w:val="00383FEB"/>
    <w:rsid w:val="0038520E"/>
    <w:rsid w:val="003853A1"/>
    <w:rsid w:val="00390BA3"/>
    <w:rsid w:val="003927CF"/>
    <w:rsid w:val="00394D0C"/>
    <w:rsid w:val="003A6E9A"/>
    <w:rsid w:val="003B1A13"/>
    <w:rsid w:val="003B25B3"/>
    <w:rsid w:val="003B517F"/>
    <w:rsid w:val="003B6E2F"/>
    <w:rsid w:val="003C1D94"/>
    <w:rsid w:val="003D20CE"/>
    <w:rsid w:val="003D6148"/>
    <w:rsid w:val="003E044D"/>
    <w:rsid w:val="003E4CA0"/>
    <w:rsid w:val="003F069A"/>
    <w:rsid w:val="003F3B2A"/>
    <w:rsid w:val="003F7F30"/>
    <w:rsid w:val="004031B7"/>
    <w:rsid w:val="00403CB4"/>
    <w:rsid w:val="00411242"/>
    <w:rsid w:val="004175EB"/>
    <w:rsid w:val="0042524F"/>
    <w:rsid w:val="00434C42"/>
    <w:rsid w:val="00435B14"/>
    <w:rsid w:val="00447AF9"/>
    <w:rsid w:val="0046344A"/>
    <w:rsid w:val="00467D9B"/>
    <w:rsid w:val="00471579"/>
    <w:rsid w:val="00486ED9"/>
    <w:rsid w:val="0049188D"/>
    <w:rsid w:val="004928E1"/>
    <w:rsid w:val="004A0D31"/>
    <w:rsid w:val="004A7983"/>
    <w:rsid w:val="004B0684"/>
    <w:rsid w:val="004C69BC"/>
    <w:rsid w:val="004D47AE"/>
    <w:rsid w:val="004D7373"/>
    <w:rsid w:val="004F1DBA"/>
    <w:rsid w:val="005103BE"/>
    <w:rsid w:val="00510D53"/>
    <w:rsid w:val="005113D0"/>
    <w:rsid w:val="00524E62"/>
    <w:rsid w:val="00530B80"/>
    <w:rsid w:val="00546153"/>
    <w:rsid w:val="00571AC8"/>
    <w:rsid w:val="00571E05"/>
    <w:rsid w:val="00574C86"/>
    <w:rsid w:val="00577B03"/>
    <w:rsid w:val="00590F42"/>
    <w:rsid w:val="00596DE7"/>
    <w:rsid w:val="005B02C5"/>
    <w:rsid w:val="005B318B"/>
    <w:rsid w:val="006059D6"/>
    <w:rsid w:val="00610989"/>
    <w:rsid w:val="00611EBD"/>
    <w:rsid w:val="0061451E"/>
    <w:rsid w:val="00621C57"/>
    <w:rsid w:val="0062448B"/>
    <w:rsid w:val="00632E76"/>
    <w:rsid w:val="00640A5C"/>
    <w:rsid w:val="006425CF"/>
    <w:rsid w:val="00653A74"/>
    <w:rsid w:val="00653D1E"/>
    <w:rsid w:val="00666304"/>
    <w:rsid w:val="0066643D"/>
    <w:rsid w:val="0067625B"/>
    <w:rsid w:val="006842E1"/>
    <w:rsid w:val="0068578B"/>
    <w:rsid w:val="006863BC"/>
    <w:rsid w:val="00691D7B"/>
    <w:rsid w:val="00697DE1"/>
    <w:rsid w:val="006B7A17"/>
    <w:rsid w:val="006C1A41"/>
    <w:rsid w:val="006C212E"/>
    <w:rsid w:val="006D32A2"/>
    <w:rsid w:val="006D7E35"/>
    <w:rsid w:val="006E396A"/>
    <w:rsid w:val="006E72BC"/>
    <w:rsid w:val="006F3234"/>
    <w:rsid w:val="006F3ADD"/>
    <w:rsid w:val="0070012E"/>
    <w:rsid w:val="007042E7"/>
    <w:rsid w:val="007055B0"/>
    <w:rsid w:val="00706115"/>
    <w:rsid w:val="00752E58"/>
    <w:rsid w:val="00754342"/>
    <w:rsid w:val="00771800"/>
    <w:rsid w:val="00776096"/>
    <w:rsid w:val="007B2DAF"/>
    <w:rsid w:val="007B6C42"/>
    <w:rsid w:val="007C15E7"/>
    <w:rsid w:val="007C218A"/>
    <w:rsid w:val="007C673E"/>
    <w:rsid w:val="007E2C0C"/>
    <w:rsid w:val="007E7D31"/>
    <w:rsid w:val="00805F2E"/>
    <w:rsid w:val="00813EDB"/>
    <w:rsid w:val="0082325C"/>
    <w:rsid w:val="0082385D"/>
    <w:rsid w:val="00824BEA"/>
    <w:rsid w:val="0083497A"/>
    <w:rsid w:val="008416EC"/>
    <w:rsid w:val="0085788A"/>
    <w:rsid w:val="0086230E"/>
    <w:rsid w:val="00864A32"/>
    <w:rsid w:val="00883D1F"/>
    <w:rsid w:val="0089445D"/>
    <w:rsid w:val="00896294"/>
    <w:rsid w:val="008C1A03"/>
    <w:rsid w:val="008D2DB0"/>
    <w:rsid w:val="008D704F"/>
    <w:rsid w:val="008E113E"/>
    <w:rsid w:val="008E595B"/>
    <w:rsid w:val="008F1C51"/>
    <w:rsid w:val="00942BF6"/>
    <w:rsid w:val="00951F36"/>
    <w:rsid w:val="00952523"/>
    <w:rsid w:val="009544B1"/>
    <w:rsid w:val="009614EB"/>
    <w:rsid w:val="0096205C"/>
    <w:rsid w:val="00962A90"/>
    <w:rsid w:val="009724B6"/>
    <w:rsid w:val="00977637"/>
    <w:rsid w:val="009A36D4"/>
    <w:rsid w:val="009B23DB"/>
    <w:rsid w:val="009B31B8"/>
    <w:rsid w:val="009C0C67"/>
    <w:rsid w:val="009C3B78"/>
    <w:rsid w:val="009C7EFC"/>
    <w:rsid w:val="009F1FAD"/>
    <w:rsid w:val="009F30B7"/>
    <w:rsid w:val="009F310B"/>
    <w:rsid w:val="00A06144"/>
    <w:rsid w:val="00A12C04"/>
    <w:rsid w:val="00A15BEC"/>
    <w:rsid w:val="00A2579B"/>
    <w:rsid w:val="00A25CF5"/>
    <w:rsid w:val="00A37CDA"/>
    <w:rsid w:val="00A468D0"/>
    <w:rsid w:val="00A61CA1"/>
    <w:rsid w:val="00A8052A"/>
    <w:rsid w:val="00A8585D"/>
    <w:rsid w:val="00AD02B9"/>
    <w:rsid w:val="00AD2110"/>
    <w:rsid w:val="00AF04AB"/>
    <w:rsid w:val="00AF2B59"/>
    <w:rsid w:val="00AF4EBB"/>
    <w:rsid w:val="00B044C1"/>
    <w:rsid w:val="00B049BB"/>
    <w:rsid w:val="00B07ABF"/>
    <w:rsid w:val="00B10016"/>
    <w:rsid w:val="00B140EC"/>
    <w:rsid w:val="00B35309"/>
    <w:rsid w:val="00B35AAF"/>
    <w:rsid w:val="00B36959"/>
    <w:rsid w:val="00B63868"/>
    <w:rsid w:val="00B737A4"/>
    <w:rsid w:val="00B8508F"/>
    <w:rsid w:val="00B87501"/>
    <w:rsid w:val="00BA6DCD"/>
    <w:rsid w:val="00BC0E79"/>
    <w:rsid w:val="00BC63D9"/>
    <w:rsid w:val="00BD1310"/>
    <w:rsid w:val="00BD6623"/>
    <w:rsid w:val="00BF269B"/>
    <w:rsid w:val="00BF3769"/>
    <w:rsid w:val="00C0234A"/>
    <w:rsid w:val="00C036D1"/>
    <w:rsid w:val="00C1522E"/>
    <w:rsid w:val="00C200F1"/>
    <w:rsid w:val="00C253FB"/>
    <w:rsid w:val="00C30444"/>
    <w:rsid w:val="00C35E4C"/>
    <w:rsid w:val="00C45011"/>
    <w:rsid w:val="00C5279C"/>
    <w:rsid w:val="00C65FD8"/>
    <w:rsid w:val="00C66F45"/>
    <w:rsid w:val="00C80E0C"/>
    <w:rsid w:val="00C82ECF"/>
    <w:rsid w:val="00C8792E"/>
    <w:rsid w:val="00C923B6"/>
    <w:rsid w:val="00CA724A"/>
    <w:rsid w:val="00CB1AD6"/>
    <w:rsid w:val="00CB3ADC"/>
    <w:rsid w:val="00CC0D6A"/>
    <w:rsid w:val="00CE3318"/>
    <w:rsid w:val="00D062FF"/>
    <w:rsid w:val="00D14021"/>
    <w:rsid w:val="00D347D4"/>
    <w:rsid w:val="00D3546A"/>
    <w:rsid w:val="00D40E07"/>
    <w:rsid w:val="00DA1750"/>
    <w:rsid w:val="00DC2AD3"/>
    <w:rsid w:val="00DC54F4"/>
    <w:rsid w:val="00DD4CE3"/>
    <w:rsid w:val="00DE0299"/>
    <w:rsid w:val="00DE5907"/>
    <w:rsid w:val="00DF4464"/>
    <w:rsid w:val="00DF54CB"/>
    <w:rsid w:val="00E0371E"/>
    <w:rsid w:val="00E36BE7"/>
    <w:rsid w:val="00E50E2D"/>
    <w:rsid w:val="00E9628F"/>
    <w:rsid w:val="00EA2A80"/>
    <w:rsid w:val="00EB6652"/>
    <w:rsid w:val="00EB6E83"/>
    <w:rsid w:val="00EC4689"/>
    <w:rsid w:val="00EE0358"/>
    <w:rsid w:val="00F034C1"/>
    <w:rsid w:val="00F06934"/>
    <w:rsid w:val="00F226B6"/>
    <w:rsid w:val="00F22A9A"/>
    <w:rsid w:val="00F22C0B"/>
    <w:rsid w:val="00F2633A"/>
    <w:rsid w:val="00F27CE8"/>
    <w:rsid w:val="00F3085F"/>
    <w:rsid w:val="00F329D4"/>
    <w:rsid w:val="00F3419B"/>
    <w:rsid w:val="00F37DCB"/>
    <w:rsid w:val="00F37EEE"/>
    <w:rsid w:val="00F47672"/>
    <w:rsid w:val="00F47A35"/>
    <w:rsid w:val="00F65980"/>
    <w:rsid w:val="00F719AF"/>
    <w:rsid w:val="00F74A86"/>
    <w:rsid w:val="00F81AB5"/>
    <w:rsid w:val="00F83907"/>
    <w:rsid w:val="00F91BC6"/>
    <w:rsid w:val="00FA7E25"/>
    <w:rsid w:val="00FB7466"/>
    <w:rsid w:val="00FC0349"/>
    <w:rsid w:val="00FD41D0"/>
    <w:rsid w:val="00FE10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C0B55D"/>
  <w15:chartTrackingRefBased/>
  <w15:docId w15:val="{50279D9E-4100-4942-BBE2-F0B7BF268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9D4"/>
    <w:rPr>
      <w:rFonts w:ascii="Times New Roman" w:hAnsi="Times New Roman"/>
      <w:sz w:val="24"/>
      <w:lang w:val="en-GB"/>
    </w:rPr>
  </w:style>
  <w:style w:type="paragraph" w:styleId="Heading1">
    <w:name w:val="heading 1"/>
    <w:basedOn w:val="Normal"/>
    <w:next w:val="Normal"/>
    <w:link w:val="Heading1Char"/>
    <w:autoRedefine/>
    <w:uiPriority w:val="9"/>
    <w:qFormat/>
    <w:rsid w:val="00F329D4"/>
    <w:pPr>
      <w:keepNext/>
      <w:keepLines/>
      <w:spacing w:before="240" w:after="0" w:line="240" w:lineRule="auto"/>
      <w:outlineLvl w:val="0"/>
    </w:pPr>
    <w:rPr>
      <w:rFonts w:eastAsiaTheme="majorEastAsia" w:cstheme="majorBidi"/>
      <w:b/>
      <w:i/>
      <w:szCs w:val="32"/>
    </w:rPr>
  </w:style>
  <w:style w:type="paragraph" w:styleId="Heading2">
    <w:name w:val="heading 2"/>
    <w:basedOn w:val="Normal"/>
    <w:next w:val="Normal"/>
    <w:link w:val="Heading2Char"/>
    <w:autoRedefine/>
    <w:uiPriority w:val="9"/>
    <w:semiHidden/>
    <w:unhideWhenUsed/>
    <w:qFormat/>
    <w:rsid w:val="00F329D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C923B6"/>
    <w:pPr>
      <w:keepNext/>
      <w:keepLines/>
      <w:spacing w:before="40" w:after="0"/>
      <w:outlineLvl w:val="2"/>
    </w:pPr>
    <w:rPr>
      <w:rFonts w:eastAsiaTheme="majorEastAsia" w:cstheme="majorBidi"/>
      <w:i/>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942BF6"/>
    <w:pPr>
      <w:spacing w:after="0" w:line="360" w:lineRule="auto"/>
      <w:contextualSpacing/>
      <w:jc w:val="center"/>
    </w:pPr>
    <w:rPr>
      <w:rFonts w:eastAsiaTheme="majorEastAsia" w:cs="Times New Roman"/>
      <w:b/>
      <w:spacing w:val="-10"/>
      <w:kern w:val="28"/>
      <w:sz w:val="32"/>
      <w:szCs w:val="24"/>
      <w:lang w:val="en-US"/>
    </w:rPr>
  </w:style>
  <w:style w:type="character" w:customStyle="1" w:styleId="TitleChar">
    <w:name w:val="Title Char"/>
    <w:basedOn w:val="DefaultParagraphFont"/>
    <w:link w:val="Title"/>
    <w:uiPriority w:val="10"/>
    <w:rsid w:val="00942BF6"/>
    <w:rPr>
      <w:rFonts w:ascii="Times New Roman" w:eastAsiaTheme="majorEastAsia" w:hAnsi="Times New Roman" w:cs="Times New Roman"/>
      <w:b/>
      <w:spacing w:val="-10"/>
      <w:kern w:val="28"/>
      <w:sz w:val="32"/>
      <w:szCs w:val="24"/>
    </w:rPr>
  </w:style>
  <w:style w:type="character" w:customStyle="1" w:styleId="Heading1Char">
    <w:name w:val="Heading 1 Char"/>
    <w:basedOn w:val="DefaultParagraphFont"/>
    <w:link w:val="Heading1"/>
    <w:uiPriority w:val="9"/>
    <w:rsid w:val="00F329D4"/>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semiHidden/>
    <w:rsid w:val="00F329D4"/>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C923B6"/>
    <w:rPr>
      <w:rFonts w:ascii="Times New Roman" w:eastAsiaTheme="majorEastAsia" w:hAnsi="Times New Roman" w:cstheme="majorBidi"/>
      <w:i/>
      <w:sz w:val="24"/>
      <w:szCs w:val="24"/>
    </w:rPr>
  </w:style>
  <w:style w:type="paragraph" w:styleId="FootnoteText">
    <w:name w:val="footnote text"/>
    <w:basedOn w:val="Normal"/>
    <w:link w:val="FootnoteTextChar"/>
    <w:uiPriority w:val="99"/>
    <w:semiHidden/>
    <w:unhideWhenUsed/>
    <w:rsid w:val="00FD41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41D0"/>
    <w:rPr>
      <w:rFonts w:ascii="Times New Roman" w:hAnsi="Times New Roman"/>
      <w:sz w:val="20"/>
      <w:szCs w:val="20"/>
      <w:lang w:val="en-GB"/>
    </w:rPr>
  </w:style>
  <w:style w:type="character" w:styleId="FootnoteReference">
    <w:name w:val="footnote reference"/>
    <w:basedOn w:val="DefaultParagraphFont"/>
    <w:uiPriority w:val="99"/>
    <w:semiHidden/>
    <w:unhideWhenUsed/>
    <w:rsid w:val="00FD41D0"/>
    <w:rPr>
      <w:vertAlign w:val="superscript"/>
    </w:rPr>
  </w:style>
  <w:style w:type="paragraph" w:styleId="Header">
    <w:name w:val="header"/>
    <w:basedOn w:val="Normal"/>
    <w:link w:val="HeaderChar"/>
    <w:uiPriority w:val="99"/>
    <w:unhideWhenUsed/>
    <w:rsid w:val="007B6C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6C42"/>
    <w:rPr>
      <w:rFonts w:ascii="Times New Roman" w:hAnsi="Times New Roman"/>
      <w:sz w:val="24"/>
      <w:lang w:val="en-GB"/>
    </w:rPr>
  </w:style>
  <w:style w:type="paragraph" w:styleId="Footer">
    <w:name w:val="footer"/>
    <w:basedOn w:val="Normal"/>
    <w:link w:val="FooterChar"/>
    <w:uiPriority w:val="99"/>
    <w:unhideWhenUsed/>
    <w:rsid w:val="007B6C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6C4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893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2195</Words>
  <Characters>12516</Characters>
  <Application>Microsoft Office Word</Application>
  <DocSecurity>0</DocSecurity>
  <Lines>104</Lines>
  <Paragraphs>29</Paragraphs>
  <ScaleCrop>false</ScaleCrop>
  <Company/>
  <LinksUpToDate>false</LinksUpToDate>
  <CharactersWithSpaces>14682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19arahouf</cp:lastModifiedBy>
  <cp:revision>2</cp:revision>
  <dcterms:created xsi:type="dcterms:W3CDTF">2024-03-17T21:32:00Z</dcterms:created>
  <dcterms:modified xsi:type="dcterms:W3CDTF">2024-03-17T21:32:00Z</dcterms:modified>
</cp:coreProperties>
</file>