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1D4E3" w14:textId="6219ADA5" w:rsidR="007901F5" w:rsidRPr="002860F1" w:rsidRDefault="00AC0EAD">
      <w:pPr>
        <w:rPr>
          <w:b/>
          <w:bCs/>
          <w:u w:val="single"/>
        </w:rPr>
      </w:pPr>
      <w:r>
        <w:rPr>
          <w:b/>
          <w:bCs/>
          <w:u w:val="single"/>
        </w:rPr>
        <w:t>T</w:t>
      </w:r>
      <w:r w:rsidR="00CC5711" w:rsidRPr="002860F1">
        <w:rPr>
          <w:b/>
          <w:bCs/>
          <w:u w:val="single"/>
        </w:rPr>
        <w:t xml:space="preserve">extual analysis of a passage from John’s Gospel: </w:t>
      </w:r>
      <w:r>
        <w:rPr>
          <w:b/>
          <w:bCs/>
          <w:u w:val="single"/>
        </w:rPr>
        <w:t xml:space="preserve">John </w:t>
      </w:r>
      <w:r w:rsidR="00CC5711" w:rsidRPr="002860F1">
        <w:rPr>
          <w:b/>
          <w:bCs/>
          <w:u w:val="single"/>
        </w:rPr>
        <w:t>20:11-28</w:t>
      </w:r>
    </w:p>
    <w:p w14:paraId="7BBED532" w14:textId="05E3A278" w:rsidR="00DE4480" w:rsidRDefault="00C32757">
      <w:r>
        <w:t xml:space="preserve">Looking at John 20:11-28, we are first introduced </w:t>
      </w:r>
      <w:r w:rsidR="00846DE6">
        <w:t xml:space="preserve">to a ‘weeping’ Mary, </w:t>
      </w:r>
      <w:r w:rsidR="00550A0E">
        <w:t xml:space="preserve">who has just </w:t>
      </w:r>
      <w:r w:rsidR="00BE0B9C">
        <w:t xml:space="preserve">found Jesus’ tomb to be empty is so taken over by shock and loss that she cannot see or </w:t>
      </w:r>
      <w:r w:rsidR="00875040">
        <w:t xml:space="preserve">do anything other than to ‘weep.’ She is mentioned as </w:t>
      </w:r>
      <w:r w:rsidR="00E86FE6">
        <w:t xml:space="preserve">the only character, </w:t>
      </w:r>
      <w:r w:rsidR="00846DE6">
        <w:t>who has just discovered that the tomb in which Jesus was buried inside was now empty</w:t>
      </w:r>
      <w:r w:rsidR="005A1FA5">
        <w:t xml:space="preserve">: where she is unsure of where his body now is. </w:t>
      </w:r>
      <w:r w:rsidR="00A551CB">
        <w:t xml:space="preserve">(John 20:11) </w:t>
      </w:r>
      <w:r w:rsidR="007432C8">
        <w:t xml:space="preserve">Where it is evident </w:t>
      </w:r>
      <w:r w:rsidR="00CA68B9">
        <w:t>that this scene in itself is significant within this passage of John’s Gospel, it does differ from the versions in the Synoptics</w:t>
      </w:r>
      <w:r w:rsidR="00967CC6">
        <w:t xml:space="preserve">; where John only mentions Mary Magdalene’s presence at the tomb where </w:t>
      </w:r>
      <w:r w:rsidR="00396F57">
        <w:t>Matthew 28</w:t>
      </w:r>
      <w:r w:rsidR="007E615E">
        <w:t xml:space="preserve">:1 mentions Mary Magdalene and ‘the other Mary,’ Mark </w:t>
      </w:r>
      <w:r w:rsidR="0003280B">
        <w:t xml:space="preserve">specifies </w:t>
      </w:r>
      <w:r w:rsidR="00445ECD">
        <w:t>3 people present at the tomb (16:</w:t>
      </w:r>
      <w:r w:rsidR="00346D4C">
        <w:t xml:space="preserve">1) and finally Luke, who writes that </w:t>
      </w:r>
      <w:r w:rsidR="00872C01">
        <w:t xml:space="preserve">the </w:t>
      </w:r>
      <w:r w:rsidR="007468DA">
        <w:t>people present are the women from Galilee</w:t>
      </w:r>
      <w:r w:rsidR="00996049">
        <w:t xml:space="preserve"> who were at the empty tomb</w:t>
      </w:r>
      <w:r w:rsidR="0034575D">
        <w:t xml:space="preserve"> (24:</w:t>
      </w:r>
      <w:r w:rsidR="00141EED">
        <w:t>1-5), however none mentioned by name until their appearance to the apostles later on, relaying what they had just seen (</w:t>
      </w:r>
      <w:r w:rsidR="00550A0E">
        <w:t xml:space="preserve">24:8-10). </w:t>
      </w:r>
      <w:r w:rsidR="009547BA">
        <w:t>The significance however can be noted on the importance of these women within the narratives of each gospel narrative, where Mary Ma</w:t>
      </w:r>
      <w:r w:rsidR="00CE0315">
        <w:t xml:space="preserve">gdalene is the only consistent character in each. </w:t>
      </w:r>
    </w:p>
    <w:p w14:paraId="0FB706E3" w14:textId="62002AE4" w:rsidR="00CE0315" w:rsidRDefault="00631833">
      <w:r>
        <w:t xml:space="preserve">With the importance of this initial discovery, however, </w:t>
      </w:r>
      <w:r w:rsidR="00157902">
        <w:t xml:space="preserve">Mary is so blinded by her tears that she is even blinded by the appearance of Jesus himself. </w:t>
      </w:r>
      <w:r w:rsidR="005A13B1">
        <w:t xml:space="preserve">This is significant where a major theme of recognizing is evident, running from Mary Magdalene </w:t>
      </w:r>
      <w:r w:rsidR="005F2751">
        <w:t xml:space="preserve">at the tomb, to the apostles and finally to Thomas by the end of the narrative. </w:t>
      </w:r>
      <w:r w:rsidR="00E56F7E">
        <w:t>This highlights Jesus’ final blessing</w:t>
      </w:r>
      <w:r w:rsidR="00F10B3C">
        <w:t xml:space="preserve"> at the end of the narrative, (20:29) where </w:t>
      </w:r>
      <w:r w:rsidR="007F4105">
        <w:t>this blessing is given not only for the apostles who have seen the risen Christ but to those who have no</w:t>
      </w:r>
      <w:r w:rsidR="00B47740">
        <w:t xml:space="preserve">t got a chance to see the risen Christ: those in the generations that come after </w:t>
      </w:r>
      <w:r w:rsidR="00707391">
        <w:t xml:space="preserve">Christ’s ascension and through the work of the apostles. </w:t>
      </w:r>
      <w:r w:rsidR="000B5539">
        <w:t xml:space="preserve">This blessing is the </w:t>
      </w:r>
      <w:r w:rsidR="002B28B8">
        <w:t xml:space="preserve">pinnacle of the narrative where </w:t>
      </w:r>
      <w:r w:rsidR="00923EBB">
        <w:t xml:space="preserve">it is the mention of the Holy Spirit being ‘breathed into’ the apostles, further pushes the narrative </w:t>
      </w:r>
      <w:r w:rsidR="00E94584">
        <w:t xml:space="preserve">forward with the final works of Jesus to his believers. </w:t>
      </w:r>
      <w:r w:rsidR="009C30FC">
        <w:t xml:space="preserve">John’s connection here with the breathing of </w:t>
      </w:r>
      <w:r w:rsidR="00A248CD">
        <w:t>the Holy Spirit by Jesus into the apostles harks back to the creation narrative; where God himself breathed life into Adam</w:t>
      </w:r>
      <w:r w:rsidR="007F3885">
        <w:t xml:space="preserve"> (</w:t>
      </w:r>
      <w:r w:rsidR="001A1C1F">
        <w:t>G</w:t>
      </w:r>
      <w:r w:rsidR="00DB4C30">
        <w:t>en.2:</w:t>
      </w:r>
      <w:r w:rsidR="001A1C1F">
        <w:t xml:space="preserve">7). </w:t>
      </w:r>
      <w:r w:rsidR="001E449B">
        <w:t xml:space="preserve">This is the start </w:t>
      </w:r>
      <w:r w:rsidR="00D86368">
        <w:t xml:space="preserve">of the </w:t>
      </w:r>
      <w:r w:rsidR="006B0D75">
        <w:t>apostle’s</w:t>
      </w:r>
      <w:r w:rsidR="00D86368">
        <w:t xml:space="preserve"> mission from Jesus, with the work of the Holy Spirit guiding them also and continuing </w:t>
      </w:r>
      <w:r w:rsidR="00405B4E">
        <w:t xml:space="preserve">this ‘new life’ </w:t>
      </w:r>
      <w:r w:rsidR="00F96EFA">
        <w:t xml:space="preserve">as Jesus worked for, both </w:t>
      </w:r>
      <w:r w:rsidR="007A3FF8">
        <w:t xml:space="preserve">before his crucifixion and </w:t>
      </w:r>
      <w:r w:rsidR="00C22387">
        <w:t xml:space="preserve">through his resurrection. </w:t>
      </w:r>
    </w:p>
    <w:p w14:paraId="1A07846B" w14:textId="14A2894D" w:rsidR="003022F8" w:rsidRDefault="006B0D75">
      <w:r>
        <w:t xml:space="preserve">Although </w:t>
      </w:r>
      <w:r w:rsidR="00B0540A">
        <w:t xml:space="preserve">this does also lead on to the denial of Thomas towards the end of the narrative who was not present during the initial </w:t>
      </w:r>
      <w:r w:rsidR="000D6F83">
        <w:t>encounter of Jesus with the apostles. Unlike Mary</w:t>
      </w:r>
      <w:r w:rsidR="00420209">
        <w:t xml:space="preserve"> in the beginning of the narrative,</w:t>
      </w:r>
      <w:r w:rsidR="000D6F83">
        <w:t xml:space="preserve"> their initial sighting of Jesus was </w:t>
      </w:r>
      <w:r w:rsidR="00DE2BF3">
        <w:t>different</w:t>
      </w:r>
      <w:r w:rsidR="00420209">
        <w:t>;</w:t>
      </w:r>
      <w:r w:rsidR="00DE2BF3">
        <w:t xml:space="preserve"> where just seeing him </w:t>
      </w:r>
      <w:r w:rsidR="00D82C4B">
        <w:t>was the proof that they needed for his return to them.</w:t>
      </w:r>
      <w:r w:rsidR="00420209">
        <w:t xml:space="preserve"> </w:t>
      </w:r>
      <w:r w:rsidR="00216A19">
        <w:t>A big argument for modern Christians is the stance that Thomas initially took- without seeing, how can one possibly believe? As evidenced through Thomas in 20:</w:t>
      </w:r>
      <w:r w:rsidR="00C07AD6">
        <w:t>24-</w:t>
      </w:r>
      <w:r w:rsidR="00333BF8">
        <w:t xml:space="preserve">28, this initially puts Thomas in a difficult position as he is the only apostle who was not present and therefore did not see Jesus with his own eyes. However, the most interesting part is Jesus’ </w:t>
      </w:r>
      <w:r w:rsidR="000C47F4">
        <w:t>response to</w:t>
      </w:r>
      <w:r w:rsidR="00C53B20">
        <w:t xml:space="preserve"> Thomas</w:t>
      </w:r>
      <w:r w:rsidR="00396348">
        <w:t xml:space="preserve">- </w:t>
      </w:r>
      <w:r w:rsidR="001F465F">
        <w:t>“because you have seen me, you have believed</w:t>
      </w:r>
      <w:r w:rsidR="00C079DF">
        <w:t>; blessed are those who have not seen and yet have believed”</w:t>
      </w:r>
      <w:r w:rsidR="00755906">
        <w:t xml:space="preserve"> (20:29). </w:t>
      </w:r>
      <w:r w:rsidR="0000745E">
        <w:t>I find this</w:t>
      </w:r>
      <w:r w:rsidR="000C47F4">
        <w:t xml:space="preserve"> </w:t>
      </w:r>
      <w:r w:rsidR="00DF0FCA">
        <w:t xml:space="preserve">final declaration from Jesus to Thomas significant for not only </w:t>
      </w:r>
      <w:r w:rsidR="00411899">
        <w:t xml:space="preserve">the readers of John’s Gospel today but also </w:t>
      </w:r>
      <w:r w:rsidR="00D9737F">
        <w:t xml:space="preserve">for </w:t>
      </w:r>
      <w:r w:rsidR="002C5BD2">
        <w:t>the understanding in Jesus f</w:t>
      </w:r>
      <w:r w:rsidR="009C7D7D">
        <w:t>or the time where he was present and finally reunited with God for eternity</w:t>
      </w:r>
      <w:r w:rsidR="009545A7">
        <w:t>; no longer present on earth.</w:t>
      </w:r>
    </w:p>
    <w:p w14:paraId="741BCA30" w14:textId="0A4FE72E" w:rsidR="00DE4480" w:rsidRPr="00F9745D" w:rsidRDefault="00B1538D">
      <w:pPr>
        <w:rPr>
          <w:b/>
          <w:bCs/>
        </w:rPr>
      </w:pPr>
      <w:r w:rsidRPr="00F9745D">
        <w:rPr>
          <w:b/>
          <w:bCs/>
        </w:rPr>
        <w:t>Jesus Appears to Mary Magdalene (20:11-</w:t>
      </w:r>
      <w:r w:rsidR="00F9745D" w:rsidRPr="00F9745D">
        <w:rPr>
          <w:b/>
          <w:bCs/>
        </w:rPr>
        <w:t>18)</w:t>
      </w:r>
    </w:p>
    <w:p w14:paraId="5608DF4A" w14:textId="77777777" w:rsidR="00FC531D" w:rsidRDefault="006C0C70">
      <w:r>
        <w:t xml:space="preserve">This scene opens </w:t>
      </w:r>
      <w:r w:rsidR="0009391E">
        <w:t xml:space="preserve">with Mary who is ‘weeping’ at the sudden disappearance of her Lord’s body who she has been visiting over the last </w:t>
      </w:r>
      <w:r w:rsidR="00F659EA">
        <w:t xml:space="preserve">few nights. </w:t>
      </w:r>
      <w:r w:rsidR="007A1F1A">
        <w:t xml:space="preserve">David Guzik highlights </w:t>
      </w:r>
      <w:r w:rsidR="00A82635">
        <w:t xml:space="preserve">on this by noting that “… Mary’s first reaction was </w:t>
      </w:r>
      <w:r w:rsidR="00CC550B">
        <w:t>to think the body of Jesus was stolen</w:t>
      </w:r>
      <w:r w:rsidR="002F19CF">
        <w:t>. She wasn’t wishing for or anticipating the resurrection of Jesus,”</w:t>
      </w:r>
      <w:r w:rsidR="008F1E61">
        <w:rPr>
          <w:rStyle w:val="FootnoteReference"/>
        </w:rPr>
        <w:footnoteReference w:id="1"/>
      </w:r>
      <w:r w:rsidR="002F19CF">
        <w:t xml:space="preserve"> where this clearly highlights the distress that Mary was in at this realisation </w:t>
      </w:r>
      <w:r w:rsidR="008F1E61">
        <w:lastRenderedPageBreak/>
        <w:t xml:space="preserve">of an empty tomb. </w:t>
      </w:r>
      <w:r w:rsidR="00700B6A">
        <w:t xml:space="preserve">Although </w:t>
      </w:r>
      <w:r w:rsidR="00410F3A">
        <w:t xml:space="preserve">Mary had seen that Jesus’ body was no longer in the tomb, she had also failed to </w:t>
      </w:r>
      <w:r w:rsidR="008428A0">
        <w:t xml:space="preserve">see what was left in place of the body: two angels who were in the tomb. </w:t>
      </w:r>
      <w:r w:rsidR="004F584B">
        <w:t xml:space="preserve">Because of her instant </w:t>
      </w:r>
      <w:r w:rsidR="006877E2">
        <w:t xml:space="preserve">reaction to the missing </w:t>
      </w:r>
      <w:r w:rsidR="00FC531D">
        <w:t>body,</w:t>
      </w:r>
      <w:r w:rsidR="006877E2">
        <w:t xml:space="preserve"> she then </w:t>
      </w:r>
      <w:r w:rsidR="001B1C30">
        <w:t>sees</w:t>
      </w:r>
      <w:r w:rsidR="006877E2">
        <w:t xml:space="preserve"> two</w:t>
      </w:r>
      <w:r w:rsidR="001B1C30">
        <w:t xml:space="preserve"> angels as she is still weeping, hence their question to Mary directly after (John 20:</w:t>
      </w:r>
      <w:r w:rsidR="00D33DBB">
        <w:t xml:space="preserve">13). </w:t>
      </w:r>
      <w:r w:rsidR="00D44135">
        <w:t>There is n</w:t>
      </w:r>
      <w:r w:rsidR="005160DF">
        <w:t>o message of the resurrection of Jesus</w:t>
      </w:r>
      <w:r w:rsidR="00E3100D">
        <w:t xml:space="preserve"> </w:t>
      </w:r>
      <w:r w:rsidR="005160DF">
        <w:t xml:space="preserve">being brought by these two angels, unlike </w:t>
      </w:r>
      <w:r w:rsidR="00E3100D">
        <w:t>the youths in Mark 16:5-7, the angel in Matt.</w:t>
      </w:r>
      <w:r w:rsidR="00EE45D1">
        <w:t xml:space="preserve">28:2-7 and the two men in Luke 24:4-7, as Kasper </w:t>
      </w:r>
      <w:r w:rsidR="00053F41">
        <w:t>Bro Larsen highlights.</w:t>
      </w:r>
      <w:r w:rsidR="00053F41">
        <w:rPr>
          <w:rStyle w:val="FootnoteReference"/>
        </w:rPr>
        <w:footnoteReference w:id="2"/>
      </w:r>
      <w:r w:rsidR="00053F41">
        <w:t xml:space="preserve"> </w:t>
      </w:r>
      <w:r w:rsidR="009C44D3">
        <w:t xml:space="preserve">Larsen makes this point where </w:t>
      </w:r>
      <w:r w:rsidR="001C66CA">
        <w:t>Mary doesn’t even give the two angels any time to state anything, where he</w:t>
      </w:r>
      <w:r w:rsidR="00EB170C">
        <w:t>r</w:t>
      </w:r>
      <w:r w:rsidR="001C66CA">
        <w:t xml:space="preserve"> weeping is continued up until she answers their question</w:t>
      </w:r>
      <w:r w:rsidR="00EB170C">
        <w:t xml:space="preserve"> 20:13. </w:t>
      </w:r>
    </w:p>
    <w:p w14:paraId="43D59C7C" w14:textId="6684A618" w:rsidR="00CC5711" w:rsidRDefault="00EB170C">
      <w:r>
        <w:t xml:space="preserve">As soon as she has uttered these words a </w:t>
      </w:r>
      <w:r w:rsidR="00484056">
        <w:t>figure, who the reader knows to be Jesus, stands before Mary</w:t>
      </w:r>
      <w:r w:rsidR="00E10F18">
        <w:t xml:space="preserve"> and asks: ‘woman why are you weeping? </w:t>
      </w:r>
      <w:r w:rsidR="009348CB">
        <w:t>For w</w:t>
      </w:r>
      <w:r w:rsidR="00E10F18">
        <w:t>hom</w:t>
      </w:r>
      <w:r w:rsidR="009348CB">
        <w:t xml:space="preserve"> are you looking for?’ (20:</w:t>
      </w:r>
      <w:r w:rsidR="0019757A">
        <w:t xml:space="preserve">15). </w:t>
      </w:r>
      <w:r w:rsidR="00CF2FDE">
        <w:t>Guzik also makes a</w:t>
      </w:r>
      <w:r w:rsidR="00D26B4B">
        <w:t xml:space="preserve">n important point in this part where he states that </w:t>
      </w:r>
      <w:r w:rsidR="00900969">
        <w:t xml:space="preserve">“it was strange that she [Mary] did not immediately recognise him. Some think it was because </w:t>
      </w:r>
      <w:r w:rsidR="00EE301E">
        <w:t xml:space="preserve">she was emotionally distressed and had tears in her eyes. Others speculate </w:t>
      </w:r>
      <w:r w:rsidR="00A15E0C">
        <w:t xml:space="preserve">it was because </w:t>
      </w:r>
      <w:r w:rsidR="00B50841">
        <w:t>Jesus</w:t>
      </w:r>
      <w:r w:rsidR="00A15E0C">
        <w:t xml:space="preserve"> looked somewhat different, retaining at least </w:t>
      </w:r>
      <w:r w:rsidR="00B50841">
        <w:t>some of the marks of his suffering.”</w:t>
      </w:r>
      <w:r w:rsidR="00B50841">
        <w:rPr>
          <w:rStyle w:val="FootnoteReference"/>
        </w:rPr>
        <w:footnoteReference w:id="3"/>
      </w:r>
      <w:r w:rsidR="00991C64">
        <w:t xml:space="preserve"> </w:t>
      </w:r>
      <w:r w:rsidR="005A7B12">
        <w:t xml:space="preserve">This idea of recognising Jesus </w:t>
      </w:r>
      <w:r w:rsidR="007A5EDC">
        <w:t xml:space="preserve">is important in the narrative where Mary is central in many scenes involving </w:t>
      </w:r>
      <w:r w:rsidR="00DA69C9">
        <w:t>Jesus</w:t>
      </w:r>
      <w:r w:rsidR="007A5EDC">
        <w:t xml:space="preserve"> in </w:t>
      </w:r>
      <w:r w:rsidR="00DA69C9">
        <w:t xml:space="preserve">his life’s work and now as the first person to see Jesus after his resurrection. </w:t>
      </w:r>
      <w:r w:rsidR="00797E28">
        <w:t>Craig</w:t>
      </w:r>
      <w:r w:rsidR="00CC70C1">
        <w:t xml:space="preserve"> R </w:t>
      </w:r>
      <w:r w:rsidR="00797E28">
        <w:t xml:space="preserve">Koester notes on this also </w:t>
      </w:r>
      <w:r w:rsidR="00C419C7">
        <w:t>that “</w:t>
      </w:r>
      <w:r w:rsidR="007D31A3">
        <w:t xml:space="preserve">the writer assumed that Jesus’ identity </w:t>
      </w:r>
      <w:r w:rsidR="0048761C">
        <w:t xml:space="preserve">could not be understood through sight and hearing alone, and the narrative sometimes </w:t>
      </w:r>
      <w:r w:rsidR="005B5771">
        <w:t>clearly distinguishes what one could discern before and after the resurrection,”</w:t>
      </w:r>
      <w:r w:rsidR="005B5771">
        <w:rPr>
          <w:rStyle w:val="FootnoteReference"/>
        </w:rPr>
        <w:footnoteReference w:id="4"/>
      </w:r>
      <w:r w:rsidR="00DA69C9">
        <w:t xml:space="preserve"> </w:t>
      </w:r>
      <w:r w:rsidR="007A5EDC">
        <w:t xml:space="preserve"> </w:t>
      </w:r>
      <w:r w:rsidR="00590BD1">
        <w:t>which could possibly explain this situation of Mary not recognising Jesus as he is not entirely the same person as he was alive</w:t>
      </w:r>
      <w:r w:rsidR="00983079">
        <w:t xml:space="preserve"> initially. </w:t>
      </w:r>
      <w:r w:rsidR="00994501">
        <w:t xml:space="preserve">Larsen </w:t>
      </w:r>
      <w:r w:rsidR="00F21B26">
        <w:t xml:space="preserve">also highlights on this non-recognition of Jesus however he </w:t>
      </w:r>
      <w:r w:rsidR="009462A5">
        <w:t xml:space="preserve">implies that Mary has not recognised him because </w:t>
      </w:r>
      <w:r w:rsidR="00786FAA">
        <w:t xml:space="preserve">to him, although she was seeing she could not </w:t>
      </w:r>
      <w:r w:rsidR="006473D8">
        <w:t xml:space="preserve">fully see </w:t>
      </w:r>
      <w:r w:rsidR="00B402C5">
        <w:t>Jesus</w:t>
      </w:r>
      <w:r w:rsidR="006473D8">
        <w:t xml:space="preserve"> in the way that was expected of </w:t>
      </w:r>
      <w:r w:rsidR="00B402C5">
        <w:t>her,</w:t>
      </w:r>
      <w:r w:rsidR="006473D8">
        <w:t xml:space="preserve"> and he states that she was ‘cognitively blind’.</w:t>
      </w:r>
      <w:r w:rsidR="006473D8">
        <w:rPr>
          <w:rStyle w:val="FootnoteReference"/>
        </w:rPr>
        <w:footnoteReference w:id="5"/>
      </w:r>
      <w:r w:rsidR="00B402C5">
        <w:t xml:space="preserve"> </w:t>
      </w:r>
      <w:r w:rsidR="00D351A4">
        <w:t>This can be significant in understanding her reaction at the beginning and also how she has not fully opened her eyes to the truth that was being presented to her.</w:t>
      </w:r>
    </w:p>
    <w:p w14:paraId="43CCFBA8" w14:textId="741C926E" w:rsidR="00D61B11" w:rsidRDefault="00427043">
      <w:r>
        <w:t>However, w</w:t>
      </w:r>
      <w:r w:rsidR="00A97630">
        <w:t xml:space="preserve">hen Jesus calls Mary by her name in the next scene, this unrecognising is instantly changed </w:t>
      </w:r>
      <w:r w:rsidR="00711B46">
        <w:t xml:space="preserve">where she </w:t>
      </w:r>
      <w:r w:rsidR="001C0105">
        <w:t xml:space="preserve">turns to face </w:t>
      </w:r>
      <w:r w:rsidR="002C32A2">
        <w:t>Jesus</w:t>
      </w:r>
      <w:r w:rsidR="001C0105">
        <w:t xml:space="preserve"> again but can now see him as her ‘</w:t>
      </w:r>
      <w:proofErr w:type="spellStart"/>
      <w:r w:rsidR="001C0105">
        <w:t>Rabbouni</w:t>
      </w:r>
      <w:proofErr w:type="spellEnd"/>
      <w:r w:rsidR="001C0105">
        <w:t>’ (20:</w:t>
      </w:r>
      <w:r w:rsidR="002C32A2">
        <w:t xml:space="preserve">16) </w:t>
      </w:r>
      <w:r w:rsidR="000C08DF">
        <w:t xml:space="preserve">What is interesting here is how this can link back to a previous passage within the Gospel of John </w:t>
      </w:r>
      <w:r w:rsidR="002F6854">
        <w:t>where in 10:3, it states that ‘</w:t>
      </w:r>
      <w:r w:rsidR="00DC794B">
        <w:t xml:space="preserve">He calls his own sheep by name and leads them out,’ where this is especially significant for </w:t>
      </w:r>
      <w:r w:rsidR="00811EA1">
        <w:t>Mary</w:t>
      </w:r>
      <w:r w:rsidR="00DC794B">
        <w:t xml:space="preserve"> in her recognition of her leader</w:t>
      </w:r>
      <w:r w:rsidR="00811EA1">
        <w:t xml:space="preserve">, who has returned to guide his flock once more. </w:t>
      </w:r>
      <w:r w:rsidR="00CF21E5">
        <w:t xml:space="preserve">Christopher Tuckett comments on this also, where </w:t>
      </w:r>
      <w:r w:rsidR="00551B94">
        <w:t xml:space="preserve">he mentions that “to see </w:t>
      </w:r>
      <w:r w:rsidR="007B7CD6">
        <w:t>Jesus</w:t>
      </w:r>
      <w:r w:rsidR="00551B94">
        <w:t xml:space="preserve"> as (only) a teacher is not bad</w:t>
      </w:r>
      <w:r w:rsidR="00506ED5">
        <w:t xml:space="preserve">, but it fails to get to the deepest significance of the person </w:t>
      </w:r>
      <w:r w:rsidR="007B7CD6">
        <w:t>of Jesus for John,”</w:t>
      </w:r>
      <w:r w:rsidR="007B7CD6">
        <w:rPr>
          <w:rStyle w:val="FootnoteReference"/>
        </w:rPr>
        <w:footnoteReference w:id="6"/>
      </w:r>
      <w:r w:rsidR="000C08DF">
        <w:t xml:space="preserve"> </w:t>
      </w:r>
      <w:r w:rsidR="00A43ABD">
        <w:t xml:space="preserve">where this signifies further </w:t>
      </w:r>
      <w:r w:rsidR="00821D7A">
        <w:t xml:space="preserve">why </w:t>
      </w:r>
      <w:r w:rsidR="002067F1">
        <w:t>M</w:t>
      </w:r>
      <w:r w:rsidR="0084355A">
        <w:t xml:space="preserve">ary, although important by being the first person to see the risen Christ, is also important in a different way for Jesus as his messenger now to the apostles </w:t>
      </w:r>
      <w:r w:rsidR="002067F1">
        <w:t xml:space="preserve">of his resurrection. </w:t>
      </w:r>
      <w:r w:rsidR="00F1783B">
        <w:t>Jesus then</w:t>
      </w:r>
      <w:r w:rsidR="006F3A66">
        <w:t xml:space="preserve">, after her realisation, sent Mary to declare the news of Jesus’ resurrection the apostles where </w:t>
      </w:r>
      <w:r w:rsidR="00340464">
        <w:t xml:space="preserve">she announced that she had seen the Lord </w:t>
      </w:r>
      <w:r w:rsidR="00AE1006">
        <w:t xml:space="preserve">and that he had sent her to tell them. (20:18) </w:t>
      </w:r>
      <w:r w:rsidR="00720763">
        <w:t xml:space="preserve">It is not stated however if the apostles had initially believed Mary or who was </w:t>
      </w:r>
      <w:r w:rsidR="00D61B11">
        <w:t>present</w:t>
      </w:r>
      <w:r w:rsidR="00720763">
        <w:t xml:space="preserve"> and listening to her </w:t>
      </w:r>
      <w:r w:rsidR="00D61B11">
        <w:t>words but</w:t>
      </w:r>
      <w:r w:rsidR="00720763">
        <w:t xml:space="preserve"> </w:t>
      </w:r>
      <w:r w:rsidR="00C10C2B">
        <w:t xml:space="preserve">is continued </w:t>
      </w:r>
      <w:r w:rsidR="00D61B11">
        <w:t>in the following scene.</w:t>
      </w:r>
    </w:p>
    <w:p w14:paraId="1C50957E" w14:textId="035C623C" w:rsidR="00F9745D" w:rsidRPr="00D61B11" w:rsidRDefault="00F9745D">
      <w:r w:rsidRPr="009F0E23">
        <w:rPr>
          <w:b/>
          <w:bCs/>
        </w:rPr>
        <w:lastRenderedPageBreak/>
        <w:t>Jesus Appears to the Disciples</w:t>
      </w:r>
      <w:r w:rsidR="007C528B" w:rsidRPr="009F0E23">
        <w:rPr>
          <w:b/>
          <w:bCs/>
        </w:rPr>
        <w:t xml:space="preserve"> (20:19-23)</w:t>
      </w:r>
      <w:r w:rsidR="00C94D86">
        <w:rPr>
          <w:b/>
          <w:bCs/>
        </w:rPr>
        <w:t xml:space="preserve"> </w:t>
      </w:r>
    </w:p>
    <w:p w14:paraId="5054E0DF" w14:textId="065F18F7" w:rsidR="00332842" w:rsidRDefault="00F53B64">
      <w:r>
        <w:t>In the next scene</w:t>
      </w:r>
      <w:r w:rsidR="003B63D2">
        <w:t xml:space="preserve"> it is described as in the evening of the same day that Jesus was seen by Mary, </w:t>
      </w:r>
      <w:r w:rsidR="00564185">
        <w:t xml:space="preserve">where the passage </w:t>
      </w:r>
      <w:r w:rsidR="00FB3D26">
        <w:t xml:space="preserve">specifically mentions that the doors are locked </w:t>
      </w:r>
      <w:r w:rsidR="006E436F">
        <w:t xml:space="preserve">to the house where the apostles are all hiding inside. </w:t>
      </w:r>
      <w:r w:rsidR="00800FBC">
        <w:t>(20:</w:t>
      </w:r>
      <w:r w:rsidR="00D82ABD">
        <w:t xml:space="preserve">19) </w:t>
      </w:r>
      <w:r w:rsidR="006F77D6" w:rsidRPr="006F77D6">
        <w:t>What is also significant is how Thomas Aquinas also highlights this key aspect, of Mary going straight to the apostles; as Mary “came to those who were more important, and who loved Christ more ardently, so that they might either look for Jesus with her or share her sorrow.”</w:t>
      </w:r>
      <w:r w:rsidR="006F77D6">
        <w:rPr>
          <w:rStyle w:val="FootnoteReference"/>
        </w:rPr>
        <w:footnoteReference w:id="7"/>
      </w:r>
      <w:r w:rsidR="006F77D6" w:rsidRPr="006F77D6">
        <w:t xml:space="preserve">  We later find out that there is no need for them to be sorrowful or to go with Mary and look for Jesus as he appears with the apostles that evening.</w:t>
      </w:r>
      <w:r w:rsidR="006F77D6">
        <w:t xml:space="preserve"> </w:t>
      </w:r>
      <w:r w:rsidR="00A9548F">
        <w:t>Jesus’ first words to the apostles</w:t>
      </w:r>
      <w:r w:rsidR="006F77D6">
        <w:t>;</w:t>
      </w:r>
      <w:r w:rsidR="001D5767">
        <w:t xml:space="preserve"> ‘Peace be with you,’ are very important in understanding where Jesus felt his apostles needed to hear from their leader now. </w:t>
      </w:r>
      <w:r w:rsidR="00BA4B13">
        <w:t>Guzik makes note of this by stating that “after their desertion of Jesus on the day</w:t>
      </w:r>
      <w:r w:rsidR="006A4045">
        <w:t xml:space="preserve"> of his crucifixion, the disciples probably expected words of rebuke or blame. Instead, </w:t>
      </w:r>
      <w:r w:rsidR="00D83647">
        <w:t>Jesus</w:t>
      </w:r>
      <w:r w:rsidR="00C776D2">
        <w:t xml:space="preserve"> brought a word of peace, reconciling peace</w:t>
      </w:r>
      <w:r w:rsidR="00D83647">
        <w:t>.”</w:t>
      </w:r>
      <w:r w:rsidR="00EB20E2">
        <w:rPr>
          <w:rStyle w:val="FootnoteReference"/>
        </w:rPr>
        <w:footnoteReference w:id="8"/>
      </w:r>
      <w:r w:rsidR="00F910AF">
        <w:t xml:space="preserve"> By hearing </w:t>
      </w:r>
      <w:r w:rsidR="009A3DF6">
        <w:t>these words</w:t>
      </w:r>
      <w:r w:rsidR="00AB58F7">
        <w:t xml:space="preserve">, </w:t>
      </w:r>
      <w:r w:rsidR="00F678A6">
        <w:t>the apostles were also shown Jesus’ hands and his side, where he was nailed to the cross and poked with a spear to confirm his death</w:t>
      </w:r>
      <w:r w:rsidR="00CC4548">
        <w:t>, at his crucifixion</w:t>
      </w:r>
      <w:r w:rsidR="00187831">
        <w:t xml:space="preserve">. </w:t>
      </w:r>
    </w:p>
    <w:p w14:paraId="5B7CD5DA" w14:textId="39D3E22C" w:rsidR="009F0E23" w:rsidRDefault="003B63D2">
      <w:r>
        <w:t xml:space="preserve"> </w:t>
      </w:r>
      <w:r w:rsidR="003F6137">
        <w:t xml:space="preserve">What happens following on from this </w:t>
      </w:r>
      <w:r w:rsidR="00F62964">
        <w:t xml:space="preserve">is very important </w:t>
      </w:r>
      <w:r w:rsidR="009F740E">
        <w:t xml:space="preserve">where </w:t>
      </w:r>
      <w:r w:rsidR="00B8795E">
        <w:t>Jesus</w:t>
      </w:r>
      <w:r w:rsidR="009C6414">
        <w:t xml:space="preserve"> repeats: ‘peace be with you’ but this time is different, where </w:t>
      </w:r>
      <w:r w:rsidR="005C58A6">
        <w:t xml:space="preserve">he continues ‘as the Father has sent me, so I send you.’ </w:t>
      </w:r>
      <w:r w:rsidR="00F54653">
        <w:t xml:space="preserve">At this time, he then breathed </w:t>
      </w:r>
      <w:r w:rsidR="00874671">
        <w:t>on them and said</w:t>
      </w:r>
      <w:r w:rsidR="00282C88">
        <w:t>:</w:t>
      </w:r>
      <w:r w:rsidR="00874671">
        <w:t xml:space="preserve"> ‘receive the Holy Spirit’ (20:21). </w:t>
      </w:r>
      <w:r w:rsidR="00B345C9">
        <w:t xml:space="preserve">Tuckett </w:t>
      </w:r>
      <w:r w:rsidR="00656C86">
        <w:t xml:space="preserve">explores the idea that this ‘breathing into’ the apostles </w:t>
      </w:r>
      <w:r w:rsidR="00E24540">
        <w:t>are</w:t>
      </w:r>
      <w:r w:rsidR="00656C86">
        <w:t xml:space="preserve"> linked similarly to </w:t>
      </w:r>
      <w:r w:rsidR="003271E7">
        <w:t>the idea of a new creation, as in Genesis 2:7, God breathed life into Adam</w:t>
      </w:r>
      <w:r w:rsidR="00285CA2">
        <w:t>, as Jesus has now done to his apostles.</w:t>
      </w:r>
      <w:r w:rsidR="00285CA2">
        <w:rPr>
          <w:rStyle w:val="FootnoteReference"/>
        </w:rPr>
        <w:footnoteReference w:id="9"/>
      </w:r>
      <w:r w:rsidR="00285CA2">
        <w:t xml:space="preserve"> </w:t>
      </w:r>
      <w:r w:rsidR="00874671">
        <w:t xml:space="preserve"> </w:t>
      </w:r>
      <w:r w:rsidR="003B6DDC">
        <w:t xml:space="preserve">This ‘new life’ that is given to the apostles present signifies their new mission: through Jesus and the receiving of the Holy Spirit, they are the ones who not only accepted and rejoiced to their </w:t>
      </w:r>
      <w:r w:rsidR="00992B16">
        <w:t xml:space="preserve">leader returning but they are now entrusted to continue in the works of the risen Christ for all. </w:t>
      </w:r>
      <w:r w:rsidR="000046EC">
        <w:t xml:space="preserve">Aquinas also highlights how </w:t>
      </w:r>
      <w:r w:rsidR="009B45FD">
        <w:t xml:space="preserve">“…for Christ came when they were united together, and the Holy Spirit </w:t>
      </w:r>
      <w:r w:rsidR="00D70773">
        <w:t xml:space="preserve">descended on them when they were united together, because Christ and the Holy Spirit </w:t>
      </w:r>
      <w:r w:rsidR="00B74244">
        <w:t>are present only to those who are united in charity.”</w:t>
      </w:r>
      <w:r w:rsidR="00B74244">
        <w:rPr>
          <w:rStyle w:val="FootnoteReference"/>
        </w:rPr>
        <w:footnoteReference w:id="10"/>
      </w:r>
      <w:r w:rsidR="00B74244">
        <w:t xml:space="preserve"> </w:t>
      </w:r>
      <w:r w:rsidR="008C1AB7">
        <w:t xml:space="preserve">Where we know that </w:t>
      </w:r>
      <w:r w:rsidR="00E24540">
        <w:t xml:space="preserve">Thomas was absent in this initial sighting of Jesus, </w:t>
      </w:r>
      <w:r w:rsidR="00833F0A">
        <w:t xml:space="preserve">those who were present did receive the Holy Spirit as a group where each member now has this gift of sharing and </w:t>
      </w:r>
      <w:r w:rsidR="00BA79DE">
        <w:t xml:space="preserve">spreading the word of the risen Christ to generations to come, where they have had the opportunity to see and be in the presence of Jesus, unlike </w:t>
      </w:r>
      <w:r w:rsidR="00F576A6">
        <w:t xml:space="preserve">the followers who are to come after. </w:t>
      </w:r>
      <w:r w:rsidR="00E24540">
        <w:t xml:space="preserve"> </w:t>
      </w:r>
    </w:p>
    <w:p w14:paraId="0DDAFDC7" w14:textId="2FCEACB9" w:rsidR="009512E5" w:rsidRPr="00D61B11" w:rsidRDefault="007D3A70">
      <w:r>
        <w:t xml:space="preserve">Warren Carter also comments on </w:t>
      </w:r>
      <w:r w:rsidR="00021945">
        <w:t>this aspect by noting that “</w:t>
      </w:r>
      <w:r w:rsidR="009C1B89">
        <w:t xml:space="preserve">the sort of Christian experience that John’s gospel comments </w:t>
      </w:r>
      <w:r w:rsidR="00293C92">
        <w:t>mean</w:t>
      </w:r>
      <w:r w:rsidR="009C1B89">
        <w:t xml:space="preserve"> participation </w:t>
      </w:r>
      <w:r w:rsidR="00BE2651">
        <w:t xml:space="preserve">in a mission community that performs the ‘greater works’ </w:t>
      </w:r>
      <w:r w:rsidR="007A581B">
        <w:t xml:space="preserve">of transforming justice and thereby continuing Jesus’ life-giving </w:t>
      </w:r>
      <w:r w:rsidR="00933638">
        <w:t>mission.”</w:t>
      </w:r>
      <w:r w:rsidR="00933638">
        <w:rPr>
          <w:rStyle w:val="FootnoteReference"/>
        </w:rPr>
        <w:footnoteReference w:id="11"/>
      </w:r>
      <w:r w:rsidR="00293C92">
        <w:t xml:space="preserve"> This further highlights </w:t>
      </w:r>
      <w:r w:rsidR="00FC75CA">
        <w:t xml:space="preserve">the continuation of Jesus’ mission, where through his death and resurrection this can be fulfilled and therefore </w:t>
      </w:r>
      <w:r w:rsidR="00671BE8">
        <w:t xml:space="preserve">Jesus’ own mission is now complete. He has passed on his tasks now to his apostles who can </w:t>
      </w:r>
      <w:r w:rsidR="00814887">
        <w:t xml:space="preserve">spread the word and teach others, sharing what they have seen as eyewitnesses now to the risen Christ. </w:t>
      </w:r>
      <w:r w:rsidR="00CF3C48">
        <w:t xml:space="preserve">Tucker also comments on the apostles as the eyewitnesses, where: “For John, </w:t>
      </w:r>
      <w:r w:rsidR="007E27D1">
        <w:t xml:space="preserve">the faith of the original </w:t>
      </w:r>
      <w:r w:rsidR="00A5351E">
        <w:t>eyewitnesses</w:t>
      </w:r>
      <w:r w:rsidR="007E27D1">
        <w:t xml:space="preserve"> may be based on their physical sight and direct </w:t>
      </w:r>
      <w:r w:rsidR="007E27D1">
        <w:lastRenderedPageBreak/>
        <w:t xml:space="preserve">experience </w:t>
      </w:r>
      <w:r w:rsidR="005037B7">
        <w:t xml:space="preserve">of the events concerned; those who come after must base their faith on the testimony </w:t>
      </w:r>
      <w:r w:rsidR="001B6B40">
        <w:t xml:space="preserve">of the </w:t>
      </w:r>
      <w:r w:rsidR="00A5351E">
        <w:t>eyewitnesses</w:t>
      </w:r>
      <w:r w:rsidR="001B6B40">
        <w:t>.”</w:t>
      </w:r>
      <w:r w:rsidR="001B6B40">
        <w:rPr>
          <w:rStyle w:val="FootnoteReference"/>
        </w:rPr>
        <w:footnoteReference w:id="12"/>
      </w:r>
      <w:r w:rsidR="008E1B2C">
        <w:t xml:space="preserve"> </w:t>
      </w:r>
      <w:r w:rsidR="00A5351E">
        <w:t>This opens up further the debate on ‘seeing is believing’ where</w:t>
      </w:r>
      <w:r w:rsidR="008A492E">
        <w:t xml:space="preserve">, although unlike Mary, the apostles immediately saw their leader </w:t>
      </w:r>
      <w:r w:rsidR="009A7543">
        <w:t xml:space="preserve">at face value instantly recognising him. </w:t>
      </w:r>
      <w:r w:rsidR="00C94D86">
        <w:t>But</w:t>
      </w:r>
      <w:r w:rsidR="009A7543">
        <w:t xml:space="preserve"> it does raise an important question: would the apostles have such faith without seeing the risen Christ</w:t>
      </w:r>
      <w:r w:rsidR="00A871A3">
        <w:t xml:space="preserve">, as countless believers have had for the centuries after his death? Coming into this argument is the standpoint of Thomas, who was not present at the initial sighting of Jesus and initially </w:t>
      </w:r>
      <w:r w:rsidR="00C94D86">
        <w:t>refused to believe what the other apostles told him.</w:t>
      </w:r>
    </w:p>
    <w:p w14:paraId="792C06A4" w14:textId="21C8E649" w:rsidR="007C528B" w:rsidRDefault="007C528B">
      <w:pPr>
        <w:rPr>
          <w:b/>
          <w:bCs/>
        </w:rPr>
      </w:pPr>
      <w:r w:rsidRPr="009F0E23">
        <w:rPr>
          <w:b/>
          <w:bCs/>
        </w:rPr>
        <w:t>Jesus and Thomas (</w:t>
      </w:r>
      <w:r w:rsidR="009F0E23" w:rsidRPr="009F0E23">
        <w:rPr>
          <w:b/>
          <w:bCs/>
        </w:rPr>
        <w:t>20:24-28</w:t>
      </w:r>
      <w:r w:rsidR="00C81102">
        <w:rPr>
          <w:b/>
          <w:bCs/>
        </w:rPr>
        <w:t>)</w:t>
      </w:r>
    </w:p>
    <w:p w14:paraId="5BA9FA37" w14:textId="2A171038" w:rsidR="00C81102" w:rsidRDefault="00FF1A2E">
      <w:r>
        <w:t xml:space="preserve">The final chapter being discussed </w:t>
      </w:r>
      <w:r w:rsidR="007F7E26">
        <w:t>is the end of chapter 20</w:t>
      </w:r>
      <w:r w:rsidR="00050388">
        <w:t xml:space="preserve">:24-28 where we finally see what Thomas’ opinions are on the matter of Jesus being alive again. </w:t>
      </w:r>
      <w:r w:rsidR="0081744B">
        <w:t xml:space="preserve">It is said how the other </w:t>
      </w:r>
      <w:r w:rsidR="00E26CC1">
        <w:t xml:space="preserve">disciples </w:t>
      </w:r>
      <w:r w:rsidR="00C1351E">
        <w:t xml:space="preserve">told Thomas that they have seen the </w:t>
      </w:r>
      <w:r w:rsidR="00706DB2">
        <w:t>Lord,</w:t>
      </w:r>
      <w:r w:rsidR="00C1351E">
        <w:t xml:space="preserve"> </w:t>
      </w:r>
      <w:r w:rsidR="00BB5907">
        <w:t xml:space="preserve">but Thomas refused to believe them. (20:25) </w:t>
      </w:r>
      <w:r w:rsidR="00C47F3A">
        <w:t xml:space="preserve">Thomas wanted to see for himself the physical </w:t>
      </w:r>
      <w:r w:rsidR="00A06BCD">
        <w:t xml:space="preserve">body and even wanted to see and touch the wounds of Jesus’ crucifixion to believe in what the others have told him. </w:t>
      </w:r>
      <w:r w:rsidR="0029566D" w:rsidRPr="0029566D">
        <w:t>Aquinas adds to this as “Thomas was difficult to convince and unreasonable in his demands. He was difficult because he refused to believe without some sensible facts,”</w:t>
      </w:r>
      <w:r w:rsidR="0029566D">
        <w:rPr>
          <w:rStyle w:val="FootnoteReference"/>
        </w:rPr>
        <w:footnoteReference w:id="13"/>
      </w:r>
      <w:r w:rsidR="0029566D" w:rsidRPr="0029566D">
        <w:t xml:space="preserve"> </w:t>
      </w:r>
      <w:r w:rsidR="007F39BB">
        <w:t xml:space="preserve">while the apostles in the house did not even question if it was really Jesus, they all rejoiced as if he had never left at </w:t>
      </w:r>
      <w:proofErr w:type="gramStart"/>
      <w:r w:rsidR="007F39BB">
        <w:t>all</w:t>
      </w:r>
      <w:proofErr w:type="gramEnd"/>
      <w:r w:rsidR="007F39BB">
        <w:t xml:space="preserve"> but Thomas needed </w:t>
      </w:r>
      <w:r w:rsidR="006C66F0">
        <w:t xml:space="preserve">proof. </w:t>
      </w:r>
      <w:r w:rsidR="004A22A3">
        <w:t xml:space="preserve">With this, </w:t>
      </w:r>
      <w:r w:rsidR="00226290">
        <w:t xml:space="preserve">Guzik </w:t>
      </w:r>
      <w:r w:rsidR="006C66F0">
        <w:t xml:space="preserve">also </w:t>
      </w:r>
      <w:r w:rsidR="00226290">
        <w:t xml:space="preserve">highlights how “Jesus [later] grants Thomas the evidence that he demanded. </w:t>
      </w:r>
      <w:r w:rsidR="00062D9E">
        <w:t>We suppose that Jesus was not obligated to do this</w:t>
      </w:r>
      <w:r w:rsidR="005E297D">
        <w:t xml:space="preserve">; he could have demanded faith from Thomas </w:t>
      </w:r>
      <w:proofErr w:type="gramStart"/>
      <w:r w:rsidR="00754134">
        <w:t>on the basis of</w:t>
      </w:r>
      <w:proofErr w:type="gramEnd"/>
      <w:r w:rsidR="00754134">
        <w:t xml:space="preserve"> the reliable evidence from others.”</w:t>
      </w:r>
      <w:r w:rsidR="00754134">
        <w:rPr>
          <w:rStyle w:val="FootnoteReference"/>
        </w:rPr>
        <w:footnoteReference w:id="14"/>
      </w:r>
      <w:r w:rsidR="00754134">
        <w:t xml:space="preserve"> </w:t>
      </w:r>
      <w:r w:rsidR="00EA6C66">
        <w:t xml:space="preserve">With this, Thomas should have taken the word from all of the apostles who were </w:t>
      </w:r>
      <w:r w:rsidR="008C4E91">
        <w:t>present,</w:t>
      </w:r>
      <w:r w:rsidR="00EA6C66">
        <w:t xml:space="preserve"> and each received the Holy Spirit from Jesus</w:t>
      </w:r>
      <w:r w:rsidR="0062707B">
        <w:t>, however Thomas is being more sceptical and needs the proof like the others have received.</w:t>
      </w:r>
      <w:r w:rsidR="00C11A06">
        <w:t xml:space="preserve"> </w:t>
      </w:r>
      <w:r w:rsidR="00391627">
        <w:t>They weren’t random people telling him of the appearance of Jesus, therefore he should have believed their accounts to be accurate, as they all believed in Mary</w:t>
      </w:r>
      <w:r w:rsidR="008C4E91">
        <w:t xml:space="preserve">’s account. </w:t>
      </w:r>
    </w:p>
    <w:p w14:paraId="176486DE" w14:textId="5D00D2F7" w:rsidR="006C66F0" w:rsidRDefault="00614665">
      <w:r>
        <w:t xml:space="preserve">It is unclear however, when Jesus </w:t>
      </w:r>
      <w:r w:rsidR="008B0900">
        <w:t xml:space="preserve">tells Thomas to touch his wounds and feel his side, which is what </w:t>
      </w:r>
      <w:r w:rsidR="00477CDC">
        <w:t xml:space="preserve">Thomas </w:t>
      </w:r>
      <w:r w:rsidR="008B0900">
        <w:t>had said</w:t>
      </w:r>
      <w:r w:rsidR="00477CDC">
        <w:t xml:space="preserve"> would be his proof</w:t>
      </w:r>
      <w:r w:rsidR="00E91D3D">
        <w:t xml:space="preserve">, Tuckett adds </w:t>
      </w:r>
      <w:r w:rsidR="00135E82">
        <w:t xml:space="preserve">“whether Thomas </w:t>
      </w:r>
      <w:proofErr w:type="gramStart"/>
      <w:r w:rsidR="00135E82">
        <w:t>actually does</w:t>
      </w:r>
      <w:proofErr w:type="gramEnd"/>
      <w:r w:rsidR="00135E82">
        <w:t xml:space="preserve"> what Jesus invites him to do is not explicitly </w:t>
      </w:r>
      <w:r w:rsidR="00087A62">
        <w:t xml:space="preserve">stated. The immediate sequel to Jesus’ invitation </w:t>
      </w:r>
      <w:r w:rsidR="00856A74">
        <w:t>is Thomas’ famous Christological confession.”</w:t>
      </w:r>
      <w:r w:rsidR="00856A74">
        <w:rPr>
          <w:rStyle w:val="FootnoteReference"/>
        </w:rPr>
        <w:footnoteReference w:id="15"/>
      </w:r>
      <w:r w:rsidR="00477CDC">
        <w:t xml:space="preserve"> </w:t>
      </w:r>
      <w:r w:rsidR="00871822">
        <w:t xml:space="preserve">John does not </w:t>
      </w:r>
      <w:r w:rsidR="002F330A">
        <w:t xml:space="preserve">write </w:t>
      </w:r>
      <w:r w:rsidR="00363F21">
        <w:t xml:space="preserve">what happens but only adds </w:t>
      </w:r>
      <w:r w:rsidR="00F833C0">
        <w:t>how Thomas was doubting the truth from the apostles until he confessed his faith to Jesus</w:t>
      </w:r>
      <w:r w:rsidR="00665401">
        <w:t xml:space="preserve"> at this point. What can also be highlighted is these </w:t>
      </w:r>
      <w:r w:rsidR="007D52E5">
        <w:t>two contrasting interpretations of Thomas at this point: one the one hand</w:t>
      </w:r>
      <w:r w:rsidR="0083694A">
        <w:t>, is Thomas presented positively</w:t>
      </w:r>
      <w:r w:rsidR="00FA2CEC">
        <w:t xml:space="preserve"> where he has made the ultimate declaration of faith? Or on the other hand, </w:t>
      </w:r>
      <w:r w:rsidR="000A3A4A">
        <w:t xml:space="preserve">has demanded to see this proof and without seeing </w:t>
      </w:r>
      <w:r w:rsidR="00B05B54">
        <w:t>himself</w:t>
      </w:r>
      <w:r w:rsidR="000A3A4A">
        <w:t xml:space="preserve"> has denied all evidence presented to him?</w:t>
      </w:r>
      <w:r w:rsidR="000A3A4A">
        <w:rPr>
          <w:rStyle w:val="FootnoteReference"/>
        </w:rPr>
        <w:footnoteReference w:id="16"/>
      </w:r>
      <w:r w:rsidR="00B05B54">
        <w:t xml:space="preserve"> This can also be argued </w:t>
      </w:r>
      <w:r w:rsidR="006E3501">
        <w:t>where a true believer would not have asked for proof or even demanded to feel the wounds of his crucifixion</w:t>
      </w:r>
      <w:r w:rsidR="00384C80">
        <w:t>, which leaves Thomas in an unknowing situation.</w:t>
      </w:r>
    </w:p>
    <w:p w14:paraId="6989CC13" w14:textId="2F0F6859" w:rsidR="00030D22" w:rsidRPr="00FF1A2E" w:rsidRDefault="000A0047">
      <w:r>
        <w:t xml:space="preserve">The narrative </w:t>
      </w:r>
      <w:r w:rsidR="0061243A">
        <w:t xml:space="preserve">does not convey much theological ideas right up until the final </w:t>
      </w:r>
      <w:r w:rsidR="00B66C80">
        <w:t>chapter, where we see Thomas declaring his utmost belief in Jesus, as Larsen also picks up on how “</w:t>
      </w:r>
      <w:r w:rsidR="003476F3">
        <w:t xml:space="preserve">John goes along with these genre conventions in the main part of the scene </w:t>
      </w:r>
      <w:r w:rsidR="00983EFF">
        <w:t xml:space="preserve">until he breaks with reader expectations in the </w:t>
      </w:r>
      <w:r w:rsidR="00983EFF">
        <w:lastRenderedPageBreak/>
        <w:t>final part in order to make a theological point.”</w:t>
      </w:r>
      <w:r w:rsidR="00983EFF">
        <w:rPr>
          <w:rStyle w:val="FootnoteReference"/>
        </w:rPr>
        <w:footnoteReference w:id="17"/>
      </w:r>
      <w:r w:rsidR="00983EFF">
        <w:t xml:space="preserve"> </w:t>
      </w:r>
      <w:r w:rsidR="00B33411">
        <w:t>However, this point is crucial</w:t>
      </w:r>
      <w:r w:rsidR="003D432B">
        <w:t xml:space="preserve"> as </w:t>
      </w:r>
      <w:r w:rsidR="000F2DBC">
        <w:t xml:space="preserve">James G Somerville </w:t>
      </w:r>
      <w:r w:rsidR="003D432B">
        <w:t xml:space="preserve">also </w:t>
      </w:r>
      <w:r w:rsidR="000F2DBC">
        <w:t>makes the statement that “</w:t>
      </w:r>
      <w:r w:rsidR="0049269F">
        <w:t xml:space="preserve">it is not so much a story of Jesus’ resurrection that John tells </w:t>
      </w:r>
      <w:r w:rsidR="00386FCD">
        <w:t xml:space="preserve">here as it is the story of Thomas’ </w:t>
      </w:r>
      <w:r w:rsidR="00706DB2">
        <w:t>rise to faith.”</w:t>
      </w:r>
      <w:r w:rsidR="00384C80">
        <w:rPr>
          <w:rStyle w:val="FootnoteReference"/>
        </w:rPr>
        <w:footnoteReference w:id="18"/>
      </w:r>
      <w:r w:rsidR="00B871CF">
        <w:t xml:space="preserve"> This statement in itself </w:t>
      </w:r>
      <w:r w:rsidR="00365F63">
        <w:t xml:space="preserve">can change the entire understanding of the Gospel of John, where this asserts Thomas as the leading character, right at the end, where it is through his doubting and then sudden belief after seeing that will enable </w:t>
      </w:r>
      <w:r w:rsidR="003F003B">
        <w:t xml:space="preserve">further believers </w:t>
      </w:r>
      <w:r w:rsidR="009B575D">
        <w:t xml:space="preserve">in Jesus. </w:t>
      </w:r>
      <w:r w:rsidR="00116583">
        <w:t xml:space="preserve">What is left to mention however is </w:t>
      </w:r>
      <w:r w:rsidR="00524E7A">
        <w:t>the next statement that Jesus makes</w:t>
      </w:r>
      <w:r w:rsidR="005A7930">
        <w:t xml:space="preserve">, in 20:29, where it almost seems like </w:t>
      </w:r>
      <w:r w:rsidR="002F543F">
        <w:t xml:space="preserve">although Thomas has changed his viewpoint, </w:t>
      </w:r>
      <w:r w:rsidR="00B369F7">
        <w:t xml:space="preserve">where Somerville further adds </w:t>
      </w:r>
      <w:r w:rsidR="00553539">
        <w:t xml:space="preserve">that “Jesus’ response is gently reproving: “Have you believed because you </w:t>
      </w:r>
      <w:r w:rsidR="00877414">
        <w:t xml:space="preserve">have seen me, Thomas? Blessed </w:t>
      </w:r>
      <w:proofErr w:type="gramStart"/>
      <w:r w:rsidR="00877414">
        <w:t>are</w:t>
      </w:r>
      <w:proofErr w:type="gramEnd"/>
      <w:r w:rsidR="00877414">
        <w:t xml:space="preserve"> those who have not seen and yet have come to believe.”</w:t>
      </w:r>
      <w:r w:rsidR="00877414">
        <w:rPr>
          <w:rStyle w:val="FootnoteReference"/>
        </w:rPr>
        <w:footnoteReference w:id="19"/>
      </w:r>
      <w:r w:rsidR="00721F0E">
        <w:t xml:space="preserve"> This, I would argue, is more of a </w:t>
      </w:r>
      <w:r w:rsidR="00E52340">
        <w:t xml:space="preserve">snide remark to Thomas’ initial disbelief. Jesus, </w:t>
      </w:r>
      <w:proofErr w:type="gramStart"/>
      <w:r w:rsidR="00E52340">
        <w:t>therefore</w:t>
      </w:r>
      <w:proofErr w:type="gramEnd"/>
      <w:r w:rsidR="00E52340">
        <w:t xml:space="preserve"> speaks through the Gospel of John for the reader</w:t>
      </w:r>
      <w:r w:rsidR="0048523C">
        <w:t xml:space="preserve">: both ancient and modern, where one could not have possibly seen Jesus to believe in his works and mission however take the word of </w:t>
      </w:r>
      <w:r w:rsidR="00D435D5">
        <w:t xml:space="preserve">the ancient eyewitnesses; where seeing does not </w:t>
      </w:r>
      <w:r w:rsidR="0065349E">
        <w:t>have to equate to believing.</w:t>
      </w:r>
    </w:p>
    <w:p w14:paraId="2CC80770" w14:textId="77777777" w:rsidR="002860F1" w:rsidRDefault="002860F1">
      <w:pPr>
        <w:rPr>
          <w:b/>
          <w:bCs/>
          <w:u w:val="single"/>
        </w:rPr>
      </w:pPr>
    </w:p>
    <w:p w14:paraId="6A7FA1D5" w14:textId="77777777" w:rsidR="002860F1" w:rsidRDefault="002860F1">
      <w:pPr>
        <w:rPr>
          <w:b/>
          <w:bCs/>
          <w:u w:val="single"/>
        </w:rPr>
      </w:pPr>
    </w:p>
    <w:p w14:paraId="1B0FFD53" w14:textId="77777777" w:rsidR="002860F1" w:rsidRDefault="002860F1">
      <w:pPr>
        <w:rPr>
          <w:b/>
          <w:bCs/>
          <w:u w:val="single"/>
        </w:rPr>
      </w:pPr>
    </w:p>
    <w:p w14:paraId="7E1D162D" w14:textId="77777777" w:rsidR="002860F1" w:rsidRDefault="002860F1">
      <w:pPr>
        <w:rPr>
          <w:b/>
          <w:bCs/>
          <w:u w:val="single"/>
        </w:rPr>
      </w:pPr>
    </w:p>
    <w:p w14:paraId="4590D640" w14:textId="77777777" w:rsidR="002860F1" w:rsidRDefault="002860F1">
      <w:pPr>
        <w:rPr>
          <w:b/>
          <w:bCs/>
          <w:u w:val="single"/>
        </w:rPr>
      </w:pPr>
    </w:p>
    <w:p w14:paraId="7ADC17BE" w14:textId="77777777" w:rsidR="002860F1" w:rsidRDefault="002860F1">
      <w:pPr>
        <w:rPr>
          <w:b/>
          <w:bCs/>
          <w:u w:val="single"/>
        </w:rPr>
      </w:pPr>
    </w:p>
    <w:p w14:paraId="3ED9DBC0" w14:textId="77777777" w:rsidR="002860F1" w:rsidRDefault="002860F1">
      <w:pPr>
        <w:rPr>
          <w:b/>
          <w:bCs/>
          <w:u w:val="single"/>
        </w:rPr>
      </w:pPr>
    </w:p>
    <w:p w14:paraId="3AC651F8" w14:textId="77777777" w:rsidR="002860F1" w:rsidRDefault="002860F1">
      <w:pPr>
        <w:rPr>
          <w:b/>
          <w:bCs/>
          <w:u w:val="single"/>
        </w:rPr>
      </w:pPr>
    </w:p>
    <w:p w14:paraId="66563DBF" w14:textId="77777777" w:rsidR="002860F1" w:rsidRDefault="002860F1">
      <w:pPr>
        <w:rPr>
          <w:b/>
          <w:bCs/>
          <w:u w:val="single"/>
        </w:rPr>
      </w:pPr>
    </w:p>
    <w:p w14:paraId="2AC6E6A1" w14:textId="77777777" w:rsidR="002860F1" w:rsidRDefault="002860F1">
      <w:pPr>
        <w:rPr>
          <w:b/>
          <w:bCs/>
          <w:u w:val="single"/>
        </w:rPr>
      </w:pPr>
    </w:p>
    <w:p w14:paraId="7A6C4967" w14:textId="77777777" w:rsidR="002860F1" w:rsidRDefault="002860F1">
      <w:pPr>
        <w:rPr>
          <w:b/>
          <w:bCs/>
          <w:u w:val="single"/>
        </w:rPr>
      </w:pPr>
    </w:p>
    <w:p w14:paraId="347E6DDA" w14:textId="77777777" w:rsidR="002860F1" w:rsidRDefault="002860F1">
      <w:pPr>
        <w:rPr>
          <w:b/>
          <w:bCs/>
          <w:u w:val="single"/>
        </w:rPr>
      </w:pPr>
    </w:p>
    <w:p w14:paraId="1C79B7CC" w14:textId="77777777" w:rsidR="002860F1" w:rsidRDefault="002860F1">
      <w:pPr>
        <w:rPr>
          <w:b/>
          <w:bCs/>
          <w:u w:val="single"/>
        </w:rPr>
      </w:pPr>
    </w:p>
    <w:p w14:paraId="2AB31EE7" w14:textId="77777777" w:rsidR="002860F1" w:rsidRDefault="002860F1">
      <w:pPr>
        <w:rPr>
          <w:b/>
          <w:bCs/>
          <w:u w:val="single"/>
        </w:rPr>
      </w:pPr>
    </w:p>
    <w:p w14:paraId="2959D580" w14:textId="77777777" w:rsidR="002860F1" w:rsidRDefault="002860F1">
      <w:pPr>
        <w:rPr>
          <w:b/>
          <w:bCs/>
          <w:u w:val="single"/>
        </w:rPr>
      </w:pPr>
    </w:p>
    <w:p w14:paraId="68DBE120" w14:textId="77777777" w:rsidR="002860F1" w:rsidRDefault="002860F1">
      <w:pPr>
        <w:rPr>
          <w:b/>
          <w:bCs/>
          <w:u w:val="single"/>
        </w:rPr>
      </w:pPr>
    </w:p>
    <w:p w14:paraId="1958AECD" w14:textId="77777777" w:rsidR="002860F1" w:rsidRDefault="002860F1">
      <w:pPr>
        <w:rPr>
          <w:b/>
          <w:bCs/>
          <w:u w:val="single"/>
        </w:rPr>
      </w:pPr>
    </w:p>
    <w:p w14:paraId="77ED4EFA" w14:textId="77777777" w:rsidR="00633D18" w:rsidRDefault="00633D18">
      <w:pPr>
        <w:rPr>
          <w:b/>
          <w:bCs/>
          <w:u w:val="single"/>
        </w:rPr>
      </w:pPr>
    </w:p>
    <w:p w14:paraId="7C6695E6" w14:textId="4014C599" w:rsidR="00CC5711" w:rsidRPr="002860F1" w:rsidRDefault="00CC5711">
      <w:pPr>
        <w:rPr>
          <w:b/>
          <w:bCs/>
          <w:u w:val="single"/>
        </w:rPr>
      </w:pPr>
      <w:r w:rsidRPr="002860F1">
        <w:rPr>
          <w:b/>
          <w:bCs/>
          <w:u w:val="single"/>
        </w:rPr>
        <w:lastRenderedPageBreak/>
        <w:t>Bibliography</w:t>
      </w:r>
    </w:p>
    <w:p w14:paraId="170F0D00" w14:textId="77777777" w:rsidR="00633D18" w:rsidRDefault="00633D18">
      <w:r>
        <w:t xml:space="preserve">Aquinas, Thomas, et al. </w:t>
      </w:r>
      <w:bookmarkStart w:id="1" w:name="_Hlk155184252"/>
      <w:r>
        <w:t xml:space="preserve">“Chapter 20” in </w:t>
      </w:r>
      <w:r w:rsidRPr="002860F1">
        <w:rPr>
          <w:i/>
          <w:iCs/>
        </w:rPr>
        <w:t>Commentary on the Gospel of John: Chapters 13-21</w:t>
      </w:r>
      <w:r>
        <w:t xml:space="preserve">, Catholic University of America Press, 2010, pp.252-281 JSTOR, </w:t>
      </w:r>
      <w:hyperlink r:id="rId7" w:history="1">
        <w:r w:rsidRPr="00C526F7">
          <w:rPr>
            <w:rStyle w:val="Hyperlink"/>
          </w:rPr>
          <w:t>https://doi.org/10.2307/j.ctt31nk8p.11</w:t>
        </w:r>
      </w:hyperlink>
      <w:r>
        <w:t xml:space="preserve"> [accessed 2 January 2024]</w:t>
      </w:r>
      <w:bookmarkEnd w:id="1"/>
    </w:p>
    <w:p w14:paraId="37726DFA" w14:textId="77777777" w:rsidR="00633D18" w:rsidRDefault="00633D18">
      <w:r>
        <w:t xml:space="preserve">Ashton, John, Christopher Rowland, and Catrin H Williams, </w:t>
      </w:r>
      <w:r w:rsidRPr="00022B7E">
        <w:rPr>
          <w:i/>
          <w:iCs/>
        </w:rPr>
        <w:t>Discovering John: Essays by John Ashton</w:t>
      </w:r>
      <w:r>
        <w:t xml:space="preserve"> (Bristol: James Clarke Company Limited, 2021)</w:t>
      </w:r>
    </w:p>
    <w:p w14:paraId="3BF1D368" w14:textId="77777777" w:rsidR="00633D18" w:rsidRDefault="00633D18">
      <w:r>
        <w:t xml:space="preserve">Brodie, Thomas L., </w:t>
      </w:r>
      <w:r w:rsidRPr="00CC5711">
        <w:rPr>
          <w:i/>
          <w:iCs/>
        </w:rPr>
        <w:t xml:space="preserve">The Quest for the Origin of John’s Gospel </w:t>
      </w:r>
      <w:r>
        <w:t>(Oxford University Press: Oxford, 1993)</w:t>
      </w:r>
    </w:p>
    <w:p w14:paraId="4748107A" w14:textId="77777777" w:rsidR="00633D18" w:rsidRDefault="00633D18">
      <w:r>
        <w:t xml:space="preserve">Carter, Warren., </w:t>
      </w:r>
      <w:r w:rsidRPr="00CC5711">
        <w:rPr>
          <w:i/>
          <w:iCs/>
        </w:rPr>
        <w:t>John: Storyteller, Interpreter, Evangelist (</w:t>
      </w:r>
      <w:r>
        <w:t>Hendrickson Publishers: Massachusetts, 2006)</w:t>
      </w:r>
    </w:p>
    <w:p w14:paraId="32ACEE0A" w14:textId="77777777" w:rsidR="00633D18" w:rsidRDefault="00633D18">
      <w:r>
        <w:t xml:space="preserve">Elliot, W.J. (William James), and D.C. (David C) Parker, </w:t>
      </w:r>
      <w:r w:rsidRPr="00C24E43">
        <w:rPr>
          <w:i/>
          <w:iCs/>
        </w:rPr>
        <w:t>The Gospel According to St. John.</w:t>
      </w:r>
      <w:r>
        <w:t xml:space="preserve"> (New York: EJ Brill, 1995)</w:t>
      </w:r>
    </w:p>
    <w:p w14:paraId="2F34C7AE" w14:textId="77777777" w:rsidR="00633D18" w:rsidRDefault="00633D18">
      <w:r>
        <w:t xml:space="preserve">Guzik, David, </w:t>
      </w:r>
      <w:r w:rsidRPr="00C24E43">
        <w:rPr>
          <w:i/>
          <w:iCs/>
        </w:rPr>
        <w:t xml:space="preserve">‘John 20- An Empty Tomb and a Risen Jesus’, </w:t>
      </w:r>
      <w:hyperlink r:id="rId8" w:history="1">
        <w:r w:rsidRPr="00C526F7">
          <w:rPr>
            <w:rStyle w:val="Hyperlink"/>
          </w:rPr>
          <w:t>https://enduringword.com/bible-commentary/john-20/</w:t>
        </w:r>
      </w:hyperlink>
      <w:r>
        <w:t xml:space="preserve"> [accessed 2 </w:t>
      </w:r>
      <w:proofErr w:type="spellStart"/>
      <w:r>
        <w:t>Janurary</w:t>
      </w:r>
      <w:proofErr w:type="spellEnd"/>
      <w:r>
        <w:t xml:space="preserve"> 2024]</w:t>
      </w:r>
    </w:p>
    <w:p w14:paraId="16DD3415" w14:textId="77777777" w:rsidR="00633D18" w:rsidRDefault="00633D18">
      <w:r>
        <w:t xml:space="preserve">Koester, Craig R., </w:t>
      </w:r>
      <w:bookmarkStart w:id="2" w:name="_Hlk155179497"/>
      <w:r w:rsidRPr="002860F1">
        <w:rPr>
          <w:i/>
          <w:iCs/>
        </w:rPr>
        <w:t>‘John: A Commentary by Marianne Meye Thompson’,</w:t>
      </w:r>
      <w:r>
        <w:t xml:space="preserve"> Interpretation (London, England: SAGE Publications, 2017), </w:t>
      </w:r>
      <w:bookmarkEnd w:id="2"/>
      <w:r>
        <w:t>pp.322-324</w:t>
      </w:r>
    </w:p>
    <w:p w14:paraId="3F23C340" w14:textId="77777777" w:rsidR="00633D18" w:rsidRDefault="00633D18">
      <w:r>
        <w:t xml:space="preserve">Larsen, Kasper Bro., </w:t>
      </w:r>
      <w:r w:rsidRPr="00BE76C9">
        <w:rPr>
          <w:i/>
          <w:iCs/>
        </w:rPr>
        <w:t>Recognizing the Stranger: Recognition Scenes in the Gospel of John.</w:t>
      </w:r>
      <w:r>
        <w:t xml:space="preserve"> (Leiden: Brill, 2008.)</w:t>
      </w:r>
    </w:p>
    <w:p w14:paraId="5A063BE0" w14:textId="77777777" w:rsidR="00633D18" w:rsidRDefault="00633D18">
      <w:r>
        <w:t xml:space="preserve">Lincoln, Andrew T., </w:t>
      </w:r>
      <w:r w:rsidRPr="000E78AB">
        <w:rPr>
          <w:i/>
          <w:iCs/>
        </w:rPr>
        <w:t>The Gospel According to Saint John</w:t>
      </w:r>
      <w:r>
        <w:t xml:space="preserve">, Hendrickson Publishers, </w:t>
      </w:r>
      <w:proofErr w:type="spellStart"/>
      <w:r>
        <w:t>Inc.ed</w:t>
      </w:r>
      <w:proofErr w:type="spellEnd"/>
      <w:r>
        <w:t>. (Peabody Mass: Hendrickson Publishers, 2005)</w:t>
      </w:r>
    </w:p>
    <w:p w14:paraId="3C33E11C" w14:textId="77777777" w:rsidR="00633D18" w:rsidRDefault="00633D18">
      <w:r>
        <w:t xml:space="preserve">Perkins, P. (1992), “I have seen the Lord” (John 20:18) </w:t>
      </w:r>
      <w:r w:rsidRPr="000C6A4E">
        <w:rPr>
          <w:i/>
          <w:iCs/>
        </w:rPr>
        <w:t xml:space="preserve">Women witnesses to the Resurrection. Interpretation, </w:t>
      </w:r>
      <w:r>
        <w:t>(Vol.46, 1, pp.31-41) Richmond.</w:t>
      </w:r>
    </w:p>
    <w:p w14:paraId="2D4FB5C1" w14:textId="77777777" w:rsidR="00633D18" w:rsidRDefault="00633D18">
      <w:r>
        <w:t xml:space="preserve">Somerville, J.G, </w:t>
      </w:r>
      <w:proofErr w:type="gramStart"/>
      <w:r>
        <w:t>Those</w:t>
      </w:r>
      <w:proofErr w:type="gramEnd"/>
      <w:r>
        <w:t xml:space="preserve"> who have not seen (gospel of John 20:19-31 tries to convince even the </w:t>
      </w:r>
      <w:proofErr w:type="spellStart"/>
      <w:r>
        <w:t>skeptic</w:t>
      </w:r>
      <w:proofErr w:type="spellEnd"/>
      <w:r>
        <w:t xml:space="preserve"> that Jesus Christ is the Son of God.) in </w:t>
      </w:r>
      <w:r w:rsidRPr="00AD5857">
        <w:rPr>
          <w:i/>
          <w:iCs/>
        </w:rPr>
        <w:t>The Christian Century</w:t>
      </w:r>
      <w:r>
        <w:t xml:space="preserve"> (1998) (Vol.115, 11, pp. 364) The Christian Century Foundation.</w:t>
      </w:r>
    </w:p>
    <w:p w14:paraId="65FC8AFF" w14:textId="77777777" w:rsidR="00633D18" w:rsidRDefault="00633D18">
      <w:r>
        <w:t xml:space="preserve">Thompson, Casey, ‘John 20:19-23’, </w:t>
      </w:r>
      <w:r w:rsidRPr="000E78AB">
        <w:rPr>
          <w:i/>
          <w:iCs/>
        </w:rPr>
        <w:t>Interpretation</w:t>
      </w:r>
      <w:r>
        <w:t xml:space="preserve"> (Richmond, Vol.68, 2, 2014) pp.187-189</w:t>
      </w:r>
    </w:p>
    <w:p w14:paraId="246D4955" w14:textId="77777777" w:rsidR="00633D18" w:rsidRDefault="00633D18">
      <w:r>
        <w:t xml:space="preserve">Tuckett, Christopher, </w:t>
      </w:r>
      <w:bookmarkStart w:id="3" w:name="_Hlk155180881"/>
      <w:r>
        <w:t xml:space="preserve">‘Seeing and Believing in John 20,’ in </w:t>
      </w:r>
      <w:r w:rsidRPr="000E78AB">
        <w:rPr>
          <w:i/>
          <w:iCs/>
        </w:rPr>
        <w:t>Paul</w:t>
      </w:r>
      <w:r>
        <w:rPr>
          <w:i/>
          <w:iCs/>
        </w:rPr>
        <w:t xml:space="preserve">, </w:t>
      </w:r>
      <w:r w:rsidRPr="000E78AB">
        <w:rPr>
          <w:i/>
          <w:iCs/>
        </w:rPr>
        <w:t>John and Apocalyptic Eschatology.</w:t>
      </w:r>
      <w:r>
        <w:t xml:space="preserve"> (United States: BRILL, 2013) pp.169-185</w:t>
      </w:r>
      <w:bookmarkEnd w:id="3"/>
    </w:p>
    <w:p w14:paraId="0FA2FC8D" w14:textId="77777777" w:rsidR="00633D18" w:rsidRDefault="00633D18">
      <w:r>
        <w:t xml:space="preserve">Zumstein, Jean, ‘The purpose of the ministry and death of Jesus in the Gospel of John’, in Judith M. Lieu, and Martinus C. de Boer (eds), </w:t>
      </w:r>
      <w:r w:rsidRPr="002860F1">
        <w:rPr>
          <w:i/>
          <w:iCs/>
        </w:rPr>
        <w:t>The Oxford Handbook of Johannine Studies,</w:t>
      </w:r>
      <w:r>
        <w:t xml:space="preserve"> Oxford Handbooks (2018; online </w:t>
      </w:r>
      <w:proofErr w:type="spellStart"/>
      <w:r>
        <w:t>edn</w:t>
      </w:r>
      <w:proofErr w:type="spellEnd"/>
      <w:r>
        <w:t xml:space="preserve">, Oxford Academic, 10 Sept. 2018) </w:t>
      </w:r>
      <w:hyperlink r:id="rId9" w:history="1">
        <w:r w:rsidRPr="00C526F7">
          <w:rPr>
            <w:rStyle w:val="Hyperlink"/>
          </w:rPr>
          <w:t>https://doi.org/10.1093/oxfordhb/9780198739982.013.19</w:t>
        </w:r>
      </w:hyperlink>
      <w:r>
        <w:t xml:space="preserve"> [accessed 2 January 2024] </w:t>
      </w:r>
    </w:p>
    <w:p w14:paraId="51750A0D" w14:textId="77777777" w:rsidR="003743D8" w:rsidRDefault="003743D8"/>
    <w:p w14:paraId="153678AA" w14:textId="77777777" w:rsidR="0091730A" w:rsidRDefault="0091730A"/>
    <w:p w14:paraId="08B683B5" w14:textId="77777777" w:rsidR="0091730A" w:rsidRDefault="0091730A"/>
    <w:sectPr w:rsidR="009173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8E164" w14:textId="77777777" w:rsidR="008F1E61" w:rsidRDefault="008F1E61" w:rsidP="008F1E61">
      <w:pPr>
        <w:spacing w:after="0" w:line="240" w:lineRule="auto"/>
      </w:pPr>
      <w:r>
        <w:separator/>
      </w:r>
    </w:p>
  </w:endnote>
  <w:endnote w:type="continuationSeparator" w:id="0">
    <w:p w14:paraId="297F31D2" w14:textId="77777777" w:rsidR="008F1E61" w:rsidRDefault="008F1E61" w:rsidP="008F1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456CF" w14:textId="77777777" w:rsidR="008F1E61" w:rsidRDefault="008F1E61" w:rsidP="008F1E61">
      <w:pPr>
        <w:spacing w:after="0" w:line="240" w:lineRule="auto"/>
      </w:pPr>
      <w:r>
        <w:separator/>
      </w:r>
    </w:p>
  </w:footnote>
  <w:footnote w:type="continuationSeparator" w:id="0">
    <w:p w14:paraId="71DC47DA" w14:textId="77777777" w:rsidR="008F1E61" w:rsidRDefault="008F1E61" w:rsidP="008F1E61">
      <w:pPr>
        <w:spacing w:after="0" w:line="240" w:lineRule="auto"/>
      </w:pPr>
      <w:r>
        <w:continuationSeparator/>
      </w:r>
    </w:p>
  </w:footnote>
  <w:footnote w:id="1">
    <w:p w14:paraId="4F885635" w14:textId="502D1DF6" w:rsidR="008F1E61" w:rsidRDefault="008F1E61">
      <w:pPr>
        <w:pStyle w:val="FootnoteText"/>
      </w:pPr>
      <w:r>
        <w:rPr>
          <w:rStyle w:val="FootnoteReference"/>
        </w:rPr>
        <w:footnoteRef/>
      </w:r>
      <w:r>
        <w:t xml:space="preserve"> David</w:t>
      </w:r>
      <w:r w:rsidR="00991C64">
        <w:t xml:space="preserve"> </w:t>
      </w:r>
      <w:r>
        <w:t>Guzik</w:t>
      </w:r>
      <w:r w:rsidR="00E82669">
        <w:t xml:space="preserve">, </w:t>
      </w:r>
      <w:r w:rsidR="00E82669" w:rsidRPr="00E82669">
        <w:rPr>
          <w:i/>
          <w:iCs/>
        </w:rPr>
        <w:t>‘John 20- An Empty Tomb and a Risen Jesus’</w:t>
      </w:r>
      <w:r w:rsidR="00E82669" w:rsidRPr="00E82669">
        <w:t xml:space="preserve">, </w:t>
      </w:r>
      <w:hyperlink r:id="rId1" w:history="1">
        <w:r w:rsidR="00E82669" w:rsidRPr="00C526F7">
          <w:rPr>
            <w:rStyle w:val="Hyperlink"/>
          </w:rPr>
          <w:t>https://enduringword.com/bible-commentary/john-20/</w:t>
        </w:r>
      </w:hyperlink>
      <w:r w:rsidR="00E82669">
        <w:t xml:space="preserve"> </w:t>
      </w:r>
    </w:p>
  </w:footnote>
  <w:footnote w:id="2">
    <w:p w14:paraId="784C5B92" w14:textId="6987A6E4" w:rsidR="00053F41" w:rsidRDefault="00053F41">
      <w:pPr>
        <w:pStyle w:val="FootnoteText"/>
      </w:pPr>
      <w:r>
        <w:rPr>
          <w:rStyle w:val="FootnoteReference"/>
        </w:rPr>
        <w:footnoteRef/>
      </w:r>
      <w:r>
        <w:t xml:space="preserve"> Kasper Bro Larsen,</w:t>
      </w:r>
      <w:r w:rsidR="00A93EC7" w:rsidRPr="00A93EC7">
        <w:t xml:space="preserve"> </w:t>
      </w:r>
      <w:r w:rsidR="00A93EC7" w:rsidRPr="009C44D3">
        <w:rPr>
          <w:i/>
          <w:iCs/>
        </w:rPr>
        <w:t>Recognizing the Stranger: Recognition Scenes in the Gospel of John.</w:t>
      </w:r>
      <w:r w:rsidR="00A93EC7" w:rsidRPr="00A93EC7">
        <w:t xml:space="preserve"> (Leiden: Brill, 2008.)</w:t>
      </w:r>
      <w:r w:rsidR="009C44D3">
        <w:t xml:space="preserve"> </w:t>
      </w:r>
      <w:r w:rsidR="00A93EC7">
        <w:t>p.</w:t>
      </w:r>
      <w:r w:rsidR="009C44D3">
        <w:t>199.</w:t>
      </w:r>
    </w:p>
  </w:footnote>
  <w:footnote w:id="3">
    <w:p w14:paraId="59C38FF0" w14:textId="00D2C393" w:rsidR="00B50841" w:rsidRDefault="00B50841">
      <w:pPr>
        <w:pStyle w:val="FootnoteText"/>
      </w:pPr>
      <w:r>
        <w:rPr>
          <w:rStyle w:val="FootnoteReference"/>
        </w:rPr>
        <w:footnoteRef/>
      </w:r>
      <w:r>
        <w:t xml:space="preserve"> David Guzik, </w:t>
      </w:r>
      <w:bookmarkStart w:id="0" w:name="_Hlk155182567"/>
      <w:r w:rsidR="00991C64">
        <w:t>‘</w:t>
      </w:r>
      <w:r w:rsidR="00991C64" w:rsidRPr="00991C64">
        <w:rPr>
          <w:i/>
          <w:iCs/>
        </w:rPr>
        <w:t>John 20- An Empty Tomb and a Risen Jesus’</w:t>
      </w:r>
      <w:r w:rsidR="00991C64" w:rsidRPr="00991C64">
        <w:t xml:space="preserve">, </w:t>
      </w:r>
      <w:hyperlink r:id="rId2" w:history="1">
        <w:r w:rsidR="00991C64" w:rsidRPr="00C526F7">
          <w:rPr>
            <w:rStyle w:val="Hyperlink"/>
          </w:rPr>
          <w:t>https://enduringword.com/bible-commentary/john-20/</w:t>
        </w:r>
      </w:hyperlink>
      <w:r w:rsidR="00991C64">
        <w:t xml:space="preserve"> </w:t>
      </w:r>
      <w:bookmarkEnd w:id="0"/>
    </w:p>
  </w:footnote>
  <w:footnote w:id="4">
    <w:p w14:paraId="01BDC318" w14:textId="4FE58E34" w:rsidR="005B5771" w:rsidRDefault="005B5771">
      <w:pPr>
        <w:pStyle w:val="FootnoteText"/>
      </w:pPr>
      <w:r>
        <w:rPr>
          <w:rStyle w:val="FootnoteReference"/>
        </w:rPr>
        <w:footnoteRef/>
      </w:r>
      <w:r>
        <w:t xml:space="preserve"> Craig R Koester, </w:t>
      </w:r>
      <w:r w:rsidRPr="005B5771">
        <w:t xml:space="preserve">‘John: A Commentary by Marianne Meye Thompson’, </w:t>
      </w:r>
      <w:r w:rsidRPr="005B5771">
        <w:rPr>
          <w:i/>
          <w:iCs/>
        </w:rPr>
        <w:t>Interpretation</w:t>
      </w:r>
      <w:r w:rsidRPr="005B5771">
        <w:t xml:space="preserve"> (London, England: SAGE Publications, 2017)</w:t>
      </w:r>
      <w:r>
        <w:t xml:space="preserve"> p.</w:t>
      </w:r>
      <w:r w:rsidR="001A4FB5">
        <w:t>322.</w:t>
      </w:r>
    </w:p>
  </w:footnote>
  <w:footnote w:id="5">
    <w:p w14:paraId="2EAC1CE8" w14:textId="0A6ECE7A" w:rsidR="006473D8" w:rsidRDefault="006473D8">
      <w:pPr>
        <w:pStyle w:val="FootnoteText"/>
      </w:pPr>
      <w:r>
        <w:rPr>
          <w:rStyle w:val="FootnoteReference"/>
        </w:rPr>
        <w:footnoteRef/>
      </w:r>
      <w:r>
        <w:t xml:space="preserve"> </w:t>
      </w:r>
      <w:r w:rsidRPr="006473D8">
        <w:t xml:space="preserve">Kasper Bro Larsen, </w:t>
      </w:r>
      <w:r w:rsidRPr="00B402C5">
        <w:rPr>
          <w:i/>
          <w:iCs/>
        </w:rPr>
        <w:t>Recognizing the Stranger: Recognition Scenes in the Gospel of John.</w:t>
      </w:r>
      <w:r w:rsidRPr="006473D8">
        <w:t xml:space="preserve"> (Leiden: Brill, 2008.) p.</w:t>
      </w:r>
      <w:r w:rsidR="00B402C5">
        <w:t>200.</w:t>
      </w:r>
    </w:p>
  </w:footnote>
  <w:footnote w:id="6">
    <w:p w14:paraId="45D6789C" w14:textId="579198CA" w:rsidR="007B7CD6" w:rsidRDefault="007B7CD6">
      <w:pPr>
        <w:pStyle w:val="FootnoteText"/>
      </w:pPr>
      <w:r>
        <w:rPr>
          <w:rStyle w:val="FootnoteReference"/>
        </w:rPr>
        <w:footnoteRef/>
      </w:r>
      <w:r>
        <w:t xml:space="preserve"> </w:t>
      </w:r>
      <w:r w:rsidR="00235D9F">
        <w:t xml:space="preserve">Christopher Tuckett, </w:t>
      </w:r>
      <w:r w:rsidR="00235D9F" w:rsidRPr="00235D9F">
        <w:t xml:space="preserve">‘Seeing and Believing in John 20,’ in </w:t>
      </w:r>
      <w:r w:rsidR="00235D9F" w:rsidRPr="00235D9F">
        <w:rPr>
          <w:i/>
          <w:iCs/>
        </w:rPr>
        <w:t>Paul, John and Apocalyptic Eschatology.</w:t>
      </w:r>
      <w:r w:rsidR="00235D9F" w:rsidRPr="00235D9F">
        <w:t xml:space="preserve"> (United States: BRILL, 2013) p</w:t>
      </w:r>
      <w:r w:rsidR="00235D9F">
        <w:t>.</w:t>
      </w:r>
      <w:r w:rsidR="00A43ABD">
        <w:t>181.</w:t>
      </w:r>
    </w:p>
  </w:footnote>
  <w:footnote w:id="7">
    <w:p w14:paraId="789371B2" w14:textId="4A11A980" w:rsidR="006F77D6" w:rsidRDefault="006F77D6">
      <w:pPr>
        <w:pStyle w:val="FootnoteText"/>
      </w:pPr>
      <w:r>
        <w:rPr>
          <w:rStyle w:val="FootnoteReference"/>
        </w:rPr>
        <w:footnoteRef/>
      </w:r>
      <w:r>
        <w:t xml:space="preserve"> Thomas Aquinas, et al, </w:t>
      </w:r>
      <w:r w:rsidRPr="006F77D6">
        <w:t xml:space="preserve">“Chapter 20” in </w:t>
      </w:r>
      <w:r w:rsidRPr="006F77D6">
        <w:rPr>
          <w:i/>
          <w:iCs/>
        </w:rPr>
        <w:t>Commentary on the Gospel of John: Chapters 13-21,</w:t>
      </w:r>
      <w:r w:rsidRPr="006F77D6">
        <w:t xml:space="preserve"> Catholic University of America Press, 2010</w:t>
      </w:r>
      <w:r>
        <w:t xml:space="preserve"> </w:t>
      </w:r>
      <w:r w:rsidRPr="006F77D6">
        <w:t xml:space="preserve">JSTOR, </w:t>
      </w:r>
      <w:hyperlink r:id="rId3" w:history="1">
        <w:r w:rsidRPr="00C526F7">
          <w:rPr>
            <w:rStyle w:val="Hyperlink"/>
          </w:rPr>
          <w:t>https://doi.org/10.2307/j.ctt31nk8p.11</w:t>
        </w:r>
      </w:hyperlink>
      <w:r>
        <w:t xml:space="preserve"> </w:t>
      </w:r>
      <w:r w:rsidRPr="006F77D6">
        <w:t>[accessed 2 January 2024]</w:t>
      </w:r>
      <w:r w:rsidR="005D5570">
        <w:t xml:space="preserve"> p.</w:t>
      </w:r>
      <w:r w:rsidR="009512E5">
        <w:t>254.</w:t>
      </w:r>
    </w:p>
  </w:footnote>
  <w:footnote w:id="8">
    <w:p w14:paraId="233AF390" w14:textId="41D52EB3" w:rsidR="00EB20E2" w:rsidRDefault="00EB20E2">
      <w:pPr>
        <w:pStyle w:val="FootnoteText"/>
      </w:pPr>
      <w:r>
        <w:rPr>
          <w:rStyle w:val="FootnoteReference"/>
        </w:rPr>
        <w:footnoteRef/>
      </w:r>
      <w:r>
        <w:t xml:space="preserve"> David Guzik, </w:t>
      </w:r>
      <w:r w:rsidRPr="00B97985">
        <w:rPr>
          <w:i/>
          <w:iCs/>
        </w:rPr>
        <w:t>‘John 20- An Empty Tomb and a Risen Jesus’</w:t>
      </w:r>
      <w:r w:rsidRPr="00EB20E2">
        <w:t xml:space="preserve">, </w:t>
      </w:r>
      <w:hyperlink r:id="rId4" w:history="1">
        <w:r w:rsidRPr="00C526F7">
          <w:rPr>
            <w:rStyle w:val="Hyperlink"/>
          </w:rPr>
          <w:t>https://enduringword.com/bible-commentary/john-20/</w:t>
        </w:r>
      </w:hyperlink>
      <w:r>
        <w:t xml:space="preserve"> </w:t>
      </w:r>
    </w:p>
  </w:footnote>
  <w:footnote w:id="9">
    <w:p w14:paraId="3FC60CCF" w14:textId="3A057F9D" w:rsidR="00285CA2" w:rsidRDefault="00285CA2">
      <w:pPr>
        <w:pStyle w:val="FootnoteText"/>
      </w:pPr>
      <w:r>
        <w:rPr>
          <w:rStyle w:val="FootnoteReference"/>
        </w:rPr>
        <w:footnoteRef/>
      </w:r>
      <w:r>
        <w:t xml:space="preserve"> Christopher Tuckett, </w:t>
      </w:r>
      <w:r w:rsidRPr="00285CA2">
        <w:t xml:space="preserve">‘Seeing and Believing in John 20,’ in </w:t>
      </w:r>
      <w:r w:rsidRPr="00B97985">
        <w:rPr>
          <w:i/>
          <w:iCs/>
        </w:rPr>
        <w:t xml:space="preserve">Paul, John and Apocalyptic Eschatology. </w:t>
      </w:r>
      <w:r w:rsidRPr="00285CA2">
        <w:t>(United States: BRILL, 2013) p.1</w:t>
      </w:r>
      <w:r w:rsidR="00B97985">
        <w:t>83.</w:t>
      </w:r>
    </w:p>
  </w:footnote>
  <w:footnote w:id="10">
    <w:p w14:paraId="1C4E067F" w14:textId="76DD7EA2" w:rsidR="00B74244" w:rsidRDefault="00B74244">
      <w:pPr>
        <w:pStyle w:val="FootnoteText"/>
      </w:pPr>
      <w:r>
        <w:rPr>
          <w:rStyle w:val="FootnoteReference"/>
        </w:rPr>
        <w:footnoteRef/>
      </w:r>
      <w:r>
        <w:t xml:space="preserve"> Thomas Aquinas, et al, </w:t>
      </w:r>
      <w:r w:rsidRPr="00B74244">
        <w:t xml:space="preserve">“Chapter 20” in </w:t>
      </w:r>
      <w:r w:rsidRPr="005D5570">
        <w:rPr>
          <w:i/>
          <w:iCs/>
        </w:rPr>
        <w:t>Commentary on the Gospel of John: Chapters 13-21,</w:t>
      </w:r>
      <w:r w:rsidRPr="00B74244">
        <w:t xml:space="preserve"> Catholic University of America Press, 2010 JSTOR, </w:t>
      </w:r>
      <w:hyperlink r:id="rId5" w:history="1">
        <w:r w:rsidRPr="00C526F7">
          <w:rPr>
            <w:rStyle w:val="Hyperlink"/>
          </w:rPr>
          <w:t>https://doi.org/10.2307/j.ctt31nk8p.11</w:t>
        </w:r>
      </w:hyperlink>
      <w:r>
        <w:t xml:space="preserve"> </w:t>
      </w:r>
      <w:r w:rsidRPr="00B74244">
        <w:t>[accessed 2 January 2024]</w:t>
      </w:r>
      <w:r w:rsidR="005D5570">
        <w:t xml:space="preserve"> p.270.</w:t>
      </w:r>
    </w:p>
  </w:footnote>
  <w:footnote w:id="11">
    <w:p w14:paraId="0D6986B8" w14:textId="1C8CAC86" w:rsidR="00933638" w:rsidRDefault="00933638">
      <w:pPr>
        <w:pStyle w:val="FootnoteText"/>
      </w:pPr>
      <w:r>
        <w:rPr>
          <w:rStyle w:val="FootnoteReference"/>
        </w:rPr>
        <w:footnoteRef/>
      </w:r>
      <w:r>
        <w:t xml:space="preserve"> Warren Carter, </w:t>
      </w:r>
      <w:r w:rsidRPr="00933638">
        <w:rPr>
          <w:i/>
          <w:iCs/>
        </w:rPr>
        <w:t>John: Storyteller, Interpreter, Evangelist</w:t>
      </w:r>
      <w:r w:rsidRPr="00933638">
        <w:t xml:space="preserve"> (Hendrickson Publishers: Massachusetts, 2006)</w:t>
      </w:r>
      <w:r>
        <w:t xml:space="preserve"> p.</w:t>
      </w:r>
      <w:r w:rsidR="00293C92">
        <w:t>220.</w:t>
      </w:r>
    </w:p>
  </w:footnote>
  <w:footnote w:id="12">
    <w:p w14:paraId="48D1078E" w14:textId="16BAEB2E" w:rsidR="001B6B40" w:rsidRDefault="001B6B40">
      <w:pPr>
        <w:pStyle w:val="FootnoteText"/>
      </w:pPr>
      <w:r>
        <w:rPr>
          <w:rStyle w:val="FootnoteReference"/>
        </w:rPr>
        <w:footnoteRef/>
      </w:r>
      <w:r>
        <w:t xml:space="preserve"> Christopher Tuckett, </w:t>
      </w:r>
      <w:r w:rsidRPr="001B6B40">
        <w:t xml:space="preserve">‘Seeing and Believing in John 20,’ in </w:t>
      </w:r>
      <w:r w:rsidRPr="008E1B2C">
        <w:rPr>
          <w:i/>
          <w:iCs/>
        </w:rPr>
        <w:t>Paul, John and Apocalyptic Eschatology.</w:t>
      </w:r>
      <w:r w:rsidRPr="001B6B40">
        <w:t xml:space="preserve"> (United States: BRILL, 2013) p.1</w:t>
      </w:r>
      <w:r w:rsidR="008E1B2C">
        <w:t>73.</w:t>
      </w:r>
    </w:p>
  </w:footnote>
  <w:footnote w:id="13">
    <w:p w14:paraId="14276901" w14:textId="08B7DF95" w:rsidR="0029566D" w:rsidRDefault="0029566D">
      <w:pPr>
        <w:pStyle w:val="FootnoteText"/>
      </w:pPr>
      <w:r>
        <w:rPr>
          <w:rStyle w:val="FootnoteReference"/>
        </w:rPr>
        <w:footnoteRef/>
      </w:r>
      <w:r>
        <w:t xml:space="preserve"> Thomas Aquinas et al, </w:t>
      </w:r>
      <w:r w:rsidRPr="0029566D">
        <w:t xml:space="preserve">“Chapter 20” in </w:t>
      </w:r>
      <w:r w:rsidRPr="007C3301">
        <w:rPr>
          <w:i/>
          <w:iCs/>
        </w:rPr>
        <w:t>Commentary on the Gospel of John: Chapters 13-21,</w:t>
      </w:r>
      <w:r w:rsidRPr="0029566D">
        <w:t xml:space="preserve"> Catholic University of America Press, 2010 JSTOR, </w:t>
      </w:r>
      <w:hyperlink r:id="rId6" w:history="1">
        <w:r w:rsidR="007C3301" w:rsidRPr="00811EF5">
          <w:rPr>
            <w:rStyle w:val="Hyperlink"/>
          </w:rPr>
          <w:t>https://doi.org/10.2307/j.ctt31nk8p.11</w:t>
        </w:r>
      </w:hyperlink>
      <w:r w:rsidR="007C3301">
        <w:t xml:space="preserve"> </w:t>
      </w:r>
      <w:r w:rsidRPr="0029566D">
        <w:t>[accessed 2 January 2024] p.27</w:t>
      </w:r>
      <w:r w:rsidR="007C3301">
        <w:t>6.</w:t>
      </w:r>
    </w:p>
  </w:footnote>
  <w:footnote w:id="14">
    <w:p w14:paraId="367F2737" w14:textId="1D76CF81" w:rsidR="00754134" w:rsidRDefault="00754134">
      <w:pPr>
        <w:pStyle w:val="FootnoteText"/>
      </w:pPr>
      <w:r>
        <w:rPr>
          <w:rStyle w:val="FootnoteReference"/>
        </w:rPr>
        <w:footnoteRef/>
      </w:r>
      <w:r>
        <w:t xml:space="preserve"> David Guzik, </w:t>
      </w:r>
      <w:r w:rsidRPr="00754134">
        <w:rPr>
          <w:i/>
          <w:iCs/>
        </w:rPr>
        <w:t>‘John 20- An Empty Tomb and a Risen Jesus’,</w:t>
      </w:r>
      <w:r w:rsidRPr="00754134">
        <w:t xml:space="preserve"> </w:t>
      </w:r>
      <w:hyperlink r:id="rId7" w:history="1">
        <w:r w:rsidRPr="00811EF5">
          <w:rPr>
            <w:rStyle w:val="Hyperlink"/>
          </w:rPr>
          <w:t>https://enduringword.com/bible-commentary/john-20/</w:t>
        </w:r>
      </w:hyperlink>
      <w:r>
        <w:t xml:space="preserve"> </w:t>
      </w:r>
    </w:p>
  </w:footnote>
  <w:footnote w:id="15">
    <w:p w14:paraId="5465BE3A" w14:textId="5492B360" w:rsidR="00856A74" w:rsidRDefault="00856A74">
      <w:pPr>
        <w:pStyle w:val="FootnoteText"/>
      </w:pPr>
      <w:r>
        <w:rPr>
          <w:rStyle w:val="FootnoteReference"/>
        </w:rPr>
        <w:footnoteRef/>
      </w:r>
      <w:r>
        <w:t xml:space="preserve"> </w:t>
      </w:r>
      <w:r w:rsidRPr="00856A74">
        <w:t>Christopher Tuckett, ‘Seeing and Believing in John 20,’ in Paul, John and Apocalyptic Eschatology. (United States: BRILL, 2013) p.17</w:t>
      </w:r>
      <w:r w:rsidR="00477CDC">
        <w:t>2.</w:t>
      </w:r>
    </w:p>
  </w:footnote>
  <w:footnote w:id="16">
    <w:p w14:paraId="21F24240" w14:textId="249E4604" w:rsidR="000A3A4A" w:rsidRDefault="000A3A4A">
      <w:pPr>
        <w:pStyle w:val="FootnoteText"/>
      </w:pPr>
      <w:r>
        <w:rPr>
          <w:rStyle w:val="FootnoteReference"/>
        </w:rPr>
        <w:footnoteRef/>
      </w:r>
      <w:r>
        <w:t xml:space="preserve"> Christopher Tuckett</w:t>
      </w:r>
      <w:r w:rsidR="00B05B54">
        <w:t>, p.172.</w:t>
      </w:r>
    </w:p>
  </w:footnote>
  <w:footnote w:id="17">
    <w:p w14:paraId="5387DBF7" w14:textId="447738A2" w:rsidR="00983EFF" w:rsidRDefault="00983EFF">
      <w:pPr>
        <w:pStyle w:val="FootnoteText"/>
      </w:pPr>
      <w:r>
        <w:rPr>
          <w:rStyle w:val="FootnoteReference"/>
        </w:rPr>
        <w:footnoteRef/>
      </w:r>
      <w:r>
        <w:t xml:space="preserve"> </w:t>
      </w:r>
      <w:r w:rsidR="007834BC">
        <w:t xml:space="preserve">Kasper Bro Larsen, </w:t>
      </w:r>
      <w:r w:rsidR="007834BC" w:rsidRPr="00B33411">
        <w:rPr>
          <w:i/>
          <w:iCs/>
        </w:rPr>
        <w:t>Recognizing the Stranger: Recognition Scenes in the Gospel of John</w:t>
      </w:r>
      <w:r w:rsidR="007834BC" w:rsidRPr="007834BC">
        <w:t>. (Leiden: Brill, 2008.)</w:t>
      </w:r>
      <w:r w:rsidR="007834BC">
        <w:t xml:space="preserve"> p.</w:t>
      </w:r>
      <w:r w:rsidR="00B33411">
        <w:t>198.</w:t>
      </w:r>
    </w:p>
  </w:footnote>
  <w:footnote w:id="18">
    <w:p w14:paraId="2BA92616" w14:textId="3C95C611" w:rsidR="00384C80" w:rsidRDefault="00384C80">
      <w:pPr>
        <w:pStyle w:val="FootnoteText"/>
      </w:pPr>
      <w:r>
        <w:rPr>
          <w:rStyle w:val="FootnoteReference"/>
        </w:rPr>
        <w:footnoteRef/>
      </w:r>
      <w:r>
        <w:t xml:space="preserve"> James G Somerville, </w:t>
      </w:r>
      <w:proofErr w:type="gramStart"/>
      <w:r w:rsidR="001422FE" w:rsidRPr="001422FE">
        <w:t>Those</w:t>
      </w:r>
      <w:proofErr w:type="gramEnd"/>
      <w:r w:rsidR="001422FE" w:rsidRPr="001422FE">
        <w:t xml:space="preserve"> who have not seen (gospel of John 20:19-31 tries to convince even the </w:t>
      </w:r>
      <w:proofErr w:type="spellStart"/>
      <w:r w:rsidR="001422FE" w:rsidRPr="001422FE">
        <w:t>s</w:t>
      </w:r>
      <w:r w:rsidR="001422FE">
        <w:t>k</w:t>
      </w:r>
      <w:r w:rsidR="001422FE" w:rsidRPr="001422FE">
        <w:t>eptic</w:t>
      </w:r>
      <w:proofErr w:type="spellEnd"/>
      <w:r w:rsidR="001422FE" w:rsidRPr="001422FE">
        <w:t xml:space="preserve"> that Jesus Christ is the Son of God.) in </w:t>
      </w:r>
      <w:r w:rsidR="001422FE" w:rsidRPr="001422FE">
        <w:rPr>
          <w:i/>
          <w:iCs/>
        </w:rPr>
        <w:t>The Christian Century</w:t>
      </w:r>
      <w:r w:rsidR="001422FE">
        <w:t xml:space="preserve"> </w:t>
      </w:r>
      <w:r w:rsidR="00B871CF">
        <w:t xml:space="preserve">(1998) </w:t>
      </w:r>
      <w:r w:rsidR="001422FE">
        <w:t>p.364.</w:t>
      </w:r>
    </w:p>
  </w:footnote>
  <w:footnote w:id="19">
    <w:p w14:paraId="4626E388" w14:textId="6D1490BD" w:rsidR="00877414" w:rsidRDefault="00877414">
      <w:pPr>
        <w:pStyle w:val="FootnoteText"/>
      </w:pPr>
      <w:r>
        <w:rPr>
          <w:rStyle w:val="FootnoteReference"/>
        </w:rPr>
        <w:footnoteRef/>
      </w:r>
      <w:r>
        <w:t xml:space="preserve"> James G Somerville, p.</w:t>
      </w:r>
      <w:r w:rsidR="00721F0E">
        <w:t>364.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11"/>
    <w:rsid w:val="000046EC"/>
    <w:rsid w:val="0000745E"/>
    <w:rsid w:val="000074D4"/>
    <w:rsid w:val="00021945"/>
    <w:rsid w:val="00022B7E"/>
    <w:rsid w:val="00030D22"/>
    <w:rsid w:val="0003280B"/>
    <w:rsid w:val="00050388"/>
    <w:rsid w:val="00053F41"/>
    <w:rsid w:val="00062D9E"/>
    <w:rsid w:val="00087A62"/>
    <w:rsid w:val="0009391E"/>
    <w:rsid w:val="000A0047"/>
    <w:rsid w:val="000A3A4A"/>
    <w:rsid w:val="000B5539"/>
    <w:rsid w:val="000C08DF"/>
    <w:rsid w:val="000C47F4"/>
    <w:rsid w:val="000C6A4E"/>
    <w:rsid w:val="000D6F83"/>
    <w:rsid w:val="000E78AB"/>
    <w:rsid w:val="000F2DBC"/>
    <w:rsid w:val="00116583"/>
    <w:rsid w:val="00121573"/>
    <w:rsid w:val="00135E82"/>
    <w:rsid w:val="00141EED"/>
    <w:rsid w:val="001422FE"/>
    <w:rsid w:val="00156C7F"/>
    <w:rsid w:val="00157902"/>
    <w:rsid w:val="00166438"/>
    <w:rsid w:val="00181D33"/>
    <w:rsid w:val="0018358A"/>
    <w:rsid w:val="00187831"/>
    <w:rsid w:val="0019757A"/>
    <w:rsid w:val="001A1C1F"/>
    <w:rsid w:val="001A4FB5"/>
    <w:rsid w:val="001B1C30"/>
    <w:rsid w:val="001B6B40"/>
    <w:rsid w:val="001C0105"/>
    <w:rsid w:val="001C66CA"/>
    <w:rsid w:val="001D5767"/>
    <w:rsid w:val="001E449B"/>
    <w:rsid w:val="001F465F"/>
    <w:rsid w:val="0020343A"/>
    <w:rsid w:val="002067F1"/>
    <w:rsid w:val="00216A19"/>
    <w:rsid w:val="00226290"/>
    <w:rsid w:val="00235D9F"/>
    <w:rsid w:val="00245BE1"/>
    <w:rsid w:val="00282C88"/>
    <w:rsid w:val="00285CA2"/>
    <w:rsid w:val="002860F1"/>
    <w:rsid w:val="00293C92"/>
    <w:rsid w:val="0029566D"/>
    <w:rsid w:val="002A02FB"/>
    <w:rsid w:val="002B28B8"/>
    <w:rsid w:val="002C32A2"/>
    <w:rsid w:val="002C5BD2"/>
    <w:rsid w:val="002F19CF"/>
    <w:rsid w:val="002F330A"/>
    <w:rsid w:val="002F543F"/>
    <w:rsid w:val="002F6854"/>
    <w:rsid w:val="003022F8"/>
    <w:rsid w:val="00311FD4"/>
    <w:rsid w:val="0031474B"/>
    <w:rsid w:val="003271E7"/>
    <w:rsid w:val="00332842"/>
    <w:rsid w:val="00333BF8"/>
    <w:rsid w:val="00340464"/>
    <w:rsid w:val="00340817"/>
    <w:rsid w:val="0034575D"/>
    <w:rsid w:val="00346D4C"/>
    <w:rsid w:val="003476F3"/>
    <w:rsid w:val="00363F21"/>
    <w:rsid w:val="00365F63"/>
    <w:rsid w:val="003743D8"/>
    <w:rsid w:val="00384C80"/>
    <w:rsid w:val="00386FCD"/>
    <w:rsid w:val="00391627"/>
    <w:rsid w:val="00396348"/>
    <w:rsid w:val="00396F57"/>
    <w:rsid w:val="003B63D2"/>
    <w:rsid w:val="003B6DDC"/>
    <w:rsid w:val="003D432B"/>
    <w:rsid w:val="003F003B"/>
    <w:rsid w:val="003F022B"/>
    <w:rsid w:val="003F5843"/>
    <w:rsid w:val="003F6137"/>
    <w:rsid w:val="003F7D70"/>
    <w:rsid w:val="00405B4E"/>
    <w:rsid w:val="00410F3A"/>
    <w:rsid w:val="00411899"/>
    <w:rsid w:val="00420209"/>
    <w:rsid w:val="00427043"/>
    <w:rsid w:val="00437968"/>
    <w:rsid w:val="0044139B"/>
    <w:rsid w:val="00445ECD"/>
    <w:rsid w:val="00461A4D"/>
    <w:rsid w:val="00477CDC"/>
    <w:rsid w:val="00484056"/>
    <w:rsid w:val="0048523C"/>
    <w:rsid w:val="0048761C"/>
    <w:rsid w:val="0049269F"/>
    <w:rsid w:val="004A22A3"/>
    <w:rsid w:val="004F584B"/>
    <w:rsid w:val="005037B7"/>
    <w:rsid w:val="00506ED5"/>
    <w:rsid w:val="005160DF"/>
    <w:rsid w:val="00524E7A"/>
    <w:rsid w:val="00537903"/>
    <w:rsid w:val="005447A8"/>
    <w:rsid w:val="00550A0E"/>
    <w:rsid w:val="00551B94"/>
    <w:rsid w:val="00553539"/>
    <w:rsid w:val="00564185"/>
    <w:rsid w:val="00590BD1"/>
    <w:rsid w:val="00593D6A"/>
    <w:rsid w:val="005A13B1"/>
    <w:rsid w:val="005A1FA5"/>
    <w:rsid w:val="005A7930"/>
    <w:rsid w:val="005A7B12"/>
    <w:rsid w:val="005B5771"/>
    <w:rsid w:val="005C58A6"/>
    <w:rsid w:val="005C65A7"/>
    <w:rsid w:val="005D5570"/>
    <w:rsid w:val="005E297D"/>
    <w:rsid w:val="005E3D3F"/>
    <w:rsid w:val="005F05EF"/>
    <w:rsid w:val="005F2751"/>
    <w:rsid w:val="00605F67"/>
    <w:rsid w:val="0061243A"/>
    <w:rsid w:val="00614665"/>
    <w:rsid w:val="0062707B"/>
    <w:rsid w:val="00631833"/>
    <w:rsid w:val="00633D18"/>
    <w:rsid w:val="00636138"/>
    <w:rsid w:val="006473D8"/>
    <w:rsid w:val="0065349E"/>
    <w:rsid w:val="00656C86"/>
    <w:rsid w:val="00665401"/>
    <w:rsid w:val="00671BE8"/>
    <w:rsid w:val="006775C4"/>
    <w:rsid w:val="00680541"/>
    <w:rsid w:val="00685AC2"/>
    <w:rsid w:val="006877E2"/>
    <w:rsid w:val="006A2A40"/>
    <w:rsid w:val="006A4045"/>
    <w:rsid w:val="006A6F3F"/>
    <w:rsid w:val="006B0D75"/>
    <w:rsid w:val="006C0C70"/>
    <w:rsid w:val="006C66F0"/>
    <w:rsid w:val="006E3501"/>
    <w:rsid w:val="006E436F"/>
    <w:rsid w:val="006F3A66"/>
    <w:rsid w:val="006F77D6"/>
    <w:rsid w:val="00700B6A"/>
    <w:rsid w:val="00706DB2"/>
    <w:rsid w:val="00707391"/>
    <w:rsid w:val="00711B46"/>
    <w:rsid w:val="00720763"/>
    <w:rsid w:val="00721F0E"/>
    <w:rsid w:val="00737F7B"/>
    <w:rsid w:val="007432C8"/>
    <w:rsid w:val="007468DA"/>
    <w:rsid w:val="00754134"/>
    <w:rsid w:val="00755906"/>
    <w:rsid w:val="007834BC"/>
    <w:rsid w:val="00786FAA"/>
    <w:rsid w:val="007901F5"/>
    <w:rsid w:val="00796094"/>
    <w:rsid w:val="00797E28"/>
    <w:rsid w:val="007A1F1A"/>
    <w:rsid w:val="007A3FF8"/>
    <w:rsid w:val="007A581B"/>
    <w:rsid w:val="007A5BD4"/>
    <w:rsid w:val="007A5EDC"/>
    <w:rsid w:val="007B7CD6"/>
    <w:rsid w:val="007C3301"/>
    <w:rsid w:val="007C528B"/>
    <w:rsid w:val="007D31A3"/>
    <w:rsid w:val="007D3A70"/>
    <w:rsid w:val="007D52E5"/>
    <w:rsid w:val="007E27D1"/>
    <w:rsid w:val="007E615E"/>
    <w:rsid w:val="007F3885"/>
    <w:rsid w:val="007F39BB"/>
    <w:rsid w:val="007F4105"/>
    <w:rsid w:val="007F7E26"/>
    <w:rsid w:val="00800FBC"/>
    <w:rsid w:val="00811EA1"/>
    <w:rsid w:val="00814887"/>
    <w:rsid w:val="0081744B"/>
    <w:rsid w:val="0082052C"/>
    <w:rsid w:val="00821D7A"/>
    <w:rsid w:val="00833F0A"/>
    <w:rsid w:val="0083694A"/>
    <w:rsid w:val="008428A0"/>
    <w:rsid w:val="0084355A"/>
    <w:rsid w:val="00846DE6"/>
    <w:rsid w:val="00855B7B"/>
    <w:rsid w:val="00856A74"/>
    <w:rsid w:val="00871822"/>
    <w:rsid w:val="00872C01"/>
    <w:rsid w:val="00874671"/>
    <w:rsid w:val="00875040"/>
    <w:rsid w:val="00877414"/>
    <w:rsid w:val="008869E9"/>
    <w:rsid w:val="008A492E"/>
    <w:rsid w:val="008B0900"/>
    <w:rsid w:val="008C1AB7"/>
    <w:rsid w:val="008C4E91"/>
    <w:rsid w:val="008E1B2C"/>
    <w:rsid w:val="008E2233"/>
    <w:rsid w:val="008F1E61"/>
    <w:rsid w:val="00900969"/>
    <w:rsid w:val="0091730A"/>
    <w:rsid w:val="00923237"/>
    <w:rsid w:val="00923EBB"/>
    <w:rsid w:val="00933638"/>
    <w:rsid w:val="009348CB"/>
    <w:rsid w:val="009462A5"/>
    <w:rsid w:val="009512E5"/>
    <w:rsid w:val="009545A7"/>
    <w:rsid w:val="009547BA"/>
    <w:rsid w:val="00957D89"/>
    <w:rsid w:val="00967CC6"/>
    <w:rsid w:val="00983079"/>
    <w:rsid w:val="00983EFF"/>
    <w:rsid w:val="00991C64"/>
    <w:rsid w:val="00992B16"/>
    <w:rsid w:val="00994501"/>
    <w:rsid w:val="00996049"/>
    <w:rsid w:val="00997428"/>
    <w:rsid w:val="009A3DF6"/>
    <w:rsid w:val="009A7543"/>
    <w:rsid w:val="009B45FD"/>
    <w:rsid w:val="009B575D"/>
    <w:rsid w:val="009C192D"/>
    <w:rsid w:val="009C1B89"/>
    <w:rsid w:val="009C30FC"/>
    <w:rsid w:val="009C44D3"/>
    <w:rsid w:val="009C6414"/>
    <w:rsid w:val="009C7D7D"/>
    <w:rsid w:val="009F0E23"/>
    <w:rsid w:val="009F740E"/>
    <w:rsid w:val="00A06BCD"/>
    <w:rsid w:val="00A15E0C"/>
    <w:rsid w:val="00A248CD"/>
    <w:rsid w:val="00A43ABD"/>
    <w:rsid w:val="00A5351E"/>
    <w:rsid w:val="00A551CB"/>
    <w:rsid w:val="00A82635"/>
    <w:rsid w:val="00A871A3"/>
    <w:rsid w:val="00A93EC7"/>
    <w:rsid w:val="00A9548F"/>
    <w:rsid w:val="00A97630"/>
    <w:rsid w:val="00AB1DA5"/>
    <w:rsid w:val="00AB28D1"/>
    <w:rsid w:val="00AB58F7"/>
    <w:rsid w:val="00AC0EAD"/>
    <w:rsid w:val="00AD5857"/>
    <w:rsid w:val="00AE1006"/>
    <w:rsid w:val="00B0540A"/>
    <w:rsid w:val="00B05B54"/>
    <w:rsid w:val="00B1538D"/>
    <w:rsid w:val="00B301D3"/>
    <w:rsid w:val="00B33411"/>
    <w:rsid w:val="00B345C9"/>
    <w:rsid w:val="00B369F7"/>
    <w:rsid w:val="00B402C5"/>
    <w:rsid w:val="00B417B4"/>
    <w:rsid w:val="00B47740"/>
    <w:rsid w:val="00B50841"/>
    <w:rsid w:val="00B66C80"/>
    <w:rsid w:val="00B74244"/>
    <w:rsid w:val="00B871CF"/>
    <w:rsid w:val="00B8795E"/>
    <w:rsid w:val="00B97985"/>
    <w:rsid w:val="00BA4B13"/>
    <w:rsid w:val="00BA79DE"/>
    <w:rsid w:val="00BB5907"/>
    <w:rsid w:val="00BD1639"/>
    <w:rsid w:val="00BE0B9C"/>
    <w:rsid w:val="00BE2651"/>
    <w:rsid w:val="00BE76C9"/>
    <w:rsid w:val="00C079DF"/>
    <w:rsid w:val="00C07AD6"/>
    <w:rsid w:val="00C10C2B"/>
    <w:rsid w:val="00C11A06"/>
    <w:rsid w:val="00C1351E"/>
    <w:rsid w:val="00C22387"/>
    <w:rsid w:val="00C24E43"/>
    <w:rsid w:val="00C32757"/>
    <w:rsid w:val="00C419C7"/>
    <w:rsid w:val="00C47F3A"/>
    <w:rsid w:val="00C53B20"/>
    <w:rsid w:val="00C776D2"/>
    <w:rsid w:val="00C80684"/>
    <w:rsid w:val="00C81102"/>
    <w:rsid w:val="00C8443B"/>
    <w:rsid w:val="00C94D86"/>
    <w:rsid w:val="00CA68B9"/>
    <w:rsid w:val="00CC4548"/>
    <w:rsid w:val="00CC550B"/>
    <w:rsid w:val="00CC5711"/>
    <w:rsid w:val="00CC70C1"/>
    <w:rsid w:val="00CE0315"/>
    <w:rsid w:val="00CF21E5"/>
    <w:rsid w:val="00CF2FDE"/>
    <w:rsid w:val="00CF3C48"/>
    <w:rsid w:val="00D076DE"/>
    <w:rsid w:val="00D26B4B"/>
    <w:rsid w:val="00D33DBB"/>
    <w:rsid w:val="00D351A4"/>
    <w:rsid w:val="00D435D5"/>
    <w:rsid w:val="00D44135"/>
    <w:rsid w:val="00D457D9"/>
    <w:rsid w:val="00D507E3"/>
    <w:rsid w:val="00D61B11"/>
    <w:rsid w:val="00D70773"/>
    <w:rsid w:val="00D82ABD"/>
    <w:rsid w:val="00D82C4B"/>
    <w:rsid w:val="00D83647"/>
    <w:rsid w:val="00D84A7D"/>
    <w:rsid w:val="00D85C2B"/>
    <w:rsid w:val="00D86368"/>
    <w:rsid w:val="00D9737F"/>
    <w:rsid w:val="00DA69C9"/>
    <w:rsid w:val="00DB4C30"/>
    <w:rsid w:val="00DC12F6"/>
    <w:rsid w:val="00DC794B"/>
    <w:rsid w:val="00DE2BF3"/>
    <w:rsid w:val="00DE4480"/>
    <w:rsid w:val="00DF0FCA"/>
    <w:rsid w:val="00E10F18"/>
    <w:rsid w:val="00E152FA"/>
    <w:rsid w:val="00E24540"/>
    <w:rsid w:val="00E26CC1"/>
    <w:rsid w:val="00E3100D"/>
    <w:rsid w:val="00E33D68"/>
    <w:rsid w:val="00E3782A"/>
    <w:rsid w:val="00E5007F"/>
    <w:rsid w:val="00E52340"/>
    <w:rsid w:val="00E56F7E"/>
    <w:rsid w:val="00E82669"/>
    <w:rsid w:val="00E86FE6"/>
    <w:rsid w:val="00E91D3D"/>
    <w:rsid w:val="00E94584"/>
    <w:rsid w:val="00EA6C66"/>
    <w:rsid w:val="00EB124D"/>
    <w:rsid w:val="00EB170C"/>
    <w:rsid w:val="00EB20E2"/>
    <w:rsid w:val="00EB7602"/>
    <w:rsid w:val="00EE301E"/>
    <w:rsid w:val="00EE45D1"/>
    <w:rsid w:val="00F00FF7"/>
    <w:rsid w:val="00F10B3C"/>
    <w:rsid w:val="00F13992"/>
    <w:rsid w:val="00F1783B"/>
    <w:rsid w:val="00F21B26"/>
    <w:rsid w:val="00F366E4"/>
    <w:rsid w:val="00F53B64"/>
    <w:rsid w:val="00F54653"/>
    <w:rsid w:val="00F576A6"/>
    <w:rsid w:val="00F62964"/>
    <w:rsid w:val="00F659EA"/>
    <w:rsid w:val="00F678A6"/>
    <w:rsid w:val="00F8243C"/>
    <w:rsid w:val="00F833C0"/>
    <w:rsid w:val="00F910AF"/>
    <w:rsid w:val="00F96EFA"/>
    <w:rsid w:val="00F9745D"/>
    <w:rsid w:val="00FA2CEC"/>
    <w:rsid w:val="00FB3D26"/>
    <w:rsid w:val="00FC531D"/>
    <w:rsid w:val="00FC75CA"/>
    <w:rsid w:val="00FD30FE"/>
    <w:rsid w:val="00FF1A2E"/>
    <w:rsid w:val="00FF6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8B4C9"/>
  <w15:chartTrackingRefBased/>
  <w15:docId w15:val="{2EFC00A1-DE76-4F1D-BDE6-83C742926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5711"/>
    <w:rPr>
      <w:color w:val="0563C1" w:themeColor="hyperlink"/>
      <w:u w:val="single"/>
    </w:rPr>
  </w:style>
  <w:style w:type="character" w:styleId="UnresolvedMention">
    <w:name w:val="Unresolved Mention"/>
    <w:basedOn w:val="DefaultParagraphFont"/>
    <w:uiPriority w:val="99"/>
    <w:semiHidden/>
    <w:unhideWhenUsed/>
    <w:rsid w:val="00CC5711"/>
    <w:rPr>
      <w:color w:val="605E5C"/>
      <w:shd w:val="clear" w:color="auto" w:fill="E1DFDD"/>
    </w:rPr>
  </w:style>
  <w:style w:type="paragraph" w:styleId="FootnoteText">
    <w:name w:val="footnote text"/>
    <w:basedOn w:val="Normal"/>
    <w:link w:val="FootnoteTextChar"/>
    <w:uiPriority w:val="99"/>
    <w:semiHidden/>
    <w:unhideWhenUsed/>
    <w:rsid w:val="008F1E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1E61"/>
    <w:rPr>
      <w:sz w:val="20"/>
      <w:szCs w:val="20"/>
    </w:rPr>
  </w:style>
  <w:style w:type="character" w:styleId="FootnoteReference">
    <w:name w:val="footnote reference"/>
    <w:basedOn w:val="DefaultParagraphFont"/>
    <w:uiPriority w:val="99"/>
    <w:semiHidden/>
    <w:unhideWhenUsed/>
    <w:rsid w:val="008F1E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duringword.com/bible-commentary/john-20/" TargetMode="External"/><Relationship Id="rId3" Type="http://schemas.openxmlformats.org/officeDocument/2006/relationships/settings" Target="settings.xml"/><Relationship Id="rId7" Type="http://schemas.openxmlformats.org/officeDocument/2006/relationships/hyperlink" Target="https://doi.org/10.2307/j.ctt31nk8p.1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93/oxfordhb/9780198739982.013.1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j.ctt31nk8p.11" TargetMode="External"/><Relationship Id="rId7" Type="http://schemas.openxmlformats.org/officeDocument/2006/relationships/hyperlink" Target="https://enduringword.com/bible-commentary/john-20/" TargetMode="External"/><Relationship Id="rId2" Type="http://schemas.openxmlformats.org/officeDocument/2006/relationships/hyperlink" Target="https://enduringword.com/bible-commentary/john-20/" TargetMode="External"/><Relationship Id="rId1" Type="http://schemas.openxmlformats.org/officeDocument/2006/relationships/hyperlink" Target="https://enduringword.com/bible-commentary/john-20/" TargetMode="External"/><Relationship Id="rId6" Type="http://schemas.openxmlformats.org/officeDocument/2006/relationships/hyperlink" Target="https://doi.org/10.2307/j.ctt31nk8p.11" TargetMode="External"/><Relationship Id="rId5" Type="http://schemas.openxmlformats.org/officeDocument/2006/relationships/hyperlink" Target="https://doi.org/10.2307/j.ctt31nk8p.11" TargetMode="External"/><Relationship Id="rId4" Type="http://schemas.openxmlformats.org/officeDocument/2006/relationships/hyperlink" Target="https://enduringword.com/bible-commentary/john-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E47A6-BF5F-4A6F-B079-218DA94D4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2660</Words>
  <Characters>15168</Characters>
  <Application>Microsoft Office Word</Application>
  <DocSecurity>0</DocSecurity>
  <Lines>126</Lines>
  <Paragraphs>35</Paragraphs>
  <ScaleCrop>false</ScaleCrop>
  <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Seale</dc:creator>
  <cp:keywords/>
  <dc:description/>
  <cp:lastModifiedBy>Amy Seale</cp:lastModifiedBy>
  <cp:revision>2</cp:revision>
  <dcterms:created xsi:type="dcterms:W3CDTF">2024-01-03T17:41:00Z</dcterms:created>
  <dcterms:modified xsi:type="dcterms:W3CDTF">2024-01-03T17:41:00Z</dcterms:modified>
</cp:coreProperties>
</file>