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F41E16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85983">
              <w:rPr>
                <w:b/>
                <w:color w:val="auto"/>
                <w:sz w:val="32"/>
              </w:rPr>
              <w:t>Stuart Goodwin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D34C329" w:rsidR="005A1BA3" w:rsidRDefault="00685983" w:rsidP="00340E9A">
            <w:pPr>
              <w:overflowPunct/>
              <w:autoSpaceDE/>
              <w:autoSpaceDN/>
              <w:adjustRightInd/>
              <w:ind w:right="237"/>
              <w:textAlignment w:val="auto"/>
              <w:rPr>
                <w:b/>
                <w:color w:val="auto"/>
                <w:sz w:val="32"/>
              </w:rPr>
            </w:pPr>
            <w:r>
              <w:rPr>
                <w:b/>
                <w:color w:val="auto"/>
                <w:sz w:val="32"/>
              </w:rPr>
              <w:t>1815324</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9386F"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During the tutorship period there have been some small areas of change to my lifestyle that have increased stress levels. These have required me to develop coping strategies to minimise stress and allow me to perform better both in and out of work. </w:t>
      </w:r>
    </w:p>
    <w:p w14:paraId="62169AC4" w14:textId="77777777" w:rsidR="00685983" w:rsidRPr="0017015E" w:rsidRDefault="00685983" w:rsidP="00685983">
      <w:pPr>
        <w:pStyle w:val="NormalWeb"/>
        <w:spacing w:before="0" w:beforeAutospacing="0" w:after="0" w:afterAutospacing="0" w:line="360" w:lineRule="auto"/>
        <w:textAlignment w:val="baseline"/>
        <w:rPr>
          <w:rFonts w:ascii="Arial" w:hAnsi="Arial" w:cs="Arial"/>
          <w:color w:val="000000"/>
          <w:sz w:val="15"/>
          <w:szCs w:val="15"/>
        </w:rPr>
      </w:pPr>
      <w:r>
        <w:rPr>
          <w:sz w:val="20"/>
          <w:szCs w:val="20"/>
        </w:rPr>
        <w:t xml:space="preserve">Having previously working in training, starting shifts again has taken a while for me to adapt to. I am conscious that I feel my day has been wasted with the free time during shifts, if I have not filled the spare time </w:t>
      </w:r>
      <w:r w:rsidRPr="0017015E">
        <w:rPr>
          <w:sz w:val="20"/>
          <w:szCs w:val="20"/>
        </w:rPr>
        <w:t>with an activity. Failure to do something in this time, gets me agitated as I feel I am losing my work life balance, for me, simply doing some sort of exercise outdoors, or walking the dog is enough to let me relax and de-stress. ‘</w:t>
      </w:r>
      <w:r w:rsidRPr="0017015E">
        <w:rPr>
          <w:color w:val="000000"/>
          <w:sz w:val="20"/>
          <w:szCs w:val="20"/>
        </w:rPr>
        <w:t>Study shows that for the greatest payoff, in terms of efficiently lowering levels of the stress hormone, cortisol, you should spend 20 to 30 minutes sitting or walking in a place that provides you with a sense of nature,’ (Dr. Mary Carol Hunter.)</w:t>
      </w:r>
    </w:p>
    <w:p w14:paraId="183C43FF" w14:textId="77777777" w:rsidR="00685983" w:rsidRDefault="00685983" w:rsidP="00685983">
      <w:pPr>
        <w:spacing w:line="360" w:lineRule="auto"/>
        <w:rPr>
          <w:sz w:val="15"/>
          <w:szCs w:val="15"/>
        </w:rPr>
      </w:pPr>
    </w:p>
    <w:p w14:paraId="5B094B9A" w14:textId="77777777" w:rsidR="00685983" w:rsidRPr="0017015E" w:rsidRDefault="00685983" w:rsidP="00685983">
      <w:pPr>
        <w:spacing w:line="360" w:lineRule="auto"/>
        <w:rPr>
          <w:rFonts w:ascii="Times New Roman" w:hAnsi="Times New Roman" w:cs="Times New Roman"/>
        </w:rPr>
      </w:pPr>
      <w:r w:rsidRPr="005D013A">
        <w:rPr>
          <w:rFonts w:ascii="Times New Roman" w:hAnsi="Times New Roman" w:cs="Times New Roman"/>
        </w:rPr>
        <w:t>Alongside working shifts, my sleep pattern has become disorientated, and I am mindful after working nights it is imperative to catch up on sleep to avoid being burnt out. I am also aware tht lack of sleep, or poor quality sleep induce stress. ‘</w:t>
      </w:r>
      <w:r w:rsidRPr="005D013A">
        <w:rPr>
          <w:rFonts w:ascii="Times New Roman" w:hAnsi="Times New Roman" w:cs="Times New Roman"/>
          <w:bCs/>
          <w:color w:val="222222"/>
        </w:rPr>
        <w:t>Sleep</w:t>
      </w:r>
      <w:r w:rsidRPr="005D013A">
        <w:rPr>
          <w:rFonts w:ascii="Times New Roman" w:hAnsi="Times New Roman" w:cs="Times New Roman"/>
          <w:color w:val="222222"/>
        </w:rPr>
        <w:t xml:space="preserve"> and mood are closely connected; poor or inadequate </w:t>
      </w:r>
      <w:r w:rsidRPr="005D013A">
        <w:rPr>
          <w:rFonts w:ascii="Times New Roman" w:hAnsi="Times New Roman" w:cs="Times New Roman"/>
          <w:bCs/>
          <w:color w:val="222222"/>
        </w:rPr>
        <w:t>sleep</w:t>
      </w:r>
      <w:r w:rsidRPr="005D013A">
        <w:rPr>
          <w:rFonts w:ascii="Times New Roman" w:hAnsi="Times New Roman" w:cs="Times New Roman"/>
          <w:color w:val="222222"/>
        </w:rPr>
        <w:t xml:space="preserve"> can </w:t>
      </w:r>
      <w:r w:rsidRPr="005D013A">
        <w:rPr>
          <w:rFonts w:ascii="Times New Roman" w:hAnsi="Times New Roman" w:cs="Times New Roman"/>
          <w:bCs/>
          <w:color w:val="222222"/>
        </w:rPr>
        <w:t>cause</w:t>
      </w:r>
      <w:r w:rsidRPr="005D013A">
        <w:rPr>
          <w:rFonts w:ascii="Times New Roman" w:hAnsi="Times New Roman" w:cs="Times New Roman"/>
          <w:color w:val="222222"/>
        </w:rPr>
        <w:t xml:space="preserve"> irritability and </w:t>
      </w:r>
      <w:r w:rsidRPr="005D013A">
        <w:rPr>
          <w:rFonts w:ascii="Times New Roman" w:hAnsi="Times New Roman" w:cs="Times New Roman"/>
          <w:bCs/>
          <w:color w:val="222222"/>
        </w:rPr>
        <w:t>stress</w:t>
      </w:r>
      <w:r>
        <w:rPr>
          <w:rFonts w:ascii="Times New Roman" w:hAnsi="Times New Roman" w:cs="Times New Roman"/>
        </w:rPr>
        <w:t xml:space="preserve">’ </w:t>
      </w:r>
      <w:r w:rsidRPr="005D013A">
        <w:rPr>
          <w:rFonts w:ascii="Times New Roman" w:hAnsi="Times New Roman" w:cs="Times New Roman"/>
        </w:rPr>
        <w:t>(</w:t>
      </w:r>
      <w:r w:rsidRPr="005D013A">
        <w:rPr>
          <w:rFonts w:ascii="Times New Roman" w:hAnsi="Times New Roman" w:cs="Times New Roman"/>
          <w:iCs/>
        </w:rPr>
        <w:t>Dr . Lawrence J. Epstein)</w:t>
      </w:r>
      <w:r w:rsidRPr="0017015E">
        <w:rPr>
          <w:rFonts w:ascii="Times New Roman" w:hAnsi="Times New Roman" w:cs="Times New Roman"/>
        </w:rPr>
        <w:br/>
      </w:r>
    </w:p>
    <w:p w14:paraId="0EA6351B"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 I found working in an area with no prior knowledge of personnel I may be attending to help or deal with difficult also. As well as this, I have found that the calls we receive, have many additional factors such as violent and concealing weapons markers. I found this stressful again due to having no previous knowledge of offenders, and little awareness at the start of tutorship with how to deal with these situations.. I like to be able to plan in my head how certain situations will pan out, and be able imagine the outcome. I have been finding in the early stages of policing, that this really is not possible due to no one situation being the same. I have felt out of my comfort zone at calls not being confident enough with my knowledge at the start of the tutor period to deal with certain situations. This made me heavily reliant on my tutor at the beginning, which I found stressful and frustrating. I accept that I am highly self critical of my performance, and have also been told similar by my tutor. In my previous job I had high standards of myself within work, and have carried that mind-set with me into this role. As the tutorship period went on, I started to feel more comfortable, and believe it is an issue that will rectify itself, when I have been to more calls and served more time in the job. I have had to allow myself to relax into the job and I have found talking about the calls before and after with my tutor, a great help to relax and understand our actions. Reflecting on the call afterwards has been a tool that confirms my ability and knowledge.</w:t>
      </w:r>
    </w:p>
    <w:p w14:paraId="194FFE57"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Amongst the practical side of policing, I have found the computer work,  case files and niche, including university assignments difficult due to the new systems, and having time constraints on certain files. I found making simple ‘to-do’ lists have aided in the management of work, which minimises stress. Doing so, allows me to view completed tasks and this alone allows myself to see the progress rather than a dwelling on number of outstanding tasks. </w:t>
      </w:r>
    </w:p>
    <w:p w14:paraId="2CDD058E"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During the tutor period, reflecting on my performance, and keeping physically active and looking after my wellbeing, is how I have negated rising levels of stress. I am confident that, combatting the feeling of being overwhelmed and questioning my ability, will be down to getting more experience, attending more calls and completing more files until I am comfortable.</w:t>
      </w:r>
    </w:p>
    <w:p w14:paraId="362AEA09"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Word count:660</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65F28B89" w:rsidR="00450C83" w:rsidRDefault="00450C83" w:rsidP="00340E9A">
      <w:pPr>
        <w:ind w:right="237"/>
        <w:jc w:val="both"/>
        <w:rPr>
          <w:b/>
          <w:sz w:val="24"/>
          <w:szCs w:val="24"/>
        </w:rPr>
      </w:pPr>
      <w:r w:rsidRPr="00450C83">
        <w:rPr>
          <w:b/>
          <w:sz w:val="24"/>
          <w:szCs w:val="24"/>
        </w:rPr>
        <w:t>ANSWER:</w:t>
      </w:r>
    </w:p>
    <w:p w14:paraId="25A7A6FB" w14:textId="238058C5" w:rsidR="00685983" w:rsidRDefault="00685983" w:rsidP="00685983">
      <w:pPr>
        <w:spacing w:line="360" w:lineRule="auto"/>
        <w:rPr>
          <w:rFonts w:ascii="Times New Roman" w:hAnsi="Times New Roman" w:cs="Times New Roman"/>
        </w:rPr>
      </w:pPr>
      <w:r>
        <w:rPr>
          <w:rFonts w:ascii="Times New Roman" w:hAnsi="Times New Roman" w:cs="Times New Roman"/>
        </w:rPr>
        <w:t>This incident was one that came late into tutorship an</w:t>
      </w:r>
      <w:r>
        <w:rPr>
          <w:rFonts w:ascii="Times New Roman" w:hAnsi="Times New Roman" w:cs="Times New Roman"/>
        </w:rPr>
        <w:t>d on initial disclosure via an e</w:t>
      </w:r>
      <w:r>
        <w:rPr>
          <w:rFonts w:ascii="Times New Roman" w:hAnsi="Times New Roman" w:cs="Times New Roman"/>
        </w:rPr>
        <w:t>mergency call, raised concerns of risk for a number of persons. A call was placed to police from a distressed male reporting someone had entered their property with a firearm and threatened them with the firearm and a knife, assaulted them, and left the address immediately after. My call sign had been tasked to attend to speak to the victim, gaining the details to pass to firearms and other officers, who were on route to the area. There was clear risk for the victim, but also risk to myself and other emergency services turning up to the address, and any officers who may be dealing with the suspect after they had been identified. The risk was deemed so high with the initial risk assessment after the first disclosure, that full authority had been given for firearms officers. Victim support played a huge part in this scenario as they were obviously shaken up, distressed and worried about further interactions. A few offences were possibly committed here, such as burglary, depending on the intent of the person entering and level of injury sustained, and if they were a trespasser. If the offence of burglary is complete, the use of firearms, imitation firearms, along with weapons of offence would make it aggravated, being a more serious offence. ‘</w:t>
      </w:r>
      <w:r>
        <w:rPr>
          <w:sz w:val="18"/>
          <w:szCs w:val="18"/>
        </w:rPr>
        <w:t xml:space="preserve">A person is guilty of aggravated burglary if he commits any burglary and at the time has with him any firearm or imitation firearm, any weapon of offence’ (Theft act 1968). </w:t>
      </w:r>
      <w:r>
        <w:rPr>
          <w:rFonts w:ascii="Times New Roman" w:hAnsi="Times New Roman" w:cs="Times New Roman"/>
        </w:rPr>
        <w:t xml:space="preserve"> This is where effective communication is imperative, to gather the correct details and be able to investigate relevant offences on the information provided, further safeguarding victims by bringing the offender to justice by the relevant investigations. </w:t>
      </w:r>
    </w:p>
    <w:p w14:paraId="2BBDA1F5" w14:textId="77777777" w:rsidR="00685983" w:rsidRDefault="00685983" w:rsidP="00685983">
      <w:pPr>
        <w:spacing w:line="360" w:lineRule="auto"/>
        <w:rPr>
          <w:rFonts w:ascii="Times New Roman" w:hAnsi="Times New Roman" w:cs="Times New Roman"/>
        </w:rPr>
      </w:pPr>
    </w:p>
    <w:p w14:paraId="24FB0561"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The male reporting was known to the police, and is a known drug user. It would have been easy for people attending to have a bias in their head prior to attending based on that information, however as officers we treat everyone as equal and will offer the same service to all victims, no matter previous convictions etc. </w:t>
      </w:r>
      <w:r w:rsidRPr="00C0210F">
        <w:rPr>
          <w:rFonts w:ascii="Times New Roman" w:hAnsi="Times New Roman" w:cs="Times New Roman"/>
        </w:rPr>
        <w:t>I will act with fairness and impartiality.  I will not disc</w:t>
      </w:r>
      <w:r>
        <w:rPr>
          <w:rFonts w:ascii="Times New Roman" w:hAnsi="Times New Roman" w:cs="Times New Roman"/>
        </w:rPr>
        <w:t>riminate unlawfully or unfairly (Code of Ethics) .On attendance he disclosed he has sustained a head injury, along with the clear drug use, communicating to him was very difficult as his speech was slow, and he seemed confused. It was very important I managed the conversation with him, allowing me to gather the relevant information from him quickly. There were four people present at the address, who all wanted to speak all at the same time, and give their version of the event, however I wanted to know exactly from the victim himself first. Due to the head injury, ambulance was tasked for his welfare, but they wanted to know further details about the firearm before attending the address due to the risk. Again, gaining this information effectively was due to good communication and controlling the situation. The hallway where the incident took place was avoided and looked at for any forensic opportunities, however presented none. I first assured him that we had units out looking for the male, and ambulance ready to enter to help but we needed to know what had happened, descriptions, direction of travel of the suspect, and any further information on the firearm. I explained I was acting in his best interest, and explained how important this information is. I asked my colleague to speak to the person at the address in a separate room who appeared ‘most sober’ to be able to corroborate anything the male said. Initially I used an open question to gain as much information as he was willing to give without prompt, and asked him, ‘What has happened’ allowing him to speak freely. It was clear he was disorientated and gave an account but seemed to be going off track. I listened to his account without interrupting, so he felt all the information he was giving was valuable. I was conscious that I needed to get certain bit of information from him immediately, so I then had to change my approach to closed questions due to the risk. This was more effective and I obtained the essential details that needed disseminating immediately. The main information I needed, was details on the firearm and the suspects description, to protect ourselves, people at the address, and the firearms officers, who were awaiting details to conduct arrest enquiries. After I had asked him, it was confirmed that there was no firearm or knife during the incident, and that he was instead assaulted in his doorway. This was confirmed by other persons at the address, due to this, the severity of the risk had gone down, allowing medical assistance to attend, and a de-escalation of use of force from full authority to Taser authority. I could then go back to open questions, as the necessity for the vital information had gone, and we had more time to spend investigating and gathering accounts. I was empathetic, listened to what he said, and paid attention to actions he was making while describing what took place in regards to the assault. He also disclosed that he had been visited by another person a few months ago and assaulted, and I immediately began to think of his vulnerabilities as a repeat victim due to being the subject of a crim twice in the last 12 months. He also gave information that negated the offence of burglary due to knowing the male, and inviting him inside the address immediately prior. I look his initial account and photographed his injuries to assist with the pending investigation. I also took accounts of the witnesses, who didn’t wish to provide statements. I spoke with the witnesses and asked if they were scared to provide a statement, due to further implications, and explained that there are special measures we could apply for if in court, and we would support them through the process. Unfortunately, although they understood the information provided, they still did not wish to provide a formal statement for no reason provided other than they didn’t want to. While the accounts were being taken, I tasked other officers to conduct arrest enquiries for the suspect to minimise the risk for the caller and the public. Due to assessments conducted by medical staff, the caller needed to attend hospital, and I ensured him the suspect would be looked for, and officer would attend when he was fit, to take statements, to also ensure he had a phone and knew he could call the police. To further safeguard him, I also informed him that I would speak to neighbourhood officers to do a further check on him so he knew he was being taken seriously, and being looked after and reassured. ‘</w:t>
      </w:r>
      <w:r w:rsidRPr="00487DC4">
        <w:rPr>
          <w:rFonts w:ascii="Times New Roman" w:hAnsi="Times New Roman" w:cs="Times New Roman"/>
        </w:rPr>
        <w:t>Neighbourhood policing teams should be actively involved in implementing agreed safeguarding plans in respect of vulnerable adults, and preventing repeat victimisation of vulnerable adults by managing the risk posed by perpetrators</w:t>
      </w:r>
      <w:r>
        <w:rPr>
          <w:rFonts w:ascii="Times New Roman" w:hAnsi="Times New Roman" w:cs="Times New Roman"/>
        </w:rPr>
        <w:t xml:space="preserve">’ (College of policing). Instruction to people left at the address to lock the doors and windows, and if the male returned after we left to immediately call the police, and informed them we would be in the area doing area searches and further enquires to reassure them and safeguard them. </w:t>
      </w:r>
    </w:p>
    <w:p w14:paraId="4D0A17C1" w14:textId="77777777" w:rsidR="00685983" w:rsidRPr="00BA1125" w:rsidRDefault="00685983" w:rsidP="00685983">
      <w:pPr>
        <w:pStyle w:val="legclearfix"/>
        <w:shd w:val="clear" w:color="auto" w:fill="FFFFFF"/>
        <w:spacing w:before="0" w:beforeAutospacing="0" w:after="90" w:afterAutospacing="0" w:line="360" w:lineRule="auto"/>
        <w:rPr>
          <w:sz w:val="20"/>
          <w:szCs w:val="20"/>
        </w:rPr>
      </w:pPr>
      <w:r>
        <w:rPr>
          <w:sz w:val="20"/>
          <w:szCs w:val="20"/>
        </w:rPr>
        <w:t xml:space="preserve">My main consideration and priority to minimise the risk was to locate the offender and arrest for the offence of assault, with the necessity a prompt investigation and to prevent any further injury to others. The offender was </w:t>
      </w:r>
      <w:r w:rsidRPr="00BA1125">
        <w:rPr>
          <w:sz w:val="20"/>
          <w:szCs w:val="20"/>
        </w:rPr>
        <w:t xml:space="preserve">named and known by witnesses and the victim. </w:t>
      </w:r>
    </w:p>
    <w:p w14:paraId="173E25D3" w14:textId="77777777" w:rsidR="00685983" w:rsidRPr="00BA1125" w:rsidRDefault="00685983" w:rsidP="00685983">
      <w:pPr>
        <w:pStyle w:val="legclearfix"/>
        <w:shd w:val="clear" w:color="auto" w:fill="FFFFFF"/>
        <w:spacing w:before="0" w:beforeAutospacing="0" w:after="90" w:afterAutospacing="0" w:line="360" w:lineRule="auto"/>
        <w:rPr>
          <w:color w:val="000000"/>
          <w:sz w:val="20"/>
          <w:szCs w:val="20"/>
        </w:rPr>
      </w:pPr>
      <w:r w:rsidRPr="00BA1125">
        <w:rPr>
          <w:sz w:val="20"/>
          <w:szCs w:val="20"/>
        </w:rPr>
        <w:t>‘</w:t>
      </w:r>
      <w:r w:rsidRPr="00BA1125">
        <w:rPr>
          <w:rStyle w:val="legsubstitution"/>
          <w:color w:val="000000"/>
          <w:sz w:val="20"/>
          <w:szCs w:val="20"/>
        </w:rPr>
        <w:t>If an offence has been committed, a constable may arrest without a warrant—</w:t>
      </w:r>
      <w:r w:rsidRPr="00BA1125">
        <w:rPr>
          <w:color w:val="000000"/>
          <w:sz w:val="20"/>
          <w:szCs w:val="20"/>
        </w:rPr>
        <w:t xml:space="preserve"> </w:t>
      </w:r>
    </w:p>
    <w:p w14:paraId="463DD9E8" w14:textId="77777777" w:rsidR="00685983" w:rsidRPr="00BA1125" w:rsidRDefault="00685983" w:rsidP="00685983">
      <w:pPr>
        <w:pStyle w:val="legclearfix"/>
        <w:shd w:val="clear" w:color="auto" w:fill="FFFFFF"/>
        <w:spacing w:before="0" w:beforeAutospacing="0" w:after="90" w:afterAutospacing="0" w:line="360" w:lineRule="auto"/>
        <w:rPr>
          <w:color w:val="000000"/>
          <w:sz w:val="20"/>
          <w:szCs w:val="20"/>
        </w:rPr>
      </w:pPr>
      <w:r w:rsidRPr="00BA1125">
        <w:rPr>
          <w:rStyle w:val="legsubstitution"/>
          <w:color w:val="000000"/>
          <w:sz w:val="20"/>
          <w:szCs w:val="20"/>
        </w:rPr>
        <w:t>(a)anyone who is guilty of the offence;</w:t>
      </w:r>
      <w:r w:rsidRPr="00BA1125">
        <w:rPr>
          <w:color w:val="000000"/>
          <w:sz w:val="20"/>
          <w:szCs w:val="20"/>
        </w:rPr>
        <w:t xml:space="preserve"> </w:t>
      </w:r>
    </w:p>
    <w:p w14:paraId="4DDD7358" w14:textId="77777777" w:rsidR="00685983" w:rsidRDefault="00685983" w:rsidP="00685983">
      <w:pPr>
        <w:pStyle w:val="legclearfix"/>
        <w:shd w:val="clear" w:color="auto" w:fill="FFFFFF"/>
        <w:spacing w:before="0" w:beforeAutospacing="0" w:after="90" w:afterAutospacing="0" w:line="360" w:lineRule="auto"/>
        <w:rPr>
          <w:rStyle w:val="legsubstitution"/>
          <w:rFonts w:ascii="Arial" w:hAnsi="Arial" w:cs="Arial"/>
          <w:color w:val="000000"/>
          <w:sz w:val="18"/>
          <w:szCs w:val="18"/>
        </w:rPr>
      </w:pPr>
      <w:r w:rsidRPr="00BA1125">
        <w:rPr>
          <w:rStyle w:val="legsubstitution"/>
          <w:color w:val="000000"/>
          <w:sz w:val="20"/>
          <w:szCs w:val="20"/>
        </w:rPr>
        <w:t>(b)anyone whom he has reasonable grounds for suspecting to be guilty of it.’</w:t>
      </w:r>
      <w:r>
        <w:rPr>
          <w:rStyle w:val="legsubstitution"/>
          <w:rFonts w:ascii="Arial" w:hAnsi="Arial" w:cs="Arial"/>
          <w:color w:val="000000"/>
          <w:sz w:val="18"/>
          <w:szCs w:val="18"/>
        </w:rPr>
        <w:t xml:space="preserve"> (S24 PACE)</w:t>
      </w:r>
    </w:p>
    <w:p w14:paraId="439EDD8C" w14:textId="77777777" w:rsidR="00685983" w:rsidRDefault="00685983" w:rsidP="00685983">
      <w:pPr>
        <w:pStyle w:val="legclearfix"/>
        <w:shd w:val="clear" w:color="auto" w:fill="FFFFFF"/>
        <w:spacing w:before="0" w:beforeAutospacing="0" w:after="90" w:afterAutospacing="0" w:line="360" w:lineRule="auto"/>
        <w:rPr>
          <w:rFonts w:ascii="Arial" w:hAnsi="Arial" w:cs="Arial"/>
          <w:color w:val="000000"/>
          <w:sz w:val="18"/>
          <w:szCs w:val="18"/>
        </w:rPr>
      </w:pPr>
    </w:p>
    <w:p w14:paraId="40A610E3"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 After accounts were taken and arrest enquiries conducted, it was handed over to another shift, they were given all relevant information verbally, also niche reference numbers to locate notebook accounts, photos of injuries and initial disclosures. </w:t>
      </w:r>
    </w:p>
    <w:p w14:paraId="3DE2A3D0"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Using Gibbs model to reflect back on what had happened and my feelings at the time, I was very concerned after the initial call due to the risk assessment in my head at the disclosure of a firearm. Due to this, I believe I acted very cautiously, and then when attending was very focused on the details of the firearm and risk. If I was to re-attend, perhaps I would check everyone’s welfare first and risk assess within the address and go from there, however I do still feel the information on the firearm was paramount. I ideally would have  liked to have conducted arrest enquiries, but am not a Taser trained officer, and the statement taking and scene management is equally, if not more important. If this call happened again, I wouldn’t allow myself to get so worked up about the firearm as I feel I was too focused on that aspect and was allowing myself to become nervous. I believe attending this call will now help with incidents similar in regards to nerves and my expectations. </w:t>
      </w:r>
    </w:p>
    <w:p w14:paraId="3AB34A1D"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Word count 1518</w:t>
      </w:r>
    </w:p>
    <w:p w14:paraId="24DFE542" w14:textId="77777777" w:rsidR="00685983" w:rsidRPr="00450C83" w:rsidRDefault="00685983"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5AF5D6F"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A domestic violence incident had occurred between a brother and sister following alcohol consumption one evening. It was alleged that the male, had assaulted his sister. Officers attended the incident and the male was arrested for section 47 assault due to the injuries sustained by the female </w:t>
      </w:r>
      <w:r w:rsidRPr="00353600">
        <w:rPr>
          <w:rFonts w:ascii="Times New Roman" w:hAnsi="Times New Roman" w:cs="Times New Roman"/>
        </w:rPr>
        <w:t>‘</w:t>
      </w:r>
      <w:r w:rsidRPr="00353600">
        <w:rPr>
          <w:rFonts w:ascii="Times New Roman" w:hAnsi="Times New Roman" w:cs="Times New Roman"/>
          <w:shd w:val="clear" w:color="auto" w:fill="FFFFFF"/>
        </w:rPr>
        <w:t>Whosoever shall be convicted upon an indictment of any assault occasioning actual bodily harm shall be liable</w:t>
      </w:r>
      <w:r w:rsidRPr="00685983">
        <w:rPr>
          <w:rFonts w:ascii="Times New Roman" w:hAnsi="Times New Roman" w:cs="Times New Roman"/>
          <w:color w:val="000000" w:themeColor="text1"/>
          <w:shd w:val="clear" w:color="auto" w:fill="FFFFFF"/>
        </w:rPr>
        <w:t xml:space="preserve"> </w:t>
      </w:r>
      <w:hyperlink r:id="rId13" w:anchor="commentary-c563672" w:tooltip="View the commentary text for this item" w:history="1">
        <w:r w:rsidRPr="00685983">
          <w:rPr>
            <w:rStyle w:val="Hyperlink"/>
            <w:rFonts w:ascii="Times New Roman" w:hAnsi="Times New Roman" w:cs="Times New Roman"/>
            <w:bCs/>
            <w:color w:val="000000" w:themeColor="text1"/>
            <w:u w:val="none"/>
          </w:rPr>
          <w:t>F1</w:t>
        </w:r>
      </w:hyperlink>
      <w:r w:rsidRPr="00353600">
        <w:rPr>
          <w:rFonts w:ascii="Times New Roman" w:hAnsi="Times New Roman" w:cs="Times New Roman"/>
          <w:shd w:val="clear" w:color="auto" w:fill="FFFFFF"/>
        </w:rPr>
        <w:t>. . . to be kept in penal servitude’ (Offences against the persons act 1861)</w:t>
      </w:r>
      <w:r>
        <w:rPr>
          <w:shd w:val="clear" w:color="auto" w:fill="FFFFFF"/>
        </w:rPr>
        <w:t xml:space="preserve">. </w:t>
      </w:r>
      <w:r>
        <w:rPr>
          <w:rFonts w:ascii="Times New Roman" w:hAnsi="Times New Roman" w:cs="Times New Roman"/>
        </w:rPr>
        <w:t>As alcohol was a factor, the male was intoxicated and was not fit for interview. I took over as interviewing officer and my actions are accounted below.</w:t>
      </w:r>
    </w:p>
    <w:p w14:paraId="63A050B3" w14:textId="77777777" w:rsidR="00685983" w:rsidRPr="007E265E" w:rsidRDefault="00685983" w:rsidP="00685983">
      <w:pPr>
        <w:spacing w:line="360" w:lineRule="auto"/>
        <w:rPr>
          <w:shd w:val="clear" w:color="auto" w:fill="FFFFFF"/>
        </w:rPr>
      </w:pPr>
      <w:r>
        <w:rPr>
          <w:rFonts w:ascii="Times New Roman" w:hAnsi="Times New Roman" w:cs="Times New Roman"/>
        </w:rPr>
        <w:t xml:space="preserve">. The officers that arrested the male, had body warn footage, photos of injuries, and there were a number of officers present who all produced statements. The female did not want to provide a statement, also present at the scene, was the victims and subjects mother, who again did not want to provide a statement. Pocket notebook accounts were obtained, and although these accounts are not accountable as evidence, they helped me a great deal in the planning and preparation stage of the interview to understand what had happened, allowing me to plan better for the interview. </w:t>
      </w:r>
    </w:p>
    <w:p w14:paraId="1844DA17"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Although the victim did not want to provide a statement, there was photos of injuries that she had sustained, body warn footage of the male in his house saying that he had hit the female, and also, being a domestic incident, it is Gwent police’s policy that positive action is to be taken. This incident was taken forward as a victimless prosecution, and the evidence gathered at the time, was positive and impactive.  </w:t>
      </w:r>
    </w:p>
    <w:p w14:paraId="246F6FE3"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Firstly when given the handover I needed to plan and prepare for the interview. I read all of the statements, looked at the exhibits, and in my head I made sense of what had happened in a chronological order. I then looked at the offence, which was a section 47 assault, based on the injuries sustained, and I looked at the points to prove and any defences that may be explored in interview, such as, pre-emptive strike, self defence and consent. All of the research I gathered, allowed me to create an interview plan, and they became the questions that I needed to cover in the interview with the suspect. </w:t>
      </w:r>
    </w:p>
    <w:p w14:paraId="62240E89"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I made contact with the victim and the witness again in the morning to offer them a further opportunity to provide a statement which they declined. After this was done, all possible lines of enquires had been exhausted. I then re-read the statements, looking for any comments, caution reply’s or anything significant that could be asked about in interview. Concluding this, I then contacted custody to ask if the male was fit for interview, which he was. He required a solicitor, and also suffers with autism, I highlighted this and asked the male if there was anyone he could nominate to be an appropriate adult for his support during interview. Any persons can be an appropriate adult, however, due to his mothers involvement being a witness to the incident, she would not be suitable. Due to him having suggest no other person, I arranged through the police services and provided one on his behalf. </w:t>
      </w:r>
    </w:p>
    <w:p w14:paraId="1C4E8B04"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I then met with the solicitor for a pre interview discussion, where police disclose information of the offence in question, and inform the solicitor evidence we have and an outline of the offence, to enable the solicitor to advise their client the best they can. I gave a written document to the solicitor and answered any questions he may have, at this point, it is up to the officer interviewing how much information he is to give to the solicitor, in respect to exhibits. After the pre interview disclosure the solicitor had some time with the male, in order to advise him, I also allowed the male time to speak with his appropriate adult, so he was comfortable with her.</w:t>
      </w:r>
    </w:p>
    <w:p w14:paraId="0C37EBDA"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It is important that police follow the PEACE model of interviewing. I have already planned and prepared the interview and, and within the interview room, I began to engage and explain with the male, the reasons for the interview. There is a set guideline on the process, and on starting the interview, it is important to state the date, time, and location introduce every persons in the room. After this, the caution must be given, if it is not, the whole interview will be admissible as evidence. ‘The questioning of a person regarding their involvement or suspected involvement in a criminal offence or offences which, under code C paragraph 10.1, must be carried out under cation’ (PACE Code C, para 11.1A) . I then asked about his understanding and further explained the caution. I then question and confirm the welfare of the suspect, and asked did he have enough time to seek legal advise from his solicitor, and then confirmed the role of the solicitor and appropriate adult. The solicitors is present to advise his client and not answer questions for the subject, and likewise the appropriate adult cannot answer any questions, they are also not qualified to legally advise the persons they are there to support the suspect with any difficulties they have.</w:t>
      </w:r>
    </w:p>
    <w:p w14:paraId="585FC40A"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I then explained the interview requirement, and informed him of the offence being investigated. </w:t>
      </w:r>
    </w:p>
    <w:p w14:paraId="6CF09629"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I started the questioning process by saying, ‘Tell me in as much detail as you can your actions and whereabouts..’ using open questions trying to allow the male free speech which may ignite further questions from myself that I had not thought of in my plan. The male did not engage and replied no comment. I then began to ask him about himself, with the use of the ‘I Topic’ trying to break his silence with generic interest questions.</w:t>
      </w:r>
    </w:p>
    <w:p w14:paraId="64BD9DA0"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The male replied no comment to all questions that I asked, however, I still needed to ask all of the questions I had planned, which later if the matter went to court, would look less favourable for him, if he began to give an account. During the replies of no comment, I explained the previous to him, to make sure he understood the consequences of a no comment interview if the matter was to progress to court. I then proceeded to the police agenda, asking the questions surrounding points to prove of the offence, such as assaulting the female, injuries sustained, did she give you consent, etc, and also covering any defences that he may have. If he gave an account, I would have then clarified what he had said to me, to make sure I had made a note of it correctly.</w:t>
      </w:r>
    </w:p>
    <w:p w14:paraId="5954F158"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I then read the statements of arresting officers, and asked further questions on any information within that I believed to be important, again, no comments were made. I then produced the exhibits to the male, being the injuries sustained by his sister and played body warn video. This is the evidence that the police had gathered and been exhibited by the investigating officers. To produce the exhibit, I would show the exhibit to the male, inform him the title of the exhibit ‘Injuries to right side of ***** face’ and the exhibit number. I Then re asked questions surrounding this, such as ‘how did your sister get these injuries’, it is more impactive and allows the suspect time to rethink over what had happened and to perhaps begin to give an account, however the suspect remained silent. </w:t>
      </w:r>
    </w:p>
    <w:p w14:paraId="2ABB9E3A"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If the male gave an account, I would have ‘challenged’ him on any discrepancies within his account. For example if he said he wasn’t at the address, however the officers arrest statement says he was arrested at the address, I would ask how is there a difference and require an explanation. This was not possible due to the subject replying no comment throughout. </w:t>
      </w:r>
    </w:p>
    <w:p w14:paraId="7AB1E811"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The interview then came to a conclusion. I informed the male that I would be seeking advice from a sergeant, who decided the case needed to go to the crown prosecution. This was relayed to the male and he was released under bail conditions, which was not to return to the home address, until the courts had come to a further conclusion, whether they had enough evidence to go to court or decided on no further action. I informed the male of the above and he understood, I kept in contact with the male to provide him updates as and when I got them from the CPS. </w:t>
      </w:r>
    </w:p>
    <w:p w14:paraId="1620BB94"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I believe the interview went well, the evidence that was provided was a significant help in terms of proving the offence. I would have liked to obtain a statement from the victim and I would have liked the suspect to give an account, which I could have questioned him on. It was the first interview I had done with an appropriate adult present, however, there was no issues and they did not need to intervene at any time. I believe my interviewing technique was thorough and I explained everything to the suspect well. I think I asked the questions too fast and did not allow ten seconds between each question put to the male, and if I was to do it again I would be more conscious about leaving more time between questions. </w:t>
      </w:r>
    </w:p>
    <w:p w14:paraId="00C8E9B9"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Word count 1550</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7114043E"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A call had been placed to police by a security guard that works near a shopping centre who has stated the a group of youths, has been in and out of the shop all day and had been verbally abusive to him. He also stated that this is not the first time he has seen the group. He stated that when he confronted the youths, one of them had pushed him and then left the store. The store is part of an outdoor shopping centre that many persons attend and possibly had been effected by this behaviour from the group. The call was a priority call due to the youths leaving shortly after. An act of common assault by has been disclosed on the initial call to police, ‘an act by which a person intentionally or recklessly causes another person to apprehend immediate and unlawful personal violence, and a battery is an act by which a person intentionally or recklessly inflicts personal violence upon another’ (Common law s39). There were obvious lines of enquiry to investigate for the anti-social behaviour and assault, with statements and CCTV enquiries, there were no injuries however victim reassurance is always a priority also. </w:t>
      </w:r>
    </w:p>
    <w:p w14:paraId="27F3A2B4"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When attending the shopping centre a male highlighted himself as the caller and was in company of a female who worked in a different store within the centre. He did not want to make a statement at this time due to working late and having other appointments in the evening but was happy to inform me what had happened. He explained that the youths had come into the shop and were generally causing issues and then became verbally aggressive to him, there were about ten males around the age of fifteen in and around the shop but he remembered one specifically and gave his disruption to having a puffy coat with fur on the hood wearing a rucksack. He stated that this male made mention to his son in the verbal exchange within the store. He believed that these males knew his son from school, which was a great line of enquiry for myself, and a partner agency I could pass details to. He also stated it is not the first time the males had been around the shopping centre and he explained they seem to be causing ongoing nuisance for shoppers. The female present also confirmed the attendance of the males on previous occasions. The male was clearly effected by this and began to say how its making his job harder and stressful, it was apparent that the youths behaviour is unacceptable and it has been a reoccurring act within the area of the shopping centre. I arranged an officer to take a statement off him the following day, and reassured him that I would be investigating the actions of the youths. </w:t>
      </w:r>
    </w:p>
    <w:p w14:paraId="48B5A7AF"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It is clear that acts of anti-social behaviour are being carried out within the area, along with the alleged common assault on the security guard. ‘Behaviour which has caused or is likely to have caused harassment, alarm or distress to any persons’ (Anti-social Behaviour, Crime and Policing Act 2014). I reassured the male and female, and gave them a safety plan, and informed them of the importance of ringing the police when incidents occur, as they seemed to believe it was wasting police time. I informed them this was not the case, and the fact is, the more calls we have, the more power we have to put things in place such as criminal behaviour orders and public space protection notices. The male and female understood the information, however it was new to them, and I insisted they informed other shop keepers and security guards to do the same to allow effective and positive police action. Simply by providing them with this new information, I believed they felt more supported. It also highlighted the police struggles with anti-social behaviour. It is important that the police have the public onside and actively informing us of the problems, and it showed that the police are interested in the issues that they face but again outlined the constraints we may have when dealing with one lone incident rather than a number of linked issues.  </w:t>
      </w:r>
    </w:p>
    <w:p w14:paraId="7BEECBAC"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The reoccurring issues within this shopping centre can have detrimental effects to the local businesses with members of the public not wanting to attend, as they don’t want to be shopping around areas with persons causing issues. It is not a comfortable environment for the public, especially the elderly and as they can be effected by behaviour greater, due to their vulnerabilities. The public may avoid the shopping centre as a result through intimidation and generally not wanting to be around anti-social behaviour, in turn decreasing public presence, and local profits. If this was to continue to decrease, the likelihood, is that the area would then attract more anti-social behaviour, and increase crime and disorder, as suggested by Kelling and Wilson’s ‘Broken Window’ theory. They suggest minor crimes and anti-social behaviour, left undealt with, will welcome more crime and eventually progress to serious crime. ‘As a background, the term ‘Broken windows’ is a metaphor. Briefly, it argues that just as a broken window left untended is a sign that nobody cares and invites more broken windows, so disorderly behaviour left unattended is a sign nobody cares and leads to fear of crime, more serious crime and, ultimately, urban decay’ (Police Innovation)</w:t>
      </w:r>
    </w:p>
    <w:p w14:paraId="1308834B"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After the male had given his first account and provided me with his details, I made arrangements for an appointment to allow a statement to be taken, he then left the scene. I remained on scene and shortly after, I noticed a group of males, some on bikes and some on foot, around the supermarket, shouting and acting in a manner that I would suggest was not fit for a supermarket car park. My attention was drawn to one male on a bike with a thick jacket on, and wearing a rucksack similar to the description provided by the security guard. I was double crewed at the time, and there was roughly fifteen males around the age of sixteen together. They weren’t acting aggressively, and my risk assessment at the time was low due to being a large distance away from them. I made contact with the control room to inform them my location and that I would be speaking to the group, allowing other officers to know my location if anything was to happen requiring additional support. I approached the group calmly engaging in normal conversation, and not highlighting the reasons for me engaging with them other than for a generic chat. A few males left the area out of disinterest, which was ideal as the one male I had interested to speak to remained. I asked questions on his whereabouts previously that day, and his name, which he was reluctant to give, I believe he was trying to act up to his friends. I asked everyone to leave, and for the one male to stay, which they did. My risk assessment at this time had decreased even further, although I was in a close proximity with the male, he was on his own, and was calm, he seemed slightly worried, but was not aggressive. I asked for his details again, which he provided, however I was not confident these were correct. He became agitated and tried to ride his bike away, which I placed my hand on his handlebar and held in the brake preventing him leaving. I did not want to be chasing the male on a bike, and this action was justified and I controlled the situation immediately. The male realised that he could not just leave and needed to provide the information required. I continued speaking to him and then re-questioned him on his details, which he gave, incorrectly. </w:t>
      </w:r>
    </w:p>
    <w:p w14:paraId="48A186D3"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At this point I informed him of me reasons for requiring his details, and due to the alleged assault, failure to provide them could result in arrest to obtain these. Also when dealing with anti-social behaviour, ‘If a police officer has reason to believe that a person has been acting (or is acting) in an anti-social manner a police officer can require that person to give his/her name and address’ (s50(1)) </w:t>
      </w:r>
    </w:p>
    <w:p w14:paraId="77BE176D"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‘It is a summary offence for such person to fail to give his/her name and address when required (including giving a false or inaccurate name or address’ (s50(2) Police reform act 2002)</w:t>
      </w:r>
    </w:p>
    <w:p w14:paraId="5295BB70"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Although he had committed a further offence of providing incorrect details, I used my discretion, on the basis he would provide me the correct ones after I explained this. He gave me detailed which were confirmed and the male was PNC’d. I explained I would be keeping a record of his details and after CCTV enquiries within the store, if he was identified I would be making contact with him to arrange interviews and progress the matter forward. I also obtained details of the school he goes to, which was the same as the security guards son. All the information I obtained from the victims and potential suspect had been stored into my pocket notebook, and updated on the police niche system when returning to the station. I also was interested as to why the group hand around the shopping centre and the supermarket, which he said because it was lit up and covered, and that there wasn’t much else to do in the area. This information is important and can be passed to the council, highlighting the needs for youths, which can be a factor to stopping them attending the area and causing issues. </w:t>
      </w:r>
    </w:p>
    <w:p w14:paraId="5544A7DB"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With the information I had been given, I was happy I had enough at the time to send the male on his way, I informed him of the implications of his actions with words of advice for him and his friends, as at that time I did not know if this was the male or the group. CCTV enquiries the following day needed to be conducted as the shop was closed. I spoke with the school and informed them that pupils are hanging around in the area for their knowledge. The school can speak with persons individually or as a whole in an assembly and deliver lectures highlighting issues or even offering additional afterschool classes children may be interested in to attend resulting in them being active and not attending shopping centres. Schools can also arrange police officers to attend to present awareness sessions for the children and this can highlight the effect their behaviour has on others, as they may not be educated in the area and not understand the implications fully.</w:t>
      </w:r>
    </w:p>
    <w:p w14:paraId="45E8532D"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I also spoke to neighbourhood officers and PCSOs, informing them of the problems that have been highlighted. This allows them to target the area with visible police presence reassuring the public and acting as a deterrent for any crime. The information I gave allows them to patrol the areas when the crime is present. Being children that attend school, they can target the area after school and on weekends, being much more effective and precise.  </w:t>
      </w:r>
    </w:p>
    <w:p w14:paraId="7CCBBE49"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As a police officer, it is easy to turn up to a call and hear the victim’s side of the story and act according, which is what we are required to do. However, instead of turning up to calls and dealing with what’s in front of us, at this call, I was interested to find out why the ‘suspect’ has been acting the way they have. If the police can put measures in place to prevent the incident happening in the first place, this would be more effective than dealing with reoccurring issues repeatedly. As a result of this, the council was also passed information on the area. This information can be used to allow them to position security cameras in potential hotspots, and allows them an idea of what areas need developing. The male suggested there is not much to do in the area, and is an aspect the council need to look at in terms of funding and developing the community. It is easy to attend calls and be biased towards a suspect, but it is important to understand the reasons certain acts are being committed in order to find a long term solution to a problem. </w:t>
      </w:r>
    </w:p>
    <w:p w14:paraId="2F4FE7AA"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An investigation to the incident was required for many reasons. The common assault that had been committed needed a suspect to be accountable for the actions. Looking at the anti-social behaviour on its own, it can be seen as an easy option for officers to turn up, disperse the group, and say that no offences had been committed and consider the issue resolved. This action does not help the long-term problem, and will also have an effect on the public’s perception of the police. As police, it would be very hypocritical to encourage members of the public to report issues regular to allow us more leeway to deal with the anti-social behaviour, and then turning up and doing the bare minimum. We need to act on the volume of calls, and use partner agencies such as the council to help implement different responses and actions to resolve the issues. If we can highlight repeat offenders we can target those persons with criminal behaviour orders or acceptable behaviour contracts. Likewise if the issue is a certain area, rather than a specific person, we can work and implement protection notices on the area introducing restrictions with consequences if those restrictions were to be breached.  </w:t>
      </w:r>
    </w:p>
    <w:p w14:paraId="27772306"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At this scenario, there were many problems to solve, some bigger than others, the first simple problem was trying to obtain a statement from the victim, which was arranged very easily. Another problem was getting the correct details from the ‘suspect’, I believe good communication, along with being firm and knowing the law regarding provision of correct details is what allowed me to attain what I required. The problem regarding the anti-social behaviour, is a much larger project, and could potentially take a long time to rectify. Police intervention and putting in the correct referrals when attending these type of calls is very important and can highlight areas that need developing, and once developed had huge potential to minimise the areas suffering with anti-social behaviour. Although offences had been committed in this scenario, such as the incorrect details, using my discretion led to a quicker and more effective outcome. I did not feel it was necessary to arrest a person to obtain their details, when words of advice and knowledge of the law provided the same outcome. I believe the community relationship at the area this police incident was located was strong, members of the public reacted well to police presence, and were seemed thankful just for moving the youths out of the area, even if it was a temporary fix. Being visible in communities like this is reassuring and it goes a long way. </w:t>
      </w:r>
    </w:p>
    <w:p w14:paraId="208774D9"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 xml:space="preserve">At the start of the incident, I felt slightly overwhelmed wondering how the incident would get resolved, and believed there was no permanent fix. After the initial call had been sorted, going back to the station, and contacting with other agencies such as schools and councils I felt a lot happier about working towards a result. Being new in service I felt that the initial rectification was final action, it is easy for members of the public to think the same as they do not see the work that is going on back at the station. If I did this call again I would inform the victims of my actions after the call to further reassure them that measures would be put in place to prevent further issues.  </w:t>
      </w:r>
    </w:p>
    <w:p w14:paraId="079A703E" w14:textId="77777777" w:rsidR="00685983" w:rsidRDefault="00685983" w:rsidP="00685983">
      <w:pPr>
        <w:spacing w:line="360" w:lineRule="auto"/>
        <w:rPr>
          <w:rFonts w:ascii="Times New Roman" w:hAnsi="Times New Roman" w:cs="Times New Roman"/>
        </w:rPr>
      </w:pPr>
    </w:p>
    <w:p w14:paraId="4AD0B1F8" w14:textId="77777777" w:rsidR="00685983" w:rsidRDefault="00685983" w:rsidP="00685983">
      <w:pPr>
        <w:spacing w:line="360" w:lineRule="auto"/>
        <w:rPr>
          <w:rFonts w:ascii="Times New Roman" w:hAnsi="Times New Roman" w:cs="Times New Roman"/>
        </w:rPr>
      </w:pPr>
      <w:r>
        <w:rPr>
          <w:rFonts w:ascii="Times New Roman" w:hAnsi="Times New Roman" w:cs="Times New Roman"/>
        </w:rPr>
        <w:t>Word count: 2618</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14927362" w14:textId="77777777" w:rsidR="00685983" w:rsidRPr="005D013A" w:rsidRDefault="00685983" w:rsidP="00685983">
      <w:pPr>
        <w:rPr>
          <w:rFonts w:ascii="Times New Roman" w:hAnsi="Times New Roman" w:cs="Times New Roman"/>
          <w:b/>
          <w:u w:val="single"/>
        </w:rPr>
      </w:pPr>
      <w:r w:rsidRPr="005D013A">
        <w:rPr>
          <w:rFonts w:ascii="Times New Roman" w:hAnsi="Times New Roman" w:cs="Times New Roman"/>
          <w:b/>
          <w:u w:val="single"/>
        </w:rPr>
        <w:t>BIBLIOGRAPHY</w:t>
      </w:r>
    </w:p>
    <w:tbl>
      <w:tblPr>
        <w:tblW w:w="8040" w:type="dxa"/>
        <w:tblInd w:w="450" w:type="dxa"/>
        <w:tblCellMar>
          <w:top w:w="15" w:type="dxa"/>
          <w:left w:w="15" w:type="dxa"/>
          <w:bottom w:w="15" w:type="dxa"/>
          <w:right w:w="15" w:type="dxa"/>
        </w:tblCellMar>
        <w:tblLook w:val="04A0" w:firstRow="1" w:lastRow="0" w:firstColumn="1" w:lastColumn="0" w:noHBand="0" w:noVBand="1"/>
      </w:tblPr>
      <w:tblGrid>
        <w:gridCol w:w="8040"/>
      </w:tblGrid>
      <w:tr w:rsidR="00685983" w:rsidRPr="0017015E" w14:paraId="18E583F0" w14:textId="77777777" w:rsidTr="00726332">
        <w:tc>
          <w:tcPr>
            <w:tcW w:w="0" w:type="auto"/>
            <w:shd w:val="clear" w:color="auto" w:fill="auto"/>
            <w:vAlign w:val="center"/>
            <w:hideMark/>
          </w:tcPr>
          <w:p w14:paraId="516132C5" w14:textId="77777777" w:rsidR="00685983" w:rsidRPr="0017015E" w:rsidRDefault="00685983" w:rsidP="00726332">
            <w:pPr>
              <w:rPr>
                <w:rFonts w:ascii="Times New Roman" w:hAnsi="Times New Roman" w:cs="Times New Roman"/>
              </w:rPr>
            </w:pPr>
          </w:p>
        </w:tc>
      </w:tr>
    </w:tbl>
    <w:p w14:paraId="380355E5" w14:textId="77777777" w:rsidR="00685983" w:rsidRPr="00B130BD" w:rsidRDefault="00685983" w:rsidP="00685983">
      <w:pPr>
        <w:rPr>
          <w:rFonts w:ascii="Times New Roman" w:hAnsi="Times New Roman" w:cs="Times New Roman"/>
        </w:rPr>
      </w:pPr>
      <w:r>
        <w:rPr>
          <w:rFonts w:ascii="Times New Roman" w:hAnsi="Times New Roman" w:cs="Times New Roman"/>
        </w:rPr>
        <w:t xml:space="preserve">College of policing. </w:t>
      </w:r>
      <w:r w:rsidRPr="00B130BD">
        <w:rPr>
          <w:rFonts w:ascii="Times New Roman" w:hAnsi="Times New Roman" w:cs="Times New Roman"/>
          <w:i/>
        </w:rPr>
        <w:t>Safeguarding and Investigating the Abuse of Vulnerable Adults</w:t>
      </w:r>
      <w:r>
        <w:rPr>
          <w:rFonts w:ascii="Times New Roman" w:hAnsi="Times New Roman" w:cs="Times New Roman"/>
          <w:i/>
        </w:rPr>
        <w:t xml:space="preserve">, </w:t>
      </w:r>
      <w:r>
        <w:rPr>
          <w:rFonts w:ascii="Times New Roman" w:hAnsi="Times New Roman" w:cs="Times New Roman"/>
        </w:rPr>
        <w:t>Available at:</w:t>
      </w:r>
      <w:r w:rsidRPr="00B130BD">
        <w:t xml:space="preserve"> </w:t>
      </w:r>
      <w:r w:rsidRPr="00D4717B">
        <w:rPr>
          <w:rFonts w:ascii="Times New Roman" w:hAnsi="Times New Roman" w:cs="Times New Roman"/>
        </w:rPr>
        <w:t>http://library.college.police.uk/docs/acpo/vulnerable-adults-2012.pdf</w:t>
      </w:r>
      <w:r>
        <w:rPr>
          <w:rFonts w:ascii="Times New Roman" w:hAnsi="Times New Roman" w:cs="Times New Roman"/>
        </w:rPr>
        <w:t xml:space="preserve"> (Accessed 23rd December 2019)</w:t>
      </w:r>
    </w:p>
    <w:p w14:paraId="73030582" w14:textId="77777777" w:rsidR="00685983" w:rsidRDefault="00685983" w:rsidP="00685983">
      <w:pPr>
        <w:rPr>
          <w:rFonts w:ascii="Times New Roman" w:hAnsi="Times New Roman" w:cs="Times New Roman"/>
        </w:rPr>
      </w:pPr>
    </w:p>
    <w:p w14:paraId="55F74BD4" w14:textId="77777777" w:rsidR="00685983" w:rsidRDefault="00685983" w:rsidP="00685983">
      <w:pPr>
        <w:rPr>
          <w:rFonts w:ascii="Times New Roman" w:hAnsi="Times New Roman" w:cs="Times New Roman"/>
        </w:rPr>
      </w:pPr>
      <w:r>
        <w:rPr>
          <w:rFonts w:ascii="Times New Roman" w:hAnsi="Times New Roman" w:cs="Times New Roman"/>
        </w:rPr>
        <w:t xml:space="preserve">College of policing </w:t>
      </w:r>
      <w:r>
        <w:rPr>
          <w:rFonts w:ascii="Times New Roman" w:hAnsi="Times New Roman" w:cs="Times New Roman"/>
          <w:i/>
        </w:rPr>
        <w:t xml:space="preserve">Code of ethics </w:t>
      </w:r>
      <w:r>
        <w:rPr>
          <w:rFonts w:ascii="Times New Roman" w:hAnsi="Times New Roman" w:cs="Times New Roman"/>
        </w:rPr>
        <w:t>Available at:</w:t>
      </w:r>
      <w:r w:rsidRPr="004913FD">
        <w:t xml:space="preserve"> </w:t>
      </w:r>
      <w:r w:rsidRPr="004913FD">
        <w:rPr>
          <w:rFonts w:ascii="Times New Roman" w:hAnsi="Times New Roman" w:cs="Times New Roman"/>
        </w:rPr>
        <w:t>https://www.college.police.uk/What-we-do/Ethics/Documents/Code_of_Ethics.pdf</w:t>
      </w:r>
      <w:r>
        <w:rPr>
          <w:rFonts w:ascii="Times New Roman" w:hAnsi="Times New Roman" w:cs="Times New Roman"/>
        </w:rPr>
        <w:t xml:space="preserve"> (Accessed 23rd December 2019)</w:t>
      </w:r>
    </w:p>
    <w:p w14:paraId="0B24EABF" w14:textId="77777777" w:rsidR="00685983" w:rsidRDefault="00685983" w:rsidP="00685983">
      <w:pPr>
        <w:rPr>
          <w:rFonts w:ascii="Times New Roman" w:hAnsi="Times New Roman" w:cs="Times New Roman"/>
        </w:rPr>
      </w:pPr>
    </w:p>
    <w:p w14:paraId="224E55FD" w14:textId="77777777" w:rsidR="00685983" w:rsidRDefault="00685983" w:rsidP="00685983">
      <w:pPr>
        <w:rPr>
          <w:rFonts w:ascii="Times New Roman" w:hAnsi="Times New Roman" w:cs="Times New Roman"/>
        </w:rPr>
      </w:pPr>
      <w:r>
        <w:rPr>
          <w:rFonts w:ascii="Times New Roman" w:hAnsi="Times New Roman" w:cs="Times New Roman"/>
        </w:rPr>
        <w:t xml:space="preserve">Legislation </w:t>
      </w:r>
      <w:r>
        <w:rPr>
          <w:rFonts w:ascii="Times New Roman" w:hAnsi="Times New Roman" w:cs="Times New Roman"/>
          <w:i/>
        </w:rPr>
        <w:t xml:space="preserve">Common law S39 Assault </w:t>
      </w:r>
      <w:r>
        <w:rPr>
          <w:rFonts w:ascii="Times New Roman" w:hAnsi="Times New Roman" w:cs="Times New Roman"/>
        </w:rPr>
        <w:t xml:space="preserve">Blackstones handbook for policing students 2019. Unlawful violence against persons and premises. P15.1 </w:t>
      </w:r>
    </w:p>
    <w:p w14:paraId="32459205" w14:textId="77777777" w:rsidR="00685983" w:rsidRPr="00D45405" w:rsidRDefault="00685983" w:rsidP="00685983">
      <w:pPr>
        <w:rPr>
          <w:rFonts w:ascii="Times New Roman" w:hAnsi="Times New Roman" w:cs="Times New Roman"/>
        </w:rPr>
      </w:pPr>
    </w:p>
    <w:p w14:paraId="31FF8BC1" w14:textId="77777777" w:rsidR="00685983" w:rsidRPr="005910DD" w:rsidRDefault="00685983" w:rsidP="00685983">
      <w:pPr>
        <w:rPr>
          <w:rFonts w:ascii="Times New Roman" w:hAnsi="Times New Roman" w:cs="Times New Roman"/>
        </w:rPr>
      </w:pPr>
      <w:r>
        <w:rPr>
          <w:rFonts w:ascii="Times New Roman" w:hAnsi="Times New Roman" w:cs="Times New Roman"/>
        </w:rPr>
        <w:t xml:space="preserve">Legislation, </w:t>
      </w:r>
      <w:r w:rsidRPr="005910DD">
        <w:rPr>
          <w:rFonts w:ascii="Times New Roman" w:hAnsi="Times New Roman" w:cs="Times New Roman"/>
          <w:i/>
        </w:rPr>
        <w:t>Anti-social Behaviour, Crime and Policing Act 2014</w:t>
      </w:r>
      <w:r>
        <w:rPr>
          <w:rFonts w:ascii="Times New Roman" w:hAnsi="Times New Roman" w:cs="Times New Roman"/>
          <w:i/>
        </w:rPr>
        <w:t xml:space="preserve">, </w:t>
      </w:r>
      <w:r>
        <w:rPr>
          <w:rFonts w:ascii="Times New Roman" w:hAnsi="Times New Roman" w:cs="Times New Roman"/>
        </w:rPr>
        <w:t>Blackstones handbook for policing students, 2019, Policing public order, anti-social behaviour, and harassment, p14.2</w:t>
      </w:r>
    </w:p>
    <w:p w14:paraId="33A13EF6" w14:textId="77777777" w:rsidR="00685983" w:rsidRDefault="00685983" w:rsidP="00685983">
      <w:pPr>
        <w:rPr>
          <w:rFonts w:ascii="Times New Roman" w:hAnsi="Times New Roman" w:cs="Times New Roman"/>
        </w:rPr>
      </w:pPr>
    </w:p>
    <w:p w14:paraId="4BF920A8" w14:textId="77777777" w:rsidR="00685983" w:rsidRPr="000F26A6" w:rsidRDefault="00685983" w:rsidP="00685983">
      <w:pPr>
        <w:rPr>
          <w:rFonts w:ascii="Times New Roman" w:hAnsi="Times New Roman" w:cs="Times New Roman"/>
        </w:rPr>
      </w:pPr>
      <w:r>
        <w:rPr>
          <w:rFonts w:ascii="Times New Roman" w:hAnsi="Times New Roman" w:cs="Times New Roman"/>
        </w:rPr>
        <w:t xml:space="preserve">Legislation, </w:t>
      </w:r>
      <w:r>
        <w:rPr>
          <w:rFonts w:ascii="Times New Roman" w:hAnsi="Times New Roman" w:cs="Times New Roman"/>
          <w:i/>
        </w:rPr>
        <w:t>Police and criminal evidence act 1984</w:t>
      </w:r>
      <w:r>
        <w:rPr>
          <w:rFonts w:ascii="Times New Roman" w:hAnsi="Times New Roman" w:cs="Times New Roman"/>
        </w:rPr>
        <w:t xml:space="preserve"> Blackstones handbook for policing students 2019. 25.3</w:t>
      </w:r>
    </w:p>
    <w:p w14:paraId="2F66BD33" w14:textId="77777777" w:rsidR="00685983" w:rsidRDefault="00685983" w:rsidP="00685983">
      <w:pPr>
        <w:rPr>
          <w:rFonts w:ascii="Times New Roman" w:hAnsi="Times New Roman" w:cs="Times New Roman"/>
          <w:kern w:val="36"/>
        </w:rPr>
      </w:pPr>
      <w:r>
        <w:rPr>
          <w:rFonts w:ascii="Times New Roman" w:hAnsi="Times New Roman" w:cs="Times New Roman"/>
          <w:kern w:val="36"/>
        </w:rPr>
        <w:t xml:space="preserve">Legislation </w:t>
      </w:r>
      <w:r>
        <w:rPr>
          <w:rFonts w:ascii="Times New Roman" w:hAnsi="Times New Roman" w:cs="Times New Roman"/>
          <w:i/>
          <w:kern w:val="36"/>
        </w:rPr>
        <w:t xml:space="preserve">Police Reform Act 2002 </w:t>
      </w:r>
      <w:r>
        <w:rPr>
          <w:rFonts w:ascii="Times New Roman" w:hAnsi="Times New Roman" w:cs="Times New Roman"/>
          <w:kern w:val="36"/>
        </w:rPr>
        <w:t>Blackstones handbook for policing students 2019, Policing public order, anti-social behaviour,and harassment, 14.2.1</w:t>
      </w:r>
    </w:p>
    <w:p w14:paraId="13752426" w14:textId="77777777" w:rsidR="00685983" w:rsidRPr="003A6825" w:rsidRDefault="00685983" w:rsidP="00685983">
      <w:pPr>
        <w:rPr>
          <w:rFonts w:ascii="Times New Roman" w:hAnsi="Times New Roman" w:cs="Times New Roman"/>
          <w:kern w:val="36"/>
        </w:rPr>
      </w:pPr>
    </w:p>
    <w:p w14:paraId="0FF87862" w14:textId="77777777" w:rsidR="00685983" w:rsidRPr="00353600" w:rsidRDefault="00685983" w:rsidP="00685983">
      <w:pPr>
        <w:rPr>
          <w:rFonts w:ascii="Times New Roman" w:hAnsi="Times New Roman" w:cs="Times New Roman"/>
          <w:kern w:val="36"/>
        </w:rPr>
      </w:pPr>
      <w:r>
        <w:rPr>
          <w:rFonts w:ascii="Times New Roman" w:hAnsi="Times New Roman" w:cs="Times New Roman"/>
          <w:kern w:val="36"/>
        </w:rPr>
        <w:t xml:space="preserve">Legislation, </w:t>
      </w:r>
      <w:r>
        <w:rPr>
          <w:rFonts w:ascii="Times New Roman" w:hAnsi="Times New Roman" w:cs="Times New Roman"/>
          <w:i/>
          <w:kern w:val="36"/>
        </w:rPr>
        <w:t xml:space="preserve">Offences against the persons act 1861, </w:t>
      </w:r>
      <w:r>
        <w:rPr>
          <w:rFonts w:ascii="Times New Roman" w:hAnsi="Times New Roman" w:cs="Times New Roman"/>
          <w:kern w:val="36"/>
        </w:rPr>
        <w:t xml:space="preserve">Available at </w:t>
      </w:r>
      <w:r w:rsidRPr="00353600">
        <w:rPr>
          <w:rFonts w:ascii="Times New Roman" w:hAnsi="Times New Roman" w:cs="Times New Roman"/>
          <w:kern w:val="36"/>
        </w:rPr>
        <w:t>https://www.legislation.gov.uk/ukpga/Vict/24-25/100/section/47</w:t>
      </w:r>
      <w:r>
        <w:rPr>
          <w:rFonts w:ascii="Times New Roman" w:hAnsi="Times New Roman" w:cs="Times New Roman"/>
          <w:kern w:val="36"/>
        </w:rPr>
        <w:t xml:space="preserve"> (Accessed 9th January 2020)</w:t>
      </w:r>
    </w:p>
    <w:p w14:paraId="4A2F1261" w14:textId="77777777" w:rsidR="00685983" w:rsidRDefault="00685983" w:rsidP="00685983">
      <w:pPr>
        <w:rPr>
          <w:rFonts w:ascii="Times New Roman" w:hAnsi="Times New Roman" w:cs="Times New Roman"/>
          <w:kern w:val="36"/>
        </w:rPr>
      </w:pPr>
    </w:p>
    <w:p w14:paraId="0AE0F7B8" w14:textId="77777777" w:rsidR="00685983" w:rsidRDefault="00685983" w:rsidP="00685983">
      <w:pPr>
        <w:rPr>
          <w:rFonts w:ascii="Times New Roman" w:hAnsi="Times New Roman" w:cs="Times New Roman"/>
          <w:kern w:val="36"/>
        </w:rPr>
      </w:pPr>
      <w:r>
        <w:rPr>
          <w:rFonts w:ascii="Times New Roman" w:hAnsi="Times New Roman" w:cs="Times New Roman"/>
          <w:kern w:val="36"/>
        </w:rPr>
        <w:t xml:space="preserve"> Legislation, </w:t>
      </w:r>
      <w:r w:rsidRPr="00BA1125">
        <w:rPr>
          <w:rFonts w:ascii="Times New Roman" w:hAnsi="Times New Roman" w:cs="Times New Roman"/>
          <w:i/>
          <w:kern w:val="36"/>
        </w:rPr>
        <w:t>Police and criminal evidence act 1984</w:t>
      </w:r>
      <w:r>
        <w:rPr>
          <w:rFonts w:ascii="Times New Roman" w:hAnsi="Times New Roman" w:cs="Times New Roman"/>
          <w:i/>
          <w:kern w:val="36"/>
        </w:rPr>
        <w:t xml:space="preserve"> </w:t>
      </w:r>
      <w:r>
        <w:rPr>
          <w:rFonts w:ascii="Times New Roman" w:hAnsi="Times New Roman" w:cs="Times New Roman"/>
          <w:kern w:val="36"/>
        </w:rPr>
        <w:t>Available at:</w:t>
      </w:r>
      <w:r w:rsidRPr="00BA1125">
        <w:t xml:space="preserve"> </w:t>
      </w:r>
      <w:r w:rsidRPr="00BA1125">
        <w:rPr>
          <w:rFonts w:ascii="Times New Roman" w:hAnsi="Times New Roman" w:cs="Times New Roman"/>
          <w:kern w:val="36"/>
        </w:rPr>
        <w:t>http://www.legislation.gov.uk/ukpga/1984/60/section/24</w:t>
      </w:r>
      <w:r>
        <w:rPr>
          <w:rFonts w:ascii="Times New Roman" w:hAnsi="Times New Roman" w:cs="Times New Roman"/>
          <w:kern w:val="36"/>
        </w:rPr>
        <w:t xml:space="preserve"> (Accessed 23rd December 2019)</w:t>
      </w:r>
    </w:p>
    <w:p w14:paraId="738C1792" w14:textId="77777777" w:rsidR="00685983" w:rsidRDefault="00685983" w:rsidP="00685983">
      <w:pPr>
        <w:rPr>
          <w:rFonts w:ascii="Times New Roman" w:hAnsi="Times New Roman" w:cs="Times New Roman"/>
          <w:kern w:val="36"/>
        </w:rPr>
      </w:pPr>
    </w:p>
    <w:p w14:paraId="6071320D" w14:textId="77777777" w:rsidR="00685983" w:rsidRPr="00BA1125" w:rsidRDefault="00685983" w:rsidP="00685983">
      <w:pPr>
        <w:rPr>
          <w:rFonts w:ascii="Times New Roman" w:hAnsi="Times New Roman" w:cs="Times New Roman"/>
        </w:rPr>
      </w:pPr>
      <w:r>
        <w:rPr>
          <w:rFonts w:ascii="Times New Roman" w:hAnsi="Times New Roman" w:cs="Times New Roman"/>
          <w:kern w:val="36"/>
        </w:rPr>
        <w:t>Police Innovation, Contrasting perspectives, second edition, D.Weisburd A.A.Braga, p121&amp;122 Available at:</w:t>
      </w:r>
      <w:r w:rsidRPr="00F71307">
        <w:t xml:space="preserve"> </w:t>
      </w:r>
      <w:r w:rsidRPr="00F71307">
        <w:rPr>
          <w:rFonts w:ascii="Times New Roman" w:hAnsi="Times New Roman" w:cs="Times New Roman"/>
          <w:kern w:val="36"/>
        </w:rPr>
        <w:t>https://books.google.co.uk/books?hl=en&amp;lr=&amp;id=Z7OQDwAAQBAJ&amp;oi=fnd&amp;pg=PA121&amp;dq=James+Q.+Wilson+and+George+Kelling+quote+on+broken+window&amp;ots=tNttKJRHpi&amp;sig=RrvclGtXgrTwGQQyq8po6Gcz65g#v=onepage&amp;q&amp;f=false</w:t>
      </w:r>
      <w:r>
        <w:rPr>
          <w:rFonts w:ascii="Times New Roman" w:hAnsi="Times New Roman" w:cs="Times New Roman"/>
          <w:kern w:val="36"/>
        </w:rPr>
        <w:t xml:space="preserve">  (Accessed 12</w:t>
      </w:r>
      <w:r w:rsidRPr="00DB23B3">
        <w:rPr>
          <w:rFonts w:ascii="Times New Roman" w:hAnsi="Times New Roman" w:cs="Times New Roman"/>
          <w:kern w:val="36"/>
          <w:vertAlign w:val="superscript"/>
        </w:rPr>
        <w:t>th</w:t>
      </w:r>
      <w:r>
        <w:rPr>
          <w:rFonts w:ascii="Times New Roman" w:hAnsi="Times New Roman" w:cs="Times New Roman"/>
          <w:kern w:val="36"/>
        </w:rPr>
        <w:t xml:space="preserve"> January 2020)</w:t>
      </w:r>
    </w:p>
    <w:p w14:paraId="7199F9DB" w14:textId="77777777" w:rsidR="00685983" w:rsidRPr="004913FD" w:rsidRDefault="00685983" w:rsidP="00685983">
      <w:pPr>
        <w:rPr>
          <w:rFonts w:ascii="Times New Roman" w:hAnsi="Times New Roman" w:cs="Times New Roman"/>
        </w:rPr>
      </w:pPr>
    </w:p>
    <w:p w14:paraId="3B133E4B" w14:textId="77777777" w:rsidR="00685983" w:rsidRDefault="00685983" w:rsidP="00685983">
      <w:pPr>
        <w:rPr>
          <w:rFonts w:ascii="Times New Roman" w:hAnsi="Times New Roman" w:cs="Times New Roman"/>
        </w:rPr>
      </w:pPr>
      <w:r w:rsidRPr="005D013A">
        <w:rPr>
          <w:rFonts w:ascii="Times New Roman" w:hAnsi="Times New Roman" w:cs="Times New Roman"/>
        </w:rPr>
        <w:t>Sleep and mood, Healthysleep.med.harvard.edu. Available at: http://healthysleep.med.harvard.edu/need-sleep/whats-in-it-for-you/mood (Accessed:9th December 2019)</w:t>
      </w:r>
    </w:p>
    <w:p w14:paraId="6C49A746" w14:textId="77777777" w:rsidR="00685983" w:rsidRDefault="00685983" w:rsidP="00685983">
      <w:pPr>
        <w:rPr>
          <w:rFonts w:ascii="Times New Roman" w:hAnsi="Times New Roman" w:cs="Times New Roman"/>
        </w:rPr>
      </w:pPr>
    </w:p>
    <w:p w14:paraId="60A31513" w14:textId="77777777" w:rsidR="00685983" w:rsidRDefault="00685983" w:rsidP="00685983">
      <w:pPr>
        <w:rPr>
          <w:rFonts w:ascii="Times New Roman" w:hAnsi="Times New Roman" w:cs="Times New Roman"/>
        </w:rPr>
      </w:pPr>
      <w:r>
        <w:rPr>
          <w:rFonts w:ascii="Times New Roman" w:hAnsi="Times New Roman" w:cs="Times New Roman"/>
        </w:rPr>
        <w:t>Theft act 1968. Available at:</w:t>
      </w:r>
      <w:r w:rsidRPr="002675DB">
        <w:rPr>
          <w:rFonts w:ascii="Times New Roman" w:hAnsi="Times New Roman" w:cs="Times New Roman"/>
        </w:rPr>
        <w:t>https://www.legislation.gov.uk/ukpga/1968/60/crossheading/theft-robbery-burglary-etc</w:t>
      </w:r>
      <w:r>
        <w:rPr>
          <w:rFonts w:ascii="Times New Roman" w:hAnsi="Times New Roman" w:cs="Times New Roman"/>
        </w:rPr>
        <w:t xml:space="preserve"> (Accessed December 23</w:t>
      </w:r>
      <w:r w:rsidRPr="002675DB">
        <w:rPr>
          <w:rFonts w:ascii="Times New Roman" w:hAnsi="Times New Roman" w:cs="Times New Roman"/>
          <w:vertAlign w:val="superscript"/>
        </w:rPr>
        <w:t>rd</w:t>
      </w:r>
      <w:r>
        <w:rPr>
          <w:rFonts w:ascii="Times New Roman" w:hAnsi="Times New Roman" w:cs="Times New Roman"/>
        </w:rPr>
        <w:t xml:space="preserve"> 2019)</w:t>
      </w:r>
    </w:p>
    <w:p w14:paraId="6B6C626D" w14:textId="77777777" w:rsidR="00685983" w:rsidRPr="005D013A" w:rsidRDefault="00685983" w:rsidP="00685983">
      <w:pPr>
        <w:rPr>
          <w:rFonts w:ascii="Times New Roman" w:hAnsi="Times New Roman" w:cs="Times New Roman"/>
        </w:rPr>
      </w:pPr>
    </w:p>
    <w:p w14:paraId="3808D859" w14:textId="77777777" w:rsidR="00685983" w:rsidRPr="00576E15" w:rsidRDefault="00685983" w:rsidP="00685983">
      <w:pPr>
        <w:rPr>
          <w:rFonts w:ascii="Times New Roman" w:hAnsi="Times New Roman" w:cs="Times New Roman"/>
        </w:rPr>
      </w:pPr>
      <w:r w:rsidRPr="00415269">
        <w:rPr>
          <w:rFonts w:ascii="Times New Roman" w:hAnsi="Times New Roman" w:cs="Times New Roman"/>
        </w:rPr>
        <w:t xml:space="preserve">Walking in nature for 20 minutes every day can reduce stress </w:t>
      </w:r>
      <w:r>
        <w:rPr>
          <w:rFonts w:ascii="Times New Roman" w:hAnsi="Times New Roman" w:cs="Times New Roman"/>
        </w:rPr>
        <w:t>Available at:</w:t>
      </w:r>
      <w:r w:rsidRPr="00415269">
        <w:rPr>
          <w:rFonts w:ascii="Times New Roman" w:hAnsi="Times New Roman" w:cs="Times New Roman"/>
        </w:rPr>
        <w:t>https://metro.co.uk/2019/04/04/walking-nature-20-minutes-every-day-can-reduce-stress-9109861</w:t>
      </w:r>
      <w:r>
        <w:rPr>
          <w:rFonts w:ascii="Times New Roman" w:hAnsi="Times New Roman" w:cs="Times New Roman"/>
        </w:rPr>
        <w:t xml:space="preserve"> (accessed 9</w:t>
      </w:r>
      <w:r w:rsidRPr="00415269">
        <w:rPr>
          <w:rFonts w:ascii="Times New Roman" w:hAnsi="Times New Roman" w:cs="Times New Roman"/>
          <w:vertAlign w:val="superscript"/>
        </w:rPr>
        <w:t>th</w:t>
      </w:r>
      <w:r>
        <w:rPr>
          <w:rFonts w:ascii="Times New Roman" w:hAnsi="Times New Roman" w:cs="Times New Roman"/>
        </w:rPr>
        <w:t xml:space="preserve"> December 2019)</w:t>
      </w:r>
    </w:p>
    <w:p w14:paraId="6ED77802" w14:textId="77777777" w:rsidR="0093018C" w:rsidRPr="00294868" w:rsidRDefault="00BC5725" w:rsidP="00685983">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A549D9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w:t>
      </w:r>
      <w:r w:rsidR="00685983">
        <w:rPr>
          <w:rFonts w:ascii="Bradley Hand ITC" w:eastAsia="Arial" w:hAnsi="Bradley Hand ITC"/>
          <w:color w:val="000000" w:themeColor="text1"/>
          <w:sz w:val="24"/>
          <w:szCs w:val="24"/>
        </w:rPr>
        <w:t>SGoodwin</w:t>
      </w:r>
      <w:r w:rsidRPr="00685983">
        <w:rPr>
          <w:rFonts w:ascii="Bradley Hand ITC" w:eastAsia="Arial" w:hAnsi="Bradley Hand ITC"/>
          <w:color w:val="000000" w:themeColor="text1"/>
          <w:sz w:val="24"/>
          <w:szCs w:val="24"/>
        </w:rPr>
        <w:t xml:space="preserve"> _</w:t>
      </w:r>
      <w:r w:rsidRPr="5848403C">
        <w:rPr>
          <w:rFonts w:eastAsia="Arial"/>
          <w:color w:val="000000" w:themeColor="text1"/>
          <w:sz w:val="24"/>
          <w:szCs w:val="24"/>
        </w:rPr>
        <w:t xml:space="preserve">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0368B65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685983">
        <w:rPr>
          <w:rFonts w:eastAsia="Arial"/>
          <w:color w:val="000000" w:themeColor="text1"/>
          <w:sz w:val="24"/>
          <w:szCs w:val="24"/>
        </w:rPr>
        <w:t>19/01/2020</w:t>
      </w:r>
      <w:r w:rsidRPr="5848403C">
        <w:rPr>
          <w:rFonts w:eastAsia="Arial"/>
          <w:color w:val="000000" w:themeColor="text1"/>
          <w:sz w:val="24"/>
          <w:szCs w:val="24"/>
        </w:rPr>
        <w:t xml:space="preserve">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7B945B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685983" w:rsidRPr="00685983">
        <w:rPr>
          <w:rFonts w:ascii="Bradley Hand ITC" w:eastAsia="Arial" w:hAnsi="Bradley Hand ITC"/>
          <w:color w:val="000000" w:themeColor="text1"/>
          <w:sz w:val="24"/>
          <w:szCs w:val="24"/>
        </w:rPr>
        <w:t>SGoodwin</w:t>
      </w:r>
      <w:r w:rsidRPr="5848403C">
        <w:rPr>
          <w:rFonts w:eastAsia="Arial"/>
          <w:color w:val="000000" w:themeColor="text1"/>
          <w:sz w:val="24"/>
          <w:szCs w:val="24"/>
        </w:rPr>
        <w:t>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4E5BA3B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_ </w:t>
      </w:r>
      <w:r w:rsidR="00685983">
        <w:rPr>
          <w:rFonts w:eastAsia="Arial"/>
          <w:color w:val="000000" w:themeColor="text1"/>
          <w:sz w:val="24"/>
          <w:szCs w:val="24"/>
        </w:rPr>
        <w:t>19/01/2020</w:t>
      </w:r>
      <w:bookmarkStart w:id="0" w:name="_GoBack"/>
      <w:bookmarkEnd w:id="0"/>
      <w:r w:rsidRPr="5848403C">
        <w:rPr>
          <w:rFonts w:eastAsia="Arial"/>
          <w:color w:val="000000" w:themeColor="text1"/>
          <w:sz w:val="24"/>
          <w:szCs w:val="24"/>
        </w:rPr>
        <w:t>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radley Hand ITC">
    <w:panose1 w:val="03070402050302030203"/>
    <w:charset w:val="00"/>
    <w:family w:val="script"/>
    <w:pitch w:val="variable"/>
    <w:sig w:usb0="00000003" w:usb1="00000000" w:usb2="00000000" w:usb3="00000000" w:csb0="00000001"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489D9D5" w:rsidR="00F6513F" w:rsidRDefault="00F6513F">
    <w:pPr>
      <w:pStyle w:val="Footer"/>
      <w:jc w:val="right"/>
    </w:pPr>
    <w:r>
      <w:fldChar w:fldCharType="begin"/>
    </w:r>
    <w:r>
      <w:instrText xml:space="preserve"> PAGE   \* MERGEFORMAT </w:instrText>
    </w:r>
    <w:r>
      <w:fldChar w:fldCharType="separate"/>
    </w:r>
    <w:r w:rsidR="00685983">
      <w:rPr>
        <w:noProof/>
      </w:rPr>
      <w:t>23</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85983"/>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1E13"/>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68598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68598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6859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Vict/24-25/100/section/47"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purl.org/dc/terms/"/>
    <ds:schemaRef ds:uri="2e89cfda-a374-4413-9f0d-8b601eddeb70"/>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1ecf5648-3750-43f5-867d-bfaa16e6e17e"/>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8A1E2F-E288-4E9B-A780-8A01DE803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8189</Words>
  <Characters>41744</Characters>
  <Application>Microsoft Office Word</Application>
  <DocSecurity>0</DocSecurity>
  <Lines>347</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Goodwin, Stuart</cp:lastModifiedBy>
  <cp:revision>2</cp:revision>
  <cp:lastPrinted>2019-09-26T14:40:00Z</cp:lastPrinted>
  <dcterms:created xsi:type="dcterms:W3CDTF">2020-01-19T20:49:00Z</dcterms:created>
  <dcterms:modified xsi:type="dcterms:W3CDTF">2020-01-19T20:49:00Z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