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9B678" w14:textId="5D1FE8BE" w:rsidR="00CD603B" w:rsidRPr="00CD603B" w:rsidRDefault="00CD603B" w:rsidP="00CD603B">
      <w:pPr>
        <w:pStyle w:val="Title"/>
        <w:jc w:val="center"/>
        <w:rPr>
          <w:sz w:val="64"/>
          <w:szCs w:val="64"/>
        </w:rPr>
      </w:pPr>
      <w:r w:rsidRPr="00CD603B">
        <w:rPr>
          <w:sz w:val="64"/>
          <w:szCs w:val="64"/>
        </w:rPr>
        <w:t>International Business Communications</w:t>
      </w:r>
    </w:p>
    <w:p w14:paraId="62A30012" w14:textId="4334BA48" w:rsidR="00CD603B" w:rsidRDefault="00CD603B" w:rsidP="00CD603B">
      <w:pPr>
        <w:pStyle w:val="Title"/>
        <w:jc w:val="center"/>
        <w:rPr>
          <w:sz w:val="48"/>
          <w:szCs w:val="48"/>
        </w:rPr>
      </w:pPr>
      <w:r w:rsidRPr="00CD603B">
        <w:rPr>
          <w:sz w:val="48"/>
          <w:szCs w:val="48"/>
        </w:rPr>
        <w:t>Report on Diageo</w:t>
      </w:r>
    </w:p>
    <w:p w14:paraId="0E8BD761" w14:textId="77777777" w:rsidR="00CD603B" w:rsidRDefault="00CD603B" w:rsidP="00CD603B"/>
    <w:p w14:paraId="12D4C9A3" w14:textId="77777777" w:rsidR="00CD603B" w:rsidRDefault="00CD603B" w:rsidP="00CD603B"/>
    <w:p w14:paraId="536A8281" w14:textId="77777777" w:rsidR="00CD603B" w:rsidRDefault="00CD603B" w:rsidP="00CD603B"/>
    <w:p w14:paraId="5ED2EA32" w14:textId="77777777" w:rsidR="00CD603B" w:rsidRDefault="00CD603B" w:rsidP="00CD603B"/>
    <w:p w14:paraId="371BE731" w14:textId="77777777" w:rsidR="00CD603B" w:rsidRDefault="00CD603B" w:rsidP="00CD603B"/>
    <w:p w14:paraId="260CAA15" w14:textId="77777777" w:rsidR="00CD603B" w:rsidRDefault="00CD603B" w:rsidP="00CD603B"/>
    <w:p w14:paraId="5D02C3DF" w14:textId="77777777" w:rsidR="00CD603B" w:rsidRDefault="00CD603B" w:rsidP="00CD603B"/>
    <w:p w14:paraId="68B1BACB" w14:textId="77777777" w:rsidR="00CD603B" w:rsidRDefault="00CD603B" w:rsidP="00CD603B"/>
    <w:p w14:paraId="32B159C3" w14:textId="5F27A6DC" w:rsidR="00BF2C62" w:rsidRPr="005D7206" w:rsidRDefault="00BF2C62" w:rsidP="00CD603B">
      <w:pPr>
        <w:rPr>
          <w:rFonts w:ascii="Times New Roman" w:hAnsi="Times New Roman" w:cs="Times New Roman"/>
          <w:b/>
          <w:bCs/>
          <w:sz w:val="28"/>
          <w:szCs w:val="28"/>
        </w:rPr>
      </w:pPr>
      <w:r w:rsidRPr="005D7206">
        <w:rPr>
          <w:rFonts w:ascii="Times New Roman" w:hAnsi="Times New Roman" w:cs="Times New Roman"/>
          <w:b/>
          <w:bCs/>
          <w:sz w:val="28"/>
          <w:szCs w:val="28"/>
        </w:rPr>
        <w:t>Module: International Business Communications</w:t>
      </w:r>
    </w:p>
    <w:p w14:paraId="220D9944" w14:textId="66089AEB" w:rsidR="00BF2C62" w:rsidRPr="005D7206" w:rsidRDefault="005D7206" w:rsidP="00CD603B">
      <w:pPr>
        <w:rPr>
          <w:rFonts w:ascii="Times New Roman" w:hAnsi="Times New Roman" w:cs="Times New Roman"/>
          <w:b/>
          <w:bCs/>
          <w:sz w:val="28"/>
          <w:szCs w:val="28"/>
        </w:rPr>
      </w:pPr>
      <w:r w:rsidRPr="005D7206">
        <w:rPr>
          <w:rFonts w:ascii="Times New Roman" w:hAnsi="Times New Roman" w:cs="Times New Roman"/>
          <w:b/>
          <w:bCs/>
          <w:sz w:val="28"/>
          <w:szCs w:val="28"/>
        </w:rPr>
        <w:t xml:space="preserve">Module code: </w:t>
      </w:r>
      <w:r w:rsidRPr="005D7206">
        <w:rPr>
          <w:rFonts w:ascii="Times New Roman" w:hAnsi="Times New Roman" w:cs="Times New Roman"/>
          <w:b/>
          <w:bCs/>
          <w:sz w:val="28"/>
          <w:szCs w:val="28"/>
        </w:rPr>
        <w:t>LCBB6001</w:t>
      </w:r>
    </w:p>
    <w:p w14:paraId="7FB4C3B0" w14:textId="24A35D58" w:rsidR="00CD603B" w:rsidRPr="005D7206" w:rsidRDefault="00D558A2" w:rsidP="00CD603B">
      <w:pPr>
        <w:rPr>
          <w:rFonts w:ascii="Times New Roman" w:hAnsi="Times New Roman" w:cs="Times New Roman"/>
          <w:b/>
          <w:bCs/>
          <w:sz w:val="28"/>
          <w:szCs w:val="28"/>
        </w:rPr>
      </w:pPr>
      <w:r>
        <w:rPr>
          <w:rFonts w:ascii="Times New Roman" w:hAnsi="Times New Roman" w:cs="Times New Roman"/>
          <w:b/>
          <w:bCs/>
          <w:sz w:val="28"/>
          <w:szCs w:val="28"/>
        </w:rPr>
        <w:t xml:space="preserve">Student </w:t>
      </w:r>
      <w:r w:rsidR="00CD603B" w:rsidRPr="005D7206">
        <w:rPr>
          <w:rFonts w:ascii="Times New Roman" w:hAnsi="Times New Roman" w:cs="Times New Roman"/>
          <w:b/>
          <w:bCs/>
          <w:sz w:val="28"/>
          <w:szCs w:val="28"/>
        </w:rPr>
        <w:t>Name: Felix</w:t>
      </w:r>
      <w:r w:rsidR="00BF2C62" w:rsidRPr="005D7206">
        <w:rPr>
          <w:rFonts w:ascii="Times New Roman" w:hAnsi="Times New Roman" w:cs="Times New Roman"/>
          <w:b/>
          <w:bCs/>
          <w:sz w:val="28"/>
          <w:szCs w:val="28"/>
        </w:rPr>
        <w:t>-Lucian</w:t>
      </w:r>
      <w:r w:rsidR="00CD603B" w:rsidRPr="005D7206">
        <w:rPr>
          <w:rFonts w:ascii="Times New Roman" w:hAnsi="Times New Roman" w:cs="Times New Roman"/>
          <w:b/>
          <w:bCs/>
          <w:sz w:val="28"/>
          <w:szCs w:val="28"/>
        </w:rPr>
        <w:t xml:space="preserve"> Fistoleanu</w:t>
      </w:r>
    </w:p>
    <w:p w14:paraId="4643A88F" w14:textId="0A0B81F7" w:rsidR="005D7206" w:rsidRPr="005D7206" w:rsidRDefault="005D7206" w:rsidP="00CD603B">
      <w:pPr>
        <w:rPr>
          <w:rFonts w:ascii="Times New Roman" w:hAnsi="Times New Roman" w:cs="Times New Roman"/>
          <w:b/>
          <w:bCs/>
          <w:sz w:val="28"/>
          <w:szCs w:val="28"/>
        </w:rPr>
      </w:pPr>
      <w:r w:rsidRPr="005D7206">
        <w:rPr>
          <w:rFonts w:ascii="Times New Roman" w:hAnsi="Times New Roman" w:cs="Times New Roman"/>
          <w:b/>
          <w:bCs/>
          <w:sz w:val="28"/>
          <w:szCs w:val="28"/>
        </w:rPr>
        <w:t>Student ID : 2115327</w:t>
      </w:r>
    </w:p>
    <w:p w14:paraId="22717394" w14:textId="77777777" w:rsidR="00BF2C62" w:rsidRPr="005D7206" w:rsidRDefault="00BF2C62" w:rsidP="00CD603B">
      <w:pPr>
        <w:rPr>
          <w:rFonts w:ascii="Times New Roman" w:hAnsi="Times New Roman" w:cs="Times New Roman"/>
          <w:b/>
          <w:bCs/>
          <w:sz w:val="28"/>
          <w:szCs w:val="28"/>
        </w:rPr>
      </w:pPr>
    </w:p>
    <w:p w14:paraId="41EED7F4" w14:textId="77777777" w:rsidR="00CD603B" w:rsidRDefault="00CD603B" w:rsidP="009C6033">
      <w:pPr>
        <w:pStyle w:val="Heading1"/>
      </w:pPr>
    </w:p>
    <w:p w14:paraId="54B469FC" w14:textId="77777777" w:rsidR="00CD603B" w:rsidRDefault="00CD603B" w:rsidP="009C6033">
      <w:pPr>
        <w:pStyle w:val="Heading1"/>
      </w:pPr>
    </w:p>
    <w:p w14:paraId="7E20BDF9" w14:textId="77777777" w:rsidR="00CD603B" w:rsidRDefault="00CD603B" w:rsidP="009C6033">
      <w:pPr>
        <w:pStyle w:val="Heading1"/>
      </w:pPr>
    </w:p>
    <w:p w14:paraId="696BEF4C" w14:textId="77777777" w:rsidR="00CD603B" w:rsidRDefault="00CD603B" w:rsidP="00CD603B"/>
    <w:p w14:paraId="5550B93D" w14:textId="77777777" w:rsidR="00CD603B" w:rsidRDefault="00CD603B" w:rsidP="00CD603B"/>
    <w:p w14:paraId="5135DE5D" w14:textId="77777777" w:rsidR="00CD603B" w:rsidRPr="00CD603B" w:rsidRDefault="00CD603B" w:rsidP="00CD603B"/>
    <w:p w14:paraId="145DF110" w14:textId="77777777" w:rsidR="00CD603B" w:rsidRDefault="00CD603B" w:rsidP="009C6033">
      <w:pPr>
        <w:pStyle w:val="Heading1"/>
      </w:pPr>
    </w:p>
    <w:sdt>
      <w:sdtPr>
        <w:rPr>
          <w:rFonts w:asciiTheme="minorHAnsi" w:eastAsiaTheme="minorHAnsi" w:hAnsiTheme="minorHAnsi" w:cstheme="minorBidi"/>
          <w:color w:val="auto"/>
          <w:sz w:val="22"/>
          <w:szCs w:val="22"/>
          <w:lang w:val="ro-RO"/>
        </w:rPr>
        <w:id w:val="-1366355000"/>
        <w:docPartObj>
          <w:docPartGallery w:val="Table of Contents"/>
          <w:docPartUnique/>
        </w:docPartObj>
      </w:sdtPr>
      <w:sdtEndPr>
        <w:rPr>
          <w:b/>
          <w:bCs/>
          <w:noProof/>
        </w:rPr>
      </w:sdtEndPr>
      <w:sdtContent>
        <w:p w14:paraId="120AAF77" w14:textId="77777777" w:rsidR="005D7206" w:rsidRDefault="005D7206">
          <w:pPr>
            <w:pStyle w:val="TOCHeading"/>
            <w:rPr>
              <w:rFonts w:asciiTheme="minorHAnsi" w:eastAsiaTheme="minorHAnsi" w:hAnsiTheme="minorHAnsi" w:cstheme="minorBidi"/>
              <w:color w:val="auto"/>
              <w:sz w:val="22"/>
              <w:szCs w:val="22"/>
              <w:lang w:val="ro-RO"/>
            </w:rPr>
          </w:pPr>
        </w:p>
        <w:p w14:paraId="266EB0A9" w14:textId="77777777" w:rsidR="005D7206" w:rsidRDefault="005D7206">
          <w:pPr>
            <w:pStyle w:val="TOCHeading"/>
            <w:rPr>
              <w:rFonts w:asciiTheme="minorHAnsi" w:eastAsiaTheme="minorHAnsi" w:hAnsiTheme="minorHAnsi" w:cstheme="minorBidi"/>
              <w:color w:val="auto"/>
              <w:sz w:val="22"/>
              <w:szCs w:val="22"/>
              <w:lang w:val="ro-RO"/>
            </w:rPr>
          </w:pPr>
        </w:p>
        <w:p w14:paraId="52F10CB7" w14:textId="77777777" w:rsidR="005D7206" w:rsidRDefault="005D7206">
          <w:pPr>
            <w:pStyle w:val="TOCHeading"/>
            <w:rPr>
              <w:rFonts w:asciiTheme="minorHAnsi" w:eastAsiaTheme="minorHAnsi" w:hAnsiTheme="minorHAnsi" w:cstheme="minorBidi"/>
              <w:color w:val="auto"/>
              <w:sz w:val="22"/>
              <w:szCs w:val="22"/>
              <w:lang w:val="ro-RO"/>
            </w:rPr>
          </w:pPr>
        </w:p>
        <w:p w14:paraId="074170FE" w14:textId="7F7BFEF5" w:rsidR="00CD603B" w:rsidRDefault="00CD603B">
          <w:pPr>
            <w:pStyle w:val="TOCHeading"/>
          </w:pPr>
          <w:r>
            <w:t>Contents</w:t>
          </w:r>
        </w:p>
        <w:p w14:paraId="095BFA6F" w14:textId="60328E02" w:rsidR="00CD603B" w:rsidRDefault="00CD603B">
          <w:pPr>
            <w:pStyle w:val="TOC1"/>
            <w:tabs>
              <w:tab w:val="right" w:leader="dot" w:pos="9062"/>
            </w:tabs>
            <w:rPr>
              <w:rFonts w:eastAsiaTheme="minorEastAsia"/>
              <w:noProof/>
              <w:kern w:val="2"/>
              <w:lang w:eastAsia="ro-RO"/>
              <w14:ligatures w14:val="standardContextual"/>
            </w:rPr>
          </w:pPr>
          <w:r>
            <w:fldChar w:fldCharType="begin"/>
          </w:r>
          <w:r>
            <w:instrText xml:space="preserve"> TOC \o "1-3" \h \z \u </w:instrText>
          </w:r>
          <w:r>
            <w:fldChar w:fldCharType="separate"/>
          </w:r>
          <w:hyperlink w:anchor="_Toc153889383" w:history="1">
            <w:r w:rsidRPr="00C511ED">
              <w:rPr>
                <w:rStyle w:val="Hyperlink"/>
                <w:noProof/>
              </w:rPr>
              <w:t>British Business Communication: An Introduction</w:t>
            </w:r>
            <w:r>
              <w:rPr>
                <w:noProof/>
                <w:webHidden/>
              </w:rPr>
              <w:tab/>
            </w:r>
            <w:r>
              <w:rPr>
                <w:noProof/>
                <w:webHidden/>
              </w:rPr>
              <w:fldChar w:fldCharType="begin"/>
            </w:r>
            <w:r>
              <w:rPr>
                <w:noProof/>
                <w:webHidden/>
              </w:rPr>
              <w:instrText xml:space="preserve"> PAGEREF _Toc153889383 \h </w:instrText>
            </w:r>
            <w:r>
              <w:rPr>
                <w:noProof/>
                <w:webHidden/>
              </w:rPr>
            </w:r>
            <w:r>
              <w:rPr>
                <w:noProof/>
                <w:webHidden/>
              </w:rPr>
              <w:fldChar w:fldCharType="separate"/>
            </w:r>
            <w:r>
              <w:rPr>
                <w:noProof/>
                <w:webHidden/>
              </w:rPr>
              <w:t>2</w:t>
            </w:r>
            <w:r>
              <w:rPr>
                <w:noProof/>
                <w:webHidden/>
              </w:rPr>
              <w:fldChar w:fldCharType="end"/>
            </w:r>
          </w:hyperlink>
        </w:p>
        <w:p w14:paraId="28A3337E" w14:textId="29ADE9F8" w:rsidR="00CD603B" w:rsidRDefault="00000000">
          <w:pPr>
            <w:pStyle w:val="TOC1"/>
            <w:tabs>
              <w:tab w:val="right" w:leader="dot" w:pos="9062"/>
            </w:tabs>
            <w:rPr>
              <w:rFonts w:eastAsiaTheme="minorEastAsia"/>
              <w:noProof/>
              <w:kern w:val="2"/>
              <w:lang w:eastAsia="ro-RO"/>
              <w14:ligatures w14:val="standardContextual"/>
            </w:rPr>
          </w:pPr>
          <w:hyperlink w:anchor="_Toc153889384" w:history="1">
            <w:r w:rsidR="00CD603B" w:rsidRPr="00C511ED">
              <w:rPr>
                <w:rStyle w:val="Hyperlink"/>
                <w:noProof/>
              </w:rPr>
              <w:t>About Diageo</w:t>
            </w:r>
            <w:r w:rsidR="00CD603B">
              <w:rPr>
                <w:noProof/>
                <w:webHidden/>
              </w:rPr>
              <w:tab/>
            </w:r>
            <w:r w:rsidR="00CD603B">
              <w:rPr>
                <w:noProof/>
                <w:webHidden/>
              </w:rPr>
              <w:fldChar w:fldCharType="begin"/>
            </w:r>
            <w:r w:rsidR="00CD603B">
              <w:rPr>
                <w:noProof/>
                <w:webHidden/>
              </w:rPr>
              <w:instrText xml:space="preserve"> PAGEREF _Toc153889384 \h </w:instrText>
            </w:r>
            <w:r w:rsidR="00CD603B">
              <w:rPr>
                <w:noProof/>
                <w:webHidden/>
              </w:rPr>
            </w:r>
            <w:r w:rsidR="00CD603B">
              <w:rPr>
                <w:noProof/>
                <w:webHidden/>
              </w:rPr>
              <w:fldChar w:fldCharType="separate"/>
            </w:r>
            <w:r w:rsidR="00CD603B">
              <w:rPr>
                <w:noProof/>
                <w:webHidden/>
              </w:rPr>
              <w:t>3</w:t>
            </w:r>
            <w:r w:rsidR="00CD603B">
              <w:rPr>
                <w:noProof/>
                <w:webHidden/>
              </w:rPr>
              <w:fldChar w:fldCharType="end"/>
            </w:r>
          </w:hyperlink>
        </w:p>
        <w:p w14:paraId="17FB20F9" w14:textId="515879A6" w:rsidR="00CD603B" w:rsidRDefault="00000000">
          <w:pPr>
            <w:pStyle w:val="TOC1"/>
            <w:tabs>
              <w:tab w:val="right" w:leader="dot" w:pos="9062"/>
            </w:tabs>
            <w:rPr>
              <w:rFonts w:eastAsiaTheme="minorEastAsia"/>
              <w:noProof/>
              <w:kern w:val="2"/>
              <w:lang w:eastAsia="ro-RO"/>
              <w14:ligatures w14:val="standardContextual"/>
            </w:rPr>
          </w:pPr>
          <w:hyperlink w:anchor="_Toc153889385" w:history="1">
            <w:r w:rsidR="00CD603B" w:rsidRPr="00C511ED">
              <w:rPr>
                <w:rStyle w:val="Hyperlink"/>
                <w:noProof/>
              </w:rPr>
              <w:t>Assessment of Spain</w:t>
            </w:r>
            <w:r w:rsidR="00CD603B">
              <w:rPr>
                <w:noProof/>
                <w:webHidden/>
              </w:rPr>
              <w:tab/>
            </w:r>
            <w:r w:rsidR="00CD603B">
              <w:rPr>
                <w:noProof/>
                <w:webHidden/>
              </w:rPr>
              <w:fldChar w:fldCharType="begin"/>
            </w:r>
            <w:r w:rsidR="00CD603B">
              <w:rPr>
                <w:noProof/>
                <w:webHidden/>
              </w:rPr>
              <w:instrText xml:space="preserve"> PAGEREF _Toc153889385 \h </w:instrText>
            </w:r>
            <w:r w:rsidR="00CD603B">
              <w:rPr>
                <w:noProof/>
                <w:webHidden/>
              </w:rPr>
            </w:r>
            <w:r w:rsidR="00CD603B">
              <w:rPr>
                <w:noProof/>
                <w:webHidden/>
              </w:rPr>
              <w:fldChar w:fldCharType="separate"/>
            </w:r>
            <w:r w:rsidR="00CD603B">
              <w:rPr>
                <w:noProof/>
                <w:webHidden/>
              </w:rPr>
              <w:t>4</w:t>
            </w:r>
            <w:r w:rsidR="00CD603B">
              <w:rPr>
                <w:noProof/>
                <w:webHidden/>
              </w:rPr>
              <w:fldChar w:fldCharType="end"/>
            </w:r>
          </w:hyperlink>
        </w:p>
        <w:p w14:paraId="182CACC7" w14:textId="36EC3B82" w:rsidR="00CD603B" w:rsidRDefault="00000000">
          <w:pPr>
            <w:pStyle w:val="TOC1"/>
            <w:tabs>
              <w:tab w:val="right" w:leader="dot" w:pos="9062"/>
            </w:tabs>
            <w:rPr>
              <w:rFonts w:eastAsiaTheme="minorEastAsia"/>
              <w:noProof/>
              <w:kern w:val="2"/>
              <w:lang w:eastAsia="ro-RO"/>
              <w14:ligatures w14:val="standardContextual"/>
            </w:rPr>
          </w:pPr>
          <w:hyperlink w:anchor="_Toc153889386" w:history="1">
            <w:r w:rsidR="00CD603B" w:rsidRPr="00C511ED">
              <w:rPr>
                <w:rStyle w:val="Hyperlink"/>
                <w:noProof/>
              </w:rPr>
              <w:t>Assessment of Italy</w:t>
            </w:r>
            <w:r w:rsidR="00CD603B">
              <w:rPr>
                <w:noProof/>
                <w:webHidden/>
              </w:rPr>
              <w:tab/>
            </w:r>
            <w:r w:rsidR="00CD603B">
              <w:rPr>
                <w:noProof/>
                <w:webHidden/>
              </w:rPr>
              <w:fldChar w:fldCharType="begin"/>
            </w:r>
            <w:r w:rsidR="00CD603B">
              <w:rPr>
                <w:noProof/>
                <w:webHidden/>
              </w:rPr>
              <w:instrText xml:space="preserve"> PAGEREF _Toc153889386 \h </w:instrText>
            </w:r>
            <w:r w:rsidR="00CD603B">
              <w:rPr>
                <w:noProof/>
                <w:webHidden/>
              </w:rPr>
            </w:r>
            <w:r w:rsidR="00CD603B">
              <w:rPr>
                <w:noProof/>
                <w:webHidden/>
              </w:rPr>
              <w:fldChar w:fldCharType="separate"/>
            </w:r>
            <w:r w:rsidR="00CD603B">
              <w:rPr>
                <w:noProof/>
                <w:webHidden/>
              </w:rPr>
              <w:t>6</w:t>
            </w:r>
            <w:r w:rsidR="00CD603B">
              <w:rPr>
                <w:noProof/>
                <w:webHidden/>
              </w:rPr>
              <w:fldChar w:fldCharType="end"/>
            </w:r>
          </w:hyperlink>
        </w:p>
        <w:p w14:paraId="04ED0A3D" w14:textId="15D8660F" w:rsidR="00CD603B" w:rsidRDefault="00000000">
          <w:pPr>
            <w:pStyle w:val="TOC1"/>
            <w:tabs>
              <w:tab w:val="right" w:leader="dot" w:pos="9062"/>
            </w:tabs>
            <w:rPr>
              <w:rFonts w:eastAsiaTheme="minorEastAsia"/>
              <w:noProof/>
              <w:kern w:val="2"/>
              <w:lang w:eastAsia="ro-RO"/>
              <w14:ligatures w14:val="standardContextual"/>
            </w:rPr>
          </w:pPr>
          <w:hyperlink w:anchor="_Toc153889387" w:history="1">
            <w:r w:rsidR="00CD603B" w:rsidRPr="00C511ED">
              <w:rPr>
                <w:rStyle w:val="Hyperlink"/>
                <w:noProof/>
              </w:rPr>
              <w:t>Communication Barriers to Diageo</w:t>
            </w:r>
            <w:r w:rsidR="00CD603B">
              <w:rPr>
                <w:noProof/>
                <w:webHidden/>
              </w:rPr>
              <w:tab/>
            </w:r>
            <w:r w:rsidR="00CD603B">
              <w:rPr>
                <w:noProof/>
                <w:webHidden/>
              </w:rPr>
              <w:fldChar w:fldCharType="begin"/>
            </w:r>
            <w:r w:rsidR="00CD603B">
              <w:rPr>
                <w:noProof/>
                <w:webHidden/>
              </w:rPr>
              <w:instrText xml:space="preserve"> PAGEREF _Toc153889387 \h </w:instrText>
            </w:r>
            <w:r w:rsidR="00CD603B">
              <w:rPr>
                <w:noProof/>
                <w:webHidden/>
              </w:rPr>
            </w:r>
            <w:r w:rsidR="00CD603B">
              <w:rPr>
                <w:noProof/>
                <w:webHidden/>
              </w:rPr>
              <w:fldChar w:fldCharType="separate"/>
            </w:r>
            <w:r w:rsidR="00CD603B">
              <w:rPr>
                <w:noProof/>
                <w:webHidden/>
              </w:rPr>
              <w:t>7</w:t>
            </w:r>
            <w:r w:rsidR="00CD603B">
              <w:rPr>
                <w:noProof/>
                <w:webHidden/>
              </w:rPr>
              <w:fldChar w:fldCharType="end"/>
            </w:r>
          </w:hyperlink>
        </w:p>
        <w:p w14:paraId="14AE85A1" w14:textId="0EAD4121" w:rsidR="00CD603B" w:rsidRDefault="00000000">
          <w:pPr>
            <w:pStyle w:val="TOC1"/>
            <w:tabs>
              <w:tab w:val="right" w:leader="dot" w:pos="9062"/>
            </w:tabs>
            <w:rPr>
              <w:rFonts w:eastAsiaTheme="minorEastAsia"/>
              <w:noProof/>
              <w:kern w:val="2"/>
              <w:lang w:eastAsia="ro-RO"/>
              <w14:ligatures w14:val="standardContextual"/>
            </w:rPr>
          </w:pPr>
          <w:hyperlink w:anchor="_Toc153889388" w:history="1">
            <w:r w:rsidR="00CD603B" w:rsidRPr="00C511ED">
              <w:rPr>
                <w:rStyle w:val="Hyperlink"/>
                <w:noProof/>
              </w:rPr>
              <w:t>Recommendation &amp; Strategies</w:t>
            </w:r>
            <w:r w:rsidR="00CD603B">
              <w:rPr>
                <w:noProof/>
                <w:webHidden/>
              </w:rPr>
              <w:tab/>
            </w:r>
            <w:r w:rsidR="00CD603B">
              <w:rPr>
                <w:noProof/>
                <w:webHidden/>
              </w:rPr>
              <w:fldChar w:fldCharType="begin"/>
            </w:r>
            <w:r w:rsidR="00CD603B">
              <w:rPr>
                <w:noProof/>
                <w:webHidden/>
              </w:rPr>
              <w:instrText xml:space="preserve"> PAGEREF _Toc153889388 \h </w:instrText>
            </w:r>
            <w:r w:rsidR="00CD603B">
              <w:rPr>
                <w:noProof/>
                <w:webHidden/>
              </w:rPr>
            </w:r>
            <w:r w:rsidR="00CD603B">
              <w:rPr>
                <w:noProof/>
                <w:webHidden/>
              </w:rPr>
              <w:fldChar w:fldCharType="separate"/>
            </w:r>
            <w:r w:rsidR="00CD603B">
              <w:rPr>
                <w:noProof/>
                <w:webHidden/>
              </w:rPr>
              <w:t>9</w:t>
            </w:r>
            <w:r w:rsidR="00CD603B">
              <w:rPr>
                <w:noProof/>
                <w:webHidden/>
              </w:rPr>
              <w:fldChar w:fldCharType="end"/>
            </w:r>
          </w:hyperlink>
        </w:p>
        <w:p w14:paraId="06491F33" w14:textId="3AAA0459" w:rsidR="00CD603B" w:rsidRDefault="00000000">
          <w:pPr>
            <w:pStyle w:val="TOC1"/>
            <w:tabs>
              <w:tab w:val="right" w:leader="dot" w:pos="9062"/>
            </w:tabs>
            <w:rPr>
              <w:rFonts w:eastAsiaTheme="minorEastAsia"/>
              <w:noProof/>
              <w:kern w:val="2"/>
              <w:lang w:eastAsia="ro-RO"/>
              <w14:ligatures w14:val="standardContextual"/>
            </w:rPr>
          </w:pPr>
          <w:hyperlink w:anchor="_Toc153889389" w:history="1">
            <w:r w:rsidR="009A54C4">
              <w:rPr>
                <w:rStyle w:val="Hyperlink"/>
                <w:noProof/>
              </w:rPr>
              <w:t>Summary</w:t>
            </w:r>
            <w:r w:rsidR="00CD603B">
              <w:rPr>
                <w:noProof/>
                <w:webHidden/>
              </w:rPr>
              <w:tab/>
            </w:r>
            <w:r w:rsidR="00CD603B">
              <w:rPr>
                <w:noProof/>
                <w:webHidden/>
              </w:rPr>
              <w:fldChar w:fldCharType="begin"/>
            </w:r>
            <w:r w:rsidR="00CD603B">
              <w:rPr>
                <w:noProof/>
                <w:webHidden/>
              </w:rPr>
              <w:instrText xml:space="preserve"> PAGEREF _Toc153889389 \h </w:instrText>
            </w:r>
            <w:r w:rsidR="00CD603B">
              <w:rPr>
                <w:noProof/>
                <w:webHidden/>
              </w:rPr>
            </w:r>
            <w:r w:rsidR="00CD603B">
              <w:rPr>
                <w:noProof/>
                <w:webHidden/>
              </w:rPr>
              <w:fldChar w:fldCharType="separate"/>
            </w:r>
            <w:r w:rsidR="00CD603B">
              <w:rPr>
                <w:noProof/>
                <w:webHidden/>
              </w:rPr>
              <w:t>9</w:t>
            </w:r>
            <w:r w:rsidR="00CD603B">
              <w:rPr>
                <w:noProof/>
                <w:webHidden/>
              </w:rPr>
              <w:fldChar w:fldCharType="end"/>
            </w:r>
          </w:hyperlink>
        </w:p>
        <w:p w14:paraId="3E3E935C" w14:textId="6BCB9319" w:rsidR="00CD603B" w:rsidRDefault="00000000">
          <w:pPr>
            <w:pStyle w:val="TOC1"/>
            <w:tabs>
              <w:tab w:val="right" w:leader="dot" w:pos="9062"/>
            </w:tabs>
            <w:rPr>
              <w:rFonts w:eastAsiaTheme="minorEastAsia"/>
              <w:noProof/>
              <w:kern w:val="2"/>
              <w:lang w:eastAsia="ro-RO"/>
              <w14:ligatures w14:val="standardContextual"/>
            </w:rPr>
          </w:pPr>
          <w:hyperlink w:anchor="_Toc153889390" w:history="1">
            <w:r w:rsidR="00CD603B" w:rsidRPr="00C511ED">
              <w:rPr>
                <w:rStyle w:val="Hyperlink"/>
                <w:noProof/>
              </w:rPr>
              <w:t>References</w:t>
            </w:r>
            <w:r w:rsidR="00CD603B">
              <w:rPr>
                <w:noProof/>
                <w:webHidden/>
              </w:rPr>
              <w:tab/>
            </w:r>
            <w:r w:rsidR="00CD603B">
              <w:rPr>
                <w:noProof/>
                <w:webHidden/>
              </w:rPr>
              <w:fldChar w:fldCharType="begin"/>
            </w:r>
            <w:r w:rsidR="00CD603B">
              <w:rPr>
                <w:noProof/>
                <w:webHidden/>
              </w:rPr>
              <w:instrText xml:space="preserve"> PAGEREF _Toc153889390 \h </w:instrText>
            </w:r>
            <w:r w:rsidR="00CD603B">
              <w:rPr>
                <w:noProof/>
                <w:webHidden/>
              </w:rPr>
            </w:r>
            <w:r w:rsidR="00CD603B">
              <w:rPr>
                <w:noProof/>
                <w:webHidden/>
              </w:rPr>
              <w:fldChar w:fldCharType="separate"/>
            </w:r>
            <w:r w:rsidR="00CD603B">
              <w:rPr>
                <w:noProof/>
                <w:webHidden/>
              </w:rPr>
              <w:t>10</w:t>
            </w:r>
            <w:r w:rsidR="00CD603B">
              <w:rPr>
                <w:noProof/>
                <w:webHidden/>
              </w:rPr>
              <w:fldChar w:fldCharType="end"/>
            </w:r>
          </w:hyperlink>
        </w:p>
        <w:p w14:paraId="7498631D" w14:textId="7BD710B4" w:rsidR="00CD603B" w:rsidRDefault="00CD603B">
          <w:r>
            <w:rPr>
              <w:b/>
              <w:bCs/>
              <w:noProof/>
            </w:rPr>
            <w:fldChar w:fldCharType="end"/>
          </w:r>
        </w:p>
      </w:sdtContent>
    </w:sdt>
    <w:p w14:paraId="537AE7C1" w14:textId="77777777" w:rsidR="00CD603B" w:rsidRDefault="00CD603B" w:rsidP="009C6033">
      <w:pPr>
        <w:pStyle w:val="Heading1"/>
      </w:pPr>
    </w:p>
    <w:p w14:paraId="4F3E7FF3" w14:textId="77777777" w:rsidR="00CD603B" w:rsidRDefault="00CD603B" w:rsidP="009C6033">
      <w:pPr>
        <w:pStyle w:val="Heading1"/>
      </w:pPr>
    </w:p>
    <w:p w14:paraId="675CCD28" w14:textId="77777777" w:rsidR="00CD603B" w:rsidRDefault="00CD603B" w:rsidP="009C6033">
      <w:pPr>
        <w:pStyle w:val="Heading1"/>
      </w:pPr>
    </w:p>
    <w:p w14:paraId="5EA9139C" w14:textId="77777777" w:rsidR="00CD603B" w:rsidRDefault="00CD603B" w:rsidP="009C6033">
      <w:pPr>
        <w:pStyle w:val="Heading1"/>
      </w:pPr>
    </w:p>
    <w:p w14:paraId="2B58E881" w14:textId="77777777" w:rsidR="00CD603B" w:rsidRDefault="00CD603B" w:rsidP="009C6033">
      <w:pPr>
        <w:pStyle w:val="Heading1"/>
      </w:pPr>
    </w:p>
    <w:p w14:paraId="7E220752" w14:textId="77777777" w:rsidR="00CD603B" w:rsidRDefault="00CD603B" w:rsidP="009C6033">
      <w:pPr>
        <w:pStyle w:val="Heading1"/>
      </w:pPr>
    </w:p>
    <w:p w14:paraId="364CE4B0" w14:textId="77777777" w:rsidR="00CD603B" w:rsidRDefault="00CD603B" w:rsidP="00CD603B"/>
    <w:p w14:paraId="4BB072B1" w14:textId="77777777" w:rsidR="00CD603B" w:rsidRDefault="00CD603B" w:rsidP="00CD603B"/>
    <w:p w14:paraId="3308F6BB" w14:textId="77777777" w:rsidR="00CD603B" w:rsidRDefault="00CD603B" w:rsidP="00CD603B"/>
    <w:p w14:paraId="3D4932DA" w14:textId="77777777" w:rsidR="00CD603B" w:rsidRDefault="00CD603B" w:rsidP="00CD603B"/>
    <w:p w14:paraId="001D45F7" w14:textId="77777777" w:rsidR="00CD603B" w:rsidRDefault="00CD603B" w:rsidP="00CD603B"/>
    <w:p w14:paraId="0A986B0E" w14:textId="77777777" w:rsidR="00CD603B" w:rsidRDefault="00CD603B" w:rsidP="00CD603B"/>
    <w:p w14:paraId="509AB7CB" w14:textId="77777777" w:rsidR="00CD603B" w:rsidRDefault="00CD603B" w:rsidP="00CD603B"/>
    <w:p w14:paraId="4F1738EF" w14:textId="77777777" w:rsidR="00CD603B" w:rsidRDefault="00CD603B" w:rsidP="00CD603B"/>
    <w:p w14:paraId="037DF5AF" w14:textId="77777777" w:rsidR="00CD603B" w:rsidRDefault="00CD603B" w:rsidP="00CD603B"/>
    <w:p w14:paraId="48390278" w14:textId="77777777" w:rsidR="00CD603B" w:rsidRDefault="00CD603B" w:rsidP="00CD603B"/>
    <w:p w14:paraId="69FD32B6" w14:textId="77777777" w:rsidR="00CD603B" w:rsidRDefault="00CD603B" w:rsidP="00CD603B"/>
    <w:p w14:paraId="1594C66B" w14:textId="77777777" w:rsidR="00CD603B" w:rsidRPr="00CD603B" w:rsidRDefault="00CD603B" w:rsidP="00CD603B"/>
    <w:p w14:paraId="13C551FF" w14:textId="0CDC652C" w:rsidR="009C6033" w:rsidRPr="009C6033" w:rsidRDefault="009C6033" w:rsidP="009C6033">
      <w:pPr>
        <w:pStyle w:val="Heading1"/>
      </w:pPr>
      <w:bookmarkStart w:id="0" w:name="_Toc153889337"/>
      <w:bookmarkStart w:id="1" w:name="_Toc153889383"/>
      <w:r w:rsidRPr="009C6033">
        <w:t>British Business Communication: An Introduction</w:t>
      </w:r>
      <w:bookmarkEnd w:id="0"/>
      <w:bookmarkEnd w:id="1"/>
    </w:p>
    <w:p w14:paraId="13E74CA0" w14:textId="5C02A72B" w:rsidR="009C6033" w:rsidRPr="009C6033" w:rsidRDefault="009C6033" w:rsidP="009C6033">
      <w:pPr>
        <w:spacing w:line="480" w:lineRule="auto"/>
        <w:jc w:val="both"/>
        <w:rPr>
          <w:rFonts w:ascii="Times New Roman" w:hAnsi="Times New Roman" w:cs="Times New Roman"/>
          <w:sz w:val="24"/>
          <w:szCs w:val="24"/>
        </w:rPr>
      </w:pPr>
      <w:r>
        <w:rPr>
          <w:rFonts w:ascii="Times New Roman" w:hAnsi="Times New Roman" w:cs="Times New Roman"/>
          <w:sz w:val="24"/>
          <w:szCs w:val="24"/>
        </w:rPr>
        <w:t>Organizations</w:t>
      </w:r>
      <w:r w:rsidRPr="009C6033">
        <w:rPr>
          <w:rFonts w:ascii="Times New Roman" w:hAnsi="Times New Roman" w:cs="Times New Roman"/>
          <w:sz w:val="24"/>
          <w:szCs w:val="24"/>
        </w:rPr>
        <w:t xml:space="preserve"> expanding internationally must adapt their communication strategies to new cultural contexts. It is a challenge for British businesses where direct, informal communication styles are prevalent. When collaborating with other cultures, factors like formality, hierarchy, language</w:t>
      </w:r>
      <w:r>
        <w:rPr>
          <w:rFonts w:ascii="Times New Roman" w:hAnsi="Times New Roman" w:cs="Times New Roman"/>
          <w:sz w:val="24"/>
          <w:szCs w:val="24"/>
        </w:rPr>
        <w:t>,</w:t>
      </w:r>
      <w:r w:rsidRPr="009C6033">
        <w:rPr>
          <w:rFonts w:ascii="Times New Roman" w:hAnsi="Times New Roman" w:cs="Times New Roman"/>
          <w:sz w:val="24"/>
          <w:szCs w:val="24"/>
        </w:rPr>
        <w:t xml:space="preserve"> and channel skills, as well as language skills, must be considered (Chaney &amp; Martin</w:t>
      </w:r>
      <w:r>
        <w:rPr>
          <w:rFonts w:ascii="Times New Roman" w:hAnsi="Times New Roman" w:cs="Times New Roman"/>
          <w:sz w:val="24"/>
          <w:szCs w:val="24"/>
        </w:rPr>
        <w:t>,</w:t>
      </w:r>
      <w:r w:rsidRPr="009C6033">
        <w:rPr>
          <w:rFonts w:ascii="Times New Roman" w:hAnsi="Times New Roman" w:cs="Times New Roman"/>
          <w:sz w:val="24"/>
          <w:szCs w:val="24"/>
        </w:rPr>
        <w:t xml:space="preserve"> 2019). It is important to be flexible and focus on building relationships.</w:t>
      </w:r>
    </w:p>
    <w:p w14:paraId="2B735750" w14:textId="47C200A3"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Understanding nuanced factors such as hierarchy, context and timing, along with sociolinguistic characteristics of different cultures, is essential for effective cross-cultural communication (Usunier Roulin, 2010</w:t>
      </w:r>
      <w:r>
        <w:rPr>
          <w:rFonts w:ascii="Times New Roman" w:hAnsi="Times New Roman" w:cs="Times New Roman"/>
          <w:sz w:val="24"/>
          <w:szCs w:val="24"/>
        </w:rPr>
        <w:t xml:space="preserve"> </w:t>
      </w:r>
      <w:r w:rsidRPr="009C6033">
        <w:rPr>
          <w:rFonts w:ascii="Times New Roman" w:hAnsi="Times New Roman" w:cs="Times New Roman"/>
          <w:sz w:val="24"/>
          <w:szCs w:val="24"/>
        </w:rPr>
        <w:t>). As British businesses globalize under competitive pressures (Park et. al.,</w:t>
      </w:r>
      <w:r>
        <w:rPr>
          <w:rFonts w:ascii="Times New Roman" w:hAnsi="Times New Roman" w:cs="Times New Roman"/>
          <w:sz w:val="24"/>
          <w:szCs w:val="24"/>
        </w:rPr>
        <w:t xml:space="preserve"> </w:t>
      </w:r>
      <w:r w:rsidRPr="009C6033">
        <w:rPr>
          <w:rFonts w:ascii="Times New Roman" w:hAnsi="Times New Roman" w:cs="Times New Roman"/>
          <w:sz w:val="24"/>
          <w:szCs w:val="24"/>
        </w:rPr>
        <w:t>2012), adapting to foreign cultures becomes essential for success. This is a challenge that is often under-appreciated. UK communication norms are direct, informal, and quick to turn in conversations – qualities that may be offensive in hierarchical markets. But building relationships that are based on trust is the key to overcoming style differences.</w:t>
      </w:r>
    </w:p>
    <w:p w14:paraId="02E972F4" w14:textId="10C141D9"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 xml:space="preserve">In British </w:t>
      </w:r>
      <w:r>
        <w:rPr>
          <w:rFonts w:ascii="Times New Roman" w:hAnsi="Times New Roman" w:cs="Times New Roman"/>
          <w:sz w:val="24"/>
          <w:szCs w:val="24"/>
        </w:rPr>
        <w:t>organizations</w:t>
      </w:r>
      <w:r w:rsidRPr="009C6033">
        <w:rPr>
          <w:rFonts w:ascii="Times New Roman" w:hAnsi="Times New Roman" w:cs="Times New Roman"/>
          <w:sz w:val="24"/>
          <w:szCs w:val="24"/>
        </w:rPr>
        <w:t xml:space="preserve"> specifically, power distance and individualism play a role (Quappe &amp; Cantatore</w:t>
      </w:r>
      <w:r>
        <w:rPr>
          <w:rFonts w:ascii="Times New Roman" w:hAnsi="Times New Roman" w:cs="Times New Roman"/>
          <w:sz w:val="24"/>
          <w:szCs w:val="24"/>
        </w:rPr>
        <w:t>,</w:t>
      </w:r>
      <w:r w:rsidRPr="009C6033">
        <w:rPr>
          <w:rFonts w:ascii="Times New Roman" w:hAnsi="Times New Roman" w:cs="Times New Roman"/>
          <w:sz w:val="24"/>
          <w:szCs w:val="24"/>
        </w:rPr>
        <w:t xml:space="preserve"> 2007). Comparing the UK to other countries such as Spain and Italy, it shows a lower power distance. This indicates flatter structures and greater accessibility between management levels. In the same way, </w:t>
      </w:r>
      <w:r>
        <w:rPr>
          <w:rFonts w:ascii="Times New Roman" w:hAnsi="Times New Roman" w:cs="Times New Roman"/>
          <w:sz w:val="24"/>
          <w:szCs w:val="24"/>
        </w:rPr>
        <w:t>Britain</w:t>
      </w:r>
      <w:r w:rsidRPr="009C6033">
        <w:rPr>
          <w:rFonts w:ascii="Times New Roman" w:hAnsi="Times New Roman" w:cs="Times New Roman"/>
          <w:sz w:val="24"/>
          <w:szCs w:val="24"/>
        </w:rPr>
        <w:t xml:space="preserve"> is more individualistic than other cultures that are collectivist, which require group harmony. Murray (2013) suggests that adaptations must be made to formality and context, as well as understanding the different motivations of people. Evidence shows that British expats are still struggling to navigate communication norms despite </w:t>
      </w:r>
      <w:r>
        <w:rPr>
          <w:rFonts w:ascii="Times New Roman" w:hAnsi="Times New Roman" w:cs="Times New Roman"/>
          <w:sz w:val="24"/>
          <w:szCs w:val="24"/>
        </w:rPr>
        <w:t>awareness training</w:t>
      </w:r>
      <w:r w:rsidRPr="009C6033">
        <w:rPr>
          <w:rFonts w:ascii="Times New Roman" w:hAnsi="Times New Roman" w:cs="Times New Roman"/>
          <w:sz w:val="24"/>
          <w:szCs w:val="24"/>
        </w:rPr>
        <w:t xml:space="preserve"> (Lovvorn &amp; Cheng</w:t>
      </w:r>
      <w:r>
        <w:rPr>
          <w:rFonts w:ascii="Times New Roman" w:hAnsi="Times New Roman" w:cs="Times New Roman"/>
          <w:sz w:val="24"/>
          <w:szCs w:val="24"/>
        </w:rPr>
        <w:t>,</w:t>
      </w:r>
      <w:r w:rsidRPr="009C6033">
        <w:rPr>
          <w:rFonts w:ascii="Times New Roman" w:hAnsi="Times New Roman" w:cs="Times New Roman"/>
          <w:sz w:val="24"/>
          <w:szCs w:val="24"/>
        </w:rPr>
        <w:t xml:space="preserve"> 20</w:t>
      </w:r>
      <w:r w:rsidR="002C16D1">
        <w:rPr>
          <w:rFonts w:ascii="Times New Roman" w:hAnsi="Times New Roman" w:cs="Times New Roman"/>
          <w:sz w:val="24"/>
          <w:szCs w:val="24"/>
        </w:rPr>
        <w:t>2</w:t>
      </w:r>
      <w:r w:rsidRPr="009C6033">
        <w:rPr>
          <w:rFonts w:ascii="Times New Roman" w:hAnsi="Times New Roman" w:cs="Times New Roman"/>
          <w:sz w:val="24"/>
          <w:szCs w:val="24"/>
        </w:rPr>
        <w:t>2).</w:t>
      </w:r>
    </w:p>
    <w:p w14:paraId="50EBBAC7" w14:textId="24F81D65"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lastRenderedPageBreak/>
        <w:t xml:space="preserve">Also, sociolinguistics theory highlights divergence in areas like volume, interruption patterns, and emotion expression (Zhang, et. al., 2021). Charles </w:t>
      </w:r>
      <w:r>
        <w:rPr>
          <w:rFonts w:ascii="Times New Roman" w:hAnsi="Times New Roman" w:cs="Times New Roman"/>
          <w:sz w:val="24"/>
          <w:szCs w:val="24"/>
        </w:rPr>
        <w:t>(</w:t>
      </w:r>
      <w:r w:rsidRPr="009C6033">
        <w:rPr>
          <w:rFonts w:ascii="Times New Roman" w:hAnsi="Times New Roman" w:cs="Times New Roman"/>
          <w:sz w:val="24"/>
          <w:szCs w:val="24"/>
        </w:rPr>
        <w:t xml:space="preserve">2007) argues that regional dialects and idiosyncratic terminology are practical challenges British businesses must overcome. Harzing et. al. (2011) argue that linguistic competency is crucial to global market success. To foster connections, it is necessary to tailor communication to local preferences. Adaptation should therefore consider deeper cultural traits, not just surface </w:t>
      </w:r>
      <w:r>
        <w:rPr>
          <w:rFonts w:ascii="Times New Roman" w:hAnsi="Times New Roman" w:cs="Times New Roman"/>
          <w:sz w:val="24"/>
          <w:szCs w:val="24"/>
        </w:rPr>
        <w:t>behavior</w:t>
      </w:r>
      <w:r w:rsidRPr="009C6033">
        <w:rPr>
          <w:rFonts w:ascii="Times New Roman" w:hAnsi="Times New Roman" w:cs="Times New Roman"/>
          <w:sz w:val="24"/>
          <w:szCs w:val="24"/>
        </w:rPr>
        <w:t>.</w:t>
      </w:r>
    </w:p>
    <w:p w14:paraId="7E6950B7" w14:textId="77777777" w:rsidR="009C6033" w:rsidRPr="009C6033" w:rsidRDefault="009C6033" w:rsidP="009C6033">
      <w:pPr>
        <w:pStyle w:val="Heading1"/>
      </w:pPr>
      <w:bookmarkStart w:id="2" w:name="_Toc153889338"/>
      <w:bookmarkStart w:id="3" w:name="_Toc153889384"/>
      <w:r w:rsidRPr="009C6033">
        <w:t>About Diageo</w:t>
      </w:r>
      <w:bookmarkEnd w:id="2"/>
      <w:bookmarkEnd w:id="3"/>
    </w:p>
    <w:p w14:paraId="294A66F5" w14:textId="1DAAEF92"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Diageo, headquartered in London and a major British alcoholic beverage company, was formed by the 1997 merger of Guinness with Grand Metropolitan. Smirnoff, Johnnie Walker</w:t>
      </w:r>
      <w:r>
        <w:rPr>
          <w:rFonts w:ascii="Times New Roman" w:hAnsi="Times New Roman" w:cs="Times New Roman"/>
          <w:sz w:val="24"/>
          <w:szCs w:val="24"/>
        </w:rPr>
        <w:t>,</w:t>
      </w:r>
      <w:r w:rsidRPr="009C6033">
        <w:rPr>
          <w:rFonts w:ascii="Times New Roman" w:hAnsi="Times New Roman" w:cs="Times New Roman"/>
          <w:sz w:val="24"/>
          <w:szCs w:val="24"/>
        </w:rPr>
        <w:t xml:space="preserve"> and Guinness are some of the most well-known brands. Diageo, which has operations in 180 countries, is aiming for continued growth in international markets, especially emerging markets, as the demand for premium spirits increases (Diageo annual report, 2022).</w:t>
      </w:r>
    </w:p>
    <w:p w14:paraId="265C7CD4" w14:textId="0660427B"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Diageo is a great example of a successful merger and acquisition that has increased global reach in the alcohol beverage industry (Baghai, et. al.,</w:t>
      </w:r>
      <w:r w:rsidR="002C16D1">
        <w:rPr>
          <w:rFonts w:ascii="Times New Roman" w:hAnsi="Times New Roman" w:cs="Times New Roman"/>
          <w:sz w:val="24"/>
          <w:szCs w:val="24"/>
        </w:rPr>
        <w:t xml:space="preserve"> </w:t>
      </w:r>
      <w:r w:rsidRPr="009C6033">
        <w:rPr>
          <w:rFonts w:ascii="Times New Roman" w:hAnsi="Times New Roman" w:cs="Times New Roman"/>
          <w:sz w:val="24"/>
          <w:szCs w:val="24"/>
        </w:rPr>
        <w:t xml:space="preserve">2020). Diageo, formed from the </w:t>
      </w:r>
      <w:r>
        <w:rPr>
          <w:rFonts w:ascii="Times New Roman" w:hAnsi="Times New Roman" w:cs="Times New Roman"/>
          <w:sz w:val="24"/>
          <w:szCs w:val="24"/>
        </w:rPr>
        <w:t>£</w:t>
      </w:r>
      <w:r w:rsidRPr="009C6033">
        <w:rPr>
          <w:rFonts w:ascii="Times New Roman" w:hAnsi="Times New Roman" w:cs="Times New Roman"/>
          <w:sz w:val="24"/>
          <w:szCs w:val="24"/>
        </w:rPr>
        <w:t>24</w:t>
      </w:r>
      <w:r>
        <w:rPr>
          <w:rFonts w:ascii="Times New Roman" w:hAnsi="Times New Roman" w:cs="Times New Roman"/>
          <w:sz w:val="24"/>
          <w:szCs w:val="24"/>
        </w:rPr>
        <w:t xml:space="preserve"> </w:t>
      </w:r>
      <w:r w:rsidRPr="009C6033">
        <w:rPr>
          <w:rFonts w:ascii="Times New Roman" w:hAnsi="Times New Roman" w:cs="Times New Roman"/>
          <w:sz w:val="24"/>
          <w:szCs w:val="24"/>
        </w:rPr>
        <w:t xml:space="preserve">billion merger between Grand Metropolitan </w:t>
      </w:r>
      <w:r>
        <w:rPr>
          <w:rFonts w:ascii="Times New Roman" w:hAnsi="Times New Roman" w:cs="Times New Roman"/>
          <w:sz w:val="24"/>
          <w:szCs w:val="24"/>
        </w:rPr>
        <w:t>Brewing</w:t>
      </w:r>
      <w:r w:rsidRPr="009C6033">
        <w:rPr>
          <w:rFonts w:ascii="Times New Roman" w:hAnsi="Times New Roman" w:cs="Times New Roman"/>
          <w:sz w:val="24"/>
          <w:szCs w:val="24"/>
        </w:rPr>
        <w:t xml:space="preserve"> and Guinness, now has unrivaled brand recognition and scale, including rums and whiskeys. According to research, diversifying brand portfolios can help companies adapt to changing consumption patterns among different generations and cultures. Alcohol's social and health effects raise questions of business responsibility (Marmier, et al.</w:t>
      </w:r>
      <w:r>
        <w:rPr>
          <w:rFonts w:ascii="Times New Roman" w:hAnsi="Times New Roman" w:cs="Times New Roman"/>
          <w:sz w:val="24"/>
          <w:szCs w:val="24"/>
        </w:rPr>
        <w:t>,</w:t>
      </w:r>
      <w:r w:rsidRPr="009C6033">
        <w:rPr>
          <w:rFonts w:ascii="Times New Roman" w:hAnsi="Times New Roman" w:cs="Times New Roman"/>
          <w:sz w:val="24"/>
          <w:szCs w:val="24"/>
        </w:rPr>
        <w:t xml:space="preserve"> 2021). Corporate messaging must balance celebrating universal appeal with discouraging harmful overindulgence (Panzone, et. al., 2016).</w:t>
      </w:r>
    </w:p>
    <w:p w14:paraId="452D90DB" w14:textId="67E98175"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 xml:space="preserve">Specifically within spirits, Diageo commands </w:t>
      </w:r>
      <w:r>
        <w:rPr>
          <w:rFonts w:ascii="Times New Roman" w:hAnsi="Times New Roman" w:cs="Times New Roman"/>
          <w:sz w:val="24"/>
          <w:szCs w:val="24"/>
        </w:rPr>
        <w:t>category-leading</w:t>
      </w:r>
      <w:r w:rsidRPr="009C6033">
        <w:rPr>
          <w:rFonts w:ascii="Times New Roman" w:hAnsi="Times New Roman" w:cs="Times New Roman"/>
          <w:sz w:val="24"/>
          <w:szCs w:val="24"/>
        </w:rPr>
        <w:t xml:space="preserve"> positions across </w:t>
      </w:r>
      <w:r>
        <w:rPr>
          <w:rFonts w:ascii="Times New Roman" w:hAnsi="Times New Roman" w:cs="Times New Roman"/>
          <w:sz w:val="24"/>
          <w:szCs w:val="24"/>
        </w:rPr>
        <w:t>high-growth</w:t>
      </w:r>
      <w:r w:rsidRPr="009C6033">
        <w:rPr>
          <w:rFonts w:ascii="Times New Roman" w:hAnsi="Times New Roman" w:cs="Times New Roman"/>
          <w:sz w:val="24"/>
          <w:szCs w:val="24"/>
        </w:rPr>
        <w:t xml:space="preserve"> categories like scotch whiskey and premium vodka (Companiesmarketcap.com, 2021). According to data, Diageo's premium core brands account for over 35% (Hyde</w:t>
      </w:r>
      <w:r>
        <w:rPr>
          <w:rFonts w:ascii="Times New Roman" w:hAnsi="Times New Roman" w:cs="Times New Roman"/>
          <w:sz w:val="24"/>
          <w:szCs w:val="24"/>
        </w:rPr>
        <w:t>,</w:t>
      </w:r>
      <w:r w:rsidRPr="009C6033">
        <w:rPr>
          <w:rFonts w:ascii="Times New Roman" w:hAnsi="Times New Roman" w:cs="Times New Roman"/>
          <w:sz w:val="24"/>
          <w:szCs w:val="24"/>
        </w:rPr>
        <w:t xml:space="preserve"> 2021) of its profits. Profit margins are also near 60%. Martin, 2019) attributes this success to marketing campaigns that combine cultural sophistication with relatable yet aspirational </w:t>
      </w:r>
      <w:r w:rsidRPr="009C6033">
        <w:rPr>
          <w:rFonts w:ascii="Times New Roman" w:hAnsi="Times New Roman" w:cs="Times New Roman"/>
          <w:sz w:val="24"/>
          <w:szCs w:val="24"/>
        </w:rPr>
        <w:lastRenderedPageBreak/>
        <w:t>positioning. There is still controversy surrounding excessive binge drinking by college students and the use of popular Diageo products (Barry, et. al., 2022). </w:t>
      </w:r>
      <w:r w:rsidR="00E64D73">
        <w:rPr>
          <w:rFonts w:ascii="Times New Roman" w:hAnsi="Times New Roman" w:cs="Times New Roman"/>
          <w:sz w:val="24"/>
          <w:szCs w:val="24"/>
        </w:rPr>
        <w:t>To</w:t>
      </w:r>
      <w:r w:rsidRPr="009C6033">
        <w:rPr>
          <w:rFonts w:ascii="Times New Roman" w:hAnsi="Times New Roman" w:cs="Times New Roman"/>
          <w:sz w:val="24"/>
          <w:szCs w:val="24"/>
        </w:rPr>
        <w:t xml:space="preserve"> maintain ethical standards, international expansions in markets with changing demographics are accompanied by initiatives aimed at ensuring compliance (Petticrew, et. al., 2017).</w:t>
      </w:r>
    </w:p>
    <w:p w14:paraId="001AF21C" w14:textId="339E897C"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Diageo is adept at balancing universal appeal, local adaption</w:t>
      </w:r>
      <w:r>
        <w:rPr>
          <w:rFonts w:ascii="Times New Roman" w:hAnsi="Times New Roman" w:cs="Times New Roman"/>
          <w:sz w:val="24"/>
          <w:szCs w:val="24"/>
        </w:rPr>
        <w:t>,</w:t>
      </w:r>
      <w:r w:rsidRPr="009C6033">
        <w:rPr>
          <w:rFonts w:ascii="Times New Roman" w:hAnsi="Times New Roman" w:cs="Times New Roman"/>
          <w:sz w:val="24"/>
          <w:szCs w:val="24"/>
        </w:rPr>
        <w:t xml:space="preserve"> and ethics from a communication perspective (Keith, et. al., 2016). The campaigns highlight values such as sociability and self-expression that resonate across cultures, while also incorporating representative castings and community partnerships. There are always risks associated with cultural disconnection or accidentally appealing to younger consumers. </w:t>
      </w:r>
      <w:r>
        <w:rPr>
          <w:rFonts w:ascii="Times New Roman" w:hAnsi="Times New Roman" w:cs="Times New Roman"/>
          <w:sz w:val="24"/>
          <w:szCs w:val="24"/>
        </w:rPr>
        <w:t>Localization</w:t>
      </w:r>
      <w:r w:rsidRPr="009C6033">
        <w:rPr>
          <w:rFonts w:ascii="Times New Roman" w:hAnsi="Times New Roman" w:cs="Times New Roman"/>
          <w:sz w:val="24"/>
          <w:szCs w:val="24"/>
        </w:rPr>
        <w:t xml:space="preserve"> is</w:t>
      </w:r>
      <w:r w:rsidR="00E64D73">
        <w:rPr>
          <w:rFonts w:ascii="Times New Roman" w:hAnsi="Times New Roman" w:cs="Times New Roman"/>
          <w:sz w:val="24"/>
          <w:szCs w:val="24"/>
        </w:rPr>
        <w:t>, therefore,</w:t>
      </w:r>
      <w:r w:rsidRPr="009C6033">
        <w:rPr>
          <w:rFonts w:ascii="Times New Roman" w:hAnsi="Times New Roman" w:cs="Times New Roman"/>
          <w:sz w:val="24"/>
          <w:szCs w:val="24"/>
        </w:rPr>
        <w:t xml:space="preserve"> a key component of marketing strategies overseas (Bolton et. al., 2013). This is enabled by cross-functional integration and data analytics, as well as consistent brand identities. Diageo’s success is a testament to the importance of communication </w:t>
      </w:r>
      <w:r>
        <w:rPr>
          <w:rFonts w:ascii="Times New Roman" w:hAnsi="Times New Roman" w:cs="Times New Roman"/>
          <w:sz w:val="24"/>
          <w:szCs w:val="24"/>
        </w:rPr>
        <w:t>decentralization</w:t>
      </w:r>
      <w:r w:rsidRPr="009C6033">
        <w:rPr>
          <w:rFonts w:ascii="Times New Roman" w:hAnsi="Times New Roman" w:cs="Times New Roman"/>
          <w:sz w:val="24"/>
          <w:szCs w:val="24"/>
        </w:rPr>
        <w:t xml:space="preserve"> and tight strategic coordination.</w:t>
      </w:r>
    </w:p>
    <w:p w14:paraId="24C6D9C4" w14:textId="77777777" w:rsidR="009C6033" w:rsidRPr="009C6033" w:rsidRDefault="009C6033" w:rsidP="009C6033">
      <w:pPr>
        <w:pStyle w:val="Heading1"/>
      </w:pPr>
      <w:bookmarkStart w:id="4" w:name="_Toc153889339"/>
      <w:bookmarkStart w:id="5" w:name="_Toc153889385"/>
      <w:r w:rsidRPr="009C6033">
        <w:t>Assessment of Spain</w:t>
      </w:r>
      <w:bookmarkEnd w:id="4"/>
      <w:bookmarkEnd w:id="5"/>
    </w:p>
    <w:p w14:paraId="7B9CF384" w14:textId="1E54FE13"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 xml:space="preserve">Spain's Sun Belt and 47 million inhabitants make it a desirable destination for Diageo. There are some notable cultural differences between the UK and Spain. While Brits tend to be more reserved and </w:t>
      </w:r>
      <w:r>
        <w:rPr>
          <w:rFonts w:ascii="Times New Roman" w:hAnsi="Times New Roman" w:cs="Times New Roman"/>
          <w:sz w:val="24"/>
          <w:szCs w:val="24"/>
        </w:rPr>
        <w:t>task-oriented</w:t>
      </w:r>
      <w:r w:rsidRPr="009C6033">
        <w:rPr>
          <w:rFonts w:ascii="Times New Roman" w:hAnsi="Times New Roman" w:cs="Times New Roman"/>
          <w:sz w:val="24"/>
          <w:szCs w:val="24"/>
        </w:rPr>
        <w:t>, Spanish people are open and prefer relationships over tasks in business (Hofstede</w:t>
      </w:r>
      <w:r>
        <w:rPr>
          <w:rFonts w:ascii="Times New Roman" w:hAnsi="Times New Roman" w:cs="Times New Roman"/>
          <w:sz w:val="24"/>
          <w:szCs w:val="24"/>
        </w:rPr>
        <w:t>,</w:t>
      </w:r>
      <w:r w:rsidRPr="009C6033">
        <w:rPr>
          <w:rFonts w:ascii="Times New Roman" w:hAnsi="Times New Roman" w:cs="Times New Roman"/>
          <w:sz w:val="24"/>
          <w:szCs w:val="24"/>
        </w:rPr>
        <w:t xml:space="preserve"> 2017). Spanish conversations are often loud because of the frequent interruptions (Jandt</w:t>
      </w:r>
      <w:r>
        <w:rPr>
          <w:rFonts w:ascii="Times New Roman" w:hAnsi="Times New Roman" w:cs="Times New Roman"/>
          <w:sz w:val="24"/>
          <w:szCs w:val="24"/>
        </w:rPr>
        <w:t>,</w:t>
      </w:r>
      <w:r w:rsidRPr="009C6033">
        <w:rPr>
          <w:rFonts w:ascii="Times New Roman" w:hAnsi="Times New Roman" w:cs="Times New Roman"/>
          <w:sz w:val="24"/>
          <w:szCs w:val="24"/>
        </w:rPr>
        <w:t xml:space="preserve"> 2022). Regarding risks, unemployment remains high after the 2008 recession but lower operating costs help offset this (OECDbetterlifeindex.org, 2021). Spain has a diverse workforce - more than 10% of its residents are immigrants, mainly coming from Morocco, Romania, and Latin America. (Expatica.com</w:t>
      </w:r>
      <w:r>
        <w:rPr>
          <w:rFonts w:ascii="Times New Roman" w:hAnsi="Times New Roman" w:cs="Times New Roman"/>
          <w:sz w:val="24"/>
          <w:szCs w:val="24"/>
        </w:rPr>
        <w:t>,</w:t>
      </w:r>
      <w:r w:rsidRPr="009C6033">
        <w:rPr>
          <w:rFonts w:ascii="Times New Roman" w:hAnsi="Times New Roman" w:cs="Times New Roman"/>
          <w:sz w:val="24"/>
          <w:szCs w:val="24"/>
        </w:rPr>
        <w:t xml:space="preserve"> 2021).</w:t>
      </w:r>
    </w:p>
    <w:p w14:paraId="4F3709D6" w14:textId="664502E6"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Spain's economic resurgence following years of recession has significant implications for the expansion of premium spirits among its burgeoning Middle Class (Felzensztein et.al., 2015). After a prolonged recession between 2008 and 2013, steady GDP growth is now being driven by domestic consumption as well as exports and tourism (OECD,</w:t>
      </w:r>
      <w:r>
        <w:rPr>
          <w:rFonts w:ascii="Times New Roman" w:hAnsi="Times New Roman" w:cs="Times New Roman"/>
          <w:sz w:val="24"/>
          <w:szCs w:val="24"/>
        </w:rPr>
        <w:t xml:space="preserve"> </w:t>
      </w:r>
      <w:r w:rsidRPr="009C6033">
        <w:rPr>
          <w:rFonts w:ascii="Times New Roman" w:hAnsi="Times New Roman" w:cs="Times New Roman"/>
          <w:sz w:val="24"/>
          <w:szCs w:val="24"/>
        </w:rPr>
        <w:t xml:space="preserve">2018). The hospitality </w:t>
      </w:r>
      <w:r w:rsidRPr="009C6033">
        <w:rPr>
          <w:rFonts w:ascii="Times New Roman" w:hAnsi="Times New Roman" w:cs="Times New Roman"/>
          <w:sz w:val="24"/>
          <w:szCs w:val="24"/>
        </w:rPr>
        <w:lastRenderedPageBreak/>
        <w:t xml:space="preserve">sector is particularly benefited </w:t>
      </w:r>
      <w:r w:rsidR="00E64D73">
        <w:rPr>
          <w:rFonts w:ascii="Times New Roman" w:hAnsi="Times New Roman" w:cs="Times New Roman"/>
          <w:sz w:val="24"/>
          <w:szCs w:val="24"/>
        </w:rPr>
        <w:t>from</w:t>
      </w:r>
      <w:r w:rsidRPr="009C6033">
        <w:rPr>
          <w:rFonts w:ascii="Times New Roman" w:hAnsi="Times New Roman" w:cs="Times New Roman"/>
          <w:sz w:val="24"/>
          <w:szCs w:val="24"/>
        </w:rPr>
        <w:t xml:space="preserve"> this rebound, with nightlife being an integral part of culture in Spanish cities (Hofstede Insights</w:t>
      </w:r>
      <w:r>
        <w:rPr>
          <w:rFonts w:ascii="Times New Roman" w:hAnsi="Times New Roman" w:cs="Times New Roman"/>
          <w:sz w:val="24"/>
          <w:szCs w:val="24"/>
        </w:rPr>
        <w:t>,</w:t>
      </w:r>
      <w:r w:rsidRPr="009C6033">
        <w:rPr>
          <w:rFonts w:ascii="Times New Roman" w:hAnsi="Times New Roman" w:cs="Times New Roman"/>
          <w:sz w:val="24"/>
          <w:szCs w:val="24"/>
        </w:rPr>
        <w:t xml:space="preserve"> 2022). Branding analysis shows that spirits are associated with celebrations, which drives purchase intention. This is a key area for vodka and whiskey (Yankelovich</w:t>
      </w:r>
      <w:r>
        <w:rPr>
          <w:rFonts w:ascii="Times New Roman" w:hAnsi="Times New Roman" w:cs="Times New Roman"/>
          <w:sz w:val="24"/>
          <w:szCs w:val="24"/>
        </w:rPr>
        <w:t>,</w:t>
      </w:r>
      <w:r w:rsidRPr="009C6033">
        <w:rPr>
          <w:rFonts w:ascii="Times New Roman" w:hAnsi="Times New Roman" w:cs="Times New Roman"/>
          <w:sz w:val="24"/>
          <w:szCs w:val="24"/>
        </w:rPr>
        <w:t xml:space="preserve"> 2021). Diageo faces barriers to entry due to the dominance </w:t>
      </w:r>
      <w:r>
        <w:rPr>
          <w:rFonts w:ascii="Times New Roman" w:hAnsi="Times New Roman" w:cs="Times New Roman"/>
          <w:sz w:val="24"/>
          <w:szCs w:val="24"/>
        </w:rPr>
        <w:t xml:space="preserve">of </w:t>
      </w:r>
      <w:r w:rsidRPr="009C6033">
        <w:rPr>
          <w:rFonts w:ascii="Times New Roman" w:hAnsi="Times New Roman" w:cs="Times New Roman"/>
          <w:sz w:val="24"/>
          <w:szCs w:val="24"/>
        </w:rPr>
        <w:t>local brands (Steenkamp &amp; Geyskens</w:t>
      </w:r>
      <w:r>
        <w:rPr>
          <w:rFonts w:ascii="Times New Roman" w:hAnsi="Times New Roman" w:cs="Times New Roman"/>
          <w:sz w:val="24"/>
          <w:szCs w:val="24"/>
        </w:rPr>
        <w:t>,</w:t>
      </w:r>
      <w:r w:rsidRPr="009C6033">
        <w:rPr>
          <w:rFonts w:ascii="Times New Roman" w:hAnsi="Times New Roman" w:cs="Times New Roman"/>
          <w:sz w:val="24"/>
          <w:szCs w:val="24"/>
        </w:rPr>
        <w:t xml:space="preserve"> 2022).</w:t>
      </w:r>
    </w:p>
    <w:p w14:paraId="0D812C63" w14:textId="6885E4C0"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In particular, the evidence confirms that in Spanish business culture</w:t>
      </w:r>
      <w:r>
        <w:rPr>
          <w:rFonts w:ascii="Times New Roman" w:hAnsi="Times New Roman" w:cs="Times New Roman"/>
          <w:sz w:val="24"/>
          <w:szCs w:val="24"/>
        </w:rPr>
        <w:t>,</w:t>
      </w:r>
      <w:r w:rsidRPr="009C6033">
        <w:rPr>
          <w:rFonts w:ascii="Times New Roman" w:hAnsi="Times New Roman" w:cs="Times New Roman"/>
          <w:sz w:val="24"/>
          <w:szCs w:val="24"/>
        </w:rPr>
        <w:t xml:space="preserve"> a higher value is placed on building trusting relationships with others before transactions are made compared to Brits who tend to be task-oriented (Vazquez Ordas, et. al., 2021). Lewis (2006) explains that establishing credibility and securing partnerships can take a lot of time. In negotiations and deals, the Spanish communication method also prioritizes poise and eloquence. Hard selling can damage bonds if it is perceived as too aggressive (Usunier and Roulin</w:t>
      </w:r>
      <w:r>
        <w:rPr>
          <w:rFonts w:ascii="Times New Roman" w:hAnsi="Times New Roman" w:cs="Times New Roman"/>
          <w:sz w:val="24"/>
          <w:szCs w:val="24"/>
        </w:rPr>
        <w:t>,</w:t>
      </w:r>
      <w:r w:rsidRPr="009C6033">
        <w:rPr>
          <w:rFonts w:ascii="Times New Roman" w:hAnsi="Times New Roman" w:cs="Times New Roman"/>
          <w:sz w:val="24"/>
          <w:szCs w:val="24"/>
        </w:rPr>
        <w:t xml:space="preserve"> 2010). It is important to adapt and build strong local relationships.</w:t>
      </w:r>
    </w:p>
    <w:p w14:paraId="2F909D0B" w14:textId="6CE6E491"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Demographic shifts within Spain also hold implications - while still dominant, native Spaniards represent a declining share among a younger, more ethnically diverse population (Migrationpolicy.org, 2019). This new mix brings with it a diverse population of Europeans, Latin Americans</w:t>
      </w:r>
      <w:r>
        <w:rPr>
          <w:rFonts w:ascii="Times New Roman" w:hAnsi="Times New Roman" w:cs="Times New Roman"/>
          <w:sz w:val="24"/>
          <w:szCs w:val="24"/>
        </w:rPr>
        <w:t>,</w:t>
      </w:r>
      <w:r w:rsidRPr="009C6033">
        <w:rPr>
          <w:rFonts w:ascii="Times New Roman" w:hAnsi="Times New Roman" w:cs="Times New Roman"/>
          <w:sz w:val="24"/>
          <w:szCs w:val="24"/>
        </w:rPr>
        <w:t xml:space="preserve"> and Africans, whose consumption habits are changing. Adaptable branding and cultural sensitivity </w:t>
      </w:r>
      <w:r>
        <w:rPr>
          <w:rFonts w:ascii="Times New Roman" w:hAnsi="Times New Roman" w:cs="Times New Roman"/>
          <w:sz w:val="24"/>
          <w:szCs w:val="24"/>
        </w:rPr>
        <w:t>are</w:t>
      </w:r>
      <w:r w:rsidRPr="009C6033">
        <w:rPr>
          <w:rFonts w:ascii="Times New Roman" w:hAnsi="Times New Roman" w:cs="Times New Roman"/>
          <w:sz w:val="24"/>
          <w:szCs w:val="24"/>
        </w:rPr>
        <w:t xml:space="preserve"> vital for this group (Wolburg &amp; Pokrywczynski</w:t>
      </w:r>
      <w:r>
        <w:rPr>
          <w:rFonts w:ascii="Times New Roman" w:hAnsi="Times New Roman" w:cs="Times New Roman"/>
          <w:sz w:val="24"/>
          <w:szCs w:val="24"/>
        </w:rPr>
        <w:t>,</w:t>
      </w:r>
      <w:r w:rsidRPr="009C6033">
        <w:rPr>
          <w:rFonts w:ascii="Times New Roman" w:hAnsi="Times New Roman" w:cs="Times New Roman"/>
          <w:sz w:val="24"/>
          <w:szCs w:val="24"/>
        </w:rPr>
        <w:t xml:space="preserve"> 2001). Premium spirits can signal sophistication by leveraging positive associations </w:t>
      </w:r>
      <w:r>
        <w:rPr>
          <w:rFonts w:ascii="Times New Roman" w:hAnsi="Times New Roman" w:cs="Times New Roman"/>
          <w:sz w:val="24"/>
          <w:szCs w:val="24"/>
        </w:rPr>
        <w:t>with</w:t>
      </w:r>
      <w:r w:rsidRPr="009C6033">
        <w:rPr>
          <w:rFonts w:ascii="Times New Roman" w:hAnsi="Times New Roman" w:cs="Times New Roman"/>
          <w:sz w:val="24"/>
          <w:szCs w:val="24"/>
        </w:rPr>
        <w:t xml:space="preserve"> cosmopolitanism (Dimofte and al., 2008). </w:t>
      </w:r>
      <w:r>
        <w:rPr>
          <w:rFonts w:ascii="Times New Roman" w:hAnsi="Times New Roman" w:cs="Times New Roman"/>
          <w:sz w:val="24"/>
          <w:szCs w:val="24"/>
        </w:rPr>
        <w:t>Localized</w:t>
      </w:r>
      <w:r w:rsidRPr="009C6033">
        <w:rPr>
          <w:rFonts w:ascii="Times New Roman" w:hAnsi="Times New Roman" w:cs="Times New Roman"/>
          <w:sz w:val="24"/>
          <w:szCs w:val="24"/>
        </w:rPr>
        <w:t xml:space="preserve"> campaigns allow for relevance to be achieved across different segments.</w:t>
      </w:r>
    </w:p>
    <w:p w14:paraId="59E588FC" w14:textId="77777777" w:rsidR="009C6033" w:rsidRPr="009C6033" w:rsidRDefault="009C6033" w:rsidP="009C6033">
      <w:pPr>
        <w:pStyle w:val="Heading1"/>
      </w:pPr>
      <w:bookmarkStart w:id="6" w:name="_Toc153889340"/>
      <w:bookmarkStart w:id="7" w:name="_Toc153889386"/>
      <w:r w:rsidRPr="009C6033">
        <w:t>Assessment of Italy</w:t>
      </w:r>
      <w:bookmarkEnd w:id="6"/>
      <w:bookmarkEnd w:id="7"/>
    </w:p>
    <w:p w14:paraId="55C50B28" w14:textId="0B340F4D"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 xml:space="preserve">Similar to Spain, Italy has 60 million people and offers many opportunities. Hofstede (2017) noted that Italians value relationships more than tasks, and have built up trust over time. Communication is more non-verbal in Italy than </w:t>
      </w:r>
      <w:r>
        <w:rPr>
          <w:rFonts w:ascii="Times New Roman" w:hAnsi="Times New Roman" w:cs="Times New Roman"/>
          <w:sz w:val="24"/>
          <w:szCs w:val="24"/>
        </w:rPr>
        <w:t xml:space="preserve">in </w:t>
      </w:r>
      <w:r w:rsidRPr="009C6033">
        <w:rPr>
          <w:rFonts w:ascii="Times New Roman" w:hAnsi="Times New Roman" w:cs="Times New Roman"/>
          <w:sz w:val="24"/>
          <w:szCs w:val="24"/>
        </w:rPr>
        <w:t>the UK, with gestures and facial expressions being used. Political uncertainty, frequent government turnover</w:t>
      </w:r>
      <w:r>
        <w:rPr>
          <w:rFonts w:ascii="Times New Roman" w:hAnsi="Times New Roman" w:cs="Times New Roman"/>
          <w:sz w:val="24"/>
          <w:szCs w:val="24"/>
        </w:rPr>
        <w:t>,</w:t>
      </w:r>
      <w:r w:rsidRPr="009C6033">
        <w:rPr>
          <w:rFonts w:ascii="Times New Roman" w:hAnsi="Times New Roman" w:cs="Times New Roman"/>
          <w:sz w:val="24"/>
          <w:szCs w:val="24"/>
        </w:rPr>
        <w:t xml:space="preserve"> and an informal </w:t>
      </w:r>
      <w:r w:rsidRPr="009C6033">
        <w:rPr>
          <w:rFonts w:ascii="Times New Roman" w:hAnsi="Times New Roman" w:cs="Times New Roman"/>
          <w:sz w:val="24"/>
          <w:szCs w:val="24"/>
        </w:rPr>
        <w:lastRenderedPageBreak/>
        <w:t>economy that accounts for 27% of the GDP are all risks (Santangelo</w:t>
      </w:r>
      <w:r>
        <w:rPr>
          <w:rFonts w:ascii="Times New Roman" w:hAnsi="Times New Roman" w:cs="Times New Roman"/>
          <w:sz w:val="24"/>
          <w:szCs w:val="24"/>
        </w:rPr>
        <w:t>,</w:t>
      </w:r>
      <w:r w:rsidRPr="009C6033">
        <w:rPr>
          <w:rFonts w:ascii="Times New Roman" w:hAnsi="Times New Roman" w:cs="Times New Roman"/>
          <w:sz w:val="24"/>
          <w:szCs w:val="24"/>
        </w:rPr>
        <w:t xml:space="preserve"> 2022). In terms of diversity, more than 10% of residents were born abroad, mostly from Eastern Europe and North Africa</w:t>
      </w:r>
      <w:r>
        <w:rPr>
          <w:rFonts w:ascii="Times New Roman" w:hAnsi="Times New Roman" w:cs="Times New Roman"/>
          <w:sz w:val="24"/>
          <w:szCs w:val="24"/>
        </w:rPr>
        <w:t xml:space="preserve"> </w:t>
      </w:r>
      <w:r w:rsidRPr="009C6033">
        <w:rPr>
          <w:rFonts w:ascii="Times New Roman" w:hAnsi="Times New Roman" w:cs="Times New Roman"/>
          <w:sz w:val="24"/>
          <w:szCs w:val="24"/>
        </w:rPr>
        <w:t>(Povcalnet.org</w:t>
      </w:r>
      <w:r>
        <w:rPr>
          <w:rFonts w:ascii="Times New Roman" w:hAnsi="Times New Roman" w:cs="Times New Roman"/>
          <w:sz w:val="24"/>
          <w:szCs w:val="24"/>
        </w:rPr>
        <w:t>,</w:t>
      </w:r>
      <w:r w:rsidRPr="009C6033">
        <w:rPr>
          <w:rFonts w:ascii="Times New Roman" w:hAnsi="Times New Roman" w:cs="Times New Roman"/>
          <w:sz w:val="24"/>
          <w:szCs w:val="24"/>
        </w:rPr>
        <w:t xml:space="preserve"> 2020).</w:t>
      </w:r>
    </w:p>
    <w:p w14:paraId="0349CEAF" w14:textId="40061BD4"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 xml:space="preserve">Italy is the biggest spirits market in Southern Europe. Its value is over 9 billion </w:t>
      </w:r>
      <w:r w:rsidR="00E64D73">
        <w:rPr>
          <w:rFonts w:ascii="Times New Roman" w:hAnsi="Times New Roman" w:cs="Times New Roman"/>
          <w:sz w:val="24"/>
          <w:szCs w:val="24"/>
        </w:rPr>
        <w:t>euros</w:t>
      </w:r>
      <w:r w:rsidRPr="009C6033">
        <w:rPr>
          <w:rFonts w:ascii="Times New Roman" w:hAnsi="Times New Roman" w:cs="Times New Roman"/>
          <w:sz w:val="24"/>
          <w:szCs w:val="24"/>
        </w:rPr>
        <w:t>, with stable growth predictions (BusinessWire</w:t>
      </w:r>
      <w:r>
        <w:rPr>
          <w:rFonts w:ascii="Times New Roman" w:hAnsi="Times New Roman" w:cs="Times New Roman"/>
          <w:sz w:val="24"/>
          <w:szCs w:val="24"/>
        </w:rPr>
        <w:t>,</w:t>
      </w:r>
      <w:r w:rsidRPr="009C6033">
        <w:rPr>
          <w:rFonts w:ascii="Times New Roman" w:hAnsi="Times New Roman" w:cs="Times New Roman"/>
          <w:sz w:val="24"/>
          <w:szCs w:val="24"/>
        </w:rPr>
        <w:t xml:space="preserve"> 2022). The US Department of Agriculture (USDA) reports that Diageo's key brands such as whiskey and vodka are consumed at higher rates per capita than most EU countries. This is due to the strong tourism and hospitality sectors. The fact that alcohol is a part of Italian social rituals and bonding over food is a key element in business culture (Lewis</w:t>
      </w:r>
      <w:r>
        <w:rPr>
          <w:rFonts w:ascii="Times New Roman" w:hAnsi="Times New Roman" w:cs="Times New Roman"/>
          <w:sz w:val="24"/>
          <w:szCs w:val="24"/>
        </w:rPr>
        <w:t>,</w:t>
      </w:r>
      <w:r w:rsidRPr="009C6033">
        <w:rPr>
          <w:rFonts w:ascii="Times New Roman" w:hAnsi="Times New Roman" w:cs="Times New Roman"/>
          <w:sz w:val="24"/>
          <w:szCs w:val="24"/>
        </w:rPr>
        <w:t xml:space="preserve"> 2006) indicates the importance of alcohol to Italians. Risks are posed by the aging of the population and rising health consciousness (Bentzen &amp; Smith</w:t>
      </w:r>
      <w:r>
        <w:rPr>
          <w:rFonts w:ascii="Times New Roman" w:hAnsi="Times New Roman" w:cs="Times New Roman"/>
          <w:sz w:val="24"/>
          <w:szCs w:val="24"/>
        </w:rPr>
        <w:t>,</w:t>
      </w:r>
      <w:r w:rsidRPr="009C6033">
        <w:rPr>
          <w:rFonts w:ascii="Times New Roman" w:hAnsi="Times New Roman" w:cs="Times New Roman"/>
          <w:sz w:val="24"/>
          <w:szCs w:val="24"/>
        </w:rPr>
        <w:t xml:space="preserve"> 2020). Diageo must therefore develop a nuanced brand that is sensitive to changing attitudes.</w:t>
      </w:r>
    </w:p>
    <w:p w14:paraId="418AB830" w14:textId="6B3FB671"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To understand Italian business culture, you must acknowledge that it takes longer to build trust and loyalty before transactions are made compared to Brits who tend to be task-driven (Passador &amp; Thomas</w:t>
      </w:r>
      <w:r>
        <w:rPr>
          <w:rFonts w:ascii="Times New Roman" w:hAnsi="Times New Roman" w:cs="Times New Roman"/>
          <w:sz w:val="24"/>
          <w:szCs w:val="24"/>
        </w:rPr>
        <w:t>,</w:t>
      </w:r>
      <w:r w:rsidRPr="009C6033">
        <w:rPr>
          <w:rFonts w:ascii="Times New Roman" w:hAnsi="Times New Roman" w:cs="Times New Roman"/>
          <w:sz w:val="24"/>
          <w:szCs w:val="24"/>
        </w:rPr>
        <w:t xml:space="preserve"> 2018). Italians rely heavily on nonverbal cues such as facial expressions and hand gestures to convey meaning beyond the words they use (Samovar, et. al., 2021). Casiraghi, et. al. (2018) say that backroom deals are also a major influence on the market. Relationship development is a must before sales discussions.</w:t>
      </w:r>
    </w:p>
    <w:p w14:paraId="01C8CE27" w14:textId="1398E2C1"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As immigration increases the multicultural fabric of Italy, it is important to consider demographic shifts. 10% of Italians are now foreign-born. (Fondazione migrantes, 2021). The growing mix of Eastern Europeans, North Africans, Latin Americans</w:t>
      </w:r>
      <w:r>
        <w:rPr>
          <w:rFonts w:ascii="Times New Roman" w:hAnsi="Times New Roman" w:cs="Times New Roman"/>
          <w:sz w:val="24"/>
          <w:szCs w:val="24"/>
        </w:rPr>
        <w:t>,</w:t>
      </w:r>
      <w:r w:rsidRPr="009C6033">
        <w:rPr>
          <w:rFonts w:ascii="Times New Roman" w:hAnsi="Times New Roman" w:cs="Times New Roman"/>
          <w:sz w:val="24"/>
          <w:szCs w:val="24"/>
        </w:rPr>
        <w:t xml:space="preserve"> and Asians brings with it a variety of consumption habits and brand loyalty (Zhang and colleagues, 2014). The shared values of hospitality and sophisticated branding provide opportunities for signaling prestige (Dimofte, et. al., 2008). Adaptation should be done to align global messages with local meanings.</w:t>
      </w:r>
    </w:p>
    <w:p w14:paraId="0F9967F1" w14:textId="77777777" w:rsidR="009C6033" w:rsidRPr="009C6033" w:rsidRDefault="009C6033" w:rsidP="009C6033">
      <w:pPr>
        <w:pStyle w:val="Heading1"/>
      </w:pPr>
      <w:bookmarkStart w:id="8" w:name="_Toc153889341"/>
      <w:bookmarkStart w:id="9" w:name="_Toc153889387"/>
      <w:r w:rsidRPr="009C6033">
        <w:lastRenderedPageBreak/>
        <w:t>Communication Barriers to Diageo</w:t>
      </w:r>
      <w:bookmarkEnd w:id="8"/>
      <w:bookmarkEnd w:id="9"/>
    </w:p>
    <w:p w14:paraId="0B353DC1" w14:textId="5A1A0C1F"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Communication barriers are primarily caused by differences in formality, hierarchy, and networking. British managers can be perceived as lacking in respect or cold until they develop personal relationships (Lewis</w:t>
      </w:r>
      <w:r>
        <w:rPr>
          <w:rFonts w:ascii="Times New Roman" w:hAnsi="Times New Roman" w:cs="Times New Roman"/>
          <w:sz w:val="24"/>
          <w:szCs w:val="24"/>
        </w:rPr>
        <w:t>,</w:t>
      </w:r>
      <w:r w:rsidRPr="009C6033">
        <w:rPr>
          <w:rFonts w:ascii="Times New Roman" w:hAnsi="Times New Roman" w:cs="Times New Roman"/>
          <w:sz w:val="24"/>
          <w:szCs w:val="24"/>
        </w:rPr>
        <w:t xml:space="preserve"> 2006). The centralization of decision-making in Spain/Italy may hinder attempts to encourage a more open exchange (Zeffane</w:t>
      </w:r>
      <w:r>
        <w:rPr>
          <w:rFonts w:ascii="Times New Roman" w:hAnsi="Times New Roman" w:cs="Times New Roman"/>
          <w:sz w:val="24"/>
          <w:szCs w:val="24"/>
        </w:rPr>
        <w:t>,</w:t>
      </w:r>
      <w:r w:rsidRPr="009C6033">
        <w:rPr>
          <w:rFonts w:ascii="Times New Roman" w:hAnsi="Times New Roman" w:cs="Times New Roman"/>
          <w:sz w:val="24"/>
          <w:szCs w:val="24"/>
        </w:rPr>
        <w:t xml:space="preserve"> 2020). Brits who use direct criticism could be offensive. Lack of language skills can also hinder relationship building.</w:t>
      </w:r>
    </w:p>
    <w:p w14:paraId="148EDE3F" w14:textId="1AA96DBA"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Diageo faces significant barriers abroad due to cultural differences such as power distance, context dependency, and uncertainty avoidance (Lewis, 2006). While Brits are more direct and prefer quick turnarounds, the hierarchical business culture of Southern Europe is based on building long-term loyalty before any transactions take place (Usunier &amp; Roulin, 2010). Tasks are secondary to feelings and harmony in relationships. The British communication style can lead to impatience and perceptions of disrespect until local bonds are cemented (Callow &amp; Schiffman</w:t>
      </w:r>
      <w:r>
        <w:rPr>
          <w:rFonts w:ascii="Times New Roman" w:hAnsi="Times New Roman" w:cs="Times New Roman"/>
          <w:sz w:val="24"/>
          <w:szCs w:val="24"/>
        </w:rPr>
        <w:t>,</w:t>
      </w:r>
      <w:r w:rsidRPr="009C6033">
        <w:rPr>
          <w:rFonts w:ascii="Times New Roman" w:hAnsi="Times New Roman" w:cs="Times New Roman"/>
          <w:sz w:val="24"/>
          <w:szCs w:val="24"/>
        </w:rPr>
        <w:t xml:space="preserve"> 2002).</w:t>
      </w:r>
    </w:p>
    <w:p w14:paraId="47F0D527" w14:textId="781564D8"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The barriers are magnified at the group level - British teams can appear fragmented, disjointed</w:t>
      </w:r>
      <w:r>
        <w:rPr>
          <w:rFonts w:ascii="Times New Roman" w:hAnsi="Times New Roman" w:cs="Times New Roman"/>
          <w:sz w:val="24"/>
          <w:szCs w:val="24"/>
        </w:rPr>
        <w:t>,</w:t>
      </w:r>
      <w:r w:rsidRPr="009C6033">
        <w:rPr>
          <w:rFonts w:ascii="Times New Roman" w:hAnsi="Times New Roman" w:cs="Times New Roman"/>
          <w:sz w:val="24"/>
          <w:szCs w:val="24"/>
        </w:rPr>
        <w:t xml:space="preserve"> and uncoordinated to Spanish/Italian colleagues who are used to coordinated messaging (Gibson, et al.</w:t>
      </w:r>
      <w:r>
        <w:rPr>
          <w:rFonts w:ascii="Times New Roman" w:hAnsi="Times New Roman" w:cs="Times New Roman"/>
          <w:sz w:val="24"/>
          <w:szCs w:val="24"/>
        </w:rPr>
        <w:t>,</w:t>
      </w:r>
      <w:r w:rsidRPr="009C6033">
        <w:rPr>
          <w:rFonts w:ascii="Times New Roman" w:hAnsi="Times New Roman" w:cs="Times New Roman"/>
          <w:sz w:val="24"/>
          <w:szCs w:val="24"/>
        </w:rPr>
        <w:t xml:space="preserve"> 2021). Lewis (2006) explains that the British tend to be humourous and understated, which can further confuse (Lewis). In this context, non-verbal communication becomes more important to clarify and reinforce the intended meaning (Jandt</w:t>
      </w:r>
      <w:r>
        <w:rPr>
          <w:rFonts w:ascii="Times New Roman" w:hAnsi="Times New Roman" w:cs="Times New Roman"/>
          <w:sz w:val="24"/>
          <w:szCs w:val="24"/>
        </w:rPr>
        <w:t>,</w:t>
      </w:r>
      <w:r w:rsidRPr="009C6033">
        <w:rPr>
          <w:rFonts w:ascii="Times New Roman" w:hAnsi="Times New Roman" w:cs="Times New Roman"/>
          <w:sz w:val="24"/>
          <w:szCs w:val="24"/>
        </w:rPr>
        <w:t xml:space="preserve"> 2022; Samovar, et. al., 2021). It is important to adapt approaches </w:t>
      </w:r>
      <w:r>
        <w:rPr>
          <w:rFonts w:ascii="Times New Roman" w:hAnsi="Times New Roman" w:cs="Times New Roman"/>
          <w:sz w:val="24"/>
          <w:szCs w:val="24"/>
        </w:rPr>
        <w:t>to</w:t>
      </w:r>
      <w:r w:rsidRPr="009C6033">
        <w:rPr>
          <w:rFonts w:ascii="Times New Roman" w:hAnsi="Times New Roman" w:cs="Times New Roman"/>
          <w:sz w:val="24"/>
          <w:szCs w:val="24"/>
        </w:rPr>
        <w:t xml:space="preserve"> better align with local norms.</w:t>
      </w:r>
    </w:p>
    <w:p w14:paraId="7D2E10D5" w14:textId="446D8046"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 xml:space="preserve">Despite recent improvements, English proficiency in Spain/Italy still lags behind most </w:t>
      </w:r>
      <w:r>
        <w:rPr>
          <w:rFonts w:ascii="Times New Roman" w:hAnsi="Times New Roman" w:cs="Times New Roman"/>
          <w:sz w:val="24"/>
          <w:szCs w:val="24"/>
        </w:rPr>
        <w:t>Western</w:t>
      </w:r>
      <w:r w:rsidRPr="009C6033">
        <w:rPr>
          <w:rFonts w:ascii="Times New Roman" w:hAnsi="Times New Roman" w:cs="Times New Roman"/>
          <w:sz w:val="24"/>
          <w:szCs w:val="24"/>
        </w:rPr>
        <w:t xml:space="preserve"> European countries (Felicio et. al., 2022). It slows down relationship building and increases the risk of unintentional messaging disconnects due to nuance being lost in translation (Usunier &amp; Roulin, 2010). It is therefore recommended that managers initially rely on interpreters until they develop greater linguistic abilities (Marquardt and Horvath Csikos</w:t>
      </w:r>
      <w:r>
        <w:rPr>
          <w:rFonts w:ascii="Times New Roman" w:hAnsi="Times New Roman" w:cs="Times New Roman"/>
          <w:sz w:val="24"/>
          <w:szCs w:val="24"/>
        </w:rPr>
        <w:t>,</w:t>
      </w:r>
      <w:r w:rsidRPr="009C6033">
        <w:rPr>
          <w:rFonts w:ascii="Times New Roman" w:hAnsi="Times New Roman" w:cs="Times New Roman"/>
          <w:sz w:val="24"/>
          <w:szCs w:val="24"/>
        </w:rPr>
        <w:t xml:space="preserve"> 2016). The gradual phase-out of translation assistance signals a deeper level of trust.</w:t>
      </w:r>
    </w:p>
    <w:p w14:paraId="6B48A926" w14:textId="0347282A"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lastRenderedPageBreak/>
        <w:t xml:space="preserve">Hall </w:t>
      </w:r>
      <w:r>
        <w:rPr>
          <w:rFonts w:ascii="Times New Roman" w:hAnsi="Times New Roman" w:cs="Times New Roman"/>
          <w:sz w:val="24"/>
          <w:szCs w:val="24"/>
        </w:rPr>
        <w:t>(</w:t>
      </w:r>
      <w:r w:rsidRPr="009C6033">
        <w:rPr>
          <w:rFonts w:ascii="Times New Roman" w:hAnsi="Times New Roman" w:cs="Times New Roman"/>
          <w:sz w:val="24"/>
          <w:szCs w:val="24"/>
        </w:rPr>
        <w:t>1976) explains that a deeper look at cross-cultural theory shows how the contrasts between low-context British culture and high-context Southern European culture cause disconnections. While Brits prefer direct, concise, and unambiguous messages, Spaniards, and Italians, rely on nuance, context, and implicit meaning. The same words may have completely different meanings in each culture (Usunier and Roulin</w:t>
      </w:r>
      <w:r>
        <w:rPr>
          <w:rFonts w:ascii="Times New Roman" w:hAnsi="Times New Roman" w:cs="Times New Roman"/>
          <w:sz w:val="24"/>
          <w:szCs w:val="24"/>
        </w:rPr>
        <w:t xml:space="preserve">, </w:t>
      </w:r>
      <w:r w:rsidRPr="009C6033">
        <w:rPr>
          <w:rFonts w:ascii="Times New Roman" w:hAnsi="Times New Roman" w:cs="Times New Roman"/>
          <w:sz w:val="24"/>
          <w:szCs w:val="24"/>
        </w:rPr>
        <w:t>2010). The British are advised to speak more slowly, pause often for reactions</w:t>
      </w:r>
      <w:r>
        <w:rPr>
          <w:rFonts w:ascii="Times New Roman" w:hAnsi="Times New Roman" w:cs="Times New Roman"/>
          <w:sz w:val="24"/>
          <w:szCs w:val="24"/>
        </w:rPr>
        <w:t>,</w:t>
      </w:r>
      <w:r w:rsidRPr="009C6033">
        <w:rPr>
          <w:rFonts w:ascii="Times New Roman" w:hAnsi="Times New Roman" w:cs="Times New Roman"/>
          <w:sz w:val="24"/>
          <w:szCs w:val="24"/>
        </w:rPr>
        <w:t xml:space="preserve"> and confirm understandings with greater consistency (Callow &amp; Schiffman</w:t>
      </w:r>
      <w:r>
        <w:rPr>
          <w:rFonts w:ascii="Times New Roman" w:hAnsi="Times New Roman" w:cs="Times New Roman"/>
          <w:sz w:val="24"/>
          <w:szCs w:val="24"/>
        </w:rPr>
        <w:t>,</w:t>
      </w:r>
      <w:r w:rsidRPr="009C6033">
        <w:rPr>
          <w:rFonts w:ascii="Times New Roman" w:hAnsi="Times New Roman" w:cs="Times New Roman"/>
          <w:sz w:val="24"/>
          <w:szCs w:val="24"/>
        </w:rPr>
        <w:t xml:space="preserve"> 2004). It is important to develop cultural fluency </w:t>
      </w:r>
      <w:r>
        <w:rPr>
          <w:rFonts w:ascii="Times New Roman" w:hAnsi="Times New Roman" w:cs="Times New Roman"/>
          <w:sz w:val="24"/>
          <w:szCs w:val="24"/>
        </w:rPr>
        <w:t>to</w:t>
      </w:r>
      <w:r w:rsidRPr="009C6033">
        <w:rPr>
          <w:rFonts w:ascii="Times New Roman" w:hAnsi="Times New Roman" w:cs="Times New Roman"/>
          <w:sz w:val="24"/>
          <w:szCs w:val="24"/>
        </w:rPr>
        <w:t xml:space="preserve"> correctly interpret non-verbal cues and unstated assumptions.</w:t>
      </w:r>
    </w:p>
    <w:p w14:paraId="5D8DF4B0" w14:textId="23E08853"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Also, sociolinguistics theory looks at divergent cultural norms surrounding conversation flow. Evidence shows that Brits prefer fast turn-taking and minimal gaps, whereas Spaniards, and Italians, value simultaneous speech and interrupting each other to demonstrate engagement, rather than rudeness (Landone</w:t>
      </w:r>
      <w:r>
        <w:rPr>
          <w:rFonts w:ascii="Times New Roman" w:hAnsi="Times New Roman" w:cs="Times New Roman"/>
          <w:sz w:val="24"/>
          <w:szCs w:val="24"/>
        </w:rPr>
        <w:t>,</w:t>
      </w:r>
      <w:r w:rsidRPr="009C6033">
        <w:rPr>
          <w:rFonts w:ascii="Times New Roman" w:hAnsi="Times New Roman" w:cs="Times New Roman"/>
          <w:sz w:val="24"/>
          <w:szCs w:val="24"/>
        </w:rPr>
        <w:t xml:space="preserve"> 2022; Al-Amir</w:t>
      </w:r>
      <w:r>
        <w:rPr>
          <w:rFonts w:ascii="Times New Roman" w:hAnsi="Times New Roman" w:cs="Times New Roman"/>
          <w:sz w:val="24"/>
          <w:szCs w:val="24"/>
        </w:rPr>
        <w:t>,</w:t>
      </w:r>
      <w:r w:rsidRPr="009C6033">
        <w:rPr>
          <w:rFonts w:ascii="Times New Roman" w:hAnsi="Times New Roman" w:cs="Times New Roman"/>
          <w:sz w:val="24"/>
          <w:szCs w:val="24"/>
        </w:rPr>
        <w:t xml:space="preserve"> 2017). </w:t>
      </w:r>
      <w:r>
        <w:rPr>
          <w:rFonts w:ascii="Times New Roman" w:hAnsi="Times New Roman" w:cs="Times New Roman"/>
          <w:sz w:val="24"/>
          <w:szCs w:val="24"/>
        </w:rPr>
        <w:t>Delays</w:t>
      </w:r>
      <w:r w:rsidRPr="009C6033">
        <w:rPr>
          <w:rFonts w:ascii="Times New Roman" w:hAnsi="Times New Roman" w:cs="Times New Roman"/>
          <w:sz w:val="24"/>
          <w:szCs w:val="24"/>
        </w:rPr>
        <w:t xml:space="preserve"> in responses by British partners can be interpreted as disinterest, rather than thoughtfulness. (Callow &amp; Shipman, 2004). For Brits who are more comfortable with a reserved modulation, Spaniards talking loudly and overlapping can cause confusion or frustration. It is important to </w:t>
      </w:r>
      <w:r>
        <w:rPr>
          <w:rFonts w:ascii="Times New Roman" w:hAnsi="Times New Roman" w:cs="Times New Roman"/>
          <w:sz w:val="24"/>
          <w:szCs w:val="24"/>
        </w:rPr>
        <w:t>recognize</w:t>
      </w:r>
      <w:r w:rsidRPr="009C6033">
        <w:rPr>
          <w:rFonts w:ascii="Times New Roman" w:hAnsi="Times New Roman" w:cs="Times New Roman"/>
          <w:sz w:val="24"/>
          <w:szCs w:val="24"/>
        </w:rPr>
        <w:t xml:space="preserve"> these differences </w:t>
      </w:r>
      <w:r>
        <w:rPr>
          <w:rFonts w:ascii="Times New Roman" w:hAnsi="Times New Roman" w:cs="Times New Roman"/>
          <w:sz w:val="24"/>
          <w:szCs w:val="24"/>
        </w:rPr>
        <w:t>to</w:t>
      </w:r>
      <w:r w:rsidRPr="009C6033">
        <w:rPr>
          <w:rFonts w:ascii="Times New Roman" w:hAnsi="Times New Roman" w:cs="Times New Roman"/>
          <w:sz w:val="24"/>
          <w:szCs w:val="24"/>
        </w:rPr>
        <w:t xml:space="preserve"> adapt.</w:t>
      </w:r>
    </w:p>
    <w:p w14:paraId="29F0F4B5" w14:textId="77777777" w:rsidR="009C6033" w:rsidRPr="009C6033" w:rsidRDefault="009C6033" w:rsidP="009C6033">
      <w:pPr>
        <w:pStyle w:val="Heading1"/>
      </w:pPr>
      <w:bookmarkStart w:id="10" w:name="_Toc153889342"/>
      <w:bookmarkStart w:id="11" w:name="_Toc153889388"/>
      <w:r w:rsidRPr="009C6033">
        <w:t>Recommendation &amp; Strategies</w:t>
      </w:r>
      <w:bookmarkEnd w:id="10"/>
      <w:bookmarkEnd w:id="11"/>
    </w:p>
    <w:p w14:paraId="1BE88565" w14:textId="45665847"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Effective cross-cultural education immerses employees into key values, language</w:t>
      </w:r>
      <w:r>
        <w:rPr>
          <w:rFonts w:ascii="Times New Roman" w:hAnsi="Times New Roman" w:cs="Times New Roman"/>
          <w:sz w:val="24"/>
          <w:szCs w:val="24"/>
        </w:rPr>
        <w:t>,</w:t>
      </w:r>
      <w:r w:rsidRPr="009C6033">
        <w:rPr>
          <w:rFonts w:ascii="Times New Roman" w:hAnsi="Times New Roman" w:cs="Times New Roman"/>
          <w:sz w:val="24"/>
          <w:szCs w:val="24"/>
        </w:rPr>
        <w:t xml:space="preserve"> and behavioral contrasts using experiential methods for a deeper resonance than classroom-only approaches. (Lenartowicz, et. al., 2014). Spanish cultural training for Diageo staff should leverage role play, case analyses</w:t>
      </w:r>
      <w:r>
        <w:rPr>
          <w:rFonts w:ascii="Times New Roman" w:hAnsi="Times New Roman" w:cs="Times New Roman"/>
          <w:sz w:val="24"/>
          <w:szCs w:val="24"/>
        </w:rPr>
        <w:t>,</w:t>
      </w:r>
      <w:r w:rsidRPr="009C6033">
        <w:rPr>
          <w:rFonts w:ascii="Times New Roman" w:hAnsi="Times New Roman" w:cs="Times New Roman"/>
          <w:sz w:val="24"/>
          <w:szCs w:val="24"/>
        </w:rPr>
        <w:t xml:space="preserve"> and immersion scenarios to reveal nuanced communication gaps around formality, relationship-building pace</w:t>
      </w:r>
      <w:r w:rsidR="00E64D73">
        <w:rPr>
          <w:rFonts w:ascii="Times New Roman" w:hAnsi="Times New Roman" w:cs="Times New Roman"/>
          <w:sz w:val="24"/>
          <w:szCs w:val="24"/>
        </w:rPr>
        <w:t>,</w:t>
      </w:r>
      <w:r w:rsidRPr="009C6033">
        <w:rPr>
          <w:rFonts w:ascii="Times New Roman" w:hAnsi="Times New Roman" w:cs="Times New Roman"/>
          <w:sz w:val="24"/>
          <w:szCs w:val="24"/>
        </w:rPr>
        <w:t xml:space="preserve"> and conversational patterns (Caligiuri et al.</w:t>
      </w:r>
      <w:r>
        <w:rPr>
          <w:rFonts w:ascii="Times New Roman" w:hAnsi="Times New Roman" w:cs="Times New Roman"/>
          <w:sz w:val="24"/>
          <w:szCs w:val="24"/>
        </w:rPr>
        <w:t>,</w:t>
      </w:r>
      <w:r w:rsidRPr="009C6033">
        <w:rPr>
          <w:rFonts w:ascii="Times New Roman" w:hAnsi="Times New Roman" w:cs="Times New Roman"/>
          <w:sz w:val="24"/>
          <w:szCs w:val="24"/>
        </w:rPr>
        <w:t> 2011). Even basic rapport can be improved by developing language skills (Tenzer and Pudelko</w:t>
      </w:r>
      <w:r>
        <w:rPr>
          <w:rFonts w:ascii="Times New Roman" w:hAnsi="Times New Roman" w:cs="Times New Roman"/>
          <w:sz w:val="24"/>
          <w:szCs w:val="24"/>
        </w:rPr>
        <w:t>,</w:t>
      </w:r>
      <w:r w:rsidRPr="009C6033">
        <w:rPr>
          <w:rFonts w:ascii="Times New Roman" w:hAnsi="Times New Roman" w:cs="Times New Roman"/>
          <w:sz w:val="24"/>
          <w:szCs w:val="24"/>
        </w:rPr>
        <w:t xml:space="preserve"> 2015). Incorporation is also based on the delivery of feedback in a tactful manner.</w:t>
      </w:r>
    </w:p>
    <w:p w14:paraId="42522BAA" w14:textId="7EC39D10"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lastRenderedPageBreak/>
        <w:t>Both Britain and Spain score high on indulgent dimensions that prioritize positive emotions (Hofstede, 2022). Diageo's brand ethos of celebrating life through responsible consumption can be aligned with this - themes such as friendship, camaraderie, and reward expression are universally appealing (Jernigan</w:t>
      </w:r>
      <w:r>
        <w:rPr>
          <w:rFonts w:ascii="Times New Roman" w:hAnsi="Times New Roman" w:cs="Times New Roman"/>
          <w:sz w:val="24"/>
          <w:szCs w:val="24"/>
        </w:rPr>
        <w:t>,</w:t>
      </w:r>
      <w:r w:rsidRPr="009C6033">
        <w:rPr>
          <w:rFonts w:ascii="Times New Roman" w:hAnsi="Times New Roman" w:cs="Times New Roman"/>
          <w:sz w:val="24"/>
          <w:szCs w:val="24"/>
        </w:rPr>
        <w:t xml:space="preserve"> 2009). Accentuating complementary values can help build relationships and reduce disconnects based on hierarchy (Wang, et. al., 2022). Communication that emphasizes aspirational brand elements, which are warmly accepted in both cultures, is recommended.</w:t>
      </w:r>
    </w:p>
    <w:p w14:paraId="6561E688" w14:textId="5BC3BA01"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Creating a local advisory board of respected Spanish businesspeople and community representatives can also help guide messaging and engagement strategies (Callow &amp; Schiffman</w:t>
      </w:r>
      <w:r>
        <w:rPr>
          <w:rFonts w:ascii="Times New Roman" w:hAnsi="Times New Roman" w:cs="Times New Roman"/>
          <w:sz w:val="24"/>
          <w:szCs w:val="24"/>
        </w:rPr>
        <w:t>,</w:t>
      </w:r>
      <w:r w:rsidRPr="009C6033">
        <w:rPr>
          <w:rFonts w:ascii="Times New Roman" w:hAnsi="Times New Roman" w:cs="Times New Roman"/>
          <w:sz w:val="24"/>
          <w:szCs w:val="24"/>
        </w:rPr>
        <w:t xml:space="preserve"> 2004). This group also helps to identify potential issues before they become a problem while providing a conduit for building relationships and nurturing partnerships essential for market expansion. The ongoing guidance of the council allows for agility in responding to changing sociocultural dynamics.</w:t>
      </w:r>
    </w:p>
    <w:p w14:paraId="77D5DE12" w14:textId="049846BF" w:rsidR="009C6033" w:rsidRPr="009C6033" w:rsidRDefault="009A54C4" w:rsidP="009C6033">
      <w:pPr>
        <w:pStyle w:val="Heading1"/>
      </w:pPr>
      <w:r>
        <w:t>Summary</w:t>
      </w:r>
    </w:p>
    <w:p w14:paraId="62B5639B" w14:textId="77777777"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Diageo's expansion into Spain is preferable to Italy due to its lower risks in terms of economics, similarity culturally with a less hierarchical culture and a positive climate for diversity that supports growth. Although there are differences in communication regarding formality and network, strategies such as training, local partners, and translators, can help facilitate collaboration. Success will be determined by your ability to adapt to the Spanish culture.</w:t>
      </w:r>
    </w:p>
    <w:p w14:paraId="63BB0FF1" w14:textId="22412887" w:rsidR="009C6033" w:rsidRP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 xml:space="preserve">To sustain such success, global </w:t>
      </w:r>
      <w:r>
        <w:rPr>
          <w:rFonts w:ascii="Times New Roman" w:hAnsi="Times New Roman" w:cs="Times New Roman"/>
          <w:sz w:val="24"/>
          <w:szCs w:val="24"/>
        </w:rPr>
        <w:t>organizations</w:t>
      </w:r>
      <w:r w:rsidRPr="009C6033">
        <w:rPr>
          <w:rFonts w:ascii="Times New Roman" w:hAnsi="Times New Roman" w:cs="Times New Roman"/>
          <w:sz w:val="24"/>
          <w:szCs w:val="24"/>
        </w:rPr>
        <w:t xml:space="preserve"> must maintain a two-way approach to workforce integration, especially in the face of new market entry challenges (Gibson and </w:t>
      </w:r>
      <w:r w:rsidR="00E64D73">
        <w:rPr>
          <w:rFonts w:ascii="Times New Roman" w:hAnsi="Times New Roman" w:cs="Times New Roman"/>
          <w:sz w:val="24"/>
          <w:szCs w:val="24"/>
        </w:rPr>
        <w:t>Co.</w:t>
      </w:r>
      <w:r w:rsidRPr="009C6033">
        <w:rPr>
          <w:rFonts w:ascii="Times New Roman" w:hAnsi="Times New Roman" w:cs="Times New Roman"/>
          <w:sz w:val="24"/>
          <w:szCs w:val="24"/>
        </w:rPr>
        <w:t xml:space="preserve">, 2021). When expatriate British </w:t>
      </w:r>
      <w:r>
        <w:rPr>
          <w:rFonts w:ascii="Times New Roman" w:hAnsi="Times New Roman" w:cs="Times New Roman"/>
          <w:sz w:val="24"/>
          <w:szCs w:val="24"/>
        </w:rPr>
        <w:t>managers</w:t>
      </w:r>
      <w:r w:rsidRPr="009C6033">
        <w:rPr>
          <w:rFonts w:ascii="Times New Roman" w:hAnsi="Times New Roman" w:cs="Times New Roman"/>
          <w:sz w:val="24"/>
          <w:szCs w:val="24"/>
        </w:rPr>
        <w:t xml:space="preserve"> engage with new Spanish colleagues in a collaborative environment, adapting their leadership styles to local values is as important as setting strategic directions (Dickson, et. al., 2012). In this case, humble inquiry, cultural interpreters, and bridge networks can help promote inclusion and mutual understanding by balancing different styles </w:t>
      </w:r>
      <w:r w:rsidRPr="009C6033">
        <w:rPr>
          <w:rFonts w:ascii="Times New Roman" w:hAnsi="Times New Roman" w:cs="Times New Roman"/>
          <w:sz w:val="24"/>
          <w:szCs w:val="24"/>
        </w:rPr>
        <w:lastRenderedPageBreak/>
        <w:t>and perspectives. (Tenzer and Pudelko</w:t>
      </w:r>
      <w:r>
        <w:rPr>
          <w:rFonts w:ascii="Times New Roman" w:hAnsi="Times New Roman" w:cs="Times New Roman"/>
          <w:sz w:val="24"/>
          <w:szCs w:val="24"/>
        </w:rPr>
        <w:t>,</w:t>
      </w:r>
      <w:r w:rsidRPr="009C6033">
        <w:rPr>
          <w:rFonts w:ascii="Times New Roman" w:hAnsi="Times New Roman" w:cs="Times New Roman"/>
          <w:sz w:val="24"/>
          <w:szCs w:val="24"/>
        </w:rPr>
        <w:t xml:space="preserve"> 2015). Gradually developing intercultural competency allows for enhanced creativity.</w:t>
      </w:r>
    </w:p>
    <w:p w14:paraId="1A5F7A34" w14:textId="223E6774" w:rsidR="009C6033" w:rsidRDefault="009C6033" w:rsidP="009C6033">
      <w:pPr>
        <w:spacing w:line="480" w:lineRule="auto"/>
        <w:jc w:val="both"/>
        <w:rPr>
          <w:rFonts w:ascii="Times New Roman" w:hAnsi="Times New Roman" w:cs="Times New Roman"/>
          <w:sz w:val="24"/>
          <w:szCs w:val="24"/>
        </w:rPr>
      </w:pPr>
      <w:r w:rsidRPr="009C6033">
        <w:rPr>
          <w:rFonts w:ascii="Times New Roman" w:hAnsi="Times New Roman" w:cs="Times New Roman"/>
          <w:sz w:val="24"/>
          <w:szCs w:val="24"/>
        </w:rPr>
        <w:t>Similarly, Diageo needs to support the integration of new talent into its existing British-shaped norms (Callow &amp; Schiffman</w:t>
      </w:r>
      <w:r>
        <w:rPr>
          <w:rFonts w:ascii="Times New Roman" w:hAnsi="Times New Roman" w:cs="Times New Roman"/>
          <w:sz w:val="24"/>
          <w:szCs w:val="24"/>
        </w:rPr>
        <w:t>,</w:t>
      </w:r>
      <w:r w:rsidRPr="009C6033">
        <w:rPr>
          <w:rFonts w:ascii="Times New Roman" w:hAnsi="Times New Roman" w:cs="Times New Roman"/>
          <w:sz w:val="24"/>
          <w:szCs w:val="24"/>
        </w:rPr>
        <w:t xml:space="preserve"> 2004). Spanish employees can benefit from buddy schemes, affinity groupings</w:t>
      </w:r>
      <w:r w:rsidR="00E64D73">
        <w:rPr>
          <w:rFonts w:ascii="Times New Roman" w:hAnsi="Times New Roman" w:cs="Times New Roman"/>
          <w:sz w:val="24"/>
          <w:szCs w:val="24"/>
        </w:rPr>
        <w:t>,</w:t>
      </w:r>
      <w:r w:rsidRPr="009C6033">
        <w:rPr>
          <w:rFonts w:ascii="Times New Roman" w:hAnsi="Times New Roman" w:cs="Times New Roman"/>
          <w:sz w:val="24"/>
          <w:szCs w:val="24"/>
        </w:rPr>
        <w:t xml:space="preserve"> and aligned messaging while also utilizing their culture as a growth accelerator. These efforts demonstrate how leadership and communication strategies are intertwined for effective global expansion. The new blended workforce must work together to sustain market growth.</w:t>
      </w:r>
    </w:p>
    <w:p w14:paraId="1060E4A5" w14:textId="27759590" w:rsidR="00E64D73" w:rsidRPr="009A54C4" w:rsidRDefault="00E64D73" w:rsidP="009A54C4">
      <w:pPr>
        <w:pStyle w:val="Heading1"/>
      </w:pPr>
      <w:bookmarkStart w:id="12" w:name="_Toc153889344"/>
      <w:bookmarkStart w:id="13" w:name="_Toc153889390"/>
      <w:r>
        <w:t>References</w:t>
      </w:r>
      <w:bookmarkEnd w:id="12"/>
      <w:bookmarkEnd w:id="13"/>
    </w:p>
    <w:p w14:paraId="70305B1D"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Al-Amir, B., 2017. The Effect of Interruption on Interpersonal Communication. Journal of Phonetics and Audiology, 3(2), p.1-5.</w:t>
      </w:r>
    </w:p>
    <w:p w14:paraId="0A246B30"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Baghai, P.S., Coley, S.C. and White D., 2020. The Alchemy of Growth: Kickstarting and sustaining growth in your company. London: Simon and Schuster.</w:t>
      </w:r>
    </w:p>
    <w:p w14:paraId="3230C976"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Barry, A.E. et al., 2022. A Longitudinal Study of Exposure to Alcohol Marketing During College and Drinking Beliefs, Alcohol Use, and Drunk Driving. Journal of Studies on Alcohol and Drugs, 83(4), pp.485-493.</w:t>
      </w:r>
    </w:p>
    <w:p w14:paraId="14AD701D"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Bbc.com., 2019. France Yellow Vest Protests: Macron Promises Wage Rise. [online] Available at: </w:t>
      </w:r>
      <w:hyperlink r:id="rId6" w:history="1">
        <w:r w:rsidRPr="00E64D73">
          <w:rPr>
            <w:rStyle w:val="Hyperlink"/>
            <w:rFonts w:ascii="Times New Roman" w:hAnsi="Times New Roman" w:cs="Times New Roman"/>
            <w:sz w:val="24"/>
            <w:szCs w:val="24"/>
          </w:rPr>
          <w:t>https://www.bbc.co.uk/news/world-europe-46724462</w:t>
        </w:r>
      </w:hyperlink>
      <w:r w:rsidRPr="00E64D73">
        <w:rPr>
          <w:rFonts w:ascii="Times New Roman" w:hAnsi="Times New Roman" w:cs="Times New Roman"/>
          <w:sz w:val="24"/>
          <w:szCs w:val="24"/>
        </w:rPr>
        <w:t xml:space="preserve"> [Accessed 26 November 2022].</w:t>
      </w:r>
    </w:p>
    <w:p w14:paraId="5CB2BD82"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Bentzen, J. and Smith, V., 2020. Wine Production in Denmark—Developments in Grape Supply, Price, and Quality 2000–2010. Scandinavian Journal of Hospitality and Tourism, 14(sup1), pp.18-33.</w:t>
      </w:r>
    </w:p>
    <w:p w14:paraId="501D0E2D"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Bolton, L.E. et al., 2013. Understanding Generation Y and their use of social media: a review and research agenda. Journal of Service Management, 24(3), pp.245-267.</w:t>
      </w:r>
    </w:p>
    <w:p w14:paraId="05B5A80C"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lastRenderedPageBreak/>
        <w:t>Brannen, M.Y. and Peterson, M.F., 2009. Merging without Alienating: Interventions Promoting Cross-Cultural Organizational Integration and Their Limitations. Journal of International Business Studies, 40(3), pp.468-489.</w:t>
      </w:r>
    </w:p>
    <w:p w14:paraId="24FC83B7"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BusinessWire, 2022. Italy Spirits Market Analysis Report 2021: State of Play, Current and Future Growth Potential, Consumption Trends, Leading Companies, Key Category Data to 2025 – ResearchAndMarkets.com. [online] Available at: </w:t>
      </w:r>
      <w:hyperlink r:id="rId7" w:history="1">
        <w:r w:rsidRPr="00E64D73">
          <w:rPr>
            <w:rStyle w:val="Hyperlink"/>
            <w:rFonts w:ascii="Times New Roman" w:hAnsi="Times New Roman" w:cs="Times New Roman"/>
            <w:sz w:val="24"/>
            <w:szCs w:val="24"/>
          </w:rPr>
          <w:t>https://www.businesswire.com/news/home/20220309005496/en/</w:t>
        </w:r>
      </w:hyperlink>
      <w:r w:rsidRPr="00E64D73">
        <w:rPr>
          <w:rFonts w:ascii="Times New Roman" w:hAnsi="Times New Roman" w:cs="Times New Roman"/>
          <w:sz w:val="24"/>
          <w:szCs w:val="24"/>
        </w:rPr>
        <w:t xml:space="preserve"> [Accessed 18 November 2022].</w:t>
      </w:r>
    </w:p>
    <w:p w14:paraId="0655D588"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Caligiuri, P. et al., 2011. Training, Developing, and Assessing Cross-Cultural Competence in Military Personnel. US Army Research Institute for the Behavioral and Social Sciences.</w:t>
      </w:r>
    </w:p>
    <w:p w14:paraId="25ED71EA"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Callow, M.A. and Schiffman, L.G., 2002. Implications of cultural orientation for cross-cultural management practice. Journal of International Consumer Marketing, 15(2), pp.67-87.</w:t>
      </w:r>
    </w:p>
    <w:p w14:paraId="2137D7A1"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Callow, M.A. and Schiffman, L.G., 2004. Sociocultural meanings in visually standardized print ads. European Journal of Marketing, 38 (9/10), pp.1113-1128.</w:t>
      </w:r>
    </w:p>
    <w:p w14:paraId="7658091C"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Canali, C. et al., 2022. A Cross-Country Comparison of Content Analysis Research Between 2010 and 2019: Topics, Methods, and Data Analysis Techniques. International Journal of Market Research, p.14707853221114104.</w:t>
      </w:r>
    </w:p>
    <w:p w14:paraId="2A627E45"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Casiraghi, M. et al., 2018. Populism and the New Political Landscape: Analysis of Political Discourse on Immigration, Security, Unemployment and Corruption. American Behavioral Scientist, 62(7), pp.852–876.</w:t>
      </w:r>
    </w:p>
    <w:p w14:paraId="1F92E3BA"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Chaney, L.H. and Martin, J.S., 2019. Intercultural business communication. Seventh edition. Edinburgh Gate: Pearson.</w:t>
      </w:r>
    </w:p>
    <w:p w14:paraId="6137150F"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lastRenderedPageBreak/>
        <w:t>Charles, M.L., 2006. Language Matters in Global Communication – Article Based on ORA Lecture, October 2006. Journal of Business Communication, 44(3), pp.260-282.</w:t>
      </w:r>
    </w:p>
    <w:p w14:paraId="192FCD06"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Companiesmarketcap.com., 2021. Diageo Net Profit 2006-2022. [online] Available at: </w:t>
      </w:r>
      <w:hyperlink r:id="rId8" w:history="1">
        <w:r w:rsidRPr="00E64D73">
          <w:rPr>
            <w:rStyle w:val="Hyperlink"/>
            <w:rFonts w:ascii="Times New Roman" w:hAnsi="Times New Roman" w:cs="Times New Roman"/>
            <w:sz w:val="24"/>
            <w:szCs w:val="24"/>
          </w:rPr>
          <w:t>https://companiesmarketcap.com/diageo/net-income/</w:t>
        </w:r>
      </w:hyperlink>
      <w:r w:rsidRPr="00E64D73">
        <w:rPr>
          <w:rFonts w:ascii="Times New Roman" w:hAnsi="Times New Roman" w:cs="Times New Roman"/>
          <w:sz w:val="24"/>
          <w:szCs w:val="24"/>
        </w:rPr>
        <w:t xml:space="preserve"> [Accessed 3 December 2022].</w:t>
      </w:r>
    </w:p>
    <w:p w14:paraId="59D91A39"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Cortesi, S. and Tomasi, D., 2020. Neuroscientific Insights: How Co-Creation Impacts Advertising Effectiveness. Academy of Marketing Science Review, 10 (3-4), pp. 159- 184.</w:t>
      </w:r>
    </w:p>
    <w:p w14:paraId="78CFDBA3"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Diageo Annual Report, 2022. [online] Diageo.com. Available at: </w:t>
      </w:r>
      <w:hyperlink r:id="rId9" w:history="1">
        <w:r w:rsidRPr="00E64D73">
          <w:rPr>
            <w:rStyle w:val="Hyperlink"/>
            <w:rFonts w:ascii="Times New Roman" w:hAnsi="Times New Roman" w:cs="Times New Roman"/>
            <w:sz w:val="24"/>
            <w:szCs w:val="24"/>
          </w:rPr>
          <w:t>https://www.diageo.com/en/investors/annual-report/</w:t>
        </w:r>
      </w:hyperlink>
      <w:r w:rsidRPr="00E64D73">
        <w:rPr>
          <w:rFonts w:ascii="Times New Roman" w:hAnsi="Times New Roman" w:cs="Times New Roman"/>
          <w:sz w:val="24"/>
          <w:szCs w:val="24"/>
        </w:rPr>
        <w:t xml:space="preserve"> [Accessed 10 December 2022].</w:t>
      </w:r>
    </w:p>
    <w:p w14:paraId="592A01BC"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Dickson, M.W. et al., 2012. Conceptualizing leadership across cultures. Journal of World Business, 47(4), pp.483-492.</w:t>
      </w:r>
    </w:p>
    <w:p w14:paraId="3B917D83"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Dimofte, C.V. et al., 2008. Cognitive and affective reactions of U.S. executives to work‐life pressures in Japan. Journal of International Marketing, 16(1), pp.108-135.</w:t>
      </w:r>
    </w:p>
    <w:p w14:paraId="5788D9DD"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Esser, M.B. and Jernigan, D.H., 2018. Multinational Alcohol Market Development and Public Health: Diageo in India. American journal of public health, 108(8), pp.1032-1037.</w:t>
      </w:r>
    </w:p>
    <w:p w14:paraId="381AD3DE"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Expatica.com., 2022. Guide to Spain – Spanish facts, language and culture. [online] Available at: </w:t>
      </w:r>
      <w:hyperlink r:id="rId10" w:history="1">
        <w:r w:rsidRPr="00E64D73">
          <w:rPr>
            <w:rStyle w:val="Hyperlink"/>
            <w:rFonts w:ascii="Times New Roman" w:hAnsi="Times New Roman" w:cs="Times New Roman"/>
            <w:sz w:val="24"/>
            <w:szCs w:val="24"/>
          </w:rPr>
          <w:t>https://www.expatica.com/es/about/basics/</w:t>
        </w:r>
      </w:hyperlink>
      <w:r w:rsidRPr="00E64D73">
        <w:rPr>
          <w:rFonts w:ascii="Times New Roman" w:hAnsi="Times New Roman" w:cs="Times New Roman"/>
          <w:sz w:val="24"/>
          <w:szCs w:val="24"/>
        </w:rPr>
        <w:t xml:space="preserve"> [Accessed 16 November 2022].</w:t>
      </w:r>
    </w:p>
    <w:p w14:paraId="783ECAA8"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Fang, T. and Faure, G.O., 2011. Chinese communication characteristics: A Yin Yang perspective. International Journal of Intercultural Relations, 35(3), pp.320-333.</w:t>
      </w:r>
    </w:p>
    <w:p w14:paraId="1BF17529"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Felício, J.A. et al., 2022. The effect of English proficiency on exports: A European study. Journal of Business Research, 139, pp.1093-1104.</w:t>
      </w:r>
    </w:p>
    <w:p w14:paraId="19286F8D"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lastRenderedPageBreak/>
        <w:t>Felzensztein, C. et al., 2015. The effects of perceived values and assimilation on marketing outcomes in emerging markets. International Marketing Review, 32(1), pp.78-102.</w:t>
      </w:r>
    </w:p>
    <w:p w14:paraId="3F4C3CE7"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Fill, C. and Turnbull, S., 2018. Marketing Communications: Discovery, Creation and Conversations. Eighth edition. Edinburgh Gate: Pearson.</w:t>
      </w:r>
    </w:p>
    <w:p w14:paraId="6AC94B19"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Fondazione Migrantes., 2021. International Migration Report 2021. [online] Available at: </w:t>
      </w:r>
      <w:hyperlink r:id="rId11" w:history="1">
        <w:r w:rsidRPr="00E64D73">
          <w:rPr>
            <w:rStyle w:val="Hyperlink"/>
            <w:rFonts w:ascii="Times New Roman" w:hAnsi="Times New Roman" w:cs="Times New Roman"/>
            <w:sz w:val="24"/>
            <w:szCs w:val="24"/>
          </w:rPr>
          <w:t>https://www.migrantes.it/wp-content/uploads/sites/50/2021/10/Sintesi-Eng-RIM2021-rev.4.10.21-def.pdf</w:t>
        </w:r>
      </w:hyperlink>
      <w:r w:rsidRPr="00E64D73">
        <w:rPr>
          <w:rFonts w:ascii="Times New Roman" w:hAnsi="Times New Roman" w:cs="Times New Roman"/>
          <w:sz w:val="24"/>
          <w:szCs w:val="24"/>
        </w:rPr>
        <w:t xml:space="preserve"> [Accessed 14 December 2022].</w:t>
      </w:r>
    </w:p>
    <w:p w14:paraId="4752EE79"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Gibson, C. et al., 2021. EMIC and ETIC interpretations of intercultural communication competence in global virtual teams. Journal of International Management, 27(4), p.100828.</w:t>
      </w:r>
    </w:p>
    <w:p w14:paraId="5393837A"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Gudykunst, W.B. et al., 1996. Influence of cultural individualism-collectivism, self construals, and individual values on communication styles across cultures. Human communication research, 22(4), pp.510-543.</w:t>
      </w:r>
    </w:p>
    <w:p w14:paraId="5D27D242"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Hall, E.T., 1976. Beyond Culture. New York: Anchor Press.</w:t>
      </w:r>
    </w:p>
    <w:p w14:paraId="5BBA203E"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Harzing, A.W. et al., 2011. Rating versus ranking: What is the best way to reduce response and language bias in cross-national research?. International Business Review, 20(4), pp.417-432.</w:t>
      </w:r>
    </w:p>
    <w:p w14:paraId="0E73C471"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Hofstede Insights, 2022. Country Comparison Tool. [online] Available at: </w:t>
      </w:r>
      <w:hyperlink r:id="rId12" w:history="1">
        <w:r w:rsidRPr="00E64D73">
          <w:rPr>
            <w:rStyle w:val="Hyperlink"/>
            <w:rFonts w:ascii="Times New Roman" w:hAnsi="Times New Roman" w:cs="Times New Roman"/>
            <w:sz w:val="24"/>
            <w:szCs w:val="24"/>
          </w:rPr>
          <w:t>https://www.hofstede-insights.com/product/compare-countries/</w:t>
        </w:r>
      </w:hyperlink>
      <w:r w:rsidRPr="00E64D73">
        <w:rPr>
          <w:rFonts w:ascii="Times New Roman" w:hAnsi="Times New Roman" w:cs="Times New Roman"/>
          <w:sz w:val="24"/>
          <w:szCs w:val="24"/>
        </w:rPr>
        <w:t xml:space="preserve"> [Accessed 26 November 2022].</w:t>
      </w:r>
    </w:p>
    <w:p w14:paraId="0A43D555"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Hofstede, G., 2017. Dimensionalizing Cultures: The Hofstede Model in Context. Online readings in psychology and culture, 2(1), p.2307-0919.</w:t>
      </w:r>
    </w:p>
    <w:p w14:paraId="675BCCC8"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lastRenderedPageBreak/>
        <w:t xml:space="preserve">Hyde, K.F., 2021. Diageo Marketing Mix (4Ps) Strategy. [online] MBA Skool-Study.Learn.Share. Available at: </w:t>
      </w:r>
      <w:hyperlink r:id="rId13" w:history="1">
        <w:r w:rsidRPr="00E64D73">
          <w:rPr>
            <w:rStyle w:val="Hyperlink"/>
            <w:rFonts w:ascii="Times New Roman" w:hAnsi="Times New Roman" w:cs="Times New Roman"/>
            <w:sz w:val="24"/>
            <w:szCs w:val="24"/>
          </w:rPr>
          <w:t>https://www.mbaskool.com/brandguide/alcoholic-beverages/1769-diageo.html</w:t>
        </w:r>
      </w:hyperlink>
      <w:r w:rsidRPr="00E64D73">
        <w:rPr>
          <w:rFonts w:ascii="Times New Roman" w:hAnsi="Times New Roman" w:cs="Times New Roman"/>
          <w:sz w:val="24"/>
          <w:szCs w:val="24"/>
        </w:rPr>
        <w:t xml:space="preserve"> [Accessed 30 November 2022].</w:t>
      </w:r>
    </w:p>
    <w:p w14:paraId="47CC099F"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Jandt, F.E., 2022. An introduction to intercultural communication: Identities in a global community. Thousand Oaks, CA: Sage Publications.</w:t>
      </w:r>
    </w:p>
    <w:p w14:paraId="7999E0FD"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Jernigan, D., 2022. Vested Interests: How the Alcohol Industry Shapes the Science and Politics of Alcohol Research and Policy. Cambridge: Cambridge University Press.</w:t>
      </w:r>
    </w:p>
    <w:p w14:paraId="1F594E03"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Jernigan, D.H. and Lim, H., 2020. Tapping into local identity through alcohol branding in India. Journal of Public Health Policy, 41(4), pp.444-460.</w:t>
      </w:r>
    </w:p>
    <w:p w14:paraId="4012858F"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Jernigan, D.H., 2009. The global alcohol industry: an overview. Addiction, 104(1), pp.6-12.</w:t>
      </w:r>
    </w:p>
    <w:p w14:paraId="219A88D5"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Kassis Henderson, J., 2005. Language diversity in international management teams. International Studies of Management &amp; Organization, 35(1), pp.66-82.</w:t>
      </w:r>
    </w:p>
    <w:p w14:paraId="40800A9A"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Keith, J.G. et al., 2016. Cross-cultural advertising theory and practice. Journal of Global Scholars of Marketing Science, 26(3), pp.208-223.</w:t>
      </w:r>
    </w:p>
    <w:p w14:paraId="0B238AC5"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Landone, E., 2022. Culture and Conversation Analysis. The International Encyclopedia of Intercultural Communication, pp.1–9.</w:t>
      </w:r>
    </w:p>
    <w:p w14:paraId="6D8F4C5B"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Lenartowicz, T. et al., 2014. Development of cross‐cultural competence: Training models and principles. In Leading global teams (pp. 315-342). New York, NY: Springer.</w:t>
      </w:r>
    </w:p>
    <w:p w14:paraId="2D712004"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Lewis, R.D., 2006. When cultures collide: leading across cultures. Boston: Nicholas Brealey International.</w:t>
      </w:r>
    </w:p>
    <w:p w14:paraId="67E61517"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Lovvorn, A.S. and Cheng, B.H., 2022. Developing intercultural competence through cultural immersion: A meta-analysis. Journal of Intercultural Communication Research, 51(1), pp.1-30.</w:t>
      </w:r>
    </w:p>
    <w:p w14:paraId="00C3F2D1"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lastRenderedPageBreak/>
        <w:t>Marmier, P., Cheikhrouhou, S. and Huber, D., 2021. A stakeholder-driven materiality analysis for responsible business conduct. Sustainability Accounting, Management and Policy Journal.</w:t>
      </w:r>
    </w:p>
    <w:p w14:paraId="7846FF22"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Marquardt, M. and Horváth-Csikós, G., 2016. The role of translators and interpreters in global business. European Financial Review, June-July, pp.55-58.</w:t>
      </w:r>
    </w:p>
    <w:p w14:paraId="56B6B8EE"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Martin, N., 2019. Food, drink and identity in Europe. London: Bloomsbury Visual Arts.</w:t>
      </w:r>
    </w:p>
    <w:p w14:paraId="3AE17853"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Migrationpolicy.org., 2019. Spain: From Immigration to Emigration?. [online] Available at: </w:t>
      </w:r>
      <w:hyperlink r:id="rId14" w:history="1">
        <w:r w:rsidRPr="00E64D73">
          <w:rPr>
            <w:rStyle w:val="Hyperlink"/>
            <w:rFonts w:ascii="Times New Roman" w:hAnsi="Times New Roman" w:cs="Times New Roman"/>
            <w:sz w:val="24"/>
            <w:szCs w:val="24"/>
          </w:rPr>
          <w:t>https://www.migrationpolicy.org/article/spain-immigration-emigration/</w:t>
        </w:r>
      </w:hyperlink>
      <w:r w:rsidRPr="00E64D73">
        <w:rPr>
          <w:rFonts w:ascii="Times New Roman" w:hAnsi="Times New Roman" w:cs="Times New Roman"/>
          <w:sz w:val="24"/>
          <w:szCs w:val="24"/>
        </w:rPr>
        <w:t xml:space="preserve"> [Accessed 17 December 2022].</w:t>
      </w:r>
    </w:p>
    <w:p w14:paraId="76D1D746"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Mishra, A., 2020. The history and evolution of mergers and acquisitions. Journal of Finance and Accounting, 7(1), pp.207-216.</w:t>
      </w:r>
    </w:p>
    <w:p w14:paraId="6B3C9170"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Murray, N., 2013. Widening the scope and broadening the reach of Mobile Health (mHealth) Information Systems through innovative research methodologies. 20th Australasian Conference on Information Systems. [online] Melbourne: ACIS, pp.1-3. Available at: </w:t>
      </w:r>
      <w:hyperlink r:id="rId15" w:history="1">
        <w:r w:rsidRPr="00E64D73">
          <w:rPr>
            <w:rStyle w:val="Hyperlink"/>
            <w:rFonts w:ascii="Times New Roman" w:hAnsi="Times New Roman" w:cs="Times New Roman"/>
            <w:sz w:val="24"/>
            <w:szCs w:val="24"/>
          </w:rPr>
          <w:t>https://dro.deakin.edu.au/eserv/DU:30059021/murray-wideningthescope-2013.pdf</w:t>
        </w:r>
      </w:hyperlink>
      <w:r w:rsidRPr="00E64D73">
        <w:rPr>
          <w:rFonts w:ascii="Times New Roman" w:hAnsi="Times New Roman" w:cs="Times New Roman"/>
          <w:sz w:val="24"/>
          <w:szCs w:val="24"/>
        </w:rPr>
        <w:t xml:space="preserve"> [Accessed 29 November 2022].</w:t>
      </w:r>
    </w:p>
    <w:p w14:paraId="0DA45D04"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Oecd.org. 2018. Spain - Economic forecast summary. [online] Available at: </w:t>
      </w:r>
      <w:hyperlink r:id="rId16" w:history="1">
        <w:r w:rsidRPr="00E64D73">
          <w:rPr>
            <w:rStyle w:val="Hyperlink"/>
            <w:rFonts w:ascii="Times New Roman" w:hAnsi="Times New Roman" w:cs="Times New Roman"/>
            <w:sz w:val="24"/>
            <w:szCs w:val="24"/>
          </w:rPr>
          <w:t>https://www.oecd.org/economy/spain-economic-forecast-summary.htm</w:t>
        </w:r>
      </w:hyperlink>
      <w:r w:rsidRPr="00E64D73">
        <w:rPr>
          <w:rFonts w:ascii="Times New Roman" w:hAnsi="Times New Roman" w:cs="Times New Roman"/>
          <w:sz w:val="24"/>
          <w:szCs w:val="24"/>
        </w:rPr>
        <w:t xml:space="preserve"> [Accessed 15 December 2022].</w:t>
      </w:r>
    </w:p>
    <w:p w14:paraId="75912882"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OECDbetterlifeindex.org., 2021. Spain. [online] Available at: &lt; </w:t>
      </w:r>
      <w:hyperlink r:id="rId17" w:history="1">
        <w:r w:rsidRPr="00E64D73">
          <w:rPr>
            <w:rStyle w:val="Hyperlink"/>
            <w:rFonts w:ascii="Times New Roman" w:hAnsi="Times New Roman" w:cs="Times New Roman"/>
            <w:sz w:val="24"/>
            <w:szCs w:val="24"/>
          </w:rPr>
          <w:t>https://www.oecdbetterlifeindex.org/countries/spain/&gt;</w:t>
        </w:r>
      </w:hyperlink>
      <w:r w:rsidRPr="00E64D73">
        <w:rPr>
          <w:rFonts w:ascii="Times New Roman" w:hAnsi="Times New Roman" w:cs="Times New Roman"/>
          <w:sz w:val="24"/>
          <w:szCs w:val="24"/>
        </w:rPr>
        <w:t xml:space="preserve"> [Accessed 12 December 2022].</w:t>
      </w:r>
    </w:p>
    <w:p w14:paraId="5CCBFD0F"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Pantin-Sohier, G., 2021. From cultural values to luxury brand advertising. Recherche et Applications en Marketing (English Edition), 36(3), pp.70-96.</w:t>
      </w:r>
    </w:p>
    <w:p w14:paraId="18B80FC7"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Panzone, L. et al., 2016. Alcohol Marketing in the 21st century: New Methods, Old Problems. Substance Use &amp; Misuse, 51(12), pp.1677-1678.</w:t>
      </w:r>
    </w:p>
    <w:p w14:paraId="68420B46"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lastRenderedPageBreak/>
        <w:t>Park, J. et al., 2012. Emotional intelligence and corporate communication. Asian Communication Research, 10(2).</w:t>
      </w:r>
    </w:p>
    <w:p w14:paraId="48B76F4B"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Passador, M.L. and Thomas, M.J., 2018. Italian business masculinities: Leadership styles and work–life balance of men managers and entrepreneurs. Journal of Gender Studies, 27(6), pp.707-718.</w:t>
      </w:r>
    </w:p>
    <w:p w14:paraId="40357B8B"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Petticrew, M. et al., 2017. Alcohol advertising and public health: systems perspectives versus narrow perspectives (and why it matters). Journal of Epidemiology and Community Health, 71(3), pp.308-312.</w:t>
      </w:r>
    </w:p>
    <w:p w14:paraId="5ED16188"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Povcalnet.org., 2020. Italy. [online] Available at: </w:t>
      </w:r>
      <w:hyperlink r:id="rId18" w:history="1">
        <w:r w:rsidRPr="00E64D73">
          <w:rPr>
            <w:rStyle w:val="Hyperlink"/>
            <w:rFonts w:ascii="Times New Roman" w:hAnsi="Times New Roman" w:cs="Times New Roman"/>
            <w:sz w:val="24"/>
            <w:szCs w:val="24"/>
          </w:rPr>
          <w:t>https://iresearch.worldbank.org/PovcalNet/povOnDemand.aspx</w:t>
        </w:r>
      </w:hyperlink>
      <w:r w:rsidRPr="00E64D73">
        <w:rPr>
          <w:rFonts w:ascii="Times New Roman" w:hAnsi="Times New Roman" w:cs="Times New Roman"/>
          <w:sz w:val="24"/>
          <w:szCs w:val="24"/>
        </w:rPr>
        <w:t xml:space="preserve"> [Accessed 28 November 2022].</w:t>
      </w:r>
    </w:p>
    <w:p w14:paraId="219776AD"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Quappe, S. and Cantatore, G., 2007. What is cultural awareness, anyway? How do I build it?. [Blog] Culturosity.com. Available at: </w:t>
      </w:r>
      <w:hyperlink r:id="rId19" w:history="1">
        <w:r w:rsidRPr="00E64D73">
          <w:rPr>
            <w:rStyle w:val="Hyperlink"/>
            <w:rFonts w:ascii="Times New Roman" w:hAnsi="Times New Roman" w:cs="Times New Roman"/>
            <w:sz w:val="24"/>
            <w:szCs w:val="24"/>
          </w:rPr>
          <w:t>https://culturosity.com/articles/what-is-cultural-awareness/</w:t>
        </w:r>
      </w:hyperlink>
      <w:r w:rsidRPr="00E64D73">
        <w:rPr>
          <w:rFonts w:ascii="Times New Roman" w:hAnsi="Times New Roman" w:cs="Times New Roman"/>
          <w:sz w:val="24"/>
          <w:szCs w:val="24"/>
        </w:rPr>
        <w:t xml:space="preserve"> [Accessed 2 December 2022].</w:t>
      </w:r>
    </w:p>
    <w:p w14:paraId="4AB07D46"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Rodriguez, L., 2022. France population 2022. [online] World Population Review. Available at: </w:t>
      </w:r>
      <w:hyperlink r:id="rId20" w:history="1">
        <w:r w:rsidRPr="00E64D73">
          <w:rPr>
            <w:rStyle w:val="Hyperlink"/>
            <w:rFonts w:ascii="Times New Roman" w:hAnsi="Times New Roman" w:cs="Times New Roman"/>
            <w:sz w:val="24"/>
            <w:szCs w:val="24"/>
          </w:rPr>
          <w:t>https://worldpopulationreview.com/countries/france-population</w:t>
        </w:r>
      </w:hyperlink>
      <w:r w:rsidRPr="00E64D73">
        <w:rPr>
          <w:rFonts w:ascii="Times New Roman" w:hAnsi="Times New Roman" w:cs="Times New Roman"/>
          <w:sz w:val="24"/>
          <w:szCs w:val="24"/>
        </w:rPr>
        <w:t xml:space="preserve"> [Accessed 14 December 2022].</w:t>
      </w:r>
    </w:p>
    <w:p w14:paraId="6FC2C9A2"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Samovar, L. et al., 2021. Communication between cultures. 10th ed. Boston: Cengage Learning.</w:t>
      </w:r>
    </w:p>
    <w:p w14:paraId="1EBE3893"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Santangelo, F.D., 2022. A Coherence Analysis of Populist Ideology in Italy: At the Origins of Populism's Successes and Contradictions. Politics and Governance, 10(3), pp.100-110.</w:t>
      </w:r>
    </w:p>
    <w:p w14:paraId="028D2876"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Soler, P.O. et al., 2020. Innovative cosmopolitanism: Localism as a trend in international marketing and a new articulating ideology opposing globalization. Journal of World Business, 55(5), p.101080.</w:t>
      </w:r>
    </w:p>
    <w:p w14:paraId="7C55EE29"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lastRenderedPageBreak/>
        <w:t>Steenkamp, J.B.E. and Geyskens, I., 2022. The country-of-origin effect and international marketing strategy: Review, integrative framework and suggestions for future research. International Journal of Research in Marketing, p.100887.</w:t>
      </w:r>
    </w:p>
    <w:p w14:paraId="079E9D0D"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Tenzer, H. and Pudelko, M., 2015. Leading across language barriers: Managing language-induced emotions in multinational teams. The Leadership Quarterly, 26(4), pp.606-625.</w:t>
      </w:r>
    </w:p>
    <w:p w14:paraId="6AFBB364"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USDA, 2021. Italy Wine Annual Report 2021. [online] Available at: </w:t>
      </w:r>
      <w:hyperlink r:id="rId21" w:history="1">
        <w:r w:rsidRPr="00E64D73">
          <w:rPr>
            <w:rStyle w:val="Hyperlink"/>
            <w:rFonts w:ascii="Times New Roman" w:hAnsi="Times New Roman" w:cs="Times New Roman"/>
            <w:sz w:val="24"/>
            <w:szCs w:val="24"/>
          </w:rPr>
          <w:t>https://apps.fas.usda.gov/newgainapi/api/Report/DownloadReportByFileName?fileName=Wine%20Annual_Rome_EU-27_12-15-2021.pdf</w:t>
        </w:r>
      </w:hyperlink>
      <w:r w:rsidRPr="00E64D73">
        <w:rPr>
          <w:rFonts w:ascii="Times New Roman" w:hAnsi="Times New Roman" w:cs="Times New Roman"/>
          <w:sz w:val="24"/>
          <w:szCs w:val="24"/>
        </w:rPr>
        <w:t xml:space="preserve"> [Accessed 11 December 2022].</w:t>
      </w:r>
    </w:p>
    <w:p w14:paraId="551E01F5"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Usunier, J.C. and Roulin, N., 2010. The influence of high-and low-context communication styles on the design and use of management control systems. Journal of international business studies, 41(5), pp.719-733.</w:t>
      </w:r>
    </w:p>
    <w:p w14:paraId="7B3DECF1"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Vázquez Ordás, C.J. et al., 2021. Communication style and leadership: The effect of the interaction between leader and employees. European Management Journal, 39(5), pp.705-715.</w:t>
      </w:r>
    </w:p>
    <w:p w14:paraId="11B7CAB2"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Wang, G. et al., 2022. Understanding consumers’ reactions to tune in and tune out alcohol marketing and countermarketing on social media. Telematics and Informatics, 71, p.101978.</w:t>
      </w:r>
    </w:p>
    <w:p w14:paraId="52E7CCEE"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Wolburg, J.M. and Pokrywczynski, J., 2001. A psychographic analysis of Generation Y college students. Journal of advertising research, 41(5), pp.33-52.</w:t>
      </w:r>
    </w:p>
    <w:p w14:paraId="21AD9E21"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 xml:space="preserve">Yankelovich, 2021. What’s Driving the Spirits Comeback. [online] Available at: </w:t>
      </w:r>
      <w:hyperlink r:id="rId22" w:history="1">
        <w:r w:rsidRPr="00E64D73">
          <w:rPr>
            <w:rStyle w:val="Hyperlink"/>
            <w:rFonts w:ascii="Times New Roman" w:hAnsi="Times New Roman" w:cs="Times New Roman"/>
            <w:sz w:val="24"/>
            <w:szCs w:val="24"/>
          </w:rPr>
          <w:t>https://www.yankelovich.com/trends/whats-driving-the-spirits-comeback/</w:t>
        </w:r>
      </w:hyperlink>
      <w:r w:rsidRPr="00E64D73">
        <w:rPr>
          <w:rFonts w:ascii="Times New Roman" w:hAnsi="Times New Roman" w:cs="Times New Roman"/>
          <w:sz w:val="24"/>
          <w:szCs w:val="24"/>
        </w:rPr>
        <w:t xml:space="preserve"> [Accessed 29 November 2022].</w:t>
      </w:r>
    </w:p>
    <w:p w14:paraId="1C981F66"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lastRenderedPageBreak/>
        <w:t>Zeffane, R., 2020. Gender, Generational and Cross-cultural Differences in Leadership: Evidence from Four Continents. Equality, Diversity and Inclusion: An International Journal, 39(5), pp.507-529.</w:t>
      </w:r>
    </w:p>
    <w:p w14:paraId="12F94381"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Zhang, J. et al., 2014. Brandscapes and Chinese consumers’ brand associations: Place branding for country-of-origin effects. Journal of Product &amp; Brand Management, 26(1), pp.49-61.</w:t>
      </w:r>
    </w:p>
    <w:p w14:paraId="7F9F6F38" w14:textId="77777777" w:rsidR="00E64D73" w:rsidRPr="00E64D73" w:rsidRDefault="00E64D73" w:rsidP="00E64D73">
      <w:pPr>
        <w:pStyle w:val="ListParagraph"/>
        <w:numPr>
          <w:ilvl w:val="0"/>
          <w:numId w:val="2"/>
        </w:numPr>
        <w:spacing w:line="480" w:lineRule="auto"/>
        <w:jc w:val="both"/>
        <w:rPr>
          <w:rFonts w:ascii="Times New Roman" w:hAnsi="Times New Roman" w:cs="Times New Roman"/>
          <w:sz w:val="24"/>
          <w:szCs w:val="24"/>
        </w:rPr>
      </w:pPr>
      <w:r w:rsidRPr="00E64D73">
        <w:rPr>
          <w:rFonts w:ascii="Times New Roman" w:hAnsi="Times New Roman" w:cs="Times New Roman"/>
          <w:sz w:val="24"/>
          <w:szCs w:val="24"/>
        </w:rPr>
        <w:t>Zhang, M. et al., 2021. A systematic review of cross‐cultural communication effectiveness. International Journal of Intercultural Relations, 83, pp.213-224.</w:t>
      </w:r>
    </w:p>
    <w:sectPr w:rsidR="00E64D73" w:rsidRPr="00E64D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303B"/>
    <w:multiLevelType w:val="multilevel"/>
    <w:tmpl w:val="07E05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C70491"/>
    <w:multiLevelType w:val="hybridMultilevel"/>
    <w:tmpl w:val="BEDED7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78927383">
    <w:abstractNumId w:val="0"/>
  </w:num>
  <w:num w:numId="2" w16cid:durableId="1286543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608"/>
    <w:rsid w:val="001F7295"/>
    <w:rsid w:val="00225938"/>
    <w:rsid w:val="002C16D1"/>
    <w:rsid w:val="005D7206"/>
    <w:rsid w:val="009A54C4"/>
    <w:rsid w:val="009C6033"/>
    <w:rsid w:val="00A65462"/>
    <w:rsid w:val="00BF2C62"/>
    <w:rsid w:val="00CD603B"/>
    <w:rsid w:val="00D11608"/>
    <w:rsid w:val="00D558A2"/>
    <w:rsid w:val="00E64D73"/>
    <w:rsid w:val="00EA2C5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90FEA3"/>
  <w15:chartTrackingRefBased/>
  <w15:docId w15:val="{9683C476-81E3-4A29-A3EC-123B95B4E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0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60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0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603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64D73"/>
    <w:rPr>
      <w:color w:val="0563C1" w:themeColor="hyperlink"/>
      <w:u w:val="single"/>
    </w:rPr>
  </w:style>
  <w:style w:type="character" w:styleId="UnresolvedMention">
    <w:name w:val="Unresolved Mention"/>
    <w:basedOn w:val="DefaultParagraphFont"/>
    <w:uiPriority w:val="99"/>
    <w:semiHidden/>
    <w:unhideWhenUsed/>
    <w:rsid w:val="00E64D73"/>
    <w:rPr>
      <w:color w:val="605E5C"/>
      <w:shd w:val="clear" w:color="auto" w:fill="E1DFDD"/>
    </w:rPr>
  </w:style>
  <w:style w:type="paragraph" w:styleId="ListParagraph">
    <w:name w:val="List Paragraph"/>
    <w:basedOn w:val="Normal"/>
    <w:uiPriority w:val="34"/>
    <w:qFormat/>
    <w:rsid w:val="00E64D73"/>
    <w:pPr>
      <w:ind w:left="720"/>
      <w:contextualSpacing/>
    </w:pPr>
  </w:style>
  <w:style w:type="paragraph" w:styleId="TOCHeading">
    <w:name w:val="TOC Heading"/>
    <w:basedOn w:val="Heading1"/>
    <w:next w:val="Normal"/>
    <w:uiPriority w:val="39"/>
    <w:unhideWhenUsed/>
    <w:qFormat/>
    <w:rsid w:val="00CD603B"/>
    <w:pPr>
      <w:outlineLvl w:val="9"/>
    </w:pPr>
    <w:rPr>
      <w:lang w:val="en-US"/>
    </w:rPr>
  </w:style>
  <w:style w:type="paragraph" w:styleId="TOC1">
    <w:name w:val="toc 1"/>
    <w:basedOn w:val="Normal"/>
    <w:next w:val="Normal"/>
    <w:autoRedefine/>
    <w:uiPriority w:val="39"/>
    <w:unhideWhenUsed/>
    <w:rsid w:val="00CD603B"/>
    <w:pPr>
      <w:spacing w:after="100"/>
    </w:pPr>
  </w:style>
  <w:style w:type="paragraph" w:styleId="Title">
    <w:name w:val="Title"/>
    <w:basedOn w:val="Normal"/>
    <w:next w:val="Normal"/>
    <w:link w:val="TitleChar"/>
    <w:uiPriority w:val="10"/>
    <w:qFormat/>
    <w:rsid w:val="00CD60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603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07080">
      <w:bodyDiv w:val="1"/>
      <w:marLeft w:val="0"/>
      <w:marRight w:val="0"/>
      <w:marTop w:val="0"/>
      <w:marBottom w:val="0"/>
      <w:divBdr>
        <w:top w:val="none" w:sz="0" w:space="0" w:color="auto"/>
        <w:left w:val="none" w:sz="0" w:space="0" w:color="auto"/>
        <w:bottom w:val="none" w:sz="0" w:space="0" w:color="auto"/>
        <w:right w:val="none" w:sz="0" w:space="0" w:color="auto"/>
      </w:divBdr>
    </w:div>
    <w:div w:id="271982797">
      <w:bodyDiv w:val="1"/>
      <w:marLeft w:val="0"/>
      <w:marRight w:val="0"/>
      <w:marTop w:val="0"/>
      <w:marBottom w:val="0"/>
      <w:divBdr>
        <w:top w:val="none" w:sz="0" w:space="0" w:color="auto"/>
        <w:left w:val="none" w:sz="0" w:space="0" w:color="auto"/>
        <w:bottom w:val="none" w:sz="0" w:space="0" w:color="auto"/>
        <w:right w:val="none" w:sz="0" w:space="0" w:color="auto"/>
      </w:divBdr>
    </w:div>
    <w:div w:id="319770183">
      <w:bodyDiv w:val="1"/>
      <w:marLeft w:val="0"/>
      <w:marRight w:val="0"/>
      <w:marTop w:val="0"/>
      <w:marBottom w:val="0"/>
      <w:divBdr>
        <w:top w:val="none" w:sz="0" w:space="0" w:color="auto"/>
        <w:left w:val="none" w:sz="0" w:space="0" w:color="auto"/>
        <w:bottom w:val="none" w:sz="0" w:space="0" w:color="auto"/>
        <w:right w:val="none" w:sz="0" w:space="0" w:color="auto"/>
      </w:divBdr>
    </w:div>
    <w:div w:id="461458587">
      <w:bodyDiv w:val="1"/>
      <w:marLeft w:val="0"/>
      <w:marRight w:val="0"/>
      <w:marTop w:val="0"/>
      <w:marBottom w:val="0"/>
      <w:divBdr>
        <w:top w:val="none" w:sz="0" w:space="0" w:color="auto"/>
        <w:left w:val="none" w:sz="0" w:space="0" w:color="auto"/>
        <w:bottom w:val="none" w:sz="0" w:space="0" w:color="auto"/>
        <w:right w:val="none" w:sz="0" w:space="0" w:color="auto"/>
      </w:divBdr>
    </w:div>
    <w:div w:id="546063103">
      <w:bodyDiv w:val="1"/>
      <w:marLeft w:val="0"/>
      <w:marRight w:val="0"/>
      <w:marTop w:val="0"/>
      <w:marBottom w:val="0"/>
      <w:divBdr>
        <w:top w:val="none" w:sz="0" w:space="0" w:color="auto"/>
        <w:left w:val="none" w:sz="0" w:space="0" w:color="auto"/>
        <w:bottom w:val="none" w:sz="0" w:space="0" w:color="auto"/>
        <w:right w:val="none" w:sz="0" w:space="0" w:color="auto"/>
      </w:divBdr>
    </w:div>
    <w:div w:id="577253385">
      <w:bodyDiv w:val="1"/>
      <w:marLeft w:val="0"/>
      <w:marRight w:val="0"/>
      <w:marTop w:val="0"/>
      <w:marBottom w:val="0"/>
      <w:divBdr>
        <w:top w:val="none" w:sz="0" w:space="0" w:color="auto"/>
        <w:left w:val="none" w:sz="0" w:space="0" w:color="auto"/>
        <w:bottom w:val="none" w:sz="0" w:space="0" w:color="auto"/>
        <w:right w:val="none" w:sz="0" w:space="0" w:color="auto"/>
      </w:divBdr>
    </w:div>
    <w:div w:id="634915467">
      <w:bodyDiv w:val="1"/>
      <w:marLeft w:val="0"/>
      <w:marRight w:val="0"/>
      <w:marTop w:val="0"/>
      <w:marBottom w:val="0"/>
      <w:divBdr>
        <w:top w:val="none" w:sz="0" w:space="0" w:color="auto"/>
        <w:left w:val="none" w:sz="0" w:space="0" w:color="auto"/>
        <w:bottom w:val="none" w:sz="0" w:space="0" w:color="auto"/>
        <w:right w:val="none" w:sz="0" w:space="0" w:color="auto"/>
      </w:divBdr>
    </w:div>
    <w:div w:id="677537236">
      <w:bodyDiv w:val="1"/>
      <w:marLeft w:val="0"/>
      <w:marRight w:val="0"/>
      <w:marTop w:val="0"/>
      <w:marBottom w:val="0"/>
      <w:divBdr>
        <w:top w:val="none" w:sz="0" w:space="0" w:color="auto"/>
        <w:left w:val="none" w:sz="0" w:space="0" w:color="auto"/>
        <w:bottom w:val="none" w:sz="0" w:space="0" w:color="auto"/>
        <w:right w:val="none" w:sz="0" w:space="0" w:color="auto"/>
      </w:divBdr>
    </w:div>
    <w:div w:id="760836245">
      <w:bodyDiv w:val="1"/>
      <w:marLeft w:val="0"/>
      <w:marRight w:val="0"/>
      <w:marTop w:val="0"/>
      <w:marBottom w:val="0"/>
      <w:divBdr>
        <w:top w:val="none" w:sz="0" w:space="0" w:color="auto"/>
        <w:left w:val="none" w:sz="0" w:space="0" w:color="auto"/>
        <w:bottom w:val="none" w:sz="0" w:space="0" w:color="auto"/>
        <w:right w:val="none" w:sz="0" w:space="0" w:color="auto"/>
      </w:divBdr>
    </w:div>
    <w:div w:id="852573451">
      <w:bodyDiv w:val="1"/>
      <w:marLeft w:val="0"/>
      <w:marRight w:val="0"/>
      <w:marTop w:val="0"/>
      <w:marBottom w:val="0"/>
      <w:divBdr>
        <w:top w:val="none" w:sz="0" w:space="0" w:color="auto"/>
        <w:left w:val="none" w:sz="0" w:space="0" w:color="auto"/>
        <w:bottom w:val="none" w:sz="0" w:space="0" w:color="auto"/>
        <w:right w:val="none" w:sz="0" w:space="0" w:color="auto"/>
      </w:divBdr>
    </w:div>
    <w:div w:id="874847092">
      <w:bodyDiv w:val="1"/>
      <w:marLeft w:val="0"/>
      <w:marRight w:val="0"/>
      <w:marTop w:val="0"/>
      <w:marBottom w:val="0"/>
      <w:divBdr>
        <w:top w:val="none" w:sz="0" w:space="0" w:color="auto"/>
        <w:left w:val="none" w:sz="0" w:space="0" w:color="auto"/>
        <w:bottom w:val="none" w:sz="0" w:space="0" w:color="auto"/>
        <w:right w:val="none" w:sz="0" w:space="0" w:color="auto"/>
      </w:divBdr>
    </w:div>
    <w:div w:id="1185752414">
      <w:bodyDiv w:val="1"/>
      <w:marLeft w:val="0"/>
      <w:marRight w:val="0"/>
      <w:marTop w:val="0"/>
      <w:marBottom w:val="0"/>
      <w:divBdr>
        <w:top w:val="none" w:sz="0" w:space="0" w:color="auto"/>
        <w:left w:val="none" w:sz="0" w:space="0" w:color="auto"/>
        <w:bottom w:val="none" w:sz="0" w:space="0" w:color="auto"/>
        <w:right w:val="none" w:sz="0" w:space="0" w:color="auto"/>
      </w:divBdr>
    </w:div>
    <w:div w:id="1204833199">
      <w:bodyDiv w:val="1"/>
      <w:marLeft w:val="0"/>
      <w:marRight w:val="0"/>
      <w:marTop w:val="0"/>
      <w:marBottom w:val="0"/>
      <w:divBdr>
        <w:top w:val="none" w:sz="0" w:space="0" w:color="auto"/>
        <w:left w:val="none" w:sz="0" w:space="0" w:color="auto"/>
        <w:bottom w:val="none" w:sz="0" w:space="0" w:color="auto"/>
        <w:right w:val="none" w:sz="0" w:space="0" w:color="auto"/>
      </w:divBdr>
    </w:div>
    <w:div w:id="1358893078">
      <w:bodyDiv w:val="1"/>
      <w:marLeft w:val="0"/>
      <w:marRight w:val="0"/>
      <w:marTop w:val="0"/>
      <w:marBottom w:val="0"/>
      <w:divBdr>
        <w:top w:val="none" w:sz="0" w:space="0" w:color="auto"/>
        <w:left w:val="none" w:sz="0" w:space="0" w:color="auto"/>
        <w:bottom w:val="none" w:sz="0" w:space="0" w:color="auto"/>
        <w:right w:val="none" w:sz="0" w:space="0" w:color="auto"/>
      </w:divBdr>
    </w:div>
    <w:div w:id="1438981911">
      <w:bodyDiv w:val="1"/>
      <w:marLeft w:val="0"/>
      <w:marRight w:val="0"/>
      <w:marTop w:val="0"/>
      <w:marBottom w:val="0"/>
      <w:divBdr>
        <w:top w:val="none" w:sz="0" w:space="0" w:color="auto"/>
        <w:left w:val="none" w:sz="0" w:space="0" w:color="auto"/>
        <w:bottom w:val="none" w:sz="0" w:space="0" w:color="auto"/>
        <w:right w:val="none" w:sz="0" w:space="0" w:color="auto"/>
      </w:divBdr>
    </w:div>
    <w:div w:id="1543395092">
      <w:bodyDiv w:val="1"/>
      <w:marLeft w:val="0"/>
      <w:marRight w:val="0"/>
      <w:marTop w:val="0"/>
      <w:marBottom w:val="0"/>
      <w:divBdr>
        <w:top w:val="none" w:sz="0" w:space="0" w:color="auto"/>
        <w:left w:val="none" w:sz="0" w:space="0" w:color="auto"/>
        <w:bottom w:val="none" w:sz="0" w:space="0" w:color="auto"/>
        <w:right w:val="none" w:sz="0" w:space="0" w:color="auto"/>
      </w:divBdr>
    </w:div>
    <w:div w:id="1835952413">
      <w:bodyDiv w:val="1"/>
      <w:marLeft w:val="0"/>
      <w:marRight w:val="0"/>
      <w:marTop w:val="0"/>
      <w:marBottom w:val="0"/>
      <w:divBdr>
        <w:top w:val="none" w:sz="0" w:space="0" w:color="auto"/>
        <w:left w:val="none" w:sz="0" w:space="0" w:color="auto"/>
        <w:bottom w:val="none" w:sz="0" w:space="0" w:color="auto"/>
        <w:right w:val="none" w:sz="0" w:space="0" w:color="auto"/>
      </w:divBdr>
    </w:div>
    <w:div w:id="1889687172">
      <w:bodyDiv w:val="1"/>
      <w:marLeft w:val="0"/>
      <w:marRight w:val="0"/>
      <w:marTop w:val="0"/>
      <w:marBottom w:val="0"/>
      <w:divBdr>
        <w:top w:val="none" w:sz="0" w:space="0" w:color="auto"/>
        <w:left w:val="none" w:sz="0" w:space="0" w:color="auto"/>
        <w:bottom w:val="none" w:sz="0" w:space="0" w:color="auto"/>
        <w:right w:val="none" w:sz="0" w:space="0" w:color="auto"/>
      </w:divBdr>
    </w:div>
    <w:div w:id="1962570824">
      <w:bodyDiv w:val="1"/>
      <w:marLeft w:val="0"/>
      <w:marRight w:val="0"/>
      <w:marTop w:val="0"/>
      <w:marBottom w:val="0"/>
      <w:divBdr>
        <w:top w:val="none" w:sz="0" w:space="0" w:color="auto"/>
        <w:left w:val="none" w:sz="0" w:space="0" w:color="auto"/>
        <w:bottom w:val="none" w:sz="0" w:space="0" w:color="auto"/>
        <w:right w:val="none" w:sz="0" w:space="0" w:color="auto"/>
      </w:divBdr>
    </w:div>
    <w:div w:id="1969630129">
      <w:bodyDiv w:val="1"/>
      <w:marLeft w:val="0"/>
      <w:marRight w:val="0"/>
      <w:marTop w:val="0"/>
      <w:marBottom w:val="0"/>
      <w:divBdr>
        <w:top w:val="none" w:sz="0" w:space="0" w:color="auto"/>
        <w:left w:val="none" w:sz="0" w:space="0" w:color="auto"/>
        <w:bottom w:val="none" w:sz="0" w:space="0" w:color="auto"/>
        <w:right w:val="none" w:sz="0" w:space="0" w:color="auto"/>
      </w:divBdr>
    </w:div>
    <w:div w:id="1978025900">
      <w:bodyDiv w:val="1"/>
      <w:marLeft w:val="0"/>
      <w:marRight w:val="0"/>
      <w:marTop w:val="0"/>
      <w:marBottom w:val="0"/>
      <w:divBdr>
        <w:top w:val="none" w:sz="0" w:space="0" w:color="auto"/>
        <w:left w:val="none" w:sz="0" w:space="0" w:color="auto"/>
        <w:bottom w:val="none" w:sz="0" w:space="0" w:color="auto"/>
        <w:right w:val="none" w:sz="0" w:space="0" w:color="auto"/>
      </w:divBdr>
    </w:div>
    <w:div w:id="1985429885">
      <w:bodyDiv w:val="1"/>
      <w:marLeft w:val="0"/>
      <w:marRight w:val="0"/>
      <w:marTop w:val="0"/>
      <w:marBottom w:val="0"/>
      <w:divBdr>
        <w:top w:val="none" w:sz="0" w:space="0" w:color="auto"/>
        <w:left w:val="none" w:sz="0" w:space="0" w:color="auto"/>
        <w:bottom w:val="none" w:sz="0" w:space="0" w:color="auto"/>
        <w:right w:val="none" w:sz="0" w:space="0" w:color="auto"/>
      </w:divBdr>
    </w:div>
    <w:div w:id="2105296598">
      <w:bodyDiv w:val="1"/>
      <w:marLeft w:val="0"/>
      <w:marRight w:val="0"/>
      <w:marTop w:val="0"/>
      <w:marBottom w:val="0"/>
      <w:divBdr>
        <w:top w:val="none" w:sz="0" w:space="0" w:color="auto"/>
        <w:left w:val="none" w:sz="0" w:space="0" w:color="auto"/>
        <w:bottom w:val="none" w:sz="0" w:space="0" w:color="auto"/>
        <w:right w:val="none" w:sz="0" w:space="0" w:color="auto"/>
      </w:divBdr>
    </w:div>
    <w:div w:id="214330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aniesmarketcap.com/diageo/net-income/" TargetMode="External"/><Relationship Id="rId13" Type="http://schemas.openxmlformats.org/officeDocument/2006/relationships/hyperlink" Target="https://www.mbaskool.com/brandguide/alcoholic-beverages/1769-diageo.html" TargetMode="External"/><Relationship Id="rId18" Type="http://schemas.openxmlformats.org/officeDocument/2006/relationships/hyperlink" Target="https://iresearch.worldbank.org/PovcalNet/povOnDemand.aspx" TargetMode="External"/><Relationship Id="rId3" Type="http://schemas.openxmlformats.org/officeDocument/2006/relationships/styles" Target="styles.xml"/><Relationship Id="rId21" Type="http://schemas.openxmlformats.org/officeDocument/2006/relationships/hyperlink" Target="https://apps.fas.usda.gov/newgainapi/api/Report/DownloadReportByFileName?fileName=Wine%20Annual_Rome_EU-27_12-15-2021.pdf" TargetMode="External"/><Relationship Id="rId7" Type="http://schemas.openxmlformats.org/officeDocument/2006/relationships/hyperlink" Target="https://www.businesswire.com/news/home/20220309005496/en/" TargetMode="External"/><Relationship Id="rId12" Type="http://schemas.openxmlformats.org/officeDocument/2006/relationships/hyperlink" Target="https://www.hofstede-insights.com/product/compare-countries/" TargetMode="External"/><Relationship Id="rId17" Type="http://schemas.openxmlformats.org/officeDocument/2006/relationships/hyperlink" Target="https://www.oecdbetterlifeindex.org/countries/spain/%3E" TargetMode="External"/><Relationship Id="rId2" Type="http://schemas.openxmlformats.org/officeDocument/2006/relationships/numbering" Target="numbering.xml"/><Relationship Id="rId16" Type="http://schemas.openxmlformats.org/officeDocument/2006/relationships/hyperlink" Target="https://www.oecd.org/economy/spain-economic-forecast-summary.htm" TargetMode="External"/><Relationship Id="rId20" Type="http://schemas.openxmlformats.org/officeDocument/2006/relationships/hyperlink" Target="https://worldpopulationreview.com/countries/france-population" TargetMode="External"/><Relationship Id="rId1" Type="http://schemas.openxmlformats.org/officeDocument/2006/relationships/customXml" Target="../customXml/item1.xml"/><Relationship Id="rId6" Type="http://schemas.openxmlformats.org/officeDocument/2006/relationships/hyperlink" Target="https://www.bbc.co.uk/news/world-europe-46724462" TargetMode="External"/><Relationship Id="rId11" Type="http://schemas.openxmlformats.org/officeDocument/2006/relationships/hyperlink" Target="https://www.migrantes.it/wp-content/uploads/sites/50/2021/10/Sintesi-Eng-RIM2021-rev.4.10.21-def.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ro.deakin.edu.au/eserv/DU:30059021/murray-wideningthescope-2013.pdf" TargetMode="External"/><Relationship Id="rId23" Type="http://schemas.openxmlformats.org/officeDocument/2006/relationships/fontTable" Target="fontTable.xml"/><Relationship Id="rId10" Type="http://schemas.openxmlformats.org/officeDocument/2006/relationships/hyperlink" Target="https://www.expatica.com/es/about/basics/" TargetMode="External"/><Relationship Id="rId19" Type="http://schemas.openxmlformats.org/officeDocument/2006/relationships/hyperlink" Target="https://culturosity.com/articles/what-is-cultural-awareness/" TargetMode="External"/><Relationship Id="rId4" Type="http://schemas.openxmlformats.org/officeDocument/2006/relationships/settings" Target="settings.xml"/><Relationship Id="rId9" Type="http://schemas.openxmlformats.org/officeDocument/2006/relationships/hyperlink" Target="https://www.diageo.com/en/investors/annual-report/" TargetMode="External"/><Relationship Id="rId14" Type="http://schemas.openxmlformats.org/officeDocument/2006/relationships/hyperlink" Target="https://www.migrationpolicy.org/article/spain-immigration-emigration/" TargetMode="External"/><Relationship Id="rId22" Type="http://schemas.openxmlformats.org/officeDocument/2006/relationships/hyperlink" Target="https://www.yankelovich.com/trends/whats-driving-the-spirits-comeback/"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C4DD8-8CF3-487A-A6FA-6F6C1C020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4693</Words>
  <Characters>27225</Characters>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2023-12-22T22:56:00Z</dcterms:created>
  <dcterms:modified xsi:type="dcterms:W3CDTF">2023-12-22T22:56:00Z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50042e3562e759ea6be88d4b3619ed6606bbb7ccb6ae9b05f5c43fc9c944281b</vt:lpwstr>
  </property>
</Properties>
</file>