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57F5C22B" wp14:paraId="5E5787A5" wp14:textId="6AB70DF8">
      <w:pPr>
        <w:rPr>
          <w:b w:val="1"/>
          <w:bCs w:val="1"/>
          <w:sz w:val="24"/>
          <w:szCs w:val="24"/>
        </w:rPr>
      </w:pPr>
      <w:r w:rsidR="7F64C984">
        <w:rPr/>
        <w:t xml:space="preserve">                            </w:t>
      </w:r>
      <w:r w:rsidRPr="57F5C22B" w:rsidR="7F64C984">
        <w:rPr>
          <w:sz w:val="24"/>
          <w:szCs w:val="24"/>
        </w:rPr>
        <w:t xml:space="preserve">    </w:t>
      </w:r>
      <w:r w:rsidRPr="57F5C22B" w:rsidR="7F64C984">
        <w:rPr>
          <w:sz w:val="24"/>
          <w:szCs w:val="24"/>
        </w:rPr>
        <w:t xml:space="preserve">            </w:t>
      </w:r>
      <w:r w:rsidRPr="57F5C22B" w:rsidR="7F64C984">
        <w:rPr>
          <w:b w:val="1"/>
          <w:bCs w:val="1"/>
          <w:sz w:val="24"/>
          <w:szCs w:val="24"/>
        </w:rPr>
        <w:t xml:space="preserve"> Tabassum Ali </w:t>
      </w:r>
    </w:p>
    <w:p w:rsidR="7F64C984" w:rsidP="57F5C22B" w:rsidRDefault="7F64C984" w14:paraId="5CD65170" w14:textId="3F1B2FA3">
      <w:pPr>
        <w:rPr>
          <w:b w:val="1"/>
          <w:bCs w:val="1"/>
          <w:sz w:val="24"/>
          <w:szCs w:val="24"/>
        </w:rPr>
      </w:pPr>
      <w:r w:rsidRPr="57F5C22B" w:rsidR="7F64C984">
        <w:rPr>
          <w:b w:val="1"/>
          <w:bCs w:val="1"/>
          <w:sz w:val="24"/>
          <w:szCs w:val="24"/>
        </w:rPr>
        <w:t xml:space="preserve">                                               2433454 </w:t>
      </w:r>
    </w:p>
    <w:p w:rsidR="7F64C984" w:rsidP="57F5C22B" w:rsidRDefault="7F64C984" w14:paraId="13F15E71" w14:textId="2BEE98BA">
      <w:pPr>
        <w:pStyle w:val="Normal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57F5C22B" w:rsidR="7F64C984">
        <w:rPr>
          <w:b w:val="1"/>
          <w:bCs w:val="1"/>
          <w:sz w:val="24"/>
          <w:szCs w:val="24"/>
        </w:rPr>
        <w:t xml:space="preserve">                                  </w:t>
      </w:r>
      <w:r w:rsidRPr="57F5C22B" w:rsidR="7F64C984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BSc Health and Social Care   </w:t>
      </w:r>
    </w:p>
    <w:p w:rsidR="7F64C984" w:rsidP="57F5C22B" w:rsidRDefault="7F64C984" w14:paraId="04B8AA53" w14:textId="06025EF2">
      <w:pPr>
        <w:pStyle w:val="Normal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57F5C22B" w:rsidR="7F64C984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                     Protecting and Supporting Families in Health and Care  </w:t>
      </w:r>
    </w:p>
    <w:p w:rsidR="7F64C984" w:rsidP="57F5C22B" w:rsidRDefault="7F64C984" w14:paraId="21E06191" w14:textId="6B0FD18B">
      <w:pPr>
        <w:pStyle w:val="Normal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57F5C22B" w:rsidR="7F64C984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                                                BMHP5021  </w:t>
      </w:r>
    </w:p>
    <w:p w:rsidR="7F64C984" w:rsidP="57F5C22B" w:rsidRDefault="7F64C984" w14:paraId="0C2FB189" w14:textId="4B639726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7F5C22B" w:rsidR="7F64C984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             </w:t>
      </w:r>
      <w:r w:rsidRPr="57F5C22B" w:rsidR="7F64C984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Component</w:t>
      </w:r>
      <w:r w:rsidRPr="57F5C22B" w:rsidR="7F64C984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 1: Prese</w:t>
      </w:r>
      <w:r w:rsidRPr="57F5C22B" w:rsidR="7F64C984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ntation (Round-The-Table Group Discussion) </w:t>
      </w:r>
    </w:p>
    <w:p w:rsidR="7F64C984" w:rsidRDefault="7F64C984" w14:paraId="177FDF22" w14:textId="796096EB">
      <w:r w:rsidR="7F64C984">
        <w:rPr/>
        <w:t xml:space="preserve">       </w:t>
      </w:r>
    </w:p>
    <w:p w:rsidR="57F5C22B" w:rsidRDefault="57F5C22B" w14:paraId="0A88464E" w14:textId="33BD7EFB"/>
    <w:p w:rsidR="57F5C22B" w:rsidRDefault="57F5C22B" w14:paraId="284A4127" w14:textId="3EE3485F"/>
    <w:p w:rsidR="57F5C22B" w:rsidRDefault="57F5C22B" w14:paraId="5C97E5E5" w14:textId="13516F96"/>
    <w:p w:rsidR="57F5C22B" w:rsidRDefault="57F5C22B" w14:paraId="72698E6E" w14:textId="0B563DC6"/>
    <w:p w:rsidR="57F5C22B" w:rsidRDefault="57F5C22B" w14:paraId="4D44DF66" w14:textId="67EF5044"/>
    <w:p w:rsidR="57F5C22B" w:rsidRDefault="57F5C22B" w14:paraId="2241FFE6" w14:textId="073B3906"/>
    <w:p w:rsidR="57F5C22B" w:rsidRDefault="57F5C22B" w14:paraId="52CBF332" w14:textId="4AAB503F"/>
    <w:p w:rsidR="57F5C22B" w:rsidRDefault="57F5C22B" w14:paraId="411651BF" w14:textId="4664A5D7"/>
    <w:p w:rsidR="57F5C22B" w:rsidRDefault="57F5C22B" w14:paraId="0D4EA8B5" w14:textId="4FA21D2B"/>
    <w:p w:rsidR="57F5C22B" w:rsidRDefault="57F5C22B" w14:paraId="470B6EBE" w14:textId="5B12883C"/>
    <w:p w:rsidR="57F5C22B" w:rsidRDefault="57F5C22B" w14:paraId="61E6CD4D" w14:textId="1A4E3345"/>
    <w:p w:rsidR="57F5C22B" w:rsidRDefault="57F5C22B" w14:paraId="0A3AC20C" w14:textId="2C554C89"/>
    <w:p w:rsidR="57F5C22B" w:rsidRDefault="57F5C22B" w14:paraId="61874353" w14:textId="7BAD5638"/>
    <w:p w:rsidR="57F5C22B" w:rsidRDefault="57F5C22B" w14:paraId="04F76AB2" w14:textId="6DEC26AF"/>
    <w:p w:rsidR="57F5C22B" w:rsidRDefault="57F5C22B" w14:paraId="43CFB0C5" w14:textId="7BB46555"/>
    <w:p w:rsidR="57F5C22B" w:rsidRDefault="57F5C22B" w14:paraId="62433B08" w14:textId="38A83A2C"/>
    <w:p w:rsidR="57F5C22B" w:rsidRDefault="57F5C22B" w14:paraId="0553D4F5" w14:textId="37288E99"/>
    <w:p w:rsidR="57F5C22B" w:rsidRDefault="57F5C22B" w14:paraId="3BB88DA5" w14:textId="4E766CCC"/>
    <w:p w:rsidR="57F5C22B" w:rsidRDefault="57F5C22B" w14:paraId="7ABB4CAD" w14:textId="740980B4"/>
    <w:p w:rsidR="57F5C22B" w:rsidRDefault="57F5C22B" w14:paraId="4450D5D8" w14:textId="3E401DA4"/>
    <w:p w:rsidR="57F5C22B" w:rsidP="57F5C22B" w:rsidRDefault="57F5C22B" w14:paraId="07094755" w14:textId="1E4457A7">
      <w:pPr>
        <w:pStyle w:val="Normal"/>
      </w:pPr>
    </w:p>
    <w:p w:rsidR="57F5C22B" w:rsidP="57F5C22B" w:rsidRDefault="57F5C22B" w14:paraId="082E6821" w14:textId="3D681399">
      <w:pPr>
        <w:pStyle w:val="Normal"/>
      </w:pPr>
    </w:p>
    <w:p w:rsidR="7F64C984" w:rsidP="57F5C22B" w:rsidRDefault="7F64C984" w14:paraId="47C4E963" w14:textId="2F431F73">
      <w:pPr>
        <w:pStyle w:val="Normal"/>
      </w:pPr>
      <w:r w:rsidRPr="57F5C22B" w:rsidR="7F64C984">
        <w:rPr>
          <w:b w:val="1"/>
          <w:bCs w:val="1"/>
        </w:rPr>
        <w:t xml:space="preserve">Reference List </w:t>
      </w:r>
    </w:p>
    <w:p w:rsidR="57F5C22B" w:rsidP="57F5C22B" w:rsidRDefault="57F5C22B" w14:paraId="3725FD8C" w14:textId="62B5E92B">
      <w:pPr>
        <w:pStyle w:val="Normal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</w:p>
    <w:p w:rsidR="4DFFA449" w:rsidP="57F5C22B" w:rsidRDefault="4DFFA449" w14:paraId="14B949C6" w14:textId="45838EE6">
      <w:pPr>
        <w:pStyle w:val="Normal"/>
        <w:rPr>
          <w:b w:val="0"/>
          <w:bCs w:val="0"/>
          <w:noProof w:val="0"/>
          <w:sz w:val="22"/>
          <w:szCs w:val="22"/>
          <w:lang w:val="en-GB"/>
        </w:rPr>
      </w:pPr>
      <w:r w:rsidRPr="57F5C22B" w:rsidR="4DFFA44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British Association of Social Workers (BASW) (2026) </w:t>
      </w:r>
      <w:r w:rsidRPr="57F5C22B" w:rsidR="4DFFA449">
        <w:rPr>
          <w:rFonts w:ascii="Arial" w:hAnsi="Arial" w:eastAsia="Arial" w:cs="Arial"/>
          <w:b w:val="0"/>
          <w:bCs w:val="0"/>
          <w:i w:val="1"/>
          <w:iCs w:val="1"/>
          <w:noProof w:val="0"/>
          <w:sz w:val="22"/>
          <w:szCs w:val="22"/>
          <w:lang w:val="en-GB"/>
        </w:rPr>
        <w:t>Professional Capabilities Framework (PCF).</w:t>
      </w:r>
      <w:r w:rsidRPr="57F5C22B" w:rsidR="4DFFA44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Birmingham: British Association of Social Workers. Available at: BASW (Accessed: 17 October 2026). </w:t>
      </w:r>
    </w:p>
    <w:p w:rsidR="4DFFA449" w:rsidP="57F5C22B" w:rsidRDefault="4DFFA449" w14:paraId="63E94912" w14:textId="5CF1AA0A">
      <w:pPr>
        <w:spacing w:before="240" w:beforeAutospacing="off" w:after="240" w:afterAutospacing="off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57F5C22B" w:rsidR="4DFFA44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Children Act 1989</w:t>
      </w:r>
      <w:r w:rsidRPr="57F5C22B" w:rsidR="4DFFA44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, c.41. London: HMSO.</w:t>
      </w:r>
    </w:p>
    <w:p w:rsidR="4DFFA449" w:rsidP="57F5C22B" w:rsidRDefault="4DFFA449" w14:paraId="62285309" w14:textId="347109AB">
      <w:pPr>
        <w:spacing w:before="240" w:beforeAutospacing="off" w:after="240" w:afterAutospacing="off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57F5C22B" w:rsidR="4DFFA44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Children Act 2004</w:t>
      </w:r>
      <w:r w:rsidRPr="57F5C22B" w:rsidR="4DFFA44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, c.31. London: The Stationery Office.</w:t>
      </w:r>
    </w:p>
    <w:p w:rsidR="4DFFA449" w:rsidP="57F5C22B" w:rsidRDefault="4DFFA449" w14:paraId="71A05D25" w14:textId="71AF59D5">
      <w:pPr>
        <w:spacing w:before="240" w:beforeAutospacing="off" w:after="240" w:afterAutospacing="off"/>
        <w:rPr>
          <w:b w:val="0"/>
          <w:bCs w:val="0"/>
          <w:noProof w:val="0"/>
          <w:sz w:val="22"/>
          <w:szCs w:val="22"/>
          <w:lang w:val="en-GB"/>
        </w:rPr>
      </w:pPr>
      <w:r w:rsidRPr="57F5C22B" w:rsidR="4DFFA44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Department for Education (2026)</w:t>
      </w:r>
      <w:r w:rsidRPr="57F5C22B" w:rsidR="4DFFA44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7F5C22B" w:rsidR="4DFFA449">
        <w:rPr>
          <w:rFonts w:ascii="Arial" w:hAnsi="Arial" w:eastAsia="Arial" w:cs="Arial"/>
          <w:b w:val="0"/>
          <w:bCs w:val="0"/>
          <w:i w:val="1"/>
          <w:iCs w:val="1"/>
          <w:noProof w:val="0"/>
          <w:sz w:val="22"/>
          <w:szCs w:val="22"/>
          <w:lang w:val="en-GB"/>
        </w:rPr>
        <w:t>Working together to safeguard children 2026: statutory guidance.</w:t>
      </w:r>
      <w:r w:rsidRPr="57F5C22B" w:rsidR="4DFFA44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London: Department for Education. Available at: GOV.UK (Accessed: 17 October 2026). </w:t>
      </w:r>
    </w:p>
    <w:p w:rsidR="4DFFA449" w:rsidP="57F5C22B" w:rsidRDefault="4DFFA449" w14:paraId="3194FCA6" w14:textId="26F5FB04">
      <w:pPr>
        <w:spacing w:before="240" w:beforeAutospacing="off" w:after="240" w:afterAutospacing="off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57F5C22B" w:rsidR="4DFFA44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Derby and Derbyshire Safeguarding Children Partnership (2024)</w:t>
      </w:r>
      <w:r w:rsidRPr="57F5C22B" w:rsidR="4DFFA44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7F5C22B" w:rsidR="4DFFA449">
        <w:rPr>
          <w:rFonts w:ascii="Arial" w:hAnsi="Arial" w:eastAsia="Arial" w:cs="Arial"/>
          <w:b w:val="0"/>
          <w:bCs w:val="0"/>
          <w:i w:val="1"/>
          <w:iCs w:val="1"/>
          <w:noProof w:val="0"/>
          <w:sz w:val="22"/>
          <w:szCs w:val="22"/>
          <w:lang w:val="en-GB"/>
        </w:rPr>
        <w:t>Theo: Local Child Safeguarding Practice Review</w:t>
      </w:r>
      <w:r w:rsidRPr="57F5C22B" w:rsidR="4DFFA44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. February 2024. Available at: Derby and Derbyshire Safeguarding Children Partnership (Accessed: 17 October 2026).</w:t>
      </w:r>
    </w:p>
    <w:p w:rsidR="4DFFA449" w:rsidP="57F5C22B" w:rsidRDefault="4DFFA449" w14:paraId="55AB12C3" w14:textId="0EA86516">
      <w:pPr>
        <w:spacing w:before="240" w:beforeAutospacing="off" w:after="240" w:afterAutospacing="off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57F5C22B" w:rsidR="4DFFA44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Domestic Abuse Act 2021</w:t>
      </w:r>
      <w:r w:rsidRPr="57F5C22B" w:rsidR="4DFFA44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, c.17. London: The Stationery Office.</w:t>
      </w:r>
    </w:p>
    <w:p w:rsidR="4DFFA449" w:rsidP="57F5C22B" w:rsidRDefault="4DFFA449" w14:paraId="551DB171" w14:textId="69D5F267">
      <w:pPr>
        <w:spacing w:before="240" w:beforeAutospacing="off" w:after="240" w:afterAutospacing="off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57F5C22B" w:rsidR="4DFFA44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Felitti, V.J., Anda, R.F., Nordenberg, D., Williamson, D.F., Spitz, A.M., Edwards, V., Koss, M.P. and Marks, J.S. (1998)</w:t>
      </w:r>
      <w:r w:rsidRPr="57F5C22B" w:rsidR="4DFFA44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‘Relationship of childhood abuse and household dysfunction to many of the leading causes of death in adults: The Adverse Childhood Experiences (ACE) Study’, </w:t>
      </w:r>
      <w:r w:rsidRPr="57F5C22B" w:rsidR="4DFFA449">
        <w:rPr>
          <w:rFonts w:ascii="Arial" w:hAnsi="Arial" w:eastAsia="Arial" w:cs="Arial"/>
          <w:b w:val="0"/>
          <w:bCs w:val="0"/>
          <w:i w:val="1"/>
          <w:iCs w:val="1"/>
          <w:noProof w:val="0"/>
          <w:sz w:val="22"/>
          <w:szCs w:val="22"/>
          <w:lang w:val="en-GB"/>
        </w:rPr>
        <w:t>American Journal of Preventive Medicine</w:t>
      </w:r>
      <w:r w:rsidRPr="57F5C22B" w:rsidR="4DFFA44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, 14(4), pp. 245–258.</w:t>
      </w:r>
    </w:p>
    <w:p w:rsidR="4DFFA449" w:rsidP="57F5C22B" w:rsidRDefault="4DFFA449" w14:paraId="349A1E25" w14:textId="019F4262">
      <w:pPr>
        <w:spacing w:before="240" w:beforeAutospacing="off" w:after="240" w:afterAutospacing="off"/>
        <w:rPr>
          <w:b w:val="0"/>
          <w:bCs w:val="0"/>
          <w:noProof w:val="0"/>
          <w:sz w:val="22"/>
          <w:szCs w:val="22"/>
          <w:lang w:val="en-GB"/>
        </w:rPr>
      </w:pPr>
      <w:r w:rsidRPr="57F5C22B" w:rsidR="4DFFA44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HM Government (2026)</w:t>
      </w:r>
      <w:r w:rsidRPr="57F5C22B" w:rsidR="4DFFA44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7F5C22B" w:rsidR="4DFFA449">
        <w:rPr>
          <w:rFonts w:ascii="Arial" w:hAnsi="Arial" w:eastAsia="Arial" w:cs="Arial"/>
          <w:b w:val="0"/>
          <w:bCs w:val="0"/>
          <w:i w:val="1"/>
          <w:iCs w:val="1"/>
          <w:noProof w:val="0"/>
          <w:sz w:val="22"/>
          <w:szCs w:val="22"/>
          <w:lang w:val="en-GB"/>
        </w:rPr>
        <w:t>Safeguarding children affected by their parent or carer's alcohol or drug use.</w:t>
      </w:r>
      <w:r w:rsidRPr="57F5C22B" w:rsidR="4DFFA44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Available at: GOV.UK (Accessed: 17 October 2026). </w:t>
      </w:r>
    </w:p>
    <w:p w:rsidR="4DFFA449" w:rsidP="57F5C22B" w:rsidRDefault="4DFFA449" w14:paraId="2DAEF393" w14:textId="755281D0">
      <w:pPr>
        <w:spacing w:before="240" w:beforeAutospacing="off" w:after="240" w:afterAutospacing="off"/>
        <w:rPr>
          <w:b w:val="0"/>
          <w:bCs w:val="0"/>
          <w:noProof w:val="0"/>
          <w:sz w:val="22"/>
          <w:szCs w:val="22"/>
          <w:lang w:val="en-GB"/>
        </w:rPr>
      </w:pPr>
      <w:r w:rsidRPr="57F5C22B" w:rsidR="4DFFA44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National Institute for Health and Care Excellence (NICE) (2017)</w:t>
      </w:r>
      <w:r w:rsidRPr="57F5C22B" w:rsidR="4DFFA44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7F5C22B" w:rsidR="4DFFA449">
        <w:rPr>
          <w:rFonts w:ascii="Arial" w:hAnsi="Arial" w:eastAsia="Arial" w:cs="Arial"/>
          <w:b w:val="0"/>
          <w:bCs w:val="0"/>
          <w:i w:val="1"/>
          <w:iCs w:val="1"/>
          <w:noProof w:val="0"/>
          <w:sz w:val="22"/>
          <w:szCs w:val="22"/>
          <w:lang w:val="en-GB"/>
        </w:rPr>
        <w:t>Child abuse and neglect</w:t>
      </w:r>
      <w:r w:rsidRPr="57F5C22B" w:rsidR="4DFFA44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. NICE Guideline NG76. London: NICE. Available at: NICE (Accessed: 17 October 2026). </w:t>
      </w:r>
    </w:p>
    <w:p w:rsidR="4DFFA449" w:rsidP="57F5C22B" w:rsidRDefault="4DFFA449" w14:paraId="2E665F83" w14:textId="4657785C">
      <w:pPr>
        <w:pStyle w:val="Normal"/>
      </w:pPr>
      <w:r w:rsidR="4DFFA449">
        <w:rPr/>
        <w:t xml:space="preserve">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E06B5B7"/>
    <w:rsid w:val="250A99E2"/>
    <w:rsid w:val="2B04E689"/>
    <w:rsid w:val="2DB66998"/>
    <w:rsid w:val="2EF7752F"/>
    <w:rsid w:val="3629A5A4"/>
    <w:rsid w:val="392C6629"/>
    <w:rsid w:val="4423D202"/>
    <w:rsid w:val="4DFFA449"/>
    <w:rsid w:val="52A15A78"/>
    <w:rsid w:val="56845919"/>
    <w:rsid w:val="57F5C22B"/>
    <w:rsid w:val="5E06B5B7"/>
    <w:rsid w:val="614CB58D"/>
    <w:rsid w:val="677E64B7"/>
    <w:rsid w:val="70B160F7"/>
    <w:rsid w:val="743391B4"/>
    <w:rsid w:val="79AC510D"/>
    <w:rsid w:val="7F64C9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F65EA3"/>
  <w15:chartTrackingRefBased/>
  <w15:docId w15:val="{4398C01B-AF32-41B7-949C-C17D5E9F0E8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57F5C22B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Tabassum Ali (2433454)</dc:creator>
  <keywords/>
  <dc:description/>
  <lastModifiedBy>Tabassum Ali (2433454)</lastModifiedBy>
  <revision>2</revision>
  <dcterms:created xsi:type="dcterms:W3CDTF">2026-10-17T18:40:48.6944026Z</dcterms:created>
  <dcterms:modified xsi:type="dcterms:W3CDTF">2026-10-17T18:49:36.1954176Z</dcterms:modified>
</coreProperties>
</file>