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37BD" w:rsidRPr="00232473" w:rsidRDefault="00D937BD" w:rsidP="00DB3401">
      <w:pPr>
        <w:spacing w:line="360" w:lineRule="auto"/>
        <w:rPr>
          <w:rFonts w:eastAsia="Times New Roman"/>
          <w:b/>
          <w:bCs/>
          <w:sz w:val="32"/>
          <w:szCs w:val="32"/>
        </w:rPr>
      </w:pPr>
    </w:p>
    <w:p w:rsidR="00DB3401" w:rsidRDefault="00DB3401" w:rsidP="00DB3401">
      <w:pPr>
        <w:jc w:val="center"/>
        <w:rPr>
          <w:b/>
          <w:bCs/>
          <w:sz w:val="32"/>
          <w:szCs w:val="32"/>
          <w:u w:val="single"/>
        </w:rPr>
      </w:pPr>
      <w:r w:rsidRPr="00F15E1F">
        <w:rPr>
          <w:b/>
          <w:bCs/>
          <w:sz w:val="32"/>
          <w:szCs w:val="32"/>
          <w:u w:val="single"/>
        </w:rPr>
        <w:t>MSC PUBLIC HEALTH AND SOCIAL CARE IN PRACTICE</w:t>
      </w:r>
    </w:p>
    <w:p w:rsidR="00DB3401" w:rsidRPr="00F15E1F" w:rsidRDefault="00DB3401" w:rsidP="00DB3401">
      <w:pPr>
        <w:jc w:val="center"/>
        <w:rPr>
          <w:b/>
          <w:bCs/>
          <w:sz w:val="32"/>
          <w:szCs w:val="32"/>
          <w:u w:val="single"/>
        </w:rPr>
      </w:pPr>
    </w:p>
    <w:p w:rsidR="00DB3401" w:rsidRPr="00F15E1F" w:rsidRDefault="00DB3401" w:rsidP="00DB3401">
      <w:pPr>
        <w:jc w:val="center"/>
        <w:rPr>
          <w:b/>
          <w:bCs/>
          <w:sz w:val="32"/>
          <w:szCs w:val="32"/>
        </w:rPr>
      </w:pPr>
    </w:p>
    <w:p w:rsidR="00DB3401" w:rsidRPr="00DB3401" w:rsidRDefault="00DB3401" w:rsidP="00DB3401">
      <w:pPr>
        <w:jc w:val="center"/>
        <w:rPr>
          <w:bCs/>
          <w:sz w:val="32"/>
          <w:szCs w:val="32"/>
        </w:rPr>
      </w:pPr>
      <w:r w:rsidRPr="00F15E1F">
        <w:rPr>
          <w:b/>
          <w:bCs/>
          <w:sz w:val="32"/>
          <w:szCs w:val="32"/>
        </w:rPr>
        <w:t>ASSIGNMENT TITLE</w:t>
      </w:r>
      <w:r>
        <w:rPr>
          <w:b/>
          <w:bCs/>
          <w:sz w:val="32"/>
          <w:szCs w:val="32"/>
        </w:rPr>
        <w:t>:</w:t>
      </w:r>
      <w:r w:rsidRPr="00DB3401">
        <w:t xml:space="preserve"> </w:t>
      </w:r>
      <w:r w:rsidRPr="00DB3401">
        <w:rPr>
          <w:sz w:val="32"/>
          <w:szCs w:val="32"/>
        </w:rPr>
        <w:t xml:space="preserve">COMPONENT 2 ANALYTICAL REPORT </w:t>
      </w:r>
    </w:p>
    <w:p w:rsidR="00DB3401" w:rsidRPr="00DB3401" w:rsidRDefault="00DB3401" w:rsidP="00DB3401">
      <w:pPr>
        <w:rPr>
          <w:bCs/>
          <w:sz w:val="32"/>
          <w:szCs w:val="32"/>
        </w:rPr>
      </w:pPr>
    </w:p>
    <w:p w:rsidR="00DB3401" w:rsidRDefault="00DB3401" w:rsidP="00DB3401">
      <w:pPr>
        <w:jc w:val="center"/>
        <w:rPr>
          <w:sz w:val="36"/>
          <w:szCs w:val="36"/>
        </w:rPr>
      </w:pPr>
      <w:r>
        <w:rPr>
          <w:b/>
          <w:bCs/>
          <w:sz w:val="32"/>
          <w:szCs w:val="32"/>
        </w:rPr>
        <w:t>MODULE NAME:</w:t>
      </w:r>
      <w:r w:rsidRPr="00DB3401">
        <w:rPr>
          <w:sz w:val="36"/>
          <w:szCs w:val="36"/>
        </w:rPr>
        <w:t xml:space="preserve"> Social Epidemiology and Public Health Development</w:t>
      </w:r>
    </w:p>
    <w:p w:rsidR="00DB3401" w:rsidRPr="00F15E1F" w:rsidRDefault="00DB3401" w:rsidP="00DB3401">
      <w:pPr>
        <w:jc w:val="center"/>
        <w:rPr>
          <w:b/>
          <w:bCs/>
          <w:sz w:val="32"/>
          <w:szCs w:val="32"/>
        </w:rPr>
      </w:pPr>
    </w:p>
    <w:p w:rsidR="00DB3401" w:rsidRDefault="00DB3401" w:rsidP="00DB3401">
      <w:pPr>
        <w:jc w:val="center"/>
        <w:rPr>
          <w:bCs/>
          <w:sz w:val="32"/>
          <w:szCs w:val="32"/>
        </w:rPr>
      </w:pPr>
      <w:r w:rsidRPr="00F15E1F">
        <w:rPr>
          <w:b/>
          <w:bCs/>
          <w:sz w:val="32"/>
          <w:szCs w:val="32"/>
        </w:rPr>
        <w:t xml:space="preserve">MODULE CODE: </w:t>
      </w:r>
      <w:r>
        <w:rPr>
          <w:bCs/>
          <w:sz w:val="32"/>
          <w:szCs w:val="32"/>
        </w:rPr>
        <w:t>LCHS7000</w:t>
      </w:r>
    </w:p>
    <w:p w:rsidR="00DB3401" w:rsidRPr="00F15E1F" w:rsidRDefault="00DB3401" w:rsidP="00DB3401">
      <w:pPr>
        <w:jc w:val="center"/>
        <w:rPr>
          <w:bCs/>
          <w:sz w:val="32"/>
          <w:szCs w:val="32"/>
        </w:rPr>
      </w:pPr>
    </w:p>
    <w:p w:rsidR="00DB3401" w:rsidRDefault="00DB3401" w:rsidP="00DB3401">
      <w:pPr>
        <w:jc w:val="center"/>
        <w:rPr>
          <w:bCs/>
          <w:sz w:val="32"/>
          <w:szCs w:val="32"/>
        </w:rPr>
      </w:pPr>
      <w:r w:rsidRPr="00F15E1F">
        <w:rPr>
          <w:b/>
          <w:bCs/>
          <w:sz w:val="32"/>
          <w:szCs w:val="32"/>
        </w:rPr>
        <w:t>Programme Name</w:t>
      </w:r>
      <w:r w:rsidRPr="00F15E1F">
        <w:rPr>
          <w:bCs/>
          <w:sz w:val="32"/>
          <w:szCs w:val="32"/>
        </w:rPr>
        <w:t>:</w:t>
      </w:r>
      <w:r w:rsidRPr="00F15E1F">
        <w:rPr>
          <w:b/>
          <w:bCs/>
          <w:sz w:val="32"/>
          <w:szCs w:val="32"/>
        </w:rPr>
        <w:t xml:space="preserve"> </w:t>
      </w:r>
      <w:r w:rsidRPr="00F15E1F">
        <w:rPr>
          <w:bCs/>
          <w:sz w:val="32"/>
          <w:szCs w:val="32"/>
        </w:rPr>
        <w:t>MSC Public Health and Social Care in Practice</w:t>
      </w:r>
    </w:p>
    <w:p w:rsidR="00DB3401" w:rsidRPr="00F15E1F" w:rsidRDefault="00DB3401" w:rsidP="00DB3401">
      <w:pPr>
        <w:jc w:val="center"/>
        <w:rPr>
          <w:bCs/>
          <w:sz w:val="32"/>
          <w:szCs w:val="32"/>
        </w:rPr>
      </w:pPr>
    </w:p>
    <w:p w:rsidR="00DB3401" w:rsidRPr="00F15E1F" w:rsidRDefault="00DB3401" w:rsidP="00DB3401">
      <w:pPr>
        <w:jc w:val="center"/>
        <w:rPr>
          <w:bCs/>
          <w:sz w:val="32"/>
          <w:szCs w:val="32"/>
        </w:rPr>
      </w:pPr>
      <w:r w:rsidRPr="00F15E1F">
        <w:rPr>
          <w:b/>
          <w:bCs/>
          <w:sz w:val="32"/>
          <w:szCs w:val="32"/>
        </w:rPr>
        <w:t>Student Name:</w:t>
      </w:r>
      <w:r w:rsidRPr="00F15E1F">
        <w:rPr>
          <w:bCs/>
          <w:sz w:val="32"/>
          <w:szCs w:val="32"/>
        </w:rPr>
        <w:t xml:space="preserve"> Nilesh</w:t>
      </w:r>
      <w:r>
        <w:rPr>
          <w:bCs/>
          <w:sz w:val="32"/>
          <w:szCs w:val="32"/>
        </w:rPr>
        <w:t xml:space="preserve"> Ambalal</w:t>
      </w:r>
      <w:r w:rsidRPr="00F15E1F">
        <w:rPr>
          <w:bCs/>
          <w:sz w:val="32"/>
          <w:szCs w:val="32"/>
        </w:rPr>
        <w:t xml:space="preserve"> Patil</w:t>
      </w:r>
    </w:p>
    <w:p w:rsidR="00DB3401" w:rsidRDefault="00DB3401" w:rsidP="00DB3401">
      <w:pPr>
        <w:jc w:val="center"/>
        <w:rPr>
          <w:bCs/>
          <w:sz w:val="32"/>
          <w:szCs w:val="32"/>
        </w:rPr>
      </w:pPr>
      <w:r w:rsidRPr="00F15E1F">
        <w:rPr>
          <w:b/>
          <w:bCs/>
          <w:sz w:val="32"/>
          <w:szCs w:val="32"/>
        </w:rPr>
        <w:t>Student ID:</w:t>
      </w:r>
      <w:r w:rsidRPr="00F15E1F">
        <w:rPr>
          <w:bCs/>
          <w:sz w:val="32"/>
          <w:szCs w:val="32"/>
        </w:rPr>
        <w:t xml:space="preserve"> 2523930</w:t>
      </w:r>
    </w:p>
    <w:p w:rsidR="00DB3401" w:rsidRPr="00F15E1F" w:rsidRDefault="00DB3401" w:rsidP="00DB3401">
      <w:pPr>
        <w:jc w:val="center"/>
        <w:rPr>
          <w:bCs/>
          <w:sz w:val="32"/>
          <w:szCs w:val="32"/>
        </w:rPr>
      </w:pPr>
    </w:p>
    <w:p w:rsidR="00DB3401" w:rsidRPr="00F15E1F" w:rsidRDefault="00DB3401" w:rsidP="00DB3401">
      <w:pPr>
        <w:jc w:val="center"/>
        <w:rPr>
          <w:bCs/>
          <w:sz w:val="32"/>
          <w:szCs w:val="32"/>
        </w:rPr>
      </w:pPr>
      <w:r w:rsidRPr="00F15E1F">
        <w:rPr>
          <w:b/>
          <w:bCs/>
          <w:sz w:val="32"/>
          <w:szCs w:val="32"/>
        </w:rPr>
        <w:t xml:space="preserve">Submission Date: </w:t>
      </w:r>
      <w:r w:rsidRPr="00DB3401">
        <w:rPr>
          <w:sz w:val="32"/>
          <w:szCs w:val="32"/>
        </w:rPr>
        <w:t>1st May 2026</w:t>
      </w:r>
    </w:p>
    <w:p w:rsidR="00DB3401" w:rsidRPr="00F15E1F" w:rsidRDefault="00DB3401" w:rsidP="00DB3401">
      <w:pPr>
        <w:jc w:val="center"/>
        <w:rPr>
          <w:bCs/>
          <w:sz w:val="32"/>
          <w:szCs w:val="32"/>
        </w:rPr>
      </w:pPr>
      <w:r w:rsidRPr="00F15E1F">
        <w:rPr>
          <w:b/>
          <w:sz w:val="32"/>
          <w:szCs w:val="32"/>
        </w:rPr>
        <w:t>Lecturer:</w:t>
      </w:r>
      <w:r>
        <w:rPr>
          <w:sz w:val="32"/>
          <w:szCs w:val="32"/>
        </w:rPr>
        <w:t xml:space="preserve"> </w:t>
      </w:r>
      <w:r w:rsidRPr="00DB3401">
        <w:rPr>
          <w:sz w:val="32"/>
          <w:szCs w:val="32"/>
        </w:rPr>
        <w:t>Itse Olaoye</w:t>
      </w:r>
      <w:r w:rsidR="00843EF9">
        <w:rPr>
          <w:sz w:val="32"/>
          <w:szCs w:val="32"/>
        </w:rPr>
        <w:t>,</w:t>
      </w:r>
      <w:r w:rsidRPr="00DB3401">
        <w:rPr>
          <w:sz w:val="32"/>
          <w:szCs w:val="32"/>
        </w:rPr>
        <w:t xml:space="preserve"> Brian Mashumba</w:t>
      </w:r>
    </w:p>
    <w:p w:rsidR="00DB3401" w:rsidRDefault="00DB3401" w:rsidP="00DB3401">
      <w:pPr>
        <w:jc w:val="center"/>
        <w:rPr>
          <w:bCs/>
          <w:sz w:val="32"/>
          <w:szCs w:val="32"/>
        </w:rPr>
      </w:pPr>
    </w:p>
    <w:p w:rsidR="00DB3401" w:rsidRPr="00F15E1F" w:rsidRDefault="00DB3401" w:rsidP="00DB3401">
      <w:pPr>
        <w:jc w:val="center"/>
        <w:rPr>
          <w:bCs/>
          <w:sz w:val="32"/>
          <w:szCs w:val="32"/>
        </w:rPr>
      </w:pPr>
    </w:p>
    <w:p w:rsidR="00DB3401" w:rsidRPr="00F15E1F" w:rsidRDefault="00DB3401" w:rsidP="00DB3401">
      <w:pPr>
        <w:jc w:val="center"/>
        <w:rPr>
          <w:bCs/>
          <w:i/>
          <w:sz w:val="32"/>
          <w:szCs w:val="32"/>
        </w:rPr>
      </w:pPr>
      <w:r w:rsidRPr="00F15E1F">
        <w:rPr>
          <w:bCs/>
          <w:i/>
          <w:sz w:val="32"/>
          <w:szCs w:val="32"/>
        </w:rPr>
        <w:t xml:space="preserve">Institution: University of Wales trinity saint David London Campus </w:t>
      </w:r>
    </w:p>
    <w:p w:rsidR="00DB3401" w:rsidRPr="00F15E1F" w:rsidRDefault="00DB3401" w:rsidP="00DB3401">
      <w:pPr>
        <w:jc w:val="center"/>
        <w:rPr>
          <w:bCs/>
          <w:i/>
          <w:sz w:val="32"/>
          <w:szCs w:val="32"/>
        </w:rPr>
      </w:pPr>
      <w:r w:rsidRPr="00F15E1F">
        <w:rPr>
          <w:bCs/>
          <w:i/>
          <w:sz w:val="32"/>
          <w:szCs w:val="32"/>
        </w:rPr>
        <w:t>City, Country: London UK</w:t>
      </w:r>
    </w:p>
    <w:p w:rsidR="00795395" w:rsidRDefault="00795395">
      <w:pPr>
        <w:spacing w:line="360" w:lineRule="auto"/>
        <w:jc w:val="center"/>
        <w:rPr>
          <w:rFonts w:eastAsia="Times New Roman"/>
          <w:b/>
          <w:bCs/>
          <w:sz w:val="32"/>
          <w:szCs w:val="32"/>
        </w:rPr>
      </w:pPr>
    </w:p>
    <w:p w:rsidR="00DB3401" w:rsidRDefault="00DB3401">
      <w:pPr>
        <w:spacing w:line="360" w:lineRule="auto"/>
        <w:jc w:val="center"/>
        <w:rPr>
          <w:rFonts w:eastAsia="Times New Roman"/>
          <w:b/>
          <w:bCs/>
          <w:sz w:val="32"/>
          <w:szCs w:val="32"/>
        </w:rPr>
      </w:pPr>
    </w:p>
    <w:p w:rsidR="00DB3401" w:rsidRDefault="00DB3401">
      <w:pPr>
        <w:spacing w:line="360" w:lineRule="auto"/>
        <w:jc w:val="center"/>
        <w:rPr>
          <w:rFonts w:eastAsia="Times New Roman"/>
          <w:b/>
          <w:bCs/>
          <w:sz w:val="32"/>
          <w:szCs w:val="32"/>
        </w:rPr>
      </w:pPr>
    </w:p>
    <w:p w:rsidR="00DB3401" w:rsidRPr="00232473" w:rsidRDefault="00DB3401" w:rsidP="00843EF9">
      <w:pPr>
        <w:spacing w:line="360" w:lineRule="auto"/>
        <w:rPr>
          <w:rFonts w:eastAsia="Times New Roman"/>
          <w:b/>
          <w:bCs/>
          <w:sz w:val="32"/>
          <w:szCs w:val="32"/>
        </w:rPr>
      </w:pPr>
    </w:p>
    <w:p w:rsidR="00795395" w:rsidRPr="00232473" w:rsidRDefault="00795395">
      <w:pPr>
        <w:spacing w:line="360" w:lineRule="auto"/>
        <w:jc w:val="both"/>
        <w:rPr>
          <w:rFonts w:eastAsia="Times New Roman"/>
          <w:b/>
          <w:bCs/>
          <w:sz w:val="24"/>
          <w:szCs w:val="24"/>
        </w:rPr>
      </w:pPr>
    </w:p>
    <w:p w:rsidR="00795395" w:rsidRPr="00232473" w:rsidRDefault="00795395">
      <w:pPr>
        <w:spacing w:line="360" w:lineRule="auto"/>
        <w:jc w:val="both"/>
        <w:rPr>
          <w:rFonts w:eastAsia="Times New Roman"/>
          <w:sz w:val="32"/>
          <w:szCs w:val="32"/>
          <w:highlight w:val="yellow"/>
        </w:rPr>
      </w:pPr>
    </w:p>
    <w:p w:rsidR="00795395" w:rsidRPr="00232473" w:rsidRDefault="00795395">
      <w:pPr>
        <w:spacing w:line="360" w:lineRule="auto"/>
        <w:jc w:val="both"/>
        <w:rPr>
          <w:rFonts w:eastAsia="Times New Roman"/>
          <w:b/>
          <w:bCs/>
          <w:sz w:val="24"/>
          <w:szCs w:val="24"/>
        </w:rPr>
      </w:pPr>
    </w:p>
    <w:sdt>
      <w:sdtPr>
        <w:rPr>
          <w:rFonts w:ascii="Arial" w:eastAsia="Arial" w:hAnsi="Arial" w:cs="Arial"/>
          <w:color w:val="auto"/>
          <w:sz w:val="22"/>
          <w:szCs w:val="22"/>
          <w:lang w:val="en-GB" w:eastAsia="en-IN"/>
        </w:rPr>
        <w:id w:val="1519667008"/>
        <w:docPartObj>
          <w:docPartGallery w:val="Table of Contents"/>
          <w:docPartUnique/>
        </w:docPartObj>
      </w:sdtPr>
      <w:sdtEndPr>
        <w:rPr>
          <w:b/>
          <w:bCs/>
          <w:noProof/>
        </w:rPr>
      </w:sdtEndPr>
      <w:sdtContent>
        <w:p w:rsidR="00867A15" w:rsidRPr="00232473" w:rsidRDefault="00AB15B0" w:rsidP="00843EF9">
          <w:pPr>
            <w:pStyle w:val="TOCHeading"/>
            <w:spacing w:line="360" w:lineRule="auto"/>
            <w:jc w:val="center"/>
            <w:rPr>
              <w:rFonts w:ascii="Arial" w:hAnsi="Arial" w:cs="Arial"/>
              <w:b/>
              <w:bCs/>
              <w:color w:val="auto"/>
              <w:sz w:val="24"/>
              <w:szCs w:val="24"/>
            </w:rPr>
          </w:pPr>
          <w:r w:rsidRPr="00232473">
            <w:rPr>
              <w:rFonts w:ascii="Arial" w:hAnsi="Arial" w:cs="Arial"/>
              <w:b/>
              <w:bCs/>
              <w:color w:val="auto"/>
              <w:sz w:val="24"/>
              <w:szCs w:val="24"/>
            </w:rPr>
            <w:t>Table of Contents</w:t>
          </w:r>
        </w:p>
        <w:p w:rsidR="00BF33C2" w:rsidRPr="00232473" w:rsidRDefault="0079170D" w:rsidP="00DB3401">
          <w:pPr>
            <w:pStyle w:val="TOC1"/>
            <w:tabs>
              <w:tab w:val="right" w:leader="dot" w:pos="9350"/>
            </w:tabs>
            <w:spacing w:line="360" w:lineRule="auto"/>
            <w:jc w:val="both"/>
            <w:rPr>
              <w:rFonts w:eastAsiaTheme="minorEastAsia"/>
              <w:noProof/>
              <w:sz w:val="24"/>
              <w:szCs w:val="24"/>
              <w:lang w:val="en-IN"/>
            </w:rPr>
          </w:pPr>
          <w:r w:rsidRPr="0079170D">
            <w:rPr>
              <w:sz w:val="24"/>
              <w:szCs w:val="24"/>
            </w:rPr>
            <w:fldChar w:fldCharType="begin"/>
          </w:r>
          <w:r w:rsidR="00AB15B0" w:rsidRPr="00232473">
            <w:rPr>
              <w:sz w:val="24"/>
              <w:szCs w:val="24"/>
            </w:rPr>
            <w:instrText xml:space="preserve"> TOC \o "1-3" \h \z \u </w:instrText>
          </w:r>
          <w:r w:rsidRPr="0079170D">
            <w:rPr>
              <w:sz w:val="24"/>
              <w:szCs w:val="24"/>
            </w:rPr>
            <w:fldChar w:fldCharType="separate"/>
          </w:r>
          <w:hyperlink w:anchor="_Toc227952637" w:history="1">
            <w:r w:rsidR="00BF33C2" w:rsidRPr="00232473">
              <w:rPr>
                <w:rStyle w:val="Hyperlink"/>
                <w:noProof/>
                <w:sz w:val="24"/>
                <w:szCs w:val="24"/>
              </w:rPr>
              <w:t>Task 1: Social Epidemiological Analysis</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_Toc227952637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2</w:t>
            </w:r>
            <w:r w:rsidRPr="00232473">
              <w:rPr>
                <w:noProof/>
                <w:webHidden/>
                <w:sz w:val="24"/>
                <w:szCs w:val="24"/>
              </w:rPr>
              <w:fldChar w:fldCharType="end"/>
            </w:r>
          </w:hyperlink>
        </w:p>
        <w:p w:rsidR="00BF33C2" w:rsidRPr="00232473" w:rsidRDefault="0079170D" w:rsidP="00DB3401">
          <w:pPr>
            <w:pStyle w:val="TOC2"/>
            <w:tabs>
              <w:tab w:val="right" w:leader="dot" w:pos="9350"/>
            </w:tabs>
            <w:spacing w:line="360" w:lineRule="auto"/>
            <w:jc w:val="both"/>
            <w:rPr>
              <w:rFonts w:eastAsiaTheme="minorEastAsia"/>
              <w:noProof/>
              <w:sz w:val="24"/>
              <w:szCs w:val="24"/>
              <w:lang w:val="en-IN"/>
            </w:rPr>
          </w:pPr>
          <w:hyperlink w:anchor="_Toc227952638" w:history="1">
            <w:r w:rsidR="00BF33C2" w:rsidRPr="00232473">
              <w:rPr>
                <w:rStyle w:val="Hyperlink"/>
                <w:noProof/>
                <w:sz w:val="24"/>
                <w:szCs w:val="24"/>
              </w:rPr>
              <w:t>Introduction</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_Toc227952638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2</w:t>
            </w:r>
            <w:r w:rsidRPr="00232473">
              <w:rPr>
                <w:noProof/>
                <w:webHidden/>
                <w:sz w:val="24"/>
                <w:szCs w:val="24"/>
              </w:rPr>
              <w:fldChar w:fldCharType="end"/>
            </w:r>
          </w:hyperlink>
        </w:p>
        <w:p w:rsidR="00BF33C2" w:rsidRPr="00232473" w:rsidRDefault="0079170D" w:rsidP="00DB3401">
          <w:pPr>
            <w:pStyle w:val="TOC2"/>
            <w:tabs>
              <w:tab w:val="right" w:leader="dot" w:pos="9350"/>
            </w:tabs>
            <w:spacing w:line="360" w:lineRule="auto"/>
            <w:jc w:val="both"/>
            <w:rPr>
              <w:rFonts w:eastAsiaTheme="minorEastAsia"/>
              <w:noProof/>
              <w:sz w:val="24"/>
              <w:szCs w:val="24"/>
              <w:lang w:val="en-IN"/>
            </w:rPr>
          </w:pPr>
          <w:hyperlink w:anchor="_Toc227952639" w:history="1">
            <w:r w:rsidR="00BF33C2" w:rsidRPr="00232473">
              <w:rPr>
                <w:rStyle w:val="Hyperlink"/>
                <w:noProof/>
                <w:sz w:val="24"/>
                <w:szCs w:val="24"/>
              </w:rPr>
              <w:t>Contextual Background and Underlying Factors</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_Toc227952639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2</w:t>
            </w:r>
            <w:r w:rsidRPr="00232473">
              <w:rPr>
                <w:noProof/>
                <w:webHidden/>
                <w:sz w:val="24"/>
                <w:szCs w:val="24"/>
              </w:rPr>
              <w:fldChar w:fldCharType="end"/>
            </w:r>
          </w:hyperlink>
        </w:p>
        <w:p w:rsidR="00BF33C2" w:rsidRPr="00232473" w:rsidRDefault="0079170D" w:rsidP="00DB3401">
          <w:pPr>
            <w:pStyle w:val="TOC3"/>
            <w:tabs>
              <w:tab w:val="right" w:leader="dot" w:pos="9350"/>
            </w:tabs>
            <w:spacing w:line="360" w:lineRule="auto"/>
            <w:jc w:val="both"/>
            <w:rPr>
              <w:noProof/>
              <w:sz w:val="24"/>
              <w:szCs w:val="24"/>
            </w:rPr>
          </w:pPr>
          <w:hyperlink w:anchor="_Toc227952640" w:history="1">
            <w:r w:rsidR="00BF33C2" w:rsidRPr="00232473">
              <w:rPr>
                <w:rStyle w:val="Hyperlink"/>
                <w:noProof/>
                <w:sz w:val="24"/>
                <w:szCs w:val="24"/>
              </w:rPr>
              <w:t>Diseases</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_Toc227952640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2</w:t>
            </w:r>
            <w:r w:rsidRPr="00232473">
              <w:rPr>
                <w:noProof/>
                <w:webHidden/>
                <w:sz w:val="24"/>
                <w:szCs w:val="24"/>
              </w:rPr>
              <w:fldChar w:fldCharType="end"/>
            </w:r>
          </w:hyperlink>
        </w:p>
        <w:p w:rsidR="00BF33C2" w:rsidRPr="00232473" w:rsidRDefault="0079170D" w:rsidP="00DB3401">
          <w:pPr>
            <w:pStyle w:val="TOC3"/>
            <w:tabs>
              <w:tab w:val="right" w:leader="dot" w:pos="9350"/>
            </w:tabs>
            <w:spacing w:line="360" w:lineRule="auto"/>
            <w:jc w:val="both"/>
            <w:rPr>
              <w:noProof/>
              <w:sz w:val="24"/>
              <w:szCs w:val="24"/>
            </w:rPr>
          </w:pPr>
          <w:hyperlink w:anchor="_Toc227952641" w:history="1">
            <w:r w:rsidR="00BF33C2" w:rsidRPr="00232473">
              <w:rPr>
                <w:rStyle w:val="Hyperlink"/>
                <w:noProof/>
                <w:sz w:val="24"/>
                <w:szCs w:val="24"/>
              </w:rPr>
              <w:t>Social Issues</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_Toc227952641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4</w:t>
            </w:r>
            <w:r w:rsidRPr="00232473">
              <w:rPr>
                <w:noProof/>
                <w:webHidden/>
                <w:sz w:val="24"/>
                <w:szCs w:val="24"/>
              </w:rPr>
              <w:fldChar w:fldCharType="end"/>
            </w:r>
          </w:hyperlink>
        </w:p>
        <w:p w:rsidR="00BF33C2" w:rsidRPr="00232473" w:rsidRDefault="0079170D" w:rsidP="00DB3401">
          <w:pPr>
            <w:pStyle w:val="TOC2"/>
            <w:tabs>
              <w:tab w:val="right" w:leader="dot" w:pos="9350"/>
            </w:tabs>
            <w:spacing w:line="360" w:lineRule="auto"/>
            <w:jc w:val="both"/>
            <w:rPr>
              <w:rFonts w:eastAsiaTheme="minorEastAsia"/>
              <w:noProof/>
              <w:sz w:val="24"/>
              <w:szCs w:val="24"/>
              <w:lang w:val="en-IN"/>
            </w:rPr>
          </w:pPr>
          <w:hyperlink w:anchor="_Toc227952642" w:history="1">
            <w:r w:rsidR="00BF33C2" w:rsidRPr="00232473">
              <w:rPr>
                <w:rStyle w:val="Hyperlink"/>
                <w:noProof/>
                <w:sz w:val="24"/>
                <w:szCs w:val="24"/>
              </w:rPr>
              <w:t>National Response for the Reduction of Health Inequalities</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_Toc227952642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5</w:t>
            </w:r>
            <w:r w:rsidRPr="00232473">
              <w:rPr>
                <w:noProof/>
                <w:webHidden/>
                <w:sz w:val="24"/>
                <w:szCs w:val="24"/>
              </w:rPr>
              <w:fldChar w:fldCharType="end"/>
            </w:r>
          </w:hyperlink>
        </w:p>
        <w:p w:rsidR="00BF33C2" w:rsidRPr="00232473" w:rsidRDefault="0079170D" w:rsidP="00DB3401">
          <w:pPr>
            <w:pStyle w:val="TOC2"/>
            <w:tabs>
              <w:tab w:val="right" w:leader="dot" w:pos="9350"/>
            </w:tabs>
            <w:spacing w:line="360" w:lineRule="auto"/>
            <w:jc w:val="both"/>
            <w:rPr>
              <w:rFonts w:eastAsiaTheme="minorEastAsia"/>
              <w:noProof/>
              <w:sz w:val="24"/>
              <w:szCs w:val="24"/>
              <w:lang w:val="en-IN"/>
            </w:rPr>
          </w:pPr>
          <w:hyperlink w:anchor="_Toc227952643" w:history="1">
            <w:r w:rsidR="00BF33C2" w:rsidRPr="00232473">
              <w:rPr>
                <w:rStyle w:val="Hyperlink"/>
                <w:noProof/>
                <w:sz w:val="24"/>
                <w:szCs w:val="24"/>
              </w:rPr>
              <w:t>Organisation that supports the selected group</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_Toc227952643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5</w:t>
            </w:r>
            <w:r w:rsidRPr="00232473">
              <w:rPr>
                <w:noProof/>
                <w:webHidden/>
                <w:sz w:val="24"/>
                <w:szCs w:val="24"/>
              </w:rPr>
              <w:fldChar w:fldCharType="end"/>
            </w:r>
          </w:hyperlink>
        </w:p>
        <w:p w:rsidR="00BF33C2" w:rsidRPr="00232473" w:rsidRDefault="0079170D" w:rsidP="00DB3401">
          <w:pPr>
            <w:pStyle w:val="TOC2"/>
            <w:tabs>
              <w:tab w:val="right" w:leader="dot" w:pos="9350"/>
            </w:tabs>
            <w:spacing w:line="360" w:lineRule="auto"/>
            <w:jc w:val="both"/>
            <w:rPr>
              <w:rFonts w:eastAsiaTheme="minorEastAsia"/>
              <w:noProof/>
              <w:sz w:val="24"/>
              <w:szCs w:val="24"/>
              <w:lang w:val="en-IN"/>
            </w:rPr>
          </w:pPr>
          <w:hyperlink w:anchor="_Toc227952644" w:history="1">
            <w:r w:rsidR="00BF33C2" w:rsidRPr="00232473">
              <w:rPr>
                <w:rStyle w:val="Hyperlink"/>
                <w:noProof/>
                <w:sz w:val="24"/>
                <w:szCs w:val="24"/>
              </w:rPr>
              <w:t>Conclusion</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_Toc227952644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6</w:t>
            </w:r>
            <w:r w:rsidRPr="00232473">
              <w:rPr>
                <w:noProof/>
                <w:webHidden/>
                <w:sz w:val="24"/>
                <w:szCs w:val="24"/>
              </w:rPr>
              <w:fldChar w:fldCharType="end"/>
            </w:r>
          </w:hyperlink>
        </w:p>
        <w:p w:rsidR="00BF33C2" w:rsidRPr="00232473" w:rsidRDefault="0079170D" w:rsidP="00DB3401">
          <w:pPr>
            <w:pStyle w:val="TOC1"/>
            <w:tabs>
              <w:tab w:val="right" w:leader="dot" w:pos="9350"/>
            </w:tabs>
            <w:spacing w:line="360" w:lineRule="auto"/>
            <w:jc w:val="both"/>
            <w:rPr>
              <w:rFonts w:eastAsiaTheme="minorEastAsia"/>
              <w:noProof/>
              <w:sz w:val="24"/>
              <w:szCs w:val="24"/>
              <w:lang w:val="en-IN"/>
            </w:rPr>
          </w:pPr>
          <w:hyperlink w:anchor="_Toc227952645" w:history="1">
            <w:r w:rsidR="00BF33C2" w:rsidRPr="00232473">
              <w:rPr>
                <w:rStyle w:val="Hyperlink"/>
                <w:noProof/>
                <w:sz w:val="24"/>
                <w:szCs w:val="24"/>
              </w:rPr>
              <w:t>Task 2: Epidemiological Analysis</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_Toc227952645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7</w:t>
            </w:r>
            <w:r w:rsidRPr="00232473">
              <w:rPr>
                <w:noProof/>
                <w:webHidden/>
                <w:sz w:val="24"/>
                <w:szCs w:val="24"/>
              </w:rPr>
              <w:fldChar w:fldCharType="end"/>
            </w:r>
          </w:hyperlink>
        </w:p>
        <w:p w:rsidR="00BF33C2" w:rsidRPr="00232473" w:rsidRDefault="0079170D" w:rsidP="00DB3401">
          <w:pPr>
            <w:pStyle w:val="TOC2"/>
            <w:tabs>
              <w:tab w:val="right" w:leader="dot" w:pos="9350"/>
            </w:tabs>
            <w:spacing w:line="360" w:lineRule="auto"/>
            <w:jc w:val="both"/>
            <w:rPr>
              <w:rFonts w:eastAsiaTheme="minorEastAsia"/>
              <w:noProof/>
              <w:sz w:val="24"/>
              <w:szCs w:val="24"/>
              <w:lang w:val="en-IN"/>
            </w:rPr>
          </w:pPr>
          <w:hyperlink w:anchor="_Toc227952646" w:history="1">
            <w:r w:rsidR="00BF33C2" w:rsidRPr="00232473">
              <w:rPr>
                <w:rStyle w:val="Hyperlink"/>
                <w:noProof/>
                <w:sz w:val="24"/>
                <w:szCs w:val="24"/>
              </w:rPr>
              <w:t>Introduction</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_Toc227952646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7</w:t>
            </w:r>
            <w:r w:rsidRPr="00232473">
              <w:rPr>
                <w:noProof/>
                <w:webHidden/>
                <w:sz w:val="24"/>
                <w:szCs w:val="24"/>
              </w:rPr>
              <w:fldChar w:fldCharType="end"/>
            </w:r>
          </w:hyperlink>
        </w:p>
        <w:p w:rsidR="00BF33C2" w:rsidRPr="00232473" w:rsidRDefault="0079170D" w:rsidP="00DB3401">
          <w:pPr>
            <w:pStyle w:val="TOC2"/>
            <w:tabs>
              <w:tab w:val="right" w:leader="dot" w:pos="9350"/>
            </w:tabs>
            <w:spacing w:line="360" w:lineRule="auto"/>
            <w:jc w:val="both"/>
            <w:rPr>
              <w:rFonts w:eastAsiaTheme="minorEastAsia"/>
              <w:noProof/>
              <w:sz w:val="24"/>
              <w:szCs w:val="24"/>
              <w:lang w:val="en-IN"/>
            </w:rPr>
          </w:pPr>
          <w:hyperlink w:anchor="_Toc227952647" w:history="1">
            <w:r w:rsidR="00BF33C2" w:rsidRPr="00232473">
              <w:rPr>
                <w:rStyle w:val="Hyperlink"/>
                <w:noProof/>
                <w:sz w:val="24"/>
                <w:szCs w:val="24"/>
              </w:rPr>
              <w:t>Main Body</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_Toc227952647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7</w:t>
            </w:r>
            <w:r w:rsidRPr="00232473">
              <w:rPr>
                <w:noProof/>
                <w:webHidden/>
                <w:sz w:val="24"/>
                <w:szCs w:val="24"/>
              </w:rPr>
              <w:fldChar w:fldCharType="end"/>
            </w:r>
          </w:hyperlink>
        </w:p>
        <w:p w:rsidR="00BF33C2" w:rsidRPr="00232473" w:rsidRDefault="0079170D" w:rsidP="00DB3401">
          <w:pPr>
            <w:pStyle w:val="TOC2"/>
            <w:tabs>
              <w:tab w:val="right" w:leader="dot" w:pos="9350"/>
            </w:tabs>
            <w:spacing w:line="360" w:lineRule="auto"/>
            <w:jc w:val="both"/>
            <w:rPr>
              <w:rFonts w:eastAsiaTheme="minorEastAsia"/>
              <w:noProof/>
              <w:sz w:val="24"/>
              <w:szCs w:val="24"/>
              <w:lang w:val="en-IN"/>
            </w:rPr>
          </w:pPr>
          <w:hyperlink w:anchor="_Toc227952648" w:history="1">
            <w:r w:rsidR="00BF33C2" w:rsidRPr="00232473">
              <w:rPr>
                <w:rStyle w:val="Hyperlink"/>
                <w:noProof/>
                <w:sz w:val="24"/>
                <w:szCs w:val="24"/>
              </w:rPr>
              <w:t>Public Health Measures</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_Toc227952648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7</w:t>
            </w:r>
            <w:r w:rsidRPr="00232473">
              <w:rPr>
                <w:noProof/>
                <w:webHidden/>
                <w:sz w:val="24"/>
                <w:szCs w:val="24"/>
              </w:rPr>
              <w:fldChar w:fldCharType="end"/>
            </w:r>
          </w:hyperlink>
        </w:p>
        <w:p w:rsidR="00BF33C2" w:rsidRPr="00232473" w:rsidRDefault="0079170D" w:rsidP="00DB3401">
          <w:pPr>
            <w:pStyle w:val="TOC2"/>
            <w:tabs>
              <w:tab w:val="right" w:leader="dot" w:pos="9350"/>
            </w:tabs>
            <w:spacing w:line="360" w:lineRule="auto"/>
            <w:jc w:val="both"/>
            <w:rPr>
              <w:rFonts w:eastAsiaTheme="minorEastAsia"/>
              <w:noProof/>
              <w:sz w:val="24"/>
              <w:szCs w:val="24"/>
              <w:lang w:val="en-IN"/>
            </w:rPr>
          </w:pPr>
          <w:hyperlink w:anchor="_Toc227952649" w:history="1">
            <w:r w:rsidR="00BF33C2" w:rsidRPr="00232473">
              <w:rPr>
                <w:rStyle w:val="Hyperlink"/>
                <w:noProof/>
                <w:sz w:val="24"/>
                <w:szCs w:val="24"/>
              </w:rPr>
              <w:t>Determinants and Risk Factors</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_Toc227952649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8</w:t>
            </w:r>
            <w:r w:rsidRPr="00232473">
              <w:rPr>
                <w:noProof/>
                <w:webHidden/>
                <w:sz w:val="24"/>
                <w:szCs w:val="24"/>
              </w:rPr>
              <w:fldChar w:fldCharType="end"/>
            </w:r>
          </w:hyperlink>
        </w:p>
        <w:p w:rsidR="00BF33C2" w:rsidRPr="00232473" w:rsidRDefault="0079170D" w:rsidP="00DB3401">
          <w:pPr>
            <w:pStyle w:val="TOC2"/>
            <w:tabs>
              <w:tab w:val="right" w:leader="dot" w:pos="9350"/>
            </w:tabs>
            <w:spacing w:line="360" w:lineRule="auto"/>
            <w:jc w:val="both"/>
            <w:rPr>
              <w:rFonts w:eastAsiaTheme="minorEastAsia"/>
              <w:noProof/>
              <w:sz w:val="24"/>
              <w:szCs w:val="24"/>
              <w:lang w:val="en-IN"/>
            </w:rPr>
          </w:pPr>
          <w:hyperlink w:anchor="_Toc227952650" w:history="1">
            <w:r w:rsidR="00BF33C2" w:rsidRPr="00232473">
              <w:rPr>
                <w:rStyle w:val="Hyperlink"/>
                <w:noProof/>
                <w:sz w:val="24"/>
                <w:szCs w:val="24"/>
              </w:rPr>
              <w:t>Analysing the Epidemiological Studies and Health Needs Assessment</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_Toc227952650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9</w:t>
            </w:r>
            <w:r w:rsidRPr="00232473">
              <w:rPr>
                <w:noProof/>
                <w:webHidden/>
                <w:sz w:val="24"/>
                <w:szCs w:val="24"/>
              </w:rPr>
              <w:fldChar w:fldCharType="end"/>
            </w:r>
          </w:hyperlink>
        </w:p>
        <w:p w:rsidR="00BF33C2" w:rsidRPr="00232473" w:rsidRDefault="0079170D" w:rsidP="00DB3401">
          <w:pPr>
            <w:pStyle w:val="TOC2"/>
            <w:tabs>
              <w:tab w:val="right" w:leader="dot" w:pos="9350"/>
            </w:tabs>
            <w:spacing w:line="360" w:lineRule="auto"/>
            <w:jc w:val="both"/>
            <w:rPr>
              <w:rFonts w:eastAsiaTheme="minorEastAsia"/>
              <w:noProof/>
              <w:sz w:val="24"/>
              <w:szCs w:val="24"/>
              <w:lang w:val="en-IN"/>
            </w:rPr>
          </w:pPr>
          <w:hyperlink w:anchor="_Toc227952651" w:history="1">
            <w:r w:rsidR="00BF33C2" w:rsidRPr="00232473">
              <w:rPr>
                <w:rStyle w:val="Hyperlink"/>
                <w:noProof/>
                <w:sz w:val="24"/>
                <w:szCs w:val="24"/>
              </w:rPr>
              <w:t>Surveillance and Monitoring Systems</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_Toc227952651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10</w:t>
            </w:r>
            <w:r w:rsidRPr="00232473">
              <w:rPr>
                <w:noProof/>
                <w:webHidden/>
                <w:sz w:val="24"/>
                <w:szCs w:val="24"/>
              </w:rPr>
              <w:fldChar w:fldCharType="end"/>
            </w:r>
          </w:hyperlink>
        </w:p>
        <w:p w:rsidR="00BF33C2" w:rsidRPr="00232473" w:rsidRDefault="0079170D" w:rsidP="00DB3401">
          <w:pPr>
            <w:pStyle w:val="TOC2"/>
            <w:tabs>
              <w:tab w:val="right" w:leader="dot" w:pos="9350"/>
            </w:tabs>
            <w:spacing w:line="360" w:lineRule="auto"/>
            <w:jc w:val="both"/>
            <w:rPr>
              <w:rFonts w:eastAsiaTheme="minorEastAsia"/>
              <w:noProof/>
              <w:sz w:val="24"/>
              <w:szCs w:val="24"/>
              <w:lang w:val="en-IN"/>
            </w:rPr>
          </w:pPr>
          <w:hyperlink w:anchor="_Toc227952652" w:history="1">
            <w:r w:rsidR="00BF33C2" w:rsidRPr="00232473">
              <w:rPr>
                <w:rStyle w:val="Hyperlink"/>
                <w:noProof/>
                <w:sz w:val="24"/>
                <w:szCs w:val="24"/>
              </w:rPr>
              <w:t>Impact on Public Health</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_Toc227952652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10</w:t>
            </w:r>
            <w:r w:rsidRPr="00232473">
              <w:rPr>
                <w:noProof/>
                <w:webHidden/>
                <w:sz w:val="24"/>
                <w:szCs w:val="24"/>
              </w:rPr>
              <w:fldChar w:fldCharType="end"/>
            </w:r>
          </w:hyperlink>
        </w:p>
        <w:p w:rsidR="00BF33C2" w:rsidRPr="00232473" w:rsidRDefault="0079170D" w:rsidP="00DB3401">
          <w:pPr>
            <w:pStyle w:val="TOC2"/>
            <w:tabs>
              <w:tab w:val="right" w:leader="dot" w:pos="9350"/>
            </w:tabs>
            <w:spacing w:line="360" w:lineRule="auto"/>
            <w:jc w:val="both"/>
            <w:rPr>
              <w:rFonts w:eastAsiaTheme="minorEastAsia"/>
              <w:noProof/>
              <w:sz w:val="24"/>
              <w:szCs w:val="24"/>
              <w:lang w:val="en-IN"/>
            </w:rPr>
          </w:pPr>
          <w:hyperlink w:anchor="_Toc227952653" w:history="1">
            <w:r w:rsidR="00BF33C2" w:rsidRPr="00232473">
              <w:rPr>
                <w:rStyle w:val="Hyperlink"/>
                <w:noProof/>
                <w:sz w:val="24"/>
                <w:szCs w:val="24"/>
              </w:rPr>
              <w:t>Intervention Programmes and their Evaluation</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_Toc227952653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11</w:t>
            </w:r>
            <w:r w:rsidRPr="00232473">
              <w:rPr>
                <w:noProof/>
                <w:webHidden/>
                <w:sz w:val="24"/>
                <w:szCs w:val="24"/>
              </w:rPr>
              <w:fldChar w:fldCharType="end"/>
            </w:r>
          </w:hyperlink>
        </w:p>
        <w:p w:rsidR="00BF33C2" w:rsidRPr="00232473" w:rsidRDefault="0079170D" w:rsidP="00DB3401">
          <w:pPr>
            <w:pStyle w:val="TOC2"/>
            <w:tabs>
              <w:tab w:val="right" w:leader="dot" w:pos="9350"/>
            </w:tabs>
            <w:spacing w:line="360" w:lineRule="auto"/>
            <w:jc w:val="both"/>
            <w:rPr>
              <w:rFonts w:eastAsiaTheme="minorEastAsia"/>
              <w:noProof/>
              <w:sz w:val="24"/>
              <w:szCs w:val="24"/>
              <w:lang w:val="en-IN"/>
            </w:rPr>
          </w:pPr>
          <w:hyperlink w:anchor="_Toc227952654" w:history="1">
            <w:r w:rsidR="00BF33C2" w:rsidRPr="00232473">
              <w:rPr>
                <w:rStyle w:val="Hyperlink"/>
                <w:noProof/>
                <w:sz w:val="24"/>
                <w:szCs w:val="24"/>
              </w:rPr>
              <w:t>Strengths and Weaknesses of the Epidemiological Approach</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_Toc227952654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11</w:t>
            </w:r>
            <w:r w:rsidRPr="00232473">
              <w:rPr>
                <w:noProof/>
                <w:webHidden/>
                <w:sz w:val="24"/>
                <w:szCs w:val="24"/>
              </w:rPr>
              <w:fldChar w:fldCharType="end"/>
            </w:r>
          </w:hyperlink>
        </w:p>
        <w:p w:rsidR="00BF33C2" w:rsidRPr="00232473" w:rsidRDefault="0079170D" w:rsidP="00DB3401">
          <w:pPr>
            <w:pStyle w:val="TOC2"/>
            <w:tabs>
              <w:tab w:val="right" w:leader="dot" w:pos="9350"/>
            </w:tabs>
            <w:spacing w:line="360" w:lineRule="auto"/>
            <w:jc w:val="both"/>
            <w:rPr>
              <w:rFonts w:eastAsiaTheme="minorEastAsia"/>
              <w:noProof/>
              <w:sz w:val="24"/>
              <w:szCs w:val="24"/>
              <w:lang w:val="en-IN"/>
            </w:rPr>
          </w:pPr>
          <w:hyperlink w:anchor="_Toc227952655" w:history="1">
            <w:r w:rsidR="00BF33C2" w:rsidRPr="00232473">
              <w:rPr>
                <w:rStyle w:val="Hyperlink"/>
                <w:noProof/>
                <w:sz w:val="24"/>
                <w:szCs w:val="24"/>
              </w:rPr>
              <w:t>Conclusion</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_Toc227952655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12</w:t>
            </w:r>
            <w:r w:rsidRPr="00232473">
              <w:rPr>
                <w:noProof/>
                <w:webHidden/>
                <w:sz w:val="24"/>
                <w:szCs w:val="24"/>
              </w:rPr>
              <w:fldChar w:fldCharType="end"/>
            </w:r>
          </w:hyperlink>
        </w:p>
        <w:p w:rsidR="00BF33C2" w:rsidRPr="00232473" w:rsidRDefault="0079170D" w:rsidP="00DB3401">
          <w:pPr>
            <w:pStyle w:val="TOC1"/>
            <w:tabs>
              <w:tab w:val="right" w:leader="dot" w:pos="9350"/>
            </w:tabs>
            <w:spacing w:line="360" w:lineRule="auto"/>
            <w:jc w:val="both"/>
            <w:rPr>
              <w:rFonts w:eastAsiaTheme="minorEastAsia"/>
              <w:noProof/>
              <w:lang w:val="en-IN"/>
            </w:rPr>
          </w:pPr>
          <w:hyperlink w:anchor="_Toc227952656" w:history="1">
            <w:r w:rsidR="00BF33C2" w:rsidRPr="00232473">
              <w:rPr>
                <w:rStyle w:val="Hyperlink"/>
                <w:noProof/>
                <w:sz w:val="24"/>
                <w:szCs w:val="24"/>
              </w:rPr>
              <w:t>References</w:t>
            </w:r>
            <w:r w:rsidR="00BF33C2" w:rsidRPr="00232473">
              <w:rPr>
                <w:noProof/>
                <w:webHidden/>
                <w:sz w:val="24"/>
                <w:szCs w:val="24"/>
              </w:rPr>
              <w:tab/>
            </w:r>
            <w:r w:rsidRPr="00232473">
              <w:rPr>
                <w:noProof/>
                <w:webHidden/>
                <w:sz w:val="24"/>
                <w:szCs w:val="24"/>
              </w:rPr>
              <w:fldChar w:fldCharType="begin"/>
            </w:r>
            <w:r w:rsidR="00BF33C2" w:rsidRPr="00232473">
              <w:rPr>
                <w:noProof/>
                <w:webHidden/>
                <w:sz w:val="24"/>
                <w:szCs w:val="24"/>
              </w:rPr>
              <w:instrText xml:space="preserve"> PAGEREF _Toc227952656 \h </w:instrText>
            </w:r>
            <w:r w:rsidRPr="00232473">
              <w:rPr>
                <w:noProof/>
                <w:webHidden/>
                <w:sz w:val="24"/>
                <w:szCs w:val="24"/>
              </w:rPr>
            </w:r>
            <w:r w:rsidRPr="00232473">
              <w:rPr>
                <w:noProof/>
                <w:webHidden/>
                <w:sz w:val="24"/>
                <w:szCs w:val="24"/>
              </w:rPr>
              <w:fldChar w:fldCharType="separate"/>
            </w:r>
            <w:r w:rsidR="004901C2" w:rsidRPr="00232473">
              <w:rPr>
                <w:noProof/>
                <w:webHidden/>
                <w:sz w:val="24"/>
                <w:szCs w:val="24"/>
              </w:rPr>
              <w:t>13</w:t>
            </w:r>
            <w:r w:rsidRPr="00232473">
              <w:rPr>
                <w:noProof/>
                <w:webHidden/>
                <w:sz w:val="24"/>
                <w:szCs w:val="24"/>
              </w:rPr>
              <w:fldChar w:fldCharType="end"/>
            </w:r>
          </w:hyperlink>
        </w:p>
        <w:p w:rsidR="00867A15" w:rsidRPr="00232473" w:rsidRDefault="0079170D" w:rsidP="00DB3401">
          <w:pPr>
            <w:spacing w:line="360" w:lineRule="auto"/>
            <w:jc w:val="both"/>
          </w:pPr>
          <w:r w:rsidRPr="00232473">
            <w:rPr>
              <w:b/>
              <w:bCs/>
              <w:noProof/>
              <w:sz w:val="24"/>
              <w:szCs w:val="24"/>
            </w:rPr>
            <w:fldChar w:fldCharType="end"/>
          </w:r>
        </w:p>
      </w:sdtContent>
    </w:sdt>
    <w:p w:rsidR="00D937BD" w:rsidRPr="00232473" w:rsidRDefault="00AB15B0">
      <w:pPr>
        <w:rPr>
          <w:rFonts w:eastAsia="Times New Roman"/>
          <w:b/>
          <w:bCs/>
          <w:sz w:val="24"/>
          <w:szCs w:val="24"/>
        </w:rPr>
      </w:pPr>
      <w:bookmarkStart w:id="0" w:name="_GoBack"/>
      <w:bookmarkEnd w:id="0"/>
      <w:r w:rsidRPr="00232473">
        <w:rPr>
          <w:rFonts w:eastAsia="Times New Roman"/>
          <w:b/>
          <w:bCs/>
          <w:sz w:val="24"/>
          <w:szCs w:val="24"/>
        </w:rPr>
        <w:br w:type="page"/>
      </w:r>
    </w:p>
    <w:p w:rsidR="00795395" w:rsidRPr="007A6957" w:rsidRDefault="00AB15B0" w:rsidP="00232473">
      <w:pPr>
        <w:pStyle w:val="NormalWeb"/>
        <w:rPr>
          <w:rFonts w:ascii="Arial" w:hAnsi="Arial" w:cs="Arial"/>
          <w:sz w:val="28"/>
          <w:szCs w:val="28"/>
        </w:rPr>
      </w:pPr>
      <w:bookmarkStart w:id="1" w:name="_Toc227952637"/>
      <w:r w:rsidRPr="007A6957">
        <w:rPr>
          <w:rFonts w:ascii="Arial" w:hAnsi="Arial" w:cs="Arial"/>
          <w:sz w:val="28"/>
          <w:szCs w:val="28"/>
        </w:rPr>
        <w:lastRenderedPageBreak/>
        <w:t xml:space="preserve">Task 1: </w:t>
      </w:r>
      <w:bookmarkEnd w:id="1"/>
      <w:r w:rsidR="00232473" w:rsidRPr="007A6957">
        <w:rPr>
          <w:rStyle w:val="Strong"/>
          <w:rFonts w:ascii="Arial" w:hAnsi="Arial" w:cs="Arial"/>
          <w:sz w:val="28"/>
          <w:szCs w:val="28"/>
        </w:rPr>
        <w:t>Disability and Health Inequality in the UK: A Social Epidemiological Analysis</w:t>
      </w:r>
    </w:p>
    <w:p w:rsidR="00795395" w:rsidRPr="00232473" w:rsidRDefault="00AB15B0" w:rsidP="00D937BD">
      <w:pPr>
        <w:pStyle w:val="Heading2"/>
        <w:rPr>
          <w:rFonts w:ascii="Arial" w:hAnsi="Arial"/>
        </w:rPr>
      </w:pPr>
      <w:bookmarkStart w:id="2" w:name="_Toc227952638"/>
      <w:r w:rsidRPr="00232473">
        <w:rPr>
          <w:rFonts w:ascii="Arial" w:hAnsi="Arial"/>
        </w:rPr>
        <w:t>Introduction</w:t>
      </w:r>
      <w:bookmarkEnd w:id="2"/>
      <w:r w:rsidRPr="00232473">
        <w:rPr>
          <w:rFonts w:ascii="Arial" w:hAnsi="Arial"/>
        </w:rPr>
        <w:t xml:space="preserve"> </w:t>
      </w:r>
    </w:p>
    <w:p w:rsidR="00795395" w:rsidRPr="00232473" w:rsidRDefault="00AB15B0">
      <w:pPr>
        <w:spacing w:line="360" w:lineRule="auto"/>
        <w:jc w:val="both"/>
        <w:rPr>
          <w:rFonts w:eastAsia="Times New Roman"/>
          <w:b/>
          <w:bCs/>
          <w:sz w:val="24"/>
          <w:szCs w:val="24"/>
        </w:rPr>
      </w:pPr>
      <w:r w:rsidRPr="00232473">
        <w:rPr>
          <w:rFonts w:eastAsia="Times New Roman"/>
          <w:sz w:val="24"/>
          <w:szCs w:val="24"/>
        </w:rPr>
        <w:t xml:space="preserve">The chosen target group are the adults with physical disabilities in the UK who tend to experience substantial inequalities in healthcare, defined as unfair and avoidable differences in health outcomes among population groups. Two longitudinal studies have revealed that the acquisition of disability has posed a lasting detrimental impact on the life satisfaction and happiness in British and German citizens (Aitken </w:t>
      </w:r>
      <w:r w:rsidRPr="00232473">
        <w:rPr>
          <w:rFonts w:eastAsia="Times New Roman"/>
          <w:i/>
          <w:iCs/>
          <w:sz w:val="24"/>
          <w:szCs w:val="24"/>
        </w:rPr>
        <w:t xml:space="preserve">et al., </w:t>
      </w:r>
      <w:r w:rsidRPr="00232473">
        <w:rPr>
          <w:rFonts w:eastAsia="Times New Roman"/>
          <w:sz w:val="24"/>
          <w:szCs w:val="24"/>
        </w:rPr>
        <w:t xml:space="preserve">2022), revealing the underlying reasons surrounding unequal resource access, healthcare and social participation </w:t>
      </w:r>
      <w:r w:rsidR="007A6957" w:rsidRPr="00232473">
        <w:rPr>
          <w:rFonts w:eastAsia="Times New Roman"/>
          <w:sz w:val="24"/>
          <w:szCs w:val="24"/>
        </w:rPr>
        <w:t>fuelling</w:t>
      </w:r>
      <w:r w:rsidRPr="00232473">
        <w:rPr>
          <w:rFonts w:eastAsia="Times New Roman"/>
          <w:sz w:val="24"/>
          <w:szCs w:val="24"/>
        </w:rPr>
        <w:t xml:space="preserve"> these inequalities. People with disabilities have a higher likelihood of facing barriers in accessing healthcare (Kuper </w:t>
      </w:r>
      <w:r w:rsidRPr="00232473">
        <w:rPr>
          <w:rFonts w:eastAsia="Times New Roman"/>
          <w:i/>
          <w:iCs/>
          <w:sz w:val="24"/>
          <w:szCs w:val="24"/>
        </w:rPr>
        <w:t xml:space="preserve">et al., </w:t>
      </w:r>
      <w:r w:rsidRPr="00232473">
        <w:rPr>
          <w:rFonts w:eastAsia="Times New Roman"/>
          <w:sz w:val="24"/>
          <w:szCs w:val="24"/>
        </w:rPr>
        <w:t xml:space="preserve">2024), including exclusion and poverty, adding to health risks. As a result, disability tends to become closely associated with broader social determinants, causing higher rates of preventable illness and poorer overall health consequences. </w:t>
      </w:r>
    </w:p>
    <w:p w:rsidR="00795395" w:rsidRPr="00232473" w:rsidRDefault="00AB15B0" w:rsidP="00D937BD">
      <w:pPr>
        <w:pStyle w:val="Heading2"/>
        <w:rPr>
          <w:rFonts w:ascii="Arial" w:hAnsi="Arial"/>
        </w:rPr>
      </w:pPr>
      <w:bookmarkStart w:id="3" w:name="_Toc227952639"/>
      <w:r w:rsidRPr="00232473">
        <w:rPr>
          <w:rFonts w:ascii="Arial" w:hAnsi="Arial"/>
        </w:rPr>
        <w:t>Contextual Background and Underlying Factors</w:t>
      </w:r>
      <w:bookmarkEnd w:id="3"/>
      <w:r w:rsidRPr="00232473">
        <w:rPr>
          <w:rFonts w:ascii="Arial" w:hAnsi="Arial"/>
        </w:rPr>
        <w:t xml:space="preserve"> </w:t>
      </w:r>
    </w:p>
    <w:p w:rsidR="00795395" w:rsidRPr="00232473" w:rsidRDefault="00AB15B0" w:rsidP="00115D44">
      <w:pPr>
        <w:pStyle w:val="Heading3"/>
        <w:rPr>
          <w:rFonts w:ascii="Arial" w:hAnsi="Arial"/>
          <w:b w:val="0"/>
        </w:rPr>
      </w:pPr>
      <w:bookmarkStart w:id="4" w:name="_Toc227952640"/>
      <w:r w:rsidRPr="00232473">
        <w:rPr>
          <w:rFonts w:ascii="Arial" w:hAnsi="Arial"/>
        </w:rPr>
        <w:t>Diseases</w:t>
      </w:r>
      <w:bookmarkEnd w:id="4"/>
      <w:r w:rsidRPr="00232473">
        <w:rPr>
          <w:rFonts w:ascii="Arial" w:hAnsi="Arial"/>
        </w:rPr>
        <w:t xml:space="preserve"> </w:t>
      </w:r>
    </w:p>
    <w:p w:rsidR="00795395" w:rsidRPr="00232473" w:rsidRDefault="00D24691">
      <w:pPr>
        <w:spacing w:line="360" w:lineRule="auto"/>
        <w:jc w:val="both"/>
        <w:rPr>
          <w:rFonts w:eastAsia="Times New Roman"/>
          <w:b/>
          <w:bCs/>
          <w:sz w:val="24"/>
          <w:szCs w:val="24"/>
        </w:rPr>
      </w:pPr>
      <w:r>
        <w:rPr>
          <w:rFonts w:eastAsia="Times New Roman"/>
          <w:b/>
          <w:bCs/>
          <w:sz w:val="24"/>
          <w:szCs w:val="24"/>
        </w:rPr>
        <w:t xml:space="preserve">1. </w:t>
      </w:r>
      <w:r>
        <w:rPr>
          <w:rStyle w:val="Strong"/>
        </w:rPr>
        <w:t>Higher Prevalence of Type 2 Diabetes among Disabled Adults</w:t>
      </w:r>
    </w:p>
    <w:p w:rsidR="00795395" w:rsidRPr="00232473" w:rsidRDefault="00AB15B0">
      <w:pPr>
        <w:spacing w:line="360" w:lineRule="auto"/>
        <w:jc w:val="both"/>
        <w:rPr>
          <w:rFonts w:eastAsia="Times New Roman"/>
          <w:sz w:val="24"/>
          <w:szCs w:val="24"/>
        </w:rPr>
      </w:pPr>
      <w:r w:rsidRPr="00232473">
        <w:rPr>
          <w:rFonts w:eastAsia="Times New Roman"/>
          <w:sz w:val="24"/>
          <w:szCs w:val="24"/>
        </w:rPr>
        <w:t>This is more prevalent among adults with physical disabilities, mainly due to structural barriers instead of individual lifestyle alone. A 2023 survey found that nearly 37.7% (4 in 10 households with a disabled adult) face food insecurity, compared with 13.3% (1 in 10 households without disability) (Foodfoundation, 2026).</w:t>
      </w:r>
    </w:p>
    <w:p w:rsidR="00795395" w:rsidRPr="00232473" w:rsidRDefault="00AB15B0">
      <w:pPr>
        <w:spacing w:line="360" w:lineRule="auto"/>
        <w:jc w:val="center"/>
        <w:rPr>
          <w:rFonts w:eastAsia="Times New Roman"/>
          <w:sz w:val="24"/>
          <w:szCs w:val="24"/>
        </w:rPr>
      </w:pPr>
      <w:r w:rsidRPr="00232473">
        <w:rPr>
          <w:rFonts w:eastAsia="Times New Roman"/>
          <w:noProof/>
          <w:sz w:val="24"/>
          <w:szCs w:val="24"/>
          <w:lang w:val="en-US" w:eastAsia="en-US"/>
        </w:rPr>
        <w:lastRenderedPageBreak/>
        <w:drawing>
          <wp:inline distT="114300" distB="114300" distL="114300" distR="114300">
            <wp:extent cx="4619625" cy="339000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stretch>
                      <a:fillRect/>
                    </a:stretch>
                  </pic:blipFill>
                  <pic:spPr>
                    <a:xfrm>
                      <a:off x="0" y="0"/>
                      <a:ext cx="4619625" cy="3390002"/>
                    </a:xfrm>
                    <a:prstGeom prst="rect">
                      <a:avLst/>
                    </a:prstGeom>
                  </pic:spPr>
                </pic:pic>
              </a:graphicData>
            </a:graphic>
          </wp:inline>
        </w:drawing>
      </w:r>
    </w:p>
    <w:p w:rsidR="00795395" w:rsidRPr="00232473" w:rsidRDefault="00AB15B0">
      <w:pPr>
        <w:spacing w:line="360" w:lineRule="auto"/>
        <w:jc w:val="center"/>
        <w:rPr>
          <w:rFonts w:eastAsia="Times New Roman"/>
          <w:b/>
          <w:bCs/>
          <w:sz w:val="24"/>
          <w:szCs w:val="24"/>
        </w:rPr>
      </w:pPr>
      <w:r w:rsidRPr="00232473">
        <w:rPr>
          <w:rFonts w:eastAsia="Times New Roman"/>
          <w:b/>
          <w:bCs/>
          <w:sz w:val="24"/>
          <w:szCs w:val="24"/>
        </w:rPr>
        <w:t>Figure 1: Households that experience food insecurity depending on disability levels</w:t>
      </w:r>
    </w:p>
    <w:p w:rsidR="00795395" w:rsidRPr="00232473" w:rsidRDefault="00AB15B0">
      <w:pPr>
        <w:spacing w:line="360" w:lineRule="auto"/>
        <w:jc w:val="center"/>
        <w:rPr>
          <w:rFonts w:eastAsia="Times New Roman"/>
          <w:sz w:val="24"/>
          <w:szCs w:val="24"/>
        </w:rPr>
      </w:pPr>
      <w:r w:rsidRPr="00232473">
        <w:rPr>
          <w:rFonts w:eastAsia="Times New Roman"/>
          <w:sz w:val="24"/>
          <w:szCs w:val="24"/>
        </w:rPr>
        <w:t xml:space="preserve">(Source: </w:t>
      </w:r>
      <w:r w:rsidR="00D24691" w:rsidRPr="00232473">
        <w:rPr>
          <w:rFonts w:eastAsia="Times New Roman"/>
          <w:sz w:val="24"/>
          <w:szCs w:val="24"/>
        </w:rPr>
        <w:t>Food foundation</w:t>
      </w:r>
      <w:r w:rsidRPr="00232473">
        <w:rPr>
          <w:rFonts w:eastAsia="Times New Roman"/>
          <w:sz w:val="24"/>
          <w:szCs w:val="24"/>
        </w:rPr>
        <w:t>, 2026)</w:t>
      </w:r>
    </w:p>
    <w:p w:rsidR="00795395" w:rsidRDefault="00AB15B0">
      <w:pPr>
        <w:spacing w:line="360" w:lineRule="auto"/>
        <w:jc w:val="both"/>
        <w:rPr>
          <w:rFonts w:eastAsia="Times New Roman"/>
          <w:sz w:val="24"/>
          <w:szCs w:val="24"/>
        </w:rPr>
      </w:pPr>
      <w:r w:rsidRPr="00232473">
        <w:rPr>
          <w:rFonts w:eastAsia="Times New Roman"/>
          <w:sz w:val="24"/>
          <w:szCs w:val="24"/>
        </w:rPr>
        <w:t xml:space="preserve">As a result, constrained food choices due to low-income settings combined with limited access to physical activity increase the risk of developing Type 2 diabetes. </w:t>
      </w:r>
    </w:p>
    <w:p w:rsidR="00843EF9" w:rsidRPr="00232473" w:rsidRDefault="00843EF9">
      <w:pPr>
        <w:spacing w:line="360" w:lineRule="auto"/>
        <w:jc w:val="both"/>
        <w:rPr>
          <w:rFonts w:eastAsia="Times New Roman"/>
          <w:sz w:val="24"/>
          <w:szCs w:val="24"/>
        </w:rPr>
      </w:pPr>
    </w:p>
    <w:p w:rsidR="00D24691" w:rsidRPr="00D24691" w:rsidRDefault="00AB15B0">
      <w:pPr>
        <w:spacing w:line="360" w:lineRule="auto"/>
        <w:jc w:val="both"/>
        <w:rPr>
          <w:b/>
        </w:rPr>
      </w:pPr>
      <w:r w:rsidRPr="00232473">
        <w:rPr>
          <w:rFonts w:eastAsia="Times New Roman"/>
          <w:b/>
          <w:bCs/>
          <w:sz w:val="24"/>
          <w:szCs w:val="24"/>
        </w:rPr>
        <w:t xml:space="preserve">2. </w:t>
      </w:r>
      <w:r w:rsidR="00D24691" w:rsidRPr="00D24691">
        <w:rPr>
          <w:b/>
        </w:rPr>
        <w:t>Increased Rates of Depression and Anxiety among Disabled Adults</w:t>
      </w:r>
    </w:p>
    <w:p w:rsidR="00795395" w:rsidRDefault="00AB15B0">
      <w:pPr>
        <w:spacing w:line="360" w:lineRule="auto"/>
        <w:jc w:val="both"/>
        <w:rPr>
          <w:rFonts w:eastAsia="Times New Roman"/>
          <w:sz w:val="24"/>
          <w:szCs w:val="24"/>
        </w:rPr>
      </w:pPr>
      <w:r w:rsidRPr="00232473">
        <w:rPr>
          <w:rFonts w:eastAsia="Times New Roman"/>
          <w:sz w:val="24"/>
          <w:szCs w:val="24"/>
        </w:rPr>
        <w:t xml:space="preserve">Disabled individuals are more prone towards developing these disorders, which reflects ongoing social exclusion rather than clinical vulnerability in a pure sense. Disabled people tend to experience higher rates of violence and crime, which includes domestic and intimate violence, child abuse, bullying and hate crime (Hollomotz </w:t>
      </w:r>
      <w:r w:rsidRPr="00232473">
        <w:rPr>
          <w:rFonts w:eastAsia="Times New Roman"/>
          <w:i/>
          <w:iCs/>
          <w:sz w:val="24"/>
          <w:szCs w:val="24"/>
        </w:rPr>
        <w:t xml:space="preserve">et al., </w:t>
      </w:r>
      <w:r w:rsidRPr="00232473">
        <w:rPr>
          <w:rFonts w:eastAsia="Times New Roman"/>
          <w:sz w:val="24"/>
          <w:szCs w:val="24"/>
        </w:rPr>
        <w:t>2025), which contribute to chronic psychological stress. Despite the availability of mental health services, appropriate personalisation suited to the individual's needs is lacking. This suggests that current approaches are more focused on treatment instead of addressing underlying social circumstances that affect mental health inequalities.</w:t>
      </w:r>
    </w:p>
    <w:p w:rsidR="00843EF9" w:rsidRDefault="00843EF9">
      <w:pPr>
        <w:spacing w:line="360" w:lineRule="auto"/>
        <w:jc w:val="both"/>
        <w:rPr>
          <w:rFonts w:eastAsia="Times New Roman"/>
          <w:sz w:val="24"/>
          <w:szCs w:val="24"/>
        </w:rPr>
      </w:pPr>
    </w:p>
    <w:p w:rsidR="00843EF9" w:rsidRDefault="00843EF9">
      <w:pPr>
        <w:spacing w:line="360" w:lineRule="auto"/>
        <w:jc w:val="both"/>
        <w:rPr>
          <w:rFonts w:eastAsia="Times New Roman"/>
          <w:sz w:val="24"/>
          <w:szCs w:val="24"/>
        </w:rPr>
      </w:pPr>
    </w:p>
    <w:p w:rsidR="00843EF9" w:rsidRPr="00232473" w:rsidRDefault="00843EF9">
      <w:pPr>
        <w:spacing w:line="360" w:lineRule="auto"/>
        <w:jc w:val="both"/>
        <w:rPr>
          <w:rFonts w:eastAsia="Times New Roman"/>
          <w:sz w:val="24"/>
          <w:szCs w:val="24"/>
        </w:rPr>
      </w:pPr>
    </w:p>
    <w:p w:rsidR="00795395" w:rsidRPr="00232473" w:rsidRDefault="00AB15B0">
      <w:pPr>
        <w:spacing w:line="360" w:lineRule="auto"/>
        <w:jc w:val="both"/>
        <w:rPr>
          <w:rFonts w:eastAsia="Times New Roman"/>
          <w:b/>
          <w:bCs/>
          <w:sz w:val="24"/>
          <w:szCs w:val="24"/>
        </w:rPr>
      </w:pPr>
      <w:r w:rsidRPr="00232473">
        <w:rPr>
          <w:rFonts w:eastAsia="Times New Roman"/>
          <w:b/>
          <w:bCs/>
          <w:sz w:val="24"/>
          <w:szCs w:val="24"/>
        </w:rPr>
        <w:lastRenderedPageBreak/>
        <w:t xml:space="preserve">3. </w:t>
      </w:r>
      <w:r w:rsidR="00D24691" w:rsidRPr="00D24691">
        <w:rPr>
          <w:b/>
        </w:rPr>
        <w:t>Higher Risk of Obesity among Disabled Adults</w:t>
      </w:r>
    </w:p>
    <w:p w:rsidR="00795395" w:rsidRDefault="00AB15B0">
      <w:pPr>
        <w:spacing w:line="360" w:lineRule="auto"/>
        <w:jc w:val="both"/>
        <w:rPr>
          <w:rFonts w:eastAsia="Times New Roman"/>
          <w:sz w:val="24"/>
          <w:szCs w:val="24"/>
        </w:rPr>
      </w:pPr>
      <w:r w:rsidRPr="00232473">
        <w:rPr>
          <w:rFonts w:eastAsia="Times New Roman"/>
          <w:sz w:val="24"/>
          <w:szCs w:val="24"/>
        </w:rPr>
        <w:t>Disabled people have claimed to experience overstimulation in exercise facilities, including pools and gyms, which have undermined engagement opportunities and access, and have also referred to physical design barriers in buildings (Ons, 2026). All these aspects have restricted movement and discouraged people from taking part in engaging and physical activities, contributing to obesity by restricting opportunities for maintaining a healthy lifestyle. The food prices have again gone upwards in the UK, which has led to disabled people settling for a poor-quality, affordable diet, containing ultra-processed foods with high unhealthy fats, sugar and salt content (Disabilityrightsuk, 2026), which might seriously worsen health and might increase obesity risks.</w:t>
      </w:r>
    </w:p>
    <w:p w:rsidR="00843EF9" w:rsidRPr="00232473" w:rsidRDefault="00843EF9">
      <w:pPr>
        <w:spacing w:line="360" w:lineRule="auto"/>
        <w:jc w:val="both"/>
        <w:rPr>
          <w:rFonts w:eastAsia="Times New Roman"/>
          <w:sz w:val="24"/>
          <w:szCs w:val="24"/>
        </w:rPr>
      </w:pPr>
    </w:p>
    <w:p w:rsidR="00795395" w:rsidRPr="00232473" w:rsidRDefault="00AB15B0" w:rsidP="009F6AE0">
      <w:pPr>
        <w:pStyle w:val="Heading3"/>
        <w:rPr>
          <w:rFonts w:ascii="Arial" w:hAnsi="Arial"/>
        </w:rPr>
      </w:pPr>
      <w:bookmarkStart w:id="5" w:name="_Toc227952641"/>
      <w:r w:rsidRPr="00232473">
        <w:rPr>
          <w:rFonts w:ascii="Arial" w:hAnsi="Arial"/>
        </w:rPr>
        <w:t>Social Issues</w:t>
      </w:r>
      <w:bookmarkEnd w:id="5"/>
      <w:r w:rsidRPr="00232473">
        <w:rPr>
          <w:rFonts w:ascii="Arial" w:hAnsi="Arial"/>
        </w:rPr>
        <w:t xml:space="preserve"> </w:t>
      </w:r>
    </w:p>
    <w:p w:rsidR="00795395" w:rsidRPr="00232473" w:rsidRDefault="00AB15B0">
      <w:pPr>
        <w:spacing w:line="360" w:lineRule="auto"/>
        <w:jc w:val="both"/>
        <w:rPr>
          <w:rFonts w:eastAsia="Times New Roman"/>
          <w:b/>
          <w:bCs/>
          <w:sz w:val="24"/>
          <w:szCs w:val="24"/>
        </w:rPr>
      </w:pPr>
      <w:r w:rsidRPr="00232473">
        <w:rPr>
          <w:rFonts w:eastAsia="Times New Roman"/>
          <w:b/>
          <w:bCs/>
          <w:sz w:val="24"/>
          <w:szCs w:val="24"/>
        </w:rPr>
        <w:t xml:space="preserve">1. </w:t>
      </w:r>
      <w:r w:rsidR="00D24691">
        <w:rPr>
          <w:rStyle w:val="Strong"/>
        </w:rPr>
        <w:t>Barriers to Healthcare Access for Disabled Adults</w:t>
      </w:r>
    </w:p>
    <w:p w:rsidR="00795395" w:rsidRDefault="00AB15B0">
      <w:pPr>
        <w:spacing w:line="360" w:lineRule="auto"/>
        <w:jc w:val="both"/>
        <w:rPr>
          <w:rFonts w:eastAsia="Times New Roman"/>
          <w:sz w:val="24"/>
          <w:szCs w:val="24"/>
        </w:rPr>
      </w:pPr>
      <w:r w:rsidRPr="00232473">
        <w:rPr>
          <w:rFonts w:eastAsia="Times New Roman"/>
          <w:sz w:val="24"/>
          <w:szCs w:val="24"/>
        </w:rPr>
        <w:t>This remains a major contributor to health inequality for disabled individuals. Communication challenges, physical inaccessibility and absence of appropriate support often lead to delay in diagnosis and treatment, further leading to advanced disease stages and negative outcomes. A 45-year-old disabled man had died after having to wait for 34 hours for an intravenous (IV) antibiotic for a urine infection, which was mainly due to communication difficulties with the staff regarding the treatment needs due to the disability (Ombudsman, 2026). This is an important instance showing the inconsistent implementation of health policies for equal healthcare access.</w:t>
      </w:r>
    </w:p>
    <w:p w:rsidR="00843EF9" w:rsidRDefault="00843EF9">
      <w:pPr>
        <w:spacing w:line="360" w:lineRule="auto"/>
        <w:jc w:val="both"/>
        <w:rPr>
          <w:rFonts w:eastAsia="Times New Roman"/>
          <w:sz w:val="24"/>
          <w:szCs w:val="24"/>
        </w:rPr>
      </w:pPr>
    </w:p>
    <w:p w:rsidR="00843EF9" w:rsidRPr="00232473" w:rsidRDefault="00843EF9">
      <w:pPr>
        <w:spacing w:line="360" w:lineRule="auto"/>
        <w:jc w:val="both"/>
        <w:rPr>
          <w:rFonts w:eastAsia="Times New Roman"/>
          <w:sz w:val="24"/>
          <w:szCs w:val="24"/>
        </w:rPr>
      </w:pPr>
    </w:p>
    <w:p w:rsidR="00795395" w:rsidRPr="00D24691" w:rsidRDefault="00AB15B0">
      <w:pPr>
        <w:spacing w:line="360" w:lineRule="auto"/>
        <w:jc w:val="both"/>
        <w:rPr>
          <w:rFonts w:eastAsia="Times New Roman"/>
          <w:b/>
          <w:bCs/>
          <w:sz w:val="24"/>
          <w:szCs w:val="24"/>
        </w:rPr>
      </w:pPr>
      <w:r w:rsidRPr="00232473">
        <w:rPr>
          <w:rFonts w:eastAsia="Times New Roman"/>
          <w:b/>
          <w:bCs/>
          <w:sz w:val="24"/>
          <w:szCs w:val="24"/>
        </w:rPr>
        <w:t xml:space="preserve">2. </w:t>
      </w:r>
      <w:r w:rsidR="00D24691" w:rsidRPr="00D24691">
        <w:rPr>
          <w:b/>
        </w:rPr>
        <w:t>Unemployment and Economic Exclusion among Disabled Adults</w:t>
      </w:r>
    </w:p>
    <w:p w:rsidR="00795395" w:rsidRPr="00232473" w:rsidRDefault="00AB15B0">
      <w:pPr>
        <w:spacing w:line="360" w:lineRule="auto"/>
        <w:jc w:val="both"/>
        <w:rPr>
          <w:rFonts w:eastAsia="Times New Roman"/>
          <w:sz w:val="24"/>
          <w:szCs w:val="24"/>
        </w:rPr>
      </w:pPr>
      <w:r w:rsidRPr="00232473">
        <w:rPr>
          <w:rFonts w:eastAsia="Times New Roman"/>
          <w:sz w:val="24"/>
          <w:szCs w:val="24"/>
        </w:rPr>
        <w:t>Higher unemployment rates among disabled people directly affect health by a reduction in income and limited resource access. It has been observed that disabled people in the UK have a lower likelihood of getting employed as compared to the non-disabled population at all levels of qualification (Gov, 2026).</w:t>
      </w:r>
    </w:p>
    <w:p w:rsidR="00795395" w:rsidRPr="00232473" w:rsidRDefault="00AB15B0">
      <w:pPr>
        <w:spacing w:line="360" w:lineRule="auto"/>
        <w:jc w:val="center"/>
        <w:rPr>
          <w:rFonts w:eastAsia="Times New Roman"/>
          <w:sz w:val="24"/>
          <w:szCs w:val="24"/>
        </w:rPr>
      </w:pPr>
      <w:r w:rsidRPr="00232473">
        <w:rPr>
          <w:rFonts w:eastAsia="Times New Roman"/>
          <w:noProof/>
          <w:sz w:val="24"/>
          <w:szCs w:val="24"/>
          <w:lang w:val="en-US" w:eastAsia="en-US"/>
        </w:rPr>
        <w:lastRenderedPageBreak/>
        <w:drawing>
          <wp:inline distT="114300" distB="114300" distL="114300" distR="114300">
            <wp:extent cx="3884691" cy="2318657"/>
            <wp:effectExtent l="0" t="0" r="1905" b="5715"/>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9" cstate="print"/>
                    <a:stretch>
                      <a:fillRect/>
                    </a:stretch>
                  </pic:blipFill>
                  <pic:spPr>
                    <a:xfrm>
                      <a:off x="0" y="0"/>
                      <a:ext cx="3901881" cy="2328917"/>
                    </a:xfrm>
                    <a:prstGeom prst="rect">
                      <a:avLst/>
                    </a:prstGeom>
                  </pic:spPr>
                </pic:pic>
              </a:graphicData>
            </a:graphic>
          </wp:inline>
        </w:drawing>
      </w:r>
    </w:p>
    <w:p w:rsidR="00795395" w:rsidRPr="00232473" w:rsidRDefault="00AB15B0">
      <w:pPr>
        <w:spacing w:line="360" w:lineRule="auto"/>
        <w:jc w:val="center"/>
        <w:rPr>
          <w:rFonts w:eastAsia="Times New Roman"/>
          <w:b/>
          <w:bCs/>
          <w:sz w:val="24"/>
          <w:szCs w:val="24"/>
        </w:rPr>
      </w:pPr>
      <w:r w:rsidRPr="00232473">
        <w:rPr>
          <w:rFonts w:eastAsia="Times New Roman"/>
          <w:b/>
          <w:bCs/>
          <w:sz w:val="24"/>
          <w:szCs w:val="24"/>
        </w:rPr>
        <w:t>Figure 2: Proportion of people in employment by highest qualification and disability status in the UK</w:t>
      </w:r>
    </w:p>
    <w:p w:rsidR="00795395" w:rsidRPr="00232473" w:rsidRDefault="00AB15B0">
      <w:pPr>
        <w:spacing w:line="360" w:lineRule="auto"/>
        <w:jc w:val="center"/>
        <w:rPr>
          <w:rFonts w:eastAsia="Times New Roman"/>
          <w:sz w:val="24"/>
          <w:szCs w:val="24"/>
        </w:rPr>
      </w:pPr>
      <w:r w:rsidRPr="00232473">
        <w:rPr>
          <w:rFonts w:eastAsia="Times New Roman"/>
          <w:sz w:val="24"/>
          <w:szCs w:val="24"/>
        </w:rPr>
        <w:t>(Source: Gov, 2026)</w:t>
      </w:r>
    </w:p>
    <w:p w:rsidR="00795395" w:rsidRPr="00232473" w:rsidRDefault="00AB15B0">
      <w:pPr>
        <w:spacing w:line="360" w:lineRule="auto"/>
        <w:jc w:val="both"/>
        <w:rPr>
          <w:rFonts w:eastAsia="Times New Roman"/>
          <w:sz w:val="24"/>
          <w:szCs w:val="24"/>
        </w:rPr>
      </w:pPr>
      <w:r w:rsidRPr="00232473">
        <w:rPr>
          <w:rFonts w:eastAsia="Times New Roman"/>
          <w:sz w:val="24"/>
          <w:szCs w:val="24"/>
        </w:rPr>
        <w:t xml:space="preserve">This demonstrates that economic disadvantage is deeply embedded within systems, instead of being accidental, which restricts healthy living conditions for disabled people and reinforces the existing inequalities, requiring coordinated organisational and policy change. </w:t>
      </w:r>
    </w:p>
    <w:p w:rsidR="00795395" w:rsidRPr="00232473" w:rsidRDefault="00AB15B0">
      <w:pPr>
        <w:spacing w:line="360" w:lineRule="auto"/>
        <w:jc w:val="both"/>
        <w:rPr>
          <w:rFonts w:eastAsia="Times New Roman"/>
          <w:b/>
          <w:bCs/>
          <w:sz w:val="24"/>
          <w:szCs w:val="24"/>
        </w:rPr>
      </w:pPr>
      <w:r w:rsidRPr="00232473">
        <w:rPr>
          <w:rFonts w:eastAsia="Times New Roman"/>
          <w:b/>
          <w:bCs/>
          <w:sz w:val="24"/>
          <w:szCs w:val="24"/>
        </w:rPr>
        <w:t>3. Social Isolation and Loneliness</w:t>
      </w:r>
    </w:p>
    <w:p w:rsidR="00795395" w:rsidRPr="00232473" w:rsidRDefault="00AB15B0">
      <w:pPr>
        <w:spacing w:line="360" w:lineRule="auto"/>
        <w:jc w:val="both"/>
        <w:rPr>
          <w:rFonts w:eastAsia="Times New Roman"/>
          <w:b/>
          <w:bCs/>
          <w:sz w:val="24"/>
          <w:szCs w:val="24"/>
        </w:rPr>
      </w:pPr>
      <w:r w:rsidRPr="00232473">
        <w:rPr>
          <w:rFonts w:eastAsia="Times New Roman"/>
          <w:sz w:val="24"/>
          <w:szCs w:val="24"/>
        </w:rPr>
        <w:t xml:space="preserve">It has been acknowledged by studies that disabled people in the UK who have alternative communication needs, including assistive technology or sign language, have experienced significant communication barriers while engaging with others, thus feeling isolated and frustrated (Bacon </w:t>
      </w:r>
      <w:r w:rsidRPr="00232473">
        <w:rPr>
          <w:rFonts w:eastAsia="Times New Roman"/>
          <w:i/>
          <w:iCs/>
          <w:sz w:val="24"/>
          <w:szCs w:val="24"/>
        </w:rPr>
        <w:t xml:space="preserve">et al., </w:t>
      </w:r>
      <w:r w:rsidRPr="00232473">
        <w:rPr>
          <w:rFonts w:eastAsia="Times New Roman"/>
          <w:sz w:val="24"/>
          <w:szCs w:val="24"/>
        </w:rPr>
        <w:t>2023). This lack of social connection is strongly associated with poor physical and mental health outcomes, which adds to the loneliness of these individuals.</w:t>
      </w:r>
    </w:p>
    <w:p w:rsidR="00795395" w:rsidRPr="00232473" w:rsidRDefault="00AB15B0" w:rsidP="00D937BD">
      <w:pPr>
        <w:pStyle w:val="Heading2"/>
        <w:rPr>
          <w:rFonts w:ascii="Arial" w:hAnsi="Arial"/>
        </w:rPr>
      </w:pPr>
      <w:bookmarkStart w:id="6" w:name="_Toc227952642"/>
      <w:r w:rsidRPr="00232473">
        <w:rPr>
          <w:rFonts w:ascii="Arial" w:hAnsi="Arial"/>
        </w:rPr>
        <w:t>National Response for the Reduction of Health Inequalities</w:t>
      </w:r>
      <w:bookmarkEnd w:id="6"/>
      <w:r w:rsidRPr="00232473">
        <w:rPr>
          <w:rFonts w:ascii="Arial" w:hAnsi="Arial"/>
        </w:rPr>
        <w:t xml:space="preserve">  </w:t>
      </w:r>
    </w:p>
    <w:p w:rsidR="00795395" w:rsidRPr="00232473" w:rsidRDefault="00AB15B0">
      <w:pPr>
        <w:spacing w:line="360" w:lineRule="auto"/>
        <w:jc w:val="both"/>
        <w:rPr>
          <w:rFonts w:eastAsia="Times New Roman"/>
          <w:b/>
          <w:bCs/>
          <w:sz w:val="24"/>
          <w:szCs w:val="24"/>
        </w:rPr>
      </w:pPr>
      <w:r w:rsidRPr="00232473">
        <w:rPr>
          <w:rFonts w:eastAsia="Times New Roman"/>
          <w:sz w:val="24"/>
          <w:szCs w:val="24"/>
        </w:rPr>
        <w:t xml:space="preserve">The NHS Long-Term Plan prioritised addressing health inequalities, requiring local systems to develop specific plans with measurable mechanisms and goals to help narrow these inequalities in the UK over the next 5 and 10 years (Olivera </w:t>
      </w:r>
      <w:r w:rsidRPr="00232473">
        <w:rPr>
          <w:rFonts w:eastAsia="Times New Roman"/>
          <w:i/>
          <w:iCs/>
          <w:sz w:val="24"/>
          <w:szCs w:val="24"/>
        </w:rPr>
        <w:t xml:space="preserve">et al., </w:t>
      </w:r>
      <w:r w:rsidRPr="00232473">
        <w:rPr>
          <w:rFonts w:eastAsia="Times New Roman"/>
          <w:sz w:val="24"/>
          <w:szCs w:val="24"/>
        </w:rPr>
        <w:t xml:space="preserve">2022). However, its impact has been limited by variation in local implementation and an inadequate accessibility focus, which is evident from recent studies. Similarly, employers under the UK Equality Act 2010 were required to provide reasonable </w:t>
      </w:r>
      <w:r w:rsidRPr="00232473">
        <w:rPr>
          <w:rFonts w:eastAsia="Times New Roman"/>
          <w:sz w:val="24"/>
          <w:szCs w:val="24"/>
        </w:rPr>
        <w:lastRenderedPageBreak/>
        <w:t xml:space="preserve">adjustments for employees at substantial disadvantage (Davies </w:t>
      </w:r>
      <w:r w:rsidRPr="00232473">
        <w:rPr>
          <w:rFonts w:eastAsia="Times New Roman"/>
          <w:i/>
          <w:iCs/>
          <w:sz w:val="24"/>
          <w:szCs w:val="24"/>
        </w:rPr>
        <w:t xml:space="preserve">et al., </w:t>
      </w:r>
      <w:r w:rsidRPr="00232473">
        <w:rPr>
          <w:rFonts w:eastAsia="Times New Roman"/>
          <w:sz w:val="24"/>
          <w:szCs w:val="24"/>
        </w:rPr>
        <w:t xml:space="preserve">2022), which thus aimed to prevent discrimination, yet the effectiveness in practice was reduced by enforcement challenges. </w:t>
      </w:r>
    </w:p>
    <w:p w:rsidR="00795395" w:rsidRPr="00232473" w:rsidRDefault="00AB15B0" w:rsidP="00D937BD">
      <w:pPr>
        <w:pStyle w:val="Heading2"/>
        <w:rPr>
          <w:rFonts w:ascii="Arial" w:hAnsi="Arial"/>
        </w:rPr>
      </w:pPr>
      <w:bookmarkStart w:id="7" w:name="_Toc227952643"/>
      <w:r w:rsidRPr="00232473">
        <w:rPr>
          <w:rFonts w:ascii="Arial" w:hAnsi="Arial"/>
        </w:rPr>
        <w:t>Organisation that supports the selected group</w:t>
      </w:r>
      <w:bookmarkEnd w:id="7"/>
      <w:r w:rsidRPr="00232473">
        <w:rPr>
          <w:rFonts w:ascii="Arial" w:hAnsi="Arial"/>
        </w:rPr>
        <w:t xml:space="preserve">  </w:t>
      </w:r>
    </w:p>
    <w:p w:rsidR="00795395" w:rsidRDefault="00AB15B0">
      <w:pPr>
        <w:spacing w:line="360" w:lineRule="auto"/>
        <w:jc w:val="both"/>
        <w:rPr>
          <w:rFonts w:eastAsia="Times New Roman"/>
          <w:sz w:val="24"/>
          <w:szCs w:val="24"/>
        </w:rPr>
      </w:pPr>
      <w:r w:rsidRPr="00232473">
        <w:rPr>
          <w:rFonts w:eastAsia="Times New Roman"/>
          <w:sz w:val="24"/>
          <w:szCs w:val="24"/>
        </w:rPr>
        <w:t>Scope is a leading UK disability charity which works towards the reduction of health inequalities via research, advocacy and direct support services. Scope had launched the Cost of Cuts campaign, which has enabled the organisation to support more than 4,854 individuals, while the petition for the protection of Personal Independent Payment (PIP) obtained 100,000 signatures, prompting the UK government to plan to protect the same, along with scaling back the planned job cuts to 6.5 billion UK pounds from 11 billion UK pounds (Scope, 2026). However, the reliance on firms also highlights the limitations in state provision, since essential support is often delivered via the voluntary sector instead of full integration into public systems.</w:t>
      </w:r>
    </w:p>
    <w:p w:rsidR="00843EF9" w:rsidRDefault="00843EF9">
      <w:pPr>
        <w:spacing w:line="360" w:lineRule="auto"/>
        <w:jc w:val="both"/>
        <w:rPr>
          <w:rFonts w:eastAsia="Times New Roman"/>
          <w:sz w:val="24"/>
          <w:szCs w:val="24"/>
        </w:rPr>
      </w:pPr>
    </w:p>
    <w:p w:rsidR="00843EF9" w:rsidRPr="00232473" w:rsidRDefault="00843EF9">
      <w:pPr>
        <w:spacing w:line="360" w:lineRule="auto"/>
        <w:jc w:val="both"/>
        <w:rPr>
          <w:rFonts w:eastAsia="Times New Roman"/>
          <w:b/>
          <w:bCs/>
          <w:sz w:val="24"/>
          <w:szCs w:val="24"/>
        </w:rPr>
      </w:pPr>
    </w:p>
    <w:p w:rsidR="00795395" w:rsidRPr="00232473" w:rsidRDefault="00AB15B0" w:rsidP="00D937BD">
      <w:pPr>
        <w:pStyle w:val="Heading2"/>
        <w:rPr>
          <w:rFonts w:ascii="Arial" w:hAnsi="Arial"/>
        </w:rPr>
      </w:pPr>
      <w:bookmarkStart w:id="8" w:name="_Toc227952644"/>
      <w:r w:rsidRPr="00232473">
        <w:rPr>
          <w:rFonts w:ascii="Arial" w:hAnsi="Arial"/>
        </w:rPr>
        <w:t>Conclusion</w:t>
      </w:r>
      <w:bookmarkEnd w:id="8"/>
      <w:r w:rsidRPr="00232473">
        <w:rPr>
          <w:rFonts w:ascii="Arial" w:hAnsi="Arial"/>
        </w:rPr>
        <w:t xml:space="preserve"> </w:t>
      </w:r>
    </w:p>
    <w:p w:rsidR="00795395" w:rsidRPr="00232473" w:rsidRDefault="00AB15B0" w:rsidP="00D24691">
      <w:pPr>
        <w:spacing w:line="360" w:lineRule="auto"/>
        <w:jc w:val="both"/>
        <w:rPr>
          <w:rFonts w:eastAsia="Times New Roman"/>
          <w:sz w:val="24"/>
          <w:szCs w:val="24"/>
        </w:rPr>
      </w:pPr>
      <w:r w:rsidRPr="00232473">
        <w:rPr>
          <w:rFonts w:eastAsia="Times New Roman"/>
          <w:sz w:val="24"/>
          <w:szCs w:val="24"/>
        </w:rPr>
        <w:t xml:space="preserve">Health inequalities among adults with physical disabilities are shaped by the interconnection between structural and social factors instead of mere individual conditions. Though the policies and organisations attempt towards addressing these specific issues, ongoing barriers recognised in employment, healthcare access, and social inclusion significantly add to the limitation of progress. Reduction of inequality thus requires sustained structural changes in the UK to help address underlying causes embedded within wider social systems. </w:t>
      </w:r>
      <w:r w:rsidR="00D24691">
        <w:t>Future strategies must focus on addressing social determinants of health through inclusive policy design and equitable resource distribution to achieve long-term reduction in health inequalities.</w:t>
      </w:r>
    </w:p>
    <w:p w:rsidR="00795395" w:rsidRPr="00232473" w:rsidRDefault="00AB15B0">
      <w:pPr>
        <w:spacing w:before="240" w:after="240" w:line="360" w:lineRule="auto"/>
        <w:jc w:val="both"/>
        <w:rPr>
          <w:rFonts w:eastAsia="Times New Roman"/>
          <w:b/>
          <w:bCs/>
          <w:sz w:val="24"/>
          <w:szCs w:val="24"/>
        </w:rPr>
      </w:pPr>
      <w:r w:rsidRPr="00232473">
        <w:br w:type="page"/>
      </w:r>
    </w:p>
    <w:p w:rsidR="00795395" w:rsidRPr="00232473" w:rsidRDefault="00AB15B0" w:rsidP="00D937BD">
      <w:pPr>
        <w:pStyle w:val="Heading1"/>
        <w:rPr>
          <w:rFonts w:ascii="Arial" w:hAnsi="Arial"/>
        </w:rPr>
      </w:pPr>
      <w:bookmarkStart w:id="9" w:name="_Toc227952645"/>
      <w:r w:rsidRPr="00232473">
        <w:rPr>
          <w:rFonts w:ascii="Arial" w:hAnsi="Arial"/>
        </w:rPr>
        <w:lastRenderedPageBreak/>
        <w:t>Task 2: Epidemiological Analysis</w:t>
      </w:r>
      <w:bookmarkEnd w:id="9"/>
      <w:r w:rsidRPr="00232473">
        <w:rPr>
          <w:rFonts w:ascii="Arial" w:hAnsi="Arial"/>
        </w:rPr>
        <w:t xml:space="preserve"> </w:t>
      </w:r>
    </w:p>
    <w:p w:rsidR="00795395" w:rsidRPr="00232473" w:rsidRDefault="00AB15B0" w:rsidP="00D937BD">
      <w:pPr>
        <w:pStyle w:val="Heading2"/>
        <w:rPr>
          <w:rFonts w:ascii="Arial" w:hAnsi="Arial"/>
          <w:highlight w:val="cyan"/>
        </w:rPr>
      </w:pPr>
      <w:bookmarkStart w:id="10" w:name="_Toc227952646"/>
      <w:r w:rsidRPr="00232473">
        <w:rPr>
          <w:rFonts w:ascii="Arial" w:hAnsi="Arial"/>
        </w:rPr>
        <w:t>Introduction</w:t>
      </w:r>
      <w:bookmarkEnd w:id="10"/>
      <w:r w:rsidRPr="00232473">
        <w:rPr>
          <w:rFonts w:ascii="Arial" w:hAnsi="Arial"/>
        </w:rPr>
        <w:t xml:space="preserve"> </w:t>
      </w:r>
    </w:p>
    <w:p w:rsidR="00E02470" w:rsidRPr="00E02470" w:rsidRDefault="00AB15B0" w:rsidP="00E02470">
      <w:pPr>
        <w:spacing w:line="360" w:lineRule="auto"/>
        <w:rPr>
          <w:rFonts w:ascii="Times New Roman" w:eastAsia="Times New Roman" w:hAnsi="Times New Roman" w:cs="Times New Roman"/>
          <w:sz w:val="24"/>
          <w:szCs w:val="24"/>
          <w:lang w:val="en-US" w:eastAsia="en-US"/>
        </w:rPr>
      </w:pPr>
      <w:r w:rsidRPr="00232473">
        <w:rPr>
          <w:rFonts w:eastAsia="Times New Roman"/>
          <w:sz w:val="24"/>
          <w:szCs w:val="24"/>
        </w:rPr>
        <w:t>Type 2 Diabetes might be considered to be a long-term chronic condition that prevents the body from effectively using insulin, leading to higher levels of blood glucose and serious complications in health over time. The prevalence of this disease has been rising both across the UK and globally, with certain local areas, including Harrow, showing significantly high rates of occurrences. Type 2 Diabetes (T2D) has been affecting more than 830 million people worldwide (Magomedova, 2025). The importance of this pattern lies in the fact that not all groups are equally affected by this disease, with higher rates seen mostly among people with physical disabilities and those from South Asian communities in Harrow. Comparatively higher rates have been</w:t>
      </w:r>
      <w:r w:rsidRPr="00232473">
        <w:rPr>
          <w:rFonts w:eastAsia="Roboto"/>
          <w:sz w:val="21"/>
          <w:szCs w:val="21"/>
        </w:rPr>
        <w:t xml:space="preserve"> </w:t>
      </w:r>
      <w:r w:rsidRPr="00232473">
        <w:rPr>
          <w:rFonts w:eastAsia="Times New Roman"/>
          <w:sz w:val="24"/>
          <w:szCs w:val="24"/>
        </w:rPr>
        <w:t xml:space="preserve">acknowledged among the same set of people with physical disabilities, which suggests Diabetes is closely associated with social and structural inequalities, along with a severe medical problem. </w:t>
      </w:r>
      <w:r w:rsidR="00E02470" w:rsidRPr="00E02470">
        <w:rPr>
          <w:rFonts w:eastAsia="Times New Roman"/>
          <w:sz w:val="24"/>
          <w:szCs w:val="24"/>
          <w:lang w:val="en-US" w:eastAsia="en-US"/>
        </w:rPr>
        <w:t>In epidemiology, incidence is the number of new cases that occur during a certain time period, whereas prevalence is the total number of instances that exist within a community. These metrics aid in determining the prevalence and extent of Type 2 diabetes.</w:t>
      </w:r>
      <w:r w:rsidR="00E02470" w:rsidRPr="00E02470">
        <w:t xml:space="preserve"> </w:t>
      </w:r>
      <w:r w:rsidR="00E02470">
        <w:t>(Nguyen, 2024; Ye et al., 2023).</w:t>
      </w:r>
    </w:p>
    <w:p w:rsidR="00795395" w:rsidRPr="00232473" w:rsidRDefault="00795395">
      <w:pPr>
        <w:spacing w:line="360" w:lineRule="auto"/>
        <w:jc w:val="both"/>
        <w:rPr>
          <w:rFonts w:eastAsia="Times New Roman"/>
          <w:sz w:val="24"/>
          <w:szCs w:val="24"/>
        </w:rPr>
      </w:pPr>
    </w:p>
    <w:p w:rsidR="00795395" w:rsidRPr="00232473" w:rsidRDefault="00AB15B0" w:rsidP="00D937BD">
      <w:pPr>
        <w:pStyle w:val="Heading2"/>
        <w:rPr>
          <w:rFonts w:ascii="Arial" w:hAnsi="Arial"/>
        </w:rPr>
      </w:pPr>
      <w:bookmarkStart w:id="11" w:name="_Toc227952647"/>
      <w:r w:rsidRPr="00232473">
        <w:rPr>
          <w:rFonts w:ascii="Arial" w:hAnsi="Arial"/>
        </w:rPr>
        <w:t>Main Body</w:t>
      </w:r>
      <w:bookmarkEnd w:id="11"/>
      <w:r w:rsidRPr="00232473">
        <w:rPr>
          <w:rFonts w:ascii="Arial" w:hAnsi="Arial"/>
        </w:rPr>
        <w:t xml:space="preserve"> </w:t>
      </w:r>
    </w:p>
    <w:p w:rsidR="00795395" w:rsidRPr="00232473" w:rsidRDefault="00AB15B0" w:rsidP="00D937BD">
      <w:pPr>
        <w:pStyle w:val="Heading2"/>
        <w:rPr>
          <w:rFonts w:ascii="Arial" w:hAnsi="Arial"/>
        </w:rPr>
      </w:pPr>
      <w:bookmarkStart w:id="12" w:name="_Toc227952648"/>
      <w:r w:rsidRPr="00232473">
        <w:rPr>
          <w:rFonts w:ascii="Arial" w:hAnsi="Arial"/>
        </w:rPr>
        <w:t>Public Health Measures</w:t>
      </w:r>
      <w:bookmarkEnd w:id="12"/>
      <w:r w:rsidRPr="00232473">
        <w:rPr>
          <w:rFonts w:ascii="Arial" w:hAnsi="Arial"/>
        </w:rPr>
        <w:t xml:space="preserve"> </w:t>
      </w:r>
    </w:p>
    <w:p w:rsidR="00795395" w:rsidRPr="00232473" w:rsidRDefault="00AB15B0">
      <w:pPr>
        <w:spacing w:line="360" w:lineRule="auto"/>
        <w:jc w:val="both"/>
        <w:rPr>
          <w:rFonts w:eastAsia="Times New Roman"/>
          <w:sz w:val="24"/>
          <w:szCs w:val="24"/>
        </w:rPr>
      </w:pPr>
      <w:r w:rsidRPr="00232473">
        <w:rPr>
          <w:rFonts w:eastAsia="Times New Roman"/>
          <w:b/>
          <w:bCs/>
          <w:sz w:val="24"/>
          <w:szCs w:val="24"/>
        </w:rPr>
        <w:t>Prevention</w:t>
      </w:r>
      <w:r w:rsidRPr="00232473">
        <w:rPr>
          <w:rFonts w:eastAsia="Times New Roman"/>
          <w:sz w:val="24"/>
          <w:szCs w:val="24"/>
        </w:rPr>
        <w:t xml:space="preserve"> </w:t>
      </w:r>
    </w:p>
    <w:p w:rsidR="00795395" w:rsidRPr="00232473" w:rsidRDefault="00AB15B0">
      <w:pPr>
        <w:spacing w:line="360" w:lineRule="auto"/>
        <w:jc w:val="both"/>
        <w:rPr>
          <w:rFonts w:eastAsia="Times New Roman"/>
          <w:sz w:val="24"/>
          <w:szCs w:val="24"/>
        </w:rPr>
      </w:pPr>
      <w:r w:rsidRPr="00232473">
        <w:rPr>
          <w:rFonts w:eastAsia="Times New Roman"/>
          <w:sz w:val="24"/>
          <w:szCs w:val="24"/>
        </w:rPr>
        <w:t>Prevention strategies focus on decreasing the risk of Type 2 diabetes in Harrow based on early intervention, especially via programmes such as the NHS Diabetes Prevention Programme. Poor diet has been recognised as increasing the risk of Type 2 diabetes (H</w:t>
      </w:r>
      <w:hyperlink r:id="rId10">
        <w:r w:rsidRPr="00232473">
          <w:rPr>
            <w:rFonts w:eastAsia="Times New Roman"/>
            <w:sz w:val="24"/>
            <w:szCs w:val="24"/>
          </w:rPr>
          <w:t>arrow.moderngov.co.uk</w:t>
        </w:r>
      </w:hyperlink>
      <w:r w:rsidRPr="00232473">
        <w:rPr>
          <w:rFonts w:eastAsia="Times New Roman"/>
          <w:sz w:val="24"/>
          <w:szCs w:val="24"/>
        </w:rPr>
        <w:t xml:space="preserve">, 2026). These initiatives by the government promote lifestyle changes consisting of improved diet and enhanced physical activity. However, effectiveness is highly uneven. For different individuals with physical disabilities, </w:t>
      </w:r>
      <w:r w:rsidRPr="00232473">
        <w:rPr>
          <w:rFonts w:eastAsia="Times New Roman"/>
          <w:sz w:val="24"/>
          <w:szCs w:val="24"/>
        </w:rPr>
        <w:lastRenderedPageBreak/>
        <w:t>participation is limited because of inaccessible facilities and a lack of tailored support. Additionally, engagement in the South Asian communities remains inconsistent, suggesting different prevention strategies, which are not always culturally adapted. This suggests that prevention for Type 2 diabetes, while well-designed in theory, does not fully reach those most at risk. Type 2 Diabetes (T2D) is featured by elevated blood glucose levels, and is highly related to an increasing risk of developing micro- and macrovascular comorbidities (</w:t>
      </w:r>
      <w:r w:rsidRPr="00232473">
        <w:rPr>
          <w:rFonts w:eastAsia="Times New Roman"/>
          <w:sz w:val="24"/>
          <w:szCs w:val="24"/>
          <w:highlight w:val="white"/>
        </w:rPr>
        <w:t xml:space="preserve">Hinnen </w:t>
      </w:r>
      <w:r w:rsidRPr="00232473">
        <w:rPr>
          <w:rFonts w:eastAsia="Times New Roman"/>
          <w:i/>
          <w:iCs/>
          <w:sz w:val="24"/>
          <w:szCs w:val="24"/>
          <w:highlight w:val="white"/>
        </w:rPr>
        <w:t>et al.,</w:t>
      </w:r>
      <w:r w:rsidRPr="00232473">
        <w:rPr>
          <w:rFonts w:eastAsia="Times New Roman"/>
          <w:sz w:val="24"/>
          <w:szCs w:val="24"/>
          <w:highlight w:val="white"/>
        </w:rPr>
        <w:t xml:space="preserve"> 2023</w:t>
      </w:r>
      <w:r w:rsidRPr="00232473">
        <w:rPr>
          <w:rFonts w:eastAsia="Times New Roman"/>
          <w:sz w:val="24"/>
          <w:szCs w:val="24"/>
        </w:rPr>
        <w:t xml:space="preserve">). </w:t>
      </w:r>
    </w:p>
    <w:p w:rsidR="00795395" w:rsidRPr="00232473" w:rsidRDefault="00AB15B0">
      <w:pPr>
        <w:spacing w:line="360" w:lineRule="auto"/>
        <w:jc w:val="both"/>
        <w:rPr>
          <w:rFonts w:eastAsia="Times New Roman"/>
          <w:b/>
          <w:bCs/>
          <w:sz w:val="24"/>
          <w:szCs w:val="24"/>
        </w:rPr>
      </w:pPr>
      <w:r w:rsidRPr="00232473">
        <w:rPr>
          <w:rFonts w:eastAsia="Times New Roman"/>
          <w:b/>
          <w:bCs/>
          <w:sz w:val="24"/>
          <w:szCs w:val="24"/>
        </w:rPr>
        <w:t xml:space="preserve">Promotion </w:t>
      </w:r>
    </w:p>
    <w:p w:rsidR="00795395" w:rsidRDefault="00AB15B0">
      <w:pPr>
        <w:spacing w:line="360" w:lineRule="auto"/>
        <w:jc w:val="both"/>
        <w:rPr>
          <w:rFonts w:eastAsia="Times New Roman"/>
          <w:sz w:val="24"/>
          <w:szCs w:val="24"/>
        </w:rPr>
      </w:pPr>
      <w:r w:rsidRPr="00232473">
        <w:rPr>
          <w:rFonts w:eastAsia="Times New Roman"/>
          <w:sz w:val="24"/>
          <w:szCs w:val="24"/>
        </w:rPr>
        <w:t>Health promotion depends on increasing awareness and motivating behaviour change based on campaigns and education. In Harrow, these efforts set an aim to boost understanding of diabetes risk and healthy living. T2D prevention strategies highlight two factors, such as structural context and neoliberal political backgrounds (</w:t>
      </w:r>
      <w:r w:rsidRPr="00232473">
        <w:rPr>
          <w:rFonts w:eastAsia="Times New Roman"/>
          <w:sz w:val="24"/>
          <w:szCs w:val="24"/>
          <w:highlight w:val="white"/>
        </w:rPr>
        <w:t>Barry, 2024</w:t>
      </w:r>
      <w:r w:rsidRPr="00232473">
        <w:rPr>
          <w:rFonts w:eastAsia="Times New Roman"/>
          <w:sz w:val="24"/>
          <w:szCs w:val="24"/>
        </w:rPr>
        <w:t>). However, people often assume that different individuals have varied resources and control to act on the information. For different disabled individuals who are facing social barriers, this assumption is not always valid. As a result, different promotional strategies may raise awareness; however, they do not necessarily lead to a meaningful change without addressing different underlying inequalities. Population and health strategies to minimise different diseases, such as diabetes, are highly limited and poorly financed (</w:t>
      </w:r>
      <w:r w:rsidRPr="00232473">
        <w:rPr>
          <w:rFonts w:eastAsia="Times New Roman"/>
          <w:sz w:val="24"/>
          <w:szCs w:val="24"/>
          <w:highlight w:val="white"/>
        </w:rPr>
        <w:t>Barry</w:t>
      </w:r>
      <w:r w:rsidRPr="00232473">
        <w:rPr>
          <w:rFonts w:eastAsia="Times New Roman"/>
          <w:i/>
          <w:iCs/>
          <w:sz w:val="24"/>
          <w:szCs w:val="24"/>
          <w:highlight w:val="white"/>
        </w:rPr>
        <w:t xml:space="preserve"> et al.,</w:t>
      </w:r>
      <w:r w:rsidRPr="00232473">
        <w:rPr>
          <w:rFonts w:eastAsia="Times New Roman"/>
          <w:sz w:val="24"/>
          <w:szCs w:val="24"/>
          <w:highlight w:val="white"/>
        </w:rPr>
        <w:t xml:space="preserve"> 2023</w:t>
      </w:r>
      <w:r w:rsidRPr="00232473">
        <w:rPr>
          <w:rFonts w:eastAsia="Times New Roman"/>
          <w:sz w:val="24"/>
          <w:szCs w:val="24"/>
        </w:rPr>
        <w:t xml:space="preserve">). Targeted community outreach as part of adoption strategies to control Type 2 diabetes helps in creating risk awareness. </w:t>
      </w:r>
    </w:p>
    <w:p w:rsidR="00232473" w:rsidRDefault="00232473" w:rsidP="00232473">
      <w:pPr>
        <w:spacing w:line="360" w:lineRule="auto"/>
        <w:jc w:val="both"/>
        <w:rPr>
          <w:b/>
          <w:sz w:val="24"/>
          <w:szCs w:val="24"/>
        </w:rPr>
      </w:pPr>
      <w:r w:rsidRPr="00232473">
        <w:rPr>
          <w:b/>
          <w:sz w:val="24"/>
          <w:szCs w:val="24"/>
        </w:rPr>
        <w:t>Protection</w:t>
      </w:r>
    </w:p>
    <w:p w:rsidR="00232473" w:rsidRPr="00232473" w:rsidRDefault="00232473" w:rsidP="00232473">
      <w:pPr>
        <w:spacing w:line="360" w:lineRule="auto"/>
        <w:jc w:val="both"/>
        <w:rPr>
          <w:rFonts w:eastAsia="Times New Roman"/>
          <w:sz w:val="24"/>
          <w:szCs w:val="24"/>
          <w:lang w:val="en-US" w:eastAsia="en-US"/>
        </w:rPr>
      </w:pPr>
      <w:bookmarkStart w:id="13" w:name="_Toc227952649"/>
      <w:r w:rsidRPr="00232473">
        <w:rPr>
          <w:rFonts w:eastAsia="Times New Roman"/>
          <w:sz w:val="24"/>
          <w:szCs w:val="24"/>
          <w:lang w:val="en-US" w:eastAsia="en-US"/>
        </w:rPr>
        <w:t>Early diagnosis and lowering complications through screening and clinical interventions are key components of protection methods. Identification of those at risk for Type 2 diabetes in Harrow is mostly dependent on NHS Health Checks and regular blood glucose monitoring (NHS England, 2026; McManus et al., 2022). However, due to obstacles including low awareness and accessibility issues, access to these services is still uneven, especially for people with disabilities and ethnic minorities (Kuper et al., 2024; Harrow.gov.uk, 2026). To enhance early diagnosis and lower the burden of disease, inclusive screening programs must be strengthened (Ahmad et al., 2022).</w:t>
      </w:r>
    </w:p>
    <w:p w:rsidR="00795395" w:rsidRPr="00232473" w:rsidRDefault="00AB15B0" w:rsidP="00D937BD">
      <w:pPr>
        <w:pStyle w:val="Heading2"/>
        <w:rPr>
          <w:rFonts w:ascii="Arial" w:hAnsi="Arial"/>
        </w:rPr>
      </w:pPr>
      <w:r w:rsidRPr="00232473">
        <w:rPr>
          <w:rFonts w:ascii="Arial" w:hAnsi="Arial"/>
        </w:rPr>
        <w:lastRenderedPageBreak/>
        <w:t>Determinants and Risk Factors</w:t>
      </w:r>
      <w:bookmarkEnd w:id="13"/>
      <w:r w:rsidRPr="00232473">
        <w:rPr>
          <w:rFonts w:ascii="Arial" w:hAnsi="Arial"/>
        </w:rPr>
        <w:t xml:space="preserve"> </w:t>
      </w:r>
    </w:p>
    <w:p w:rsidR="00795395" w:rsidRPr="00232473" w:rsidRDefault="00AB15B0" w:rsidP="00E02470">
      <w:pPr>
        <w:spacing w:line="360" w:lineRule="auto"/>
        <w:jc w:val="both"/>
        <w:rPr>
          <w:rFonts w:eastAsia="Times New Roman"/>
          <w:sz w:val="24"/>
          <w:szCs w:val="24"/>
        </w:rPr>
      </w:pPr>
      <w:r w:rsidRPr="00232473">
        <w:rPr>
          <w:rFonts w:eastAsia="Times New Roman"/>
          <w:sz w:val="24"/>
          <w:szCs w:val="24"/>
        </w:rPr>
        <w:t>In Harrow, the risk of type 2 diabetes is shaped by a mix of different factors, such as social, biological, and environmental aspects. With two types of diabetes, additional risks are stroke, heart failure, myocardial infarction, renal replacement therapy, and angina (</w:t>
      </w:r>
      <w:hyperlink r:id="rId11">
        <w:r w:rsidRPr="00232473">
          <w:rPr>
            <w:rFonts w:eastAsia="Times New Roman"/>
            <w:sz w:val="24"/>
            <w:szCs w:val="24"/>
          </w:rPr>
          <w:t>Harrow.gov.uk</w:t>
        </w:r>
      </w:hyperlink>
      <w:r w:rsidRPr="00232473">
        <w:rPr>
          <w:rFonts w:eastAsia="Times New Roman"/>
          <w:sz w:val="24"/>
          <w:szCs w:val="24"/>
        </w:rPr>
        <w:t xml:space="preserve">, 2026). A huge proportion of the population comes from South Asian backgrounds, which is related to a high metabolic risk. On the other hand, this alone does not reflect on the pattern. </w:t>
      </w:r>
      <w:r w:rsidRPr="00232473">
        <w:rPr>
          <w:rFonts w:eastAsia="Times New Roman"/>
          <w:sz w:val="24"/>
          <w:szCs w:val="24"/>
          <w:highlight w:val="white"/>
        </w:rPr>
        <w:t>T2D is a major chronic disease that spreads across different Western countries, and it is estimated to affect 642 million people worldwide by 2040</w:t>
      </w:r>
      <w:r w:rsidRPr="00232473">
        <w:rPr>
          <w:rFonts w:eastAsia="Times New Roman"/>
          <w:sz w:val="24"/>
          <w:szCs w:val="24"/>
        </w:rPr>
        <w:t xml:space="preserve"> (</w:t>
      </w:r>
      <w:r w:rsidRPr="00232473">
        <w:rPr>
          <w:rFonts w:eastAsia="Times New Roman"/>
          <w:sz w:val="24"/>
          <w:szCs w:val="24"/>
          <w:highlight w:val="white"/>
        </w:rPr>
        <w:t xml:space="preserve">Beulens </w:t>
      </w:r>
      <w:r w:rsidRPr="00232473">
        <w:rPr>
          <w:rFonts w:eastAsia="Times New Roman"/>
          <w:i/>
          <w:iCs/>
          <w:sz w:val="24"/>
          <w:szCs w:val="24"/>
          <w:highlight w:val="white"/>
        </w:rPr>
        <w:t xml:space="preserve">et al., </w:t>
      </w:r>
      <w:r w:rsidRPr="00232473">
        <w:rPr>
          <w:rFonts w:eastAsia="Times New Roman"/>
          <w:sz w:val="24"/>
          <w:szCs w:val="24"/>
          <w:highlight w:val="white"/>
        </w:rPr>
        <w:t>2022</w:t>
      </w:r>
      <w:r w:rsidRPr="00232473">
        <w:rPr>
          <w:rFonts w:eastAsia="Times New Roman"/>
          <w:sz w:val="24"/>
          <w:szCs w:val="24"/>
        </w:rPr>
        <w:t>). The cultural dietary habits, low levels of different physical activities, and declining engagement with preventive healthcare are contributing to maximising risks. Additionally, pockets of deprivation within Harrow have a negative impact on healthcare and healthy food. This highlights that diabetes risk is not simply behaviour, along with differ</w:t>
      </w:r>
      <w:r w:rsidR="00E02470">
        <w:rPr>
          <w:rFonts w:eastAsia="Times New Roman"/>
          <w:sz w:val="24"/>
          <w:szCs w:val="24"/>
        </w:rPr>
        <w:t>ent types of living conditions.</w:t>
      </w:r>
      <w:r w:rsidR="00E02470" w:rsidRPr="00E02470">
        <w:t xml:space="preserve"> </w:t>
      </w:r>
      <w:r w:rsidR="00E02470">
        <w:t>These factors demonstrate that Type 2 diabetes is strongly influenced by social determinants rather than individual behaviour alone.</w:t>
      </w:r>
    </w:p>
    <w:p w:rsidR="00795395" w:rsidRPr="00232473" w:rsidRDefault="00AB15B0">
      <w:pPr>
        <w:spacing w:line="360" w:lineRule="auto"/>
        <w:jc w:val="center"/>
        <w:rPr>
          <w:rFonts w:eastAsia="Times New Roman"/>
          <w:b/>
          <w:bCs/>
          <w:sz w:val="24"/>
          <w:szCs w:val="24"/>
        </w:rPr>
      </w:pPr>
      <w:r w:rsidRPr="00232473">
        <w:rPr>
          <w:rFonts w:eastAsia="Times New Roman"/>
          <w:b/>
          <w:bCs/>
          <w:noProof/>
          <w:sz w:val="24"/>
          <w:szCs w:val="24"/>
          <w:lang w:val="en-US" w:eastAsia="en-US"/>
        </w:rPr>
        <w:drawing>
          <wp:inline distT="114300" distB="114300" distL="114300" distR="114300">
            <wp:extent cx="5943600" cy="2222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2" cstate="print"/>
                    <a:stretch>
                      <a:fillRect/>
                    </a:stretch>
                  </pic:blipFill>
                  <pic:spPr>
                    <a:xfrm>
                      <a:off x="0" y="0"/>
                      <a:ext cx="5943600" cy="2222500"/>
                    </a:xfrm>
                    <a:prstGeom prst="rect">
                      <a:avLst/>
                    </a:prstGeom>
                  </pic:spPr>
                </pic:pic>
              </a:graphicData>
            </a:graphic>
          </wp:inline>
        </w:drawing>
      </w:r>
    </w:p>
    <w:p w:rsidR="00795395" w:rsidRPr="00232473" w:rsidRDefault="00AB15B0">
      <w:pPr>
        <w:spacing w:line="360" w:lineRule="auto"/>
        <w:jc w:val="center"/>
        <w:rPr>
          <w:rFonts w:eastAsia="Times New Roman"/>
          <w:b/>
          <w:bCs/>
          <w:sz w:val="24"/>
          <w:szCs w:val="24"/>
        </w:rPr>
      </w:pPr>
      <w:r w:rsidRPr="00232473">
        <w:rPr>
          <w:rFonts w:eastAsia="Times New Roman"/>
          <w:b/>
          <w:bCs/>
          <w:sz w:val="24"/>
          <w:szCs w:val="24"/>
        </w:rPr>
        <w:t xml:space="preserve">Figure 3: Additional risks associated with Diabetes </w:t>
      </w:r>
    </w:p>
    <w:p w:rsidR="00795395" w:rsidRPr="00232473" w:rsidRDefault="00AB15B0">
      <w:pPr>
        <w:spacing w:line="360" w:lineRule="auto"/>
        <w:jc w:val="center"/>
        <w:rPr>
          <w:rFonts w:eastAsia="Times New Roman"/>
          <w:b/>
          <w:bCs/>
          <w:sz w:val="24"/>
          <w:szCs w:val="24"/>
        </w:rPr>
      </w:pPr>
      <w:r w:rsidRPr="00232473">
        <w:rPr>
          <w:rFonts w:eastAsia="Times New Roman"/>
          <w:sz w:val="24"/>
          <w:szCs w:val="24"/>
        </w:rPr>
        <w:t xml:space="preserve">(Source: </w:t>
      </w:r>
      <w:hyperlink r:id="rId13">
        <w:r w:rsidRPr="00232473">
          <w:rPr>
            <w:rFonts w:eastAsia="Times New Roman"/>
            <w:sz w:val="24"/>
            <w:szCs w:val="24"/>
          </w:rPr>
          <w:t>Harrow.gov.uk</w:t>
        </w:r>
      </w:hyperlink>
      <w:r w:rsidRPr="00232473">
        <w:rPr>
          <w:rFonts w:eastAsia="Times New Roman"/>
          <w:sz w:val="24"/>
          <w:szCs w:val="24"/>
        </w:rPr>
        <w:t>, 2026)</w:t>
      </w:r>
    </w:p>
    <w:p w:rsidR="00795395" w:rsidRPr="00232473" w:rsidRDefault="00AB15B0" w:rsidP="00D937BD">
      <w:pPr>
        <w:pStyle w:val="Heading2"/>
        <w:rPr>
          <w:rFonts w:ascii="Arial" w:hAnsi="Arial"/>
        </w:rPr>
      </w:pPr>
      <w:bookmarkStart w:id="14" w:name="_Toc227952650"/>
      <w:r w:rsidRPr="00232473">
        <w:rPr>
          <w:rFonts w:ascii="Arial" w:hAnsi="Arial"/>
        </w:rPr>
        <w:t>Analysing the Epidemiological Studies and Health Needs Assessment</w:t>
      </w:r>
      <w:bookmarkEnd w:id="14"/>
      <w:r w:rsidRPr="00232473">
        <w:rPr>
          <w:rFonts w:ascii="Arial" w:hAnsi="Arial"/>
        </w:rPr>
        <w:t xml:space="preserve"> </w:t>
      </w:r>
    </w:p>
    <w:p w:rsidR="00795395" w:rsidRPr="00232473" w:rsidRDefault="00AB15B0">
      <w:pPr>
        <w:spacing w:line="360" w:lineRule="auto"/>
        <w:jc w:val="both"/>
        <w:rPr>
          <w:rFonts w:eastAsia="Times New Roman"/>
          <w:b/>
          <w:bCs/>
          <w:sz w:val="24"/>
          <w:szCs w:val="24"/>
        </w:rPr>
      </w:pPr>
      <w:r w:rsidRPr="00232473">
        <w:rPr>
          <w:rFonts w:eastAsia="Times New Roman"/>
          <w:sz w:val="24"/>
          <w:szCs w:val="24"/>
        </w:rPr>
        <w:t xml:space="preserve">Consideration of epidemiological studies, consisting of cross-sectional and cohort research, persistently reflects that type 2 diabetes is more common in ethnic minority groups and among people with existing health conditions or diabetes. Monthly hospital </w:t>
      </w:r>
      <w:r w:rsidRPr="00232473">
        <w:rPr>
          <w:rFonts w:eastAsia="Times New Roman"/>
          <w:sz w:val="24"/>
          <w:szCs w:val="24"/>
        </w:rPr>
        <w:lastRenderedPageBreak/>
        <w:t>admission rates of the diseases based on the NHS Health Check were designed to tackle, incorporating diabetes, stroke, and heart disease (</w:t>
      </w:r>
      <w:r w:rsidRPr="00232473">
        <w:rPr>
          <w:rFonts w:eastAsia="Times New Roman"/>
          <w:sz w:val="24"/>
          <w:szCs w:val="24"/>
          <w:highlight w:val="white"/>
        </w:rPr>
        <w:t>Nguyen, 2024</w:t>
      </w:r>
      <w:r w:rsidRPr="00232473">
        <w:rPr>
          <w:rFonts w:eastAsia="Times New Roman"/>
          <w:sz w:val="24"/>
          <w:szCs w:val="24"/>
        </w:rPr>
        <w:t>). Local data from Harrow shows this current trend with higher prevalence in specific communities. Health Needs Assessments (HNAs) support the identification of where services are lacking, especially in relation to early diagnosis and culturally specific care. NHS Diabetes Prevention Programme (DPP) has been acknowledged as a national curriculum, as it targets the adult population to prevent T2D, while it is a joint programme involving Diabetes UK (</w:t>
      </w:r>
      <w:r w:rsidRPr="00232473">
        <w:rPr>
          <w:rFonts w:eastAsia="Times New Roman"/>
          <w:sz w:val="24"/>
          <w:szCs w:val="24"/>
          <w:highlight w:val="white"/>
        </w:rPr>
        <w:t>McManus</w:t>
      </w:r>
      <w:r w:rsidRPr="00232473">
        <w:rPr>
          <w:rFonts w:eastAsia="Times New Roman"/>
          <w:i/>
          <w:iCs/>
          <w:sz w:val="24"/>
          <w:szCs w:val="24"/>
          <w:highlight w:val="white"/>
        </w:rPr>
        <w:t xml:space="preserve"> et al., </w:t>
      </w:r>
      <w:r w:rsidRPr="00232473">
        <w:rPr>
          <w:rFonts w:eastAsia="Times New Roman"/>
          <w:sz w:val="24"/>
          <w:szCs w:val="24"/>
          <w:highlight w:val="white"/>
        </w:rPr>
        <w:t>2022</w:t>
      </w:r>
      <w:r w:rsidRPr="00232473">
        <w:rPr>
          <w:rFonts w:eastAsia="Times New Roman"/>
          <w:sz w:val="24"/>
          <w:szCs w:val="24"/>
        </w:rPr>
        <w:t xml:space="preserve">). Limitations have been found within these studies. The maximum amount of data is aggregated, which may hide differences between different groups, and disability-oriented data is often missing. Therefore, this makes it highly difficult to understand the needs of all subgroups. Though these mechanisms are useful to identify the patterns, the full picture of inequality has not been captured. The improvement in prevention and prognosis of type 2 diabetes mellitus has been based on studying </w:t>
      </w:r>
      <w:r w:rsidRPr="00232473">
        <w:rPr>
          <w:rFonts w:eastAsia="Times New Roman"/>
          <w:sz w:val="24"/>
          <w:szCs w:val="24"/>
          <w:highlight w:val="white"/>
        </w:rPr>
        <w:t xml:space="preserve">epidemiological characteristics </w:t>
      </w:r>
      <w:r w:rsidRPr="00232473">
        <w:rPr>
          <w:rFonts w:eastAsia="Times New Roman"/>
          <w:sz w:val="24"/>
          <w:szCs w:val="24"/>
        </w:rPr>
        <w:t>(</w:t>
      </w:r>
      <w:r w:rsidRPr="00232473">
        <w:rPr>
          <w:rFonts w:eastAsia="Times New Roman"/>
          <w:sz w:val="24"/>
          <w:szCs w:val="24"/>
          <w:highlight w:val="white"/>
        </w:rPr>
        <w:t xml:space="preserve">Ye </w:t>
      </w:r>
      <w:r w:rsidRPr="00232473">
        <w:rPr>
          <w:rFonts w:eastAsia="Times New Roman"/>
          <w:i/>
          <w:iCs/>
          <w:sz w:val="24"/>
          <w:szCs w:val="24"/>
          <w:highlight w:val="white"/>
        </w:rPr>
        <w:t>et al.,</w:t>
      </w:r>
      <w:r w:rsidRPr="00232473">
        <w:rPr>
          <w:rFonts w:eastAsia="Times New Roman"/>
          <w:sz w:val="24"/>
          <w:szCs w:val="24"/>
          <w:highlight w:val="white"/>
        </w:rPr>
        <w:t xml:space="preserve"> 2023</w:t>
      </w:r>
      <w:r w:rsidRPr="00232473">
        <w:rPr>
          <w:rFonts w:eastAsia="Times New Roman"/>
          <w:sz w:val="24"/>
          <w:szCs w:val="24"/>
        </w:rPr>
        <w:t xml:space="preserve">). </w:t>
      </w:r>
      <w:r w:rsidR="00E02470">
        <w:t>This limits the ability to design fully targeted interventions for specific vulnerable groups.</w:t>
      </w:r>
    </w:p>
    <w:p w:rsidR="00795395" w:rsidRPr="00232473" w:rsidRDefault="00AB15B0" w:rsidP="00D937BD">
      <w:pPr>
        <w:pStyle w:val="Heading2"/>
        <w:rPr>
          <w:rFonts w:ascii="Arial" w:hAnsi="Arial"/>
        </w:rPr>
      </w:pPr>
      <w:bookmarkStart w:id="15" w:name="_Toc227952651"/>
      <w:r w:rsidRPr="00232473">
        <w:rPr>
          <w:rFonts w:ascii="Arial" w:hAnsi="Arial"/>
        </w:rPr>
        <w:t>Surveillance and Monitoring Systems</w:t>
      </w:r>
      <w:bookmarkEnd w:id="15"/>
      <w:r w:rsidRPr="00232473">
        <w:rPr>
          <w:rFonts w:ascii="Arial" w:hAnsi="Arial"/>
        </w:rPr>
        <w:t xml:space="preserve">  </w:t>
      </w:r>
    </w:p>
    <w:p w:rsidR="00E02470" w:rsidRPr="00E02470" w:rsidRDefault="00AB15B0" w:rsidP="00E02470">
      <w:pPr>
        <w:spacing w:line="360" w:lineRule="auto"/>
        <w:rPr>
          <w:rFonts w:ascii="Times New Roman" w:eastAsia="Times New Roman" w:hAnsi="Times New Roman" w:cs="Times New Roman"/>
          <w:sz w:val="24"/>
          <w:szCs w:val="24"/>
          <w:lang w:val="en-US" w:eastAsia="en-US"/>
        </w:rPr>
      </w:pPr>
      <w:r w:rsidRPr="00232473">
        <w:rPr>
          <w:rFonts w:eastAsia="Times New Roman"/>
          <w:sz w:val="24"/>
          <w:szCs w:val="24"/>
        </w:rPr>
        <w:t xml:space="preserve">Diabetes is monitored using systems such as NHS Digital, National Database audit, and Outcomes framework in Harrow. According to the National Database Audit, </w:t>
      </w:r>
      <w:r w:rsidRPr="00232473">
        <w:rPr>
          <w:rFonts w:eastAsia="Times New Roman"/>
          <w:sz w:val="24"/>
          <w:szCs w:val="24"/>
          <w:highlight w:val="white"/>
        </w:rPr>
        <w:t>young people who are aged under 40 years old with type 2 diabetes were usually from Asian and mixed ethnic groups in comparison to older people with type 2 diabetes</w:t>
      </w:r>
      <w:r w:rsidRPr="00232473">
        <w:rPr>
          <w:rFonts w:eastAsia="Times New Roman"/>
          <w:sz w:val="24"/>
          <w:szCs w:val="24"/>
        </w:rPr>
        <w:t xml:space="preserve">  (D</w:t>
      </w:r>
      <w:hyperlink r:id="rId14">
        <w:r w:rsidRPr="00232473">
          <w:rPr>
            <w:rFonts w:eastAsia="Times New Roman"/>
            <w:sz w:val="24"/>
            <w:szCs w:val="24"/>
          </w:rPr>
          <w:t>igital.nhs.uk</w:t>
        </w:r>
      </w:hyperlink>
      <w:r w:rsidRPr="00232473">
        <w:rPr>
          <w:rFonts w:eastAsia="Times New Roman"/>
          <w:sz w:val="24"/>
          <w:szCs w:val="24"/>
        </w:rPr>
        <w:t xml:space="preserve">, 2026). Therefore, these systems help in tracking prevalence, trends over time, and treatment outcomes, which support local planning. However, those studies emphasise clinical indicators and offer limited insight into social factors such as cultural context or disability. As a result, while surveillance systems are highly crucial for understanding disease patterns, they may not fully focus on the inequalities that impede those patterns. </w:t>
      </w:r>
      <w:r w:rsidR="00E02470" w:rsidRPr="00E02470">
        <w:rPr>
          <w:rFonts w:eastAsia="Times New Roman"/>
          <w:sz w:val="24"/>
          <w:szCs w:val="24"/>
          <w:lang w:val="en-US" w:eastAsia="en-US"/>
        </w:rPr>
        <w:t xml:space="preserve">These monitoring systems include sentinel surveillance (data gathered from specific healthcare providers, such as GP practices or hospitals), active surveillance (systematic screening programmes and targeted case finding), and passive surveillance (routine NHS data collection from hospitals and general practice records). </w:t>
      </w:r>
      <w:r w:rsidR="00E02470" w:rsidRPr="00E02470">
        <w:rPr>
          <w:rFonts w:eastAsia="Times New Roman"/>
          <w:sz w:val="24"/>
          <w:szCs w:val="24"/>
          <w:lang w:val="en-US" w:eastAsia="en-US"/>
        </w:rPr>
        <w:lastRenderedPageBreak/>
        <w:t>Each of these systems makes a unique contribution to the understanding of disease patterns.</w:t>
      </w:r>
      <w:r w:rsidR="00E02470" w:rsidRPr="00E02470">
        <w:t xml:space="preserve"> </w:t>
      </w:r>
      <w:r w:rsidR="00E02470">
        <w:t>(Nguyen, 2024</w:t>
      </w:r>
      <w:r w:rsidR="007A6957">
        <w:t>)</w:t>
      </w:r>
    </w:p>
    <w:p w:rsidR="00795395" w:rsidRPr="00232473" w:rsidRDefault="00795395">
      <w:pPr>
        <w:spacing w:line="360" w:lineRule="auto"/>
        <w:jc w:val="both"/>
        <w:rPr>
          <w:rFonts w:eastAsia="Times New Roman"/>
          <w:b/>
          <w:bCs/>
          <w:sz w:val="24"/>
          <w:szCs w:val="24"/>
        </w:rPr>
      </w:pPr>
    </w:p>
    <w:p w:rsidR="00795395" w:rsidRPr="00232473" w:rsidRDefault="00AB15B0" w:rsidP="007A6957">
      <w:pPr>
        <w:spacing w:line="360" w:lineRule="auto"/>
        <w:rPr>
          <w:rFonts w:eastAsia="Times New Roman"/>
          <w:b/>
          <w:bCs/>
          <w:sz w:val="24"/>
          <w:szCs w:val="24"/>
        </w:rPr>
      </w:pPr>
      <w:r w:rsidRPr="00232473">
        <w:rPr>
          <w:rFonts w:eastAsia="Times New Roman"/>
          <w:b/>
          <w:bCs/>
          <w:noProof/>
          <w:sz w:val="24"/>
          <w:szCs w:val="24"/>
          <w:lang w:val="en-US" w:eastAsia="en-US"/>
        </w:rPr>
        <w:drawing>
          <wp:inline distT="114300" distB="114300" distL="114300" distR="114300">
            <wp:extent cx="4624388" cy="2845777"/>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5" cstate="print"/>
                    <a:stretch>
                      <a:fillRect/>
                    </a:stretch>
                  </pic:blipFill>
                  <pic:spPr>
                    <a:xfrm>
                      <a:off x="0" y="0"/>
                      <a:ext cx="4624388" cy="2845777"/>
                    </a:xfrm>
                    <a:prstGeom prst="rect">
                      <a:avLst/>
                    </a:prstGeom>
                  </pic:spPr>
                </pic:pic>
              </a:graphicData>
            </a:graphic>
          </wp:inline>
        </w:drawing>
      </w:r>
    </w:p>
    <w:p w:rsidR="00795395" w:rsidRPr="00232473" w:rsidRDefault="00AB15B0">
      <w:pPr>
        <w:spacing w:line="360" w:lineRule="auto"/>
        <w:jc w:val="center"/>
        <w:rPr>
          <w:rFonts w:eastAsia="Times New Roman"/>
          <w:b/>
          <w:bCs/>
          <w:sz w:val="24"/>
          <w:szCs w:val="24"/>
        </w:rPr>
      </w:pPr>
      <w:r w:rsidRPr="00232473">
        <w:rPr>
          <w:rFonts w:eastAsia="Times New Roman"/>
          <w:b/>
          <w:bCs/>
          <w:sz w:val="24"/>
          <w:szCs w:val="24"/>
        </w:rPr>
        <w:t xml:space="preserve">Figure 4: Ethnicity-oriented Diabetes report </w:t>
      </w:r>
    </w:p>
    <w:p w:rsidR="00795395" w:rsidRPr="00232473" w:rsidRDefault="00AB15B0">
      <w:pPr>
        <w:spacing w:line="360" w:lineRule="auto"/>
        <w:jc w:val="center"/>
        <w:rPr>
          <w:rFonts w:eastAsia="Times New Roman"/>
          <w:b/>
          <w:bCs/>
          <w:sz w:val="24"/>
          <w:szCs w:val="24"/>
        </w:rPr>
      </w:pPr>
      <w:r w:rsidRPr="00232473">
        <w:rPr>
          <w:rFonts w:eastAsia="Times New Roman"/>
          <w:sz w:val="24"/>
          <w:szCs w:val="24"/>
        </w:rPr>
        <w:t>(Source: D</w:t>
      </w:r>
      <w:hyperlink r:id="rId16">
        <w:r w:rsidRPr="00232473">
          <w:rPr>
            <w:rFonts w:eastAsia="Times New Roman"/>
            <w:sz w:val="24"/>
            <w:szCs w:val="24"/>
          </w:rPr>
          <w:t>igital.nhs.uk</w:t>
        </w:r>
      </w:hyperlink>
      <w:r w:rsidRPr="00232473">
        <w:rPr>
          <w:rFonts w:eastAsia="Times New Roman"/>
          <w:sz w:val="24"/>
          <w:szCs w:val="24"/>
        </w:rPr>
        <w:t>, 2026)</w:t>
      </w:r>
    </w:p>
    <w:p w:rsidR="00795395" w:rsidRPr="00232473" w:rsidRDefault="00AB15B0" w:rsidP="00D937BD">
      <w:pPr>
        <w:pStyle w:val="Heading2"/>
        <w:rPr>
          <w:rFonts w:ascii="Arial" w:hAnsi="Arial"/>
        </w:rPr>
      </w:pPr>
      <w:bookmarkStart w:id="16" w:name="_Toc227952652"/>
      <w:r w:rsidRPr="00232473">
        <w:rPr>
          <w:rFonts w:ascii="Arial" w:hAnsi="Arial"/>
        </w:rPr>
        <w:t>Impact on Public Health</w:t>
      </w:r>
      <w:bookmarkEnd w:id="16"/>
      <w:r w:rsidRPr="00232473">
        <w:rPr>
          <w:rFonts w:ascii="Arial" w:hAnsi="Arial"/>
        </w:rPr>
        <w:t xml:space="preserve"> </w:t>
      </w:r>
    </w:p>
    <w:p w:rsidR="00795395" w:rsidRPr="00232473" w:rsidRDefault="00AB15B0">
      <w:pPr>
        <w:spacing w:line="360" w:lineRule="auto"/>
        <w:jc w:val="both"/>
        <w:rPr>
          <w:rFonts w:eastAsia="Times New Roman"/>
          <w:b/>
          <w:bCs/>
          <w:sz w:val="24"/>
          <w:szCs w:val="24"/>
        </w:rPr>
      </w:pPr>
      <w:r w:rsidRPr="00232473">
        <w:rPr>
          <w:rFonts w:eastAsia="Times New Roman"/>
          <w:sz w:val="24"/>
          <w:szCs w:val="24"/>
        </w:rPr>
        <w:t>In Harrow, Type 2 diabetes has both long-term and immediate effects on public health. In short, the disease increases demand for healthcare services and impacts daily quality of life. Type 2 diabetes affects all parts of the body and causes potentially life-threatening complications (H</w:t>
      </w:r>
      <w:hyperlink r:id="rId17">
        <w:r w:rsidRPr="00232473">
          <w:rPr>
            <w:rFonts w:eastAsia="Times New Roman"/>
            <w:sz w:val="24"/>
            <w:szCs w:val="24"/>
          </w:rPr>
          <w:t>ealth.harvard.edu</w:t>
        </w:r>
      </w:hyperlink>
      <w:r w:rsidRPr="00232473">
        <w:rPr>
          <w:rFonts w:eastAsia="Times New Roman"/>
          <w:sz w:val="24"/>
          <w:szCs w:val="24"/>
        </w:rPr>
        <w:t>, 2026). Over time, different complications are kidney failure, cardiovascular disease, and nerve damage that place an important burden on individuals and the healthcare system. This affects disabled people and those from ethnic minority backgrounds because of delays in diagnosis or treatment. Additionally, this highlights the way diabetes reflects inequality and the worst consequences over time. Different medications to address type 2 diabetes include antidiabetics, lipid-lowering drugs, antihypertensives and antiplatelet agents (</w:t>
      </w:r>
      <w:r w:rsidRPr="00232473">
        <w:rPr>
          <w:rFonts w:eastAsia="Times New Roman"/>
          <w:sz w:val="24"/>
          <w:szCs w:val="24"/>
          <w:highlight w:val="white"/>
        </w:rPr>
        <w:t xml:space="preserve">Carr </w:t>
      </w:r>
      <w:r w:rsidRPr="00232473">
        <w:rPr>
          <w:rFonts w:eastAsia="Times New Roman"/>
          <w:i/>
          <w:iCs/>
          <w:sz w:val="24"/>
          <w:szCs w:val="24"/>
          <w:highlight w:val="white"/>
        </w:rPr>
        <w:t>et al.,</w:t>
      </w:r>
      <w:r w:rsidRPr="00232473">
        <w:rPr>
          <w:rFonts w:eastAsia="Times New Roman"/>
          <w:sz w:val="24"/>
          <w:szCs w:val="24"/>
          <w:highlight w:val="white"/>
        </w:rPr>
        <w:t xml:space="preserve"> 2022</w:t>
      </w:r>
      <w:r w:rsidRPr="00232473">
        <w:rPr>
          <w:rFonts w:eastAsia="Times New Roman"/>
          <w:sz w:val="24"/>
          <w:szCs w:val="24"/>
        </w:rPr>
        <w:t xml:space="preserve">). </w:t>
      </w:r>
    </w:p>
    <w:p w:rsidR="00795395" w:rsidRPr="00232473" w:rsidRDefault="00AB15B0" w:rsidP="00D937BD">
      <w:pPr>
        <w:pStyle w:val="Heading2"/>
        <w:rPr>
          <w:rFonts w:ascii="Arial" w:hAnsi="Arial"/>
        </w:rPr>
      </w:pPr>
      <w:bookmarkStart w:id="17" w:name="_Toc227952653"/>
      <w:r w:rsidRPr="00232473">
        <w:rPr>
          <w:rFonts w:ascii="Arial" w:hAnsi="Arial"/>
        </w:rPr>
        <w:lastRenderedPageBreak/>
        <w:t>Intervention Programmes and their Evaluation</w:t>
      </w:r>
      <w:bookmarkEnd w:id="17"/>
      <w:r w:rsidRPr="00232473">
        <w:rPr>
          <w:rFonts w:ascii="Arial" w:hAnsi="Arial"/>
        </w:rPr>
        <w:t xml:space="preserve"> </w:t>
      </w:r>
    </w:p>
    <w:p w:rsidR="00795395" w:rsidRPr="00232473" w:rsidRDefault="00AB15B0">
      <w:pPr>
        <w:spacing w:line="360" w:lineRule="auto"/>
        <w:jc w:val="both"/>
        <w:rPr>
          <w:rFonts w:eastAsia="Times New Roman"/>
          <w:b/>
          <w:bCs/>
          <w:sz w:val="24"/>
          <w:szCs w:val="24"/>
        </w:rPr>
      </w:pPr>
      <w:r w:rsidRPr="00232473">
        <w:rPr>
          <w:rFonts w:eastAsia="Times New Roman"/>
          <w:sz w:val="24"/>
          <w:szCs w:val="24"/>
        </w:rPr>
        <w:t>An effective approach would involve the targeted interventions, which are both culturally appropriate and accessible for ethnic people or disabled people in Harrow. For example, the community-oriented programmes may offer tailored dietary advice, adapted physical activity options, and multilingual support. Different digital technology-based services offer to set goals of preventing type 2 diabetes under NHS DPP (E</w:t>
      </w:r>
      <w:hyperlink r:id="rId18">
        <w:r w:rsidRPr="00232473">
          <w:rPr>
            <w:rFonts w:eastAsia="Times New Roman"/>
            <w:sz w:val="24"/>
            <w:szCs w:val="24"/>
          </w:rPr>
          <w:t>ngland.nhs.uk</w:t>
        </w:r>
      </w:hyperlink>
      <w:r w:rsidRPr="00232473">
        <w:rPr>
          <w:rFonts w:eastAsia="Times New Roman"/>
          <w:sz w:val="24"/>
          <w:szCs w:val="24"/>
        </w:rPr>
        <w:t>, 2026). Additionally, collaborating with local organisations and primary care services may improve the engagement of patients and enhance trust within communities. Despite advances, substantial barriers have caused the epidemic (</w:t>
      </w:r>
      <w:r w:rsidRPr="00232473">
        <w:rPr>
          <w:rFonts w:eastAsia="Times New Roman"/>
          <w:sz w:val="24"/>
          <w:szCs w:val="24"/>
          <w:highlight w:val="white"/>
        </w:rPr>
        <w:t xml:space="preserve">Ahmad </w:t>
      </w:r>
      <w:r w:rsidRPr="00232473">
        <w:rPr>
          <w:rFonts w:eastAsia="Times New Roman"/>
          <w:i/>
          <w:iCs/>
          <w:sz w:val="24"/>
          <w:szCs w:val="24"/>
          <w:highlight w:val="white"/>
        </w:rPr>
        <w:t>et al.,</w:t>
      </w:r>
      <w:r w:rsidRPr="00232473">
        <w:rPr>
          <w:rFonts w:eastAsia="Times New Roman"/>
          <w:sz w:val="24"/>
          <w:szCs w:val="24"/>
          <w:highlight w:val="white"/>
        </w:rPr>
        <w:t xml:space="preserve"> 2022</w:t>
      </w:r>
      <w:r w:rsidRPr="00232473">
        <w:rPr>
          <w:rFonts w:eastAsia="Times New Roman"/>
          <w:sz w:val="24"/>
          <w:szCs w:val="24"/>
        </w:rPr>
        <w:t>). While these interventions are required to boost participation, additional resources, along with long-term commitment, are highly required for those people. The success may depend on multiple factors such as design, accessibility, and consistent delivery. Especially, unaddressed more important challenges such as inequality and the gap in access to healthy food have not been evaluated properly, and the application of intervention programmes may be limited. Report highlights weight loss in T2DR programmes was statistically lower in participants of Black and Asian ethnicity, in comparison to Whites in England (</w:t>
      </w:r>
      <w:r w:rsidRPr="00232473">
        <w:rPr>
          <w:rFonts w:eastAsia="Times New Roman"/>
          <w:sz w:val="24"/>
          <w:szCs w:val="24"/>
          <w:highlight w:val="white"/>
        </w:rPr>
        <w:t xml:space="preserve">Valabhji </w:t>
      </w:r>
      <w:r w:rsidRPr="00232473">
        <w:rPr>
          <w:rFonts w:eastAsia="Times New Roman"/>
          <w:i/>
          <w:iCs/>
          <w:sz w:val="24"/>
          <w:szCs w:val="24"/>
          <w:highlight w:val="white"/>
        </w:rPr>
        <w:t>et al.,</w:t>
      </w:r>
      <w:r w:rsidRPr="00232473">
        <w:rPr>
          <w:rFonts w:eastAsia="Times New Roman"/>
          <w:sz w:val="24"/>
          <w:szCs w:val="24"/>
          <w:highlight w:val="white"/>
        </w:rPr>
        <w:t xml:space="preserve"> 2024</w:t>
      </w:r>
      <w:r w:rsidRPr="00232473">
        <w:rPr>
          <w:rFonts w:eastAsia="Times New Roman"/>
          <w:sz w:val="24"/>
          <w:szCs w:val="24"/>
        </w:rPr>
        <w:t xml:space="preserve">). This suggests that targeted programmes are highly crucial, which may not work in isolation, and need to be part of a bigger strategy to mitigate the root cause of inequality. </w:t>
      </w:r>
    </w:p>
    <w:p w:rsidR="00795395" w:rsidRPr="00232473" w:rsidRDefault="00AB15B0" w:rsidP="00D937BD">
      <w:pPr>
        <w:pStyle w:val="Heading2"/>
        <w:rPr>
          <w:rFonts w:ascii="Arial" w:hAnsi="Arial"/>
        </w:rPr>
      </w:pPr>
      <w:bookmarkStart w:id="18" w:name="_Toc227952654"/>
      <w:r w:rsidRPr="00232473">
        <w:rPr>
          <w:rFonts w:ascii="Arial" w:hAnsi="Arial"/>
        </w:rPr>
        <w:t>Strengths and Weaknesses of the Epidemiological Approach</w:t>
      </w:r>
      <w:bookmarkEnd w:id="18"/>
      <w:r w:rsidRPr="00232473">
        <w:rPr>
          <w:rFonts w:ascii="Arial" w:hAnsi="Arial"/>
        </w:rPr>
        <w:t xml:space="preserve"> </w:t>
      </w:r>
    </w:p>
    <w:p w:rsidR="00795395" w:rsidRPr="00232473" w:rsidRDefault="00AB15B0">
      <w:pPr>
        <w:spacing w:line="360" w:lineRule="auto"/>
        <w:jc w:val="both"/>
        <w:rPr>
          <w:rFonts w:eastAsia="Times New Roman"/>
          <w:b/>
          <w:bCs/>
          <w:sz w:val="24"/>
          <w:szCs w:val="24"/>
        </w:rPr>
      </w:pPr>
      <w:r w:rsidRPr="00232473">
        <w:rPr>
          <w:rFonts w:eastAsia="Times New Roman"/>
          <w:b/>
          <w:bCs/>
          <w:sz w:val="24"/>
          <w:szCs w:val="24"/>
        </w:rPr>
        <w:t xml:space="preserve">Strengths </w:t>
      </w:r>
    </w:p>
    <w:p w:rsidR="00795395" w:rsidRDefault="00AB15B0">
      <w:pPr>
        <w:spacing w:line="360" w:lineRule="auto"/>
        <w:jc w:val="both"/>
        <w:rPr>
          <w:rFonts w:eastAsia="Times New Roman"/>
          <w:sz w:val="24"/>
          <w:szCs w:val="24"/>
        </w:rPr>
      </w:pPr>
      <w:r w:rsidRPr="00232473">
        <w:rPr>
          <w:rFonts w:eastAsia="Times New Roman"/>
          <w:sz w:val="24"/>
          <w:szCs w:val="24"/>
        </w:rPr>
        <w:t>Epidemiology is crucial for finding patterns of disease and determining which populations are most at risk. In Harrow, it aims to highlight higher diabetes prevalence among specific ethnic groups and individuals with disabilities. This helps evidence-based planning, targeted interventions, and resource allocation. Epidemiology allows different public health professionals to move beyond assumptions and make informed decisions by reflecting on measurable trends. Low-cost behaviour change progress is highly beneficial (</w:t>
      </w:r>
      <w:r w:rsidRPr="00232473">
        <w:rPr>
          <w:rFonts w:eastAsia="Times New Roman"/>
          <w:sz w:val="24"/>
          <w:szCs w:val="24"/>
          <w:highlight w:val="white"/>
        </w:rPr>
        <w:t xml:space="preserve">McManus </w:t>
      </w:r>
      <w:r w:rsidRPr="00232473">
        <w:rPr>
          <w:rFonts w:eastAsia="Times New Roman"/>
          <w:i/>
          <w:iCs/>
          <w:sz w:val="24"/>
          <w:szCs w:val="24"/>
          <w:highlight w:val="white"/>
        </w:rPr>
        <w:t xml:space="preserve">et al., </w:t>
      </w:r>
      <w:r w:rsidRPr="00232473">
        <w:rPr>
          <w:rFonts w:eastAsia="Times New Roman"/>
          <w:sz w:val="24"/>
          <w:szCs w:val="24"/>
          <w:highlight w:val="white"/>
        </w:rPr>
        <w:t>2023</w:t>
      </w:r>
      <w:r w:rsidRPr="00232473">
        <w:rPr>
          <w:rFonts w:eastAsia="Times New Roman"/>
          <w:sz w:val="24"/>
          <w:szCs w:val="24"/>
        </w:rPr>
        <w:t xml:space="preserve">). </w:t>
      </w:r>
    </w:p>
    <w:p w:rsidR="007A6957" w:rsidRPr="00232473" w:rsidRDefault="007A6957">
      <w:pPr>
        <w:spacing w:line="360" w:lineRule="auto"/>
        <w:jc w:val="both"/>
        <w:rPr>
          <w:rFonts w:eastAsia="Times New Roman"/>
          <w:sz w:val="24"/>
          <w:szCs w:val="24"/>
        </w:rPr>
      </w:pPr>
    </w:p>
    <w:p w:rsidR="00795395" w:rsidRPr="00232473" w:rsidRDefault="00AB15B0">
      <w:pPr>
        <w:spacing w:line="360" w:lineRule="auto"/>
        <w:jc w:val="both"/>
        <w:rPr>
          <w:rFonts w:eastAsia="Times New Roman"/>
          <w:b/>
          <w:bCs/>
          <w:sz w:val="24"/>
          <w:szCs w:val="24"/>
        </w:rPr>
      </w:pPr>
      <w:r w:rsidRPr="00232473">
        <w:rPr>
          <w:rFonts w:eastAsia="Times New Roman"/>
          <w:b/>
          <w:bCs/>
          <w:sz w:val="24"/>
          <w:szCs w:val="24"/>
        </w:rPr>
        <w:lastRenderedPageBreak/>
        <w:t xml:space="preserve">Weaknesses </w:t>
      </w:r>
    </w:p>
    <w:p w:rsidR="00795395" w:rsidRPr="00232473" w:rsidRDefault="00AB15B0">
      <w:pPr>
        <w:spacing w:line="360" w:lineRule="auto"/>
        <w:jc w:val="both"/>
        <w:rPr>
          <w:rFonts w:eastAsia="Times New Roman"/>
          <w:sz w:val="24"/>
          <w:szCs w:val="24"/>
        </w:rPr>
      </w:pPr>
      <w:r w:rsidRPr="00232473">
        <w:rPr>
          <w:rFonts w:eastAsia="Times New Roman"/>
          <w:sz w:val="24"/>
          <w:szCs w:val="24"/>
        </w:rPr>
        <w:t xml:space="preserve">Despite its values, epidemiology has significant limitations. Quantitative data often fail to capture different living experiences, especially barriers faced by disabled individuals in accessing care. Additionally, dependence on existing databases may lead to gaps, bias, or underreporting, particularly where disability-oriented information is limited. This means that while epidemiology identifies patterns, it has not explained the underlying reasons. Consequently, it should be complemented with more context-sensitive approaches to fully understand health inequalities. A hypocaloric dietary intervention leads to remission of type 2 </w:t>
      </w:r>
      <w:r w:rsidR="006907E3" w:rsidRPr="00232473">
        <w:rPr>
          <w:rFonts w:eastAsia="Times New Roman"/>
          <w:sz w:val="24"/>
          <w:szCs w:val="24"/>
        </w:rPr>
        <w:t>diabetes (</w:t>
      </w:r>
      <w:r w:rsidRPr="00232473">
        <w:rPr>
          <w:rFonts w:eastAsia="Times New Roman"/>
          <w:sz w:val="24"/>
          <w:szCs w:val="24"/>
        </w:rPr>
        <w:t xml:space="preserve">Sattar </w:t>
      </w:r>
      <w:r w:rsidRPr="00232473">
        <w:rPr>
          <w:rFonts w:eastAsia="Times New Roman"/>
          <w:i/>
          <w:iCs/>
          <w:sz w:val="24"/>
          <w:szCs w:val="24"/>
        </w:rPr>
        <w:t>et al.,</w:t>
      </w:r>
      <w:r w:rsidRPr="00232473">
        <w:rPr>
          <w:rFonts w:eastAsia="Times New Roman"/>
          <w:sz w:val="24"/>
          <w:szCs w:val="24"/>
        </w:rPr>
        <w:t xml:space="preserve"> 20</w:t>
      </w:r>
      <w:r w:rsidRPr="00232473">
        <w:rPr>
          <w:rFonts w:eastAsia="Times New Roman"/>
          <w:sz w:val="24"/>
          <w:szCs w:val="24"/>
          <w:highlight w:val="white"/>
        </w:rPr>
        <w:t>23</w:t>
      </w:r>
      <w:r w:rsidRPr="00232473">
        <w:rPr>
          <w:rFonts w:eastAsia="Times New Roman"/>
          <w:sz w:val="24"/>
          <w:szCs w:val="24"/>
        </w:rPr>
        <w:t xml:space="preserve">). </w:t>
      </w:r>
    </w:p>
    <w:p w:rsidR="00795395" w:rsidRPr="00232473" w:rsidRDefault="00AB15B0" w:rsidP="00D937BD">
      <w:pPr>
        <w:pStyle w:val="Heading2"/>
        <w:rPr>
          <w:rFonts w:ascii="Arial" w:hAnsi="Arial"/>
        </w:rPr>
      </w:pPr>
      <w:bookmarkStart w:id="19" w:name="_Toc227952655"/>
      <w:r w:rsidRPr="00232473">
        <w:rPr>
          <w:rFonts w:ascii="Arial" w:hAnsi="Arial"/>
        </w:rPr>
        <w:t>Conclusion</w:t>
      </w:r>
      <w:bookmarkEnd w:id="19"/>
      <w:r w:rsidRPr="00232473">
        <w:rPr>
          <w:rFonts w:ascii="Arial" w:hAnsi="Arial"/>
        </w:rPr>
        <w:t xml:space="preserve"> </w:t>
      </w:r>
    </w:p>
    <w:p w:rsidR="00795395" w:rsidRPr="00232473" w:rsidRDefault="00AB15B0" w:rsidP="007A6957">
      <w:pPr>
        <w:spacing w:line="360" w:lineRule="auto"/>
        <w:jc w:val="both"/>
        <w:rPr>
          <w:rFonts w:eastAsia="Times New Roman"/>
          <w:sz w:val="24"/>
          <w:szCs w:val="24"/>
        </w:rPr>
      </w:pPr>
      <w:r w:rsidRPr="00232473">
        <w:rPr>
          <w:rFonts w:eastAsia="Times New Roman"/>
          <w:sz w:val="24"/>
          <w:szCs w:val="24"/>
        </w:rPr>
        <w:t>Overall, this evaluation highlights that Type 2 diabetes emphasises the way health outcomes are powered by structural inequalities in Harrow. Effective response needs to combine epidemiological evidence with targeted, however, inclusive interventions by addressing underlying social determinants.</w:t>
      </w:r>
      <w:r w:rsidR="007A6957">
        <w:rPr>
          <w:rFonts w:eastAsia="Times New Roman"/>
          <w:sz w:val="24"/>
          <w:szCs w:val="24"/>
        </w:rPr>
        <w:t xml:space="preserve"> </w:t>
      </w:r>
      <w:r w:rsidR="007A6957">
        <w:t>A comprehensive approach combining epidemiological data with social interventions is essential to effectively reduce the burden of Type 2 diabetes. Without addressing inequality, long-term improvements will remain limited.</w:t>
      </w:r>
    </w:p>
    <w:p w:rsidR="00795395" w:rsidRPr="00232473" w:rsidRDefault="00795395">
      <w:pPr>
        <w:spacing w:line="360" w:lineRule="auto"/>
        <w:jc w:val="both"/>
        <w:rPr>
          <w:rFonts w:eastAsia="Times New Roman"/>
          <w:b/>
          <w:bCs/>
          <w:sz w:val="24"/>
          <w:szCs w:val="24"/>
        </w:rPr>
      </w:pPr>
    </w:p>
    <w:p w:rsidR="00795395" w:rsidRPr="00232473" w:rsidRDefault="00795395">
      <w:pPr>
        <w:spacing w:line="360" w:lineRule="auto"/>
        <w:jc w:val="both"/>
        <w:rPr>
          <w:rFonts w:eastAsia="Times New Roman"/>
          <w:b/>
          <w:bCs/>
          <w:sz w:val="24"/>
          <w:szCs w:val="24"/>
        </w:rPr>
      </w:pPr>
    </w:p>
    <w:p w:rsidR="00795395" w:rsidRPr="00232473" w:rsidRDefault="00795395">
      <w:pPr>
        <w:spacing w:line="360" w:lineRule="auto"/>
        <w:jc w:val="both"/>
        <w:rPr>
          <w:rFonts w:eastAsia="Times New Roman"/>
          <w:b/>
          <w:bCs/>
          <w:sz w:val="24"/>
          <w:szCs w:val="24"/>
        </w:rPr>
      </w:pPr>
    </w:p>
    <w:p w:rsidR="00D937BD" w:rsidRPr="00232473" w:rsidRDefault="00AB15B0">
      <w:pPr>
        <w:rPr>
          <w:rFonts w:eastAsia="Times New Roman"/>
          <w:b/>
          <w:bCs/>
          <w:sz w:val="24"/>
          <w:szCs w:val="24"/>
        </w:rPr>
      </w:pPr>
      <w:r w:rsidRPr="00232473">
        <w:rPr>
          <w:rFonts w:eastAsia="Times New Roman"/>
          <w:b/>
          <w:bCs/>
          <w:sz w:val="24"/>
          <w:szCs w:val="24"/>
        </w:rPr>
        <w:br w:type="page"/>
      </w:r>
    </w:p>
    <w:p w:rsidR="00867A15" w:rsidRPr="00232473" w:rsidRDefault="00AB15B0" w:rsidP="00867A15">
      <w:pPr>
        <w:pStyle w:val="Heading1"/>
        <w:rPr>
          <w:rFonts w:ascii="Arial" w:hAnsi="Arial"/>
        </w:rPr>
      </w:pPr>
      <w:bookmarkStart w:id="20" w:name="_Toc227952656"/>
      <w:r w:rsidRPr="00232473">
        <w:rPr>
          <w:rFonts w:ascii="Arial" w:hAnsi="Arial"/>
        </w:rPr>
        <w:lastRenderedPageBreak/>
        <w:t>References</w:t>
      </w:r>
      <w:bookmarkEnd w:id="20"/>
      <w:r w:rsidRPr="00232473">
        <w:rPr>
          <w:rFonts w:ascii="Arial" w:hAnsi="Arial"/>
        </w:rPr>
        <w:t xml:space="preserve"> </w:t>
      </w:r>
    </w:p>
    <w:p w:rsidR="00795395" w:rsidRPr="00232473" w:rsidRDefault="00795395">
      <w:pPr>
        <w:spacing w:line="360" w:lineRule="auto"/>
        <w:jc w:val="both"/>
        <w:rPr>
          <w:rFonts w:eastAsia="Times New Roman"/>
          <w:b/>
          <w:bCs/>
          <w:sz w:val="28"/>
          <w:szCs w:val="28"/>
        </w:rPr>
      </w:pPr>
    </w:p>
    <w:p w:rsidR="00320AAF" w:rsidRPr="00232473" w:rsidRDefault="00320AA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rPr>
        <w:t>Bacon, A., Hyland, A., James, S., Martin, N., O’Brien, G., Premkumar, P., Takhar, S. and Wilkinson, P., 2023. Disability, Loneliness and Relationships.</w:t>
      </w:r>
    </w:p>
    <w:p w:rsidR="00320AAF" w:rsidRPr="00232473" w:rsidRDefault="00320AA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rPr>
        <w:t xml:space="preserve">Davies, J., Heasman, B., Livesey, A., Walker, A., Pellicano, E. and Remington, A., 2022. Autistic adults’ views and experiences of requesting and receiving workplace adjustments in the UK. </w:t>
      </w:r>
      <w:r w:rsidRPr="00232473">
        <w:rPr>
          <w:rFonts w:eastAsia="Times New Roman"/>
          <w:i/>
          <w:iCs/>
          <w:sz w:val="24"/>
          <w:szCs w:val="24"/>
        </w:rPr>
        <w:t>Plos one</w:t>
      </w:r>
      <w:r w:rsidRPr="00232473">
        <w:rPr>
          <w:rFonts w:eastAsia="Times New Roman"/>
          <w:sz w:val="24"/>
          <w:szCs w:val="24"/>
        </w:rPr>
        <w:t xml:space="preserve">, </w:t>
      </w:r>
      <w:r w:rsidRPr="00232473">
        <w:rPr>
          <w:rFonts w:eastAsia="Times New Roman"/>
          <w:i/>
          <w:iCs/>
          <w:sz w:val="24"/>
          <w:szCs w:val="24"/>
        </w:rPr>
        <w:t>17</w:t>
      </w:r>
      <w:r w:rsidRPr="00232473">
        <w:rPr>
          <w:rFonts w:eastAsia="Times New Roman"/>
          <w:sz w:val="24"/>
          <w:szCs w:val="24"/>
        </w:rPr>
        <w:t>(8), p.e0272420.</w:t>
      </w:r>
    </w:p>
    <w:p w:rsidR="00320AAF" w:rsidRPr="00232473" w:rsidRDefault="00320AA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rPr>
        <w:t xml:space="preserve">Disabilityrightsuk.org, 2026 </w:t>
      </w:r>
      <w:r w:rsidRPr="00232473">
        <w:rPr>
          <w:rFonts w:eastAsia="Times New Roman"/>
          <w:i/>
          <w:iCs/>
          <w:sz w:val="24"/>
          <w:szCs w:val="24"/>
        </w:rPr>
        <w:t>Disabilityrightsuk.org</w:t>
      </w:r>
      <w:r w:rsidRPr="00232473">
        <w:rPr>
          <w:rFonts w:eastAsia="Times New Roman"/>
          <w:sz w:val="24"/>
          <w:szCs w:val="24"/>
        </w:rPr>
        <w:t>. Available at: https://www.disabilityrightsuk.org/news/food-insecurity-rises-again?srsltid=AfmBOoqX9wa9quoloJm_MhxH3soKApNlQzGlFONc88ag0R99XJCotsyT (Accessed: 24 April 2026).</w:t>
      </w:r>
    </w:p>
    <w:p w:rsidR="00320AAF" w:rsidRPr="00232473" w:rsidRDefault="00320AA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rPr>
        <w:t xml:space="preserve">Foodfoundation.org.uk, 2026 Available at: </w:t>
      </w:r>
      <w:hyperlink r:id="rId19">
        <w:r w:rsidRPr="00232473">
          <w:rPr>
            <w:rFonts w:eastAsia="Times New Roman"/>
            <w:sz w:val="24"/>
            <w:szCs w:val="24"/>
            <w:u w:val="single"/>
          </w:rPr>
          <w:t>https://foodfoundation.org.uk/sites/default/files/2023-12/Disabilities%20briefing_FINAL.pdf</w:t>
        </w:r>
      </w:hyperlink>
      <w:r w:rsidRPr="00232473">
        <w:rPr>
          <w:rFonts w:eastAsia="Times New Roman"/>
          <w:sz w:val="24"/>
          <w:szCs w:val="24"/>
        </w:rPr>
        <w:t>.</w:t>
      </w:r>
    </w:p>
    <w:p w:rsidR="00320AAF" w:rsidRPr="00232473" w:rsidRDefault="00320AA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rPr>
        <w:t xml:space="preserve">Gov.uk, 2026 </w:t>
      </w:r>
      <w:r w:rsidRPr="00232473">
        <w:rPr>
          <w:rFonts w:eastAsia="Times New Roman"/>
          <w:i/>
          <w:iCs/>
          <w:sz w:val="24"/>
          <w:szCs w:val="24"/>
        </w:rPr>
        <w:t>The Employment of Disabled People 2024</w:t>
      </w:r>
      <w:r w:rsidRPr="00232473">
        <w:rPr>
          <w:rFonts w:eastAsia="Times New Roman"/>
          <w:sz w:val="24"/>
          <w:szCs w:val="24"/>
        </w:rPr>
        <w:t xml:space="preserve">, </w:t>
      </w:r>
      <w:r w:rsidRPr="00232473">
        <w:rPr>
          <w:rFonts w:eastAsia="Times New Roman"/>
          <w:i/>
          <w:iCs/>
          <w:sz w:val="24"/>
          <w:szCs w:val="24"/>
        </w:rPr>
        <w:t>Gov.uk</w:t>
      </w:r>
      <w:r w:rsidRPr="00232473">
        <w:rPr>
          <w:rFonts w:eastAsia="Times New Roman"/>
          <w:sz w:val="24"/>
          <w:szCs w:val="24"/>
        </w:rPr>
        <w:t xml:space="preserve">. Available at: </w:t>
      </w:r>
      <w:hyperlink r:id="rId20">
        <w:r w:rsidRPr="00232473">
          <w:rPr>
            <w:rFonts w:eastAsia="Times New Roman"/>
            <w:sz w:val="24"/>
            <w:szCs w:val="24"/>
            <w:u w:val="single"/>
          </w:rPr>
          <w:t>https://www.gov.uk/government/statistics/the-employment-of-disabled-people-2024/the-employment-of-disabled-people-2024</w:t>
        </w:r>
      </w:hyperlink>
      <w:r w:rsidRPr="00232473">
        <w:rPr>
          <w:rFonts w:eastAsia="Times New Roman"/>
          <w:sz w:val="24"/>
          <w:szCs w:val="24"/>
        </w:rPr>
        <w:t>.</w:t>
      </w:r>
    </w:p>
    <w:p w:rsidR="00320AAF" w:rsidRPr="00232473" w:rsidRDefault="00320AA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rPr>
        <w:t>Hollomotz, A., Priestley, M., Andre, D., Lavery, B. and Hadi, F., 2025. The lived experience of disabled people in the UK: a review of evidence.</w:t>
      </w:r>
    </w:p>
    <w:p w:rsidR="00320AAF" w:rsidRPr="00232473" w:rsidRDefault="00320AA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rPr>
        <w:t xml:space="preserve">Kuper, H., Gatta, D.R., Rotenberg, S., Banks, L.M., Smythe, T. and Heydt, P., 2024. Building disability-inclusive health systems. </w:t>
      </w:r>
      <w:r w:rsidRPr="00232473">
        <w:rPr>
          <w:rFonts w:eastAsia="Times New Roman"/>
          <w:i/>
          <w:iCs/>
          <w:sz w:val="24"/>
          <w:szCs w:val="24"/>
        </w:rPr>
        <w:t>The Lancet Public Health</w:t>
      </w:r>
      <w:r w:rsidRPr="00232473">
        <w:rPr>
          <w:rFonts w:eastAsia="Times New Roman"/>
          <w:sz w:val="24"/>
          <w:szCs w:val="24"/>
        </w:rPr>
        <w:t xml:space="preserve">, </w:t>
      </w:r>
      <w:r w:rsidRPr="00232473">
        <w:rPr>
          <w:rFonts w:eastAsia="Times New Roman"/>
          <w:i/>
          <w:iCs/>
          <w:sz w:val="24"/>
          <w:szCs w:val="24"/>
        </w:rPr>
        <w:t>9</w:t>
      </w:r>
      <w:r w:rsidRPr="00232473">
        <w:rPr>
          <w:rFonts w:eastAsia="Times New Roman"/>
          <w:sz w:val="24"/>
          <w:szCs w:val="24"/>
        </w:rPr>
        <w:t>(5), pp.e316-e325.</w:t>
      </w:r>
    </w:p>
    <w:p w:rsidR="00320AAF" w:rsidRPr="00232473" w:rsidRDefault="00320AA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rPr>
        <w:t xml:space="preserve">Magomedova, A., 2025. </w:t>
      </w:r>
      <w:r w:rsidRPr="00232473">
        <w:rPr>
          <w:rFonts w:eastAsia="Times New Roman"/>
          <w:i/>
          <w:iCs/>
          <w:sz w:val="24"/>
          <w:szCs w:val="24"/>
        </w:rPr>
        <w:t>The role of socio-economic deprivation in developing of Obesity and Diabetes type 2 among population aged 16 and over in England and Sweden, 2021-2024. Medical Research Archives,[online] 13 (8)</w:t>
      </w:r>
      <w:r w:rsidRPr="00232473">
        <w:rPr>
          <w:rFonts w:eastAsia="Times New Roman"/>
          <w:sz w:val="24"/>
          <w:szCs w:val="24"/>
        </w:rPr>
        <w:t xml:space="preserve"> [online]</w:t>
      </w:r>
    </w:p>
    <w:p w:rsidR="00320AAF" w:rsidRPr="00232473" w:rsidRDefault="00320AA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rPr>
        <w:t xml:space="preserve">Olivera, J.N., Ford, J., Sowden, S. and Bambra, C., 2022. Conceptualisation of health inequalities by local healthcare systems: A document analysis. </w:t>
      </w:r>
      <w:r w:rsidRPr="00232473">
        <w:rPr>
          <w:rFonts w:eastAsia="Times New Roman"/>
          <w:i/>
          <w:iCs/>
          <w:sz w:val="24"/>
          <w:szCs w:val="24"/>
        </w:rPr>
        <w:t>Health &amp; Social Care in the Community</w:t>
      </w:r>
      <w:r w:rsidRPr="00232473">
        <w:rPr>
          <w:rFonts w:eastAsia="Times New Roman"/>
          <w:sz w:val="24"/>
          <w:szCs w:val="24"/>
        </w:rPr>
        <w:t xml:space="preserve">, </w:t>
      </w:r>
      <w:r w:rsidRPr="00232473">
        <w:rPr>
          <w:rFonts w:eastAsia="Times New Roman"/>
          <w:i/>
          <w:iCs/>
          <w:sz w:val="24"/>
          <w:szCs w:val="24"/>
        </w:rPr>
        <w:t>30</w:t>
      </w:r>
      <w:r w:rsidRPr="00232473">
        <w:rPr>
          <w:rFonts w:eastAsia="Times New Roman"/>
          <w:sz w:val="24"/>
          <w:szCs w:val="24"/>
        </w:rPr>
        <w:t>(6), pp.e3977-e3984.</w:t>
      </w:r>
    </w:p>
    <w:p w:rsidR="00320AAF" w:rsidRPr="00232473" w:rsidRDefault="00320AA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rPr>
        <w:t xml:space="preserve">Ombudsman.org.uk, 2026 </w:t>
      </w:r>
      <w:r w:rsidRPr="00232473">
        <w:rPr>
          <w:rFonts w:eastAsia="Times New Roman"/>
          <w:i/>
          <w:iCs/>
          <w:sz w:val="24"/>
          <w:szCs w:val="24"/>
        </w:rPr>
        <w:t>Hospital treatment delay led to avoidable death of man with disabilities</w:t>
      </w:r>
      <w:r w:rsidRPr="00232473">
        <w:rPr>
          <w:rFonts w:eastAsia="Times New Roman"/>
          <w:sz w:val="24"/>
          <w:szCs w:val="24"/>
        </w:rPr>
        <w:t xml:space="preserve">, </w:t>
      </w:r>
      <w:r w:rsidRPr="00232473">
        <w:rPr>
          <w:rFonts w:eastAsia="Times New Roman"/>
          <w:i/>
          <w:iCs/>
          <w:sz w:val="24"/>
          <w:szCs w:val="24"/>
        </w:rPr>
        <w:t>Ombudsman.org.uk</w:t>
      </w:r>
      <w:r w:rsidRPr="00232473">
        <w:rPr>
          <w:rFonts w:eastAsia="Times New Roman"/>
          <w:sz w:val="24"/>
          <w:szCs w:val="24"/>
        </w:rPr>
        <w:t xml:space="preserve">. Parliamentary and Health Service </w:t>
      </w:r>
      <w:r w:rsidRPr="00232473">
        <w:rPr>
          <w:rFonts w:eastAsia="Times New Roman"/>
          <w:sz w:val="24"/>
          <w:szCs w:val="24"/>
        </w:rPr>
        <w:lastRenderedPageBreak/>
        <w:t xml:space="preserve">Ombudsman. Available at: </w:t>
      </w:r>
      <w:hyperlink r:id="rId21">
        <w:r w:rsidRPr="00232473">
          <w:rPr>
            <w:rFonts w:eastAsia="Times New Roman"/>
            <w:sz w:val="24"/>
            <w:szCs w:val="24"/>
            <w:u w:val="single"/>
          </w:rPr>
          <w:t>https://www.ombudsman.org.uk/news-and-blog/news/hospital-treatment-delay-led-avoidable-death-man-disabilities</w:t>
        </w:r>
      </w:hyperlink>
      <w:r w:rsidRPr="00232473">
        <w:rPr>
          <w:rFonts w:eastAsia="Times New Roman"/>
          <w:sz w:val="24"/>
          <w:szCs w:val="24"/>
        </w:rPr>
        <w:t>.</w:t>
      </w:r>
    </w:p>
    <w:p w:rsidR="00320AAF" w:rsidRPr="00232473" w:rsidRDefault="00320AA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rPr>
        <w:t xml:space="preserve">Ons.gov.uk, 2026 </w:t>
      </w:r>
      <w:r w:rsidRPr="00232473">
        <w:rPr>
          <w:rFonts w:eastAsia="Times New Roman"/>
          <w:i/>
          <w:iCs/>
          <w:sz w:val="24"/>
          <w:szCs w:val="24"/>
        </w:rPr>
        <w:t>Disabled people’s experiences with activities, goods and services, UK - Office for National Statistics</w:t>
      </w:r>
      <w:r w:rsidRPr="00232473">
        <w:rPr>
          <w:rFonts w:eastAsia="Times New Roman"/>
          <w:sz w:val="24"/>
          <w:szCs w:val="24"/>
        </w:rPr>
        <w:t xml:space="preserve">, </w:t>
      </w:r>
      <w:r w:rsidRPr="00232473">
        <w:rPr>
          <w:rFonts w:eastAsia="Times New Roman"/>
          <w:i/>
          <w:iCs/>
          <w:sz w:val="24"/>
          <w:szCs w:val="24"/>
        </w:rPr>
        <w:t>www.ons.gov.uk</w:t>
      </w:r>
      <w:r w:rsidRPr="00232473">
        <w:rPr>
          <w:rFonts w:eastAsia="Times New Roman"/>
          <w:sz w:val="24"/>
          <w:szCs w:val="24"/>
        </w:rPr>
        <w:t xml:space="preserve">. Available at: </w:t>
      </w:r>
      <w:hyperlink r:id="rId22">
        <w:r w:rsidRPr="00232473">
          <w:rPr>
            <w:rFonts w:eastAsia="Times New Roman"/>
            <w:sz w:val="24"/>
            <w:szCs w:val="24"/>
            <w:u w:val="single"/>
          </w:rPr>
          <w:t>https://www.ons.gov.uk/peoplepopulationandcommunity/healthandsocialcare/disability/bulletins/disabledpeoplesexperienceswithactivitiesgoodsandservicesuk/februarytomarch2022</w:t>
        </w:r>
      </w:hyperlink>
      <w:r w:rsidRPr="00232473">
        <w:rPr>
          <w:rFonts w:eastAsia="Times New Roman"/>
          <w:sz w:val="24"/>
          <w:szCs w:val="24"/>
        </w:rPr>
        <w:t>.</w:t>
      </w:r>
    </w:p>
    <w:p w:rsidR="00D937BD" w:rsidRPr="00232473" w:rsidRDefault="00320AA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rPr>
        <w:t xml:space="preserve">Scope.org.uk, 2026 </w:t>
      </w:r>
      <w:r w:rsidRPr="00232473">
        <w:rPr>
          <w:rFonts w:eastAsia="Times New Roman"/>
          <w:i/>
          <w:iCs/>
          <w:sz w:val="24"/>
          <w:szCs w:val="24"/>
        </w:rPr>
        <w:t>Scope</w:t>
      </w:r>
      <w:r w:rsidRPr="00232473">
        <w:rPr>
          <w:rFonts w:eastAsia="Times New Roman"/>
          <w:sz w:val="24"/>
          <w:szCs w:val="24"/>
        </w:rPr>
        <w:t xml:space="preserve">. Available at: </w:t>
      </w:r>
      <w:hyperlink r:id="rId23">
        <w:r w:rsidRPr="00232473">
          <w:rPr>
            <w:rFonts w:eastAsia="Times New Roman"/>
            <w:sz w:val="24"/>
            <w:szCs w:val="24"/>
            <w:u w:val="single"/>
          </w:rPr>
          <w:t>https://www.scope.org.uk/about-us/our-impact-2024-to-2025</w:t>
        </w:r>
      </w:hyperlink>
      <w:r w:rsidRPr="00232473">
        <w:rPr>
          <w:rFonts w:eastAsia="Times New Roman"/>
          <w:sz w:val="24"/>
          <w:szCs w:val="24"/>
        </w:rPr>
        <w:t>.</w:t>
      </w:r>
    </w:p>
    <w:p w:rsidR="0097407F" w:rsidRPr="00232473" w:rsidRDefault="0097407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highlight w:val="white"/>
        </w:rPr>
        <w:t xml:space="preserve">Ahmad, E., Lim, S., Lamptey, R., Webb, D.R. and Davies, M.J., 2022. Type 2 diabetes. </w:t>
      </w:r>
      <w:r w:rsidRPr="00232473">
        <w:rPr>
          <w:rFonts w:eastAsia="Times New Roman"/>
          <w:i/>
          <w:iCs/>
          <w:sz w:val="24"/>
          <w:szCs w:val="24"/>
          <w:highlight w:val="white"/>
        </w:rPr>
        <w:t>The Lancet</w:t>
      </w:r>
      <w:r w:rsidRPr="00232473">
        <w:rPr>
          <w:rFonts w:eastAsia="Times New Roman"/>
          <w:sz w:val="24"/>
          <w:szCs w:val="24"/>
          <w:highlight w:val="white"/>
        </w:rPr>
        <w:t xml:space="preserve">, </w:t>
      </w:r>
      <w:r w:rsidRPr="00232473">
        <w:rPr>
          <w:rFonts w:eastAsia="Times New Roman"/>
          <w:i/>
          <w:iCs/>
          <w:sz w:val="24"/>
          <w:szCs w:val="24"/>
          <w:highlight w:val="white"/>
        </w:rPr>
        <w:t>400</w:t>
      </w:r>
      <w:r w:rsidRPr="00232473">
        <w:rPr>
          <w:rFonts w:eastAsia="Times New Roman"/>
          <w:sz w:val="24"/>
          <w:szCs w:val="24"/>
          <w:highlight w:val="white"/>
        </w:rPr>
        <w:t>(10365), pp.1803-1820.</w:t>
      </w:r>
      <w:r w:rsidRPr="00232473">
        <w:rPr>
          <w:rFonts w:eastAsia="Times New Roman"/>
          <w:sz w:val="24"/>
          <w:szCs w:val="24"/>
        </w:rPr>
        <w:t xml:space="preserve"> </w:t>
      </w:r>
    </w:p>
    <w:p w:rsidR="0097407F" w:rsidRPr="00232473" w:rsidRDefault="0097407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rPr>
        <w:t xml:space="preserve">Aitken, Z., Bishop, G.M., Disney, G., Emerson, E. and Kavanagh, A.M., 2022. Disability-related inequalities in health and well-being are mediated by barriers to participation faced by people with disability. A causal mediation analysis. </w:t>
      </w:r>
      <w:r w:rsidRPr="00232473">
        <w:rPr>
          <w:rFonts w:eastAsia="Times New Roman"/>
          <w:i/>
          <w:iCs/>
          <w:sz w:val="24"/>
          <w:szCs w:val="24"/>
        </w:rPr>
        <w:t>Social Science &amp; Medicine</w:t>
      </w:r>
      <w:r w:rsidRPr="00232473">
        <w:rPr>
          <w:rFonts w:eastAsia="Times New Roman"/>
          <w:sz w:val="24"/>
          <w:szCs w:val="24"/>
        </w:rPr>
        <w:t xml:space="preserve">, </w:t>
      </w:r>
      <w:r w:rsidRPr="00232473">
        <w:rPr>
          <w:rFonts w:eastAsia="Times New Roman"/>
          <w:i/>
          <w:iCs/>
          <w:sz w:val="24"/>
          <w:szCs w:val="24"/>
        </w:rPr>
        <w:t>315</w:t>
      </w:r>
      <w:r w:rsidRPr="00232473">
        <w:rPr>
          <w:rFonts w:eastAsia="Times New Roman"/>
          <w:sz w:val="24"/>
          <w:szCs w:val="24"/>
        </w:rPr>
        <w:t>, p.115500.</w:t>
      </w:r>
    </w:p>
    <w:p w:rsidR="0097407F" w:rsidRPr="00232473" w:rsidRDefault="0097407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highlight w:val="white"/>
        </w:rPr>
        <w:t xml:space="preserve">Barry, E., 2024. </w:t>
      </w:r>
      <w:r w:rsidRPr="00232473">
        <w:rPr>
          <w:rFonts w:eastAsia="Times New Roman"/>
          <w:i/>
          <w:iCs/>
          <w:sz w:val="24"/>
          <w:szCs w:val="24"/>
          <w:highlight w:val="white"/>
        </w:rPr>
        <w:t>Type 2 diabetes prevention policy and practice: a multimethod qualitative study exploring the perspectives of patients, clinicians, and policy makers</w:t>
      </w:r>
      <w:r w:rsidRPr="00232473">
        <w:rPr>
          <w:rFonts w:eastAsia="Times New Roman"/>
          <w:sz w:val="24"/>
          <w:szCs w:val="24"/>
          <w:highlight w:val="white"/>
        </w:rPr>
        <w:t xml:space="preserve"> (Doctoral dissertation, University of Oxford).</w:t>
      </w:r>
      <w:r w:rsidRPr="00232473">
        <w:rPr>
          <w:rFonts w:eastAsia="Times New Roman"/>
          <w:sz w:val="24"/>
          <w:szCs w:val="24"/>
        </w:rPr>
        <w:t xml:space="preserve"> </w:t>
      </w:r>
    </w:p>
    <w:p w:rsidR="0097407F" w:rsidRPr="00232473" w:rsidRDefault="0097407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highlight w:val="white"/>
        </w:rPr>
        <w:t xml:space="preserve">Barry, E., Greenhalgh, T., Shaw, S. and Papoutsi, C., 2023. Explaining the UK’s ‘high-risk’approach to type 2 diabetes prevention: findings from a qualitative interview study with policy-makers in England. </w:t>
      </w:r>
      <w:r w:rsidRPr="00232473">
        <w:rPr>
          <w:rFonts w:eastAsia="Times New Roman"/>
          <w:i/>
          <w:iCs/>
          <w:sz w:val="24"/>
          <w:szCs w:val="24"/>
          <w:highlight w:val="white"/>
        </w:rPr>
        <w:t>BMJ open</w:t>
      </w:r>
      <w:r w:rsidRPr="00232473">
        <w:rPr>
          <w:rFonts w:eastAsia="Times New Roman"/>
          <w:sz w:val="24"/>
          <w:szCs w:val="24"/>
          <w:highlight w:val="white"/>
        </w:rPr>
        <w:t xml:space="preserve">, </w:t>
      </w:r>
      <w:r w:rsidRPr="00232473">
        <w:rPr>
          <w:rFonts w:eastAsia="Times New Roman"/>
          <w:i/>
          <w:iCs/>
          <w:sz w:val="24"/>
          <w:szCs w:val="24"/>
          <w:highlight w:val="white"/>
        </w:rPr>
        <w:t>13</w:t>
      </w:r>
      <w:r w:rsidRPr="00232473">
        <w:rPr>
          <w:rFonts w:eastAsia="Times New Roman"/>
          <w:sz w:val="24"/>
          <w:szCs w:val="24"/>
          <w:highlight w:val="white"/>
        </w:rPr>
        <w:t>(2), p.e066301.</w:t>
      </w:r>
      <w:r w:rsidRPr="00232473">
        <w:rPr>
          <w:rFonts w:eastAsia="Times New Roman"/>
          <w:sz w:val="24"/>
          <w:szCs w:val="24"/>
        </w:rPr>
        <w:t xml:space="preserve"> </w:t>
      </w:r>
    </w:p>
    <w:p w:rsidR="0097407F" w:rsidRPr="00232473" w:rsidRDefault="0097407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highlight w:val="white"/>
        </w:rPr>
        <w:t xml:space="preserve">Beulens, J.W., Pinho, M.G., Abreu, T.C., den Braver, N.R., Lam, T.M., Huss, A., Vlaanderen, J., Sonnenschein, T., Siddiqui, N.Z., Yuan, Z. and Kerckhoffs, J., 2022. Environmental risk factors of type 2 diabetes—an exposome approach. </w:t>
      </w:r>
      <w:r w:rsidRPr="00232473">
        <w:rPr>
          <w:rFonts w:eastAsia="Times New Roman"/>
          <w:i/>
          <w:iCs/>
          <w:sz w:val="24"/>
          <w:szCs w:val="24"/>
          <w:highlight w:val="white"/>
        </w:rPr>
        <w:t>Diabetologia</w:t>
      </w:r>
      <w:r w:rsidRPr="00232473">
        <w:rPr>
          <w:rFonts w:eastAsia="Times New Roman"/>
          <w:sz w:val="24"/>
          <w:szCs w:val="24"/>
          <w:highlight w:val="white"/>
        </w:rPr>
        <w:t xml:space="preserve">, </w:t>
      </w:r>
      <w:r w:rsidRPr="00232473">
        <w:rPr>
          <w:rFonts w:eastAsia="Times New Roman"/>
          <w:i/>
          <w:iCs/>
          <w:sz w:val="24"/>
          <w:szCs w:val="24"/>
          <w:highlight w:val="white"/>
        </w:rPr>
        <w:t>65</w:t>
      </w:r>
      <w:r w:rsidRPr="00232473">
        <w:rPr>
          <w:rFonts w:eastAsia="Times New Roman"/>
          <w:sz w:val="24"/>
          <w:szCs w:val="24"/>
          <w:highlight w:val="white"/>
        </w:rPr>
        <w:t>(2), pp.263-274.</w:t>
      </w:r>
      <w:r w:rsidRPr="00232473">
        <w:rPr>
          <w:rFonts w:eastAsia="Times New Roman"/>
          <w:sz w:val="24"/>
          <w:szCs w:val="24"/>
        </w:rPr>
        <w:t xml:space="preserve"> </w:t>
      </w:r>
    </w:p>
    <w:p w:rsidR="0097407F" w:rsidRPr="00232473" w:rsidRDefault="0097407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highlight w:val="white"/>
        </w:rPr>
        <w:t xml:space="preserve">Carr, M.J., Wright, A.K., Leelarathna, L., Thabit, H., Milne, N., Kanumilli, N., Ashcroft, D.M. and Rutter, M.K., 2022. Impact of COVID-19 restrictions on diabetes health checks and prescribing for people with type 2 diabetes: a UK-wide cohort study involving 618 161 people in primary care. </w:t>
      </w:r>
      <w:r w:rsidRPr="00232473">
        <w:rPr>
          <w:rFonts w:eastAsia="Times New Roman"/>
          <w:i/>
          <w:iCs/>
          <w:sz w:val="24"/>
          <w:szCs w:val="24"/>
          <w:highlight w:val="white"/>
        </w:rPr>
        <w:t>BMJ Quality &amp; Safety</w:t>
      </w:r>
      <w:r w:rsidRPr="00232473">
        <w:rPr>
          <w:rFonts w:eastAsia="Times New Roman"/>
          <w:sz w:val="24"/>
          <w:szCs w:val="24"/>
          <w:highlight w:val="white"/>
        </w:rPr>
        <w:t xml:space="preserve">, </w:t>
      </w:r>
      <w:r w:rsidRPr="00232473">
        <w:rPr>
          <w:rFonts w:eastAsia="Times New Roman"/>
          <w:i/>
          <w:iCs/>
          <w:sz w:val="24"/>
          <w:szCs w:val="24"/>
          <w:highlight w:val="white"/>
        </w:rPr>
        <w:t>31</w:t>
      </w:r>
      <w:r w:rsidRPr="00232473">
        <w:rPr>
          <w:rFonts w:eastAsia="Times New Roman"/>
          <w:sz w:val="24"/>
          <w:szCs w:val="24"/>
          <w:highlight w:val="white"/>
        </w:rPr>
        <w:t>(7), pp.503-514.</w:t>
      </w:r>
      <w:r w:rsidRPr="00232473">
        <w:rPr>
          <w:rFonts w:eastAsia="Times New Roman"/>
          <w:sz w:val="24"/>
          <w:szCs w:val="24"/>
        </w:rPr>
        <w:t xml:space="preserve"> </w:t>
      </w:r>
    </w:p>
    <w:p w:rsidR="0097407F" w:rsidRPr="00232473" w:rsidRDefault="0097407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rPr>
        <w:lastRenderedPageBreak/>
        <w:t>D</w:t>
      </w:r>
      <w:hyperlink r:id="rId24">
        <w:r w:rsidRPr="00232473">
          <w:rPr>
            <w:rFonts w:eastAsia="Times New Roman"/>
            <w:sz w:val="24"/>
            <w:szCs w:val="24"/>
          </w:rPr>
          <w:t>igital.nhs.uk</w:t>
        </w:r>
      </w:hyperlink>
      <w:r w:rsidRPr="00232473">
        <w:rPr>
          <w:rFonts w:eastAsia="Times New Roman"/>
          <w:sz w:val="24"/>
          <w:szCs w:val="24"/>
        </w:rPr>
        <w:t xml:space="preserve">, 2026. NHS Digital. (2022). </w:t>
      </w:r>
      <w:r w:rsidRPr="00232473">
        <w:rPr>
          <w:rFonts w:eastAsia="Times New Roman"/>
          <w:i/>
          <w:iCs/>
          <w:sz w:val="24"/>
          <w:szCs w:val="24"/>
        </w:rPr>
        <w:t>National Diabetes Audit 2021-22, Young People with Type 2 Diabetes - Detailed Analysis Report</w:t>
      </w:r>
      <w:r w:rsidRPr="00232473">
        <w:rPr>
          <w:rFonts w:eastAsia="Times New Roman"/>
          <w:sz w:val="24"/>
          <w:szCs w:val="24"/>
        </w:rPr>
        <w:t>. [online] Available at: https://digital.nhs.uk/data-and-information/publications/statistical/national-diabetes-audit-yt2/young-people-with-type-2-diabetes-detailed-report-2021-22 [Accessed 24 Apr. 2026].</w:t>
      </w:r>
    </w:p>
    <w:p w:rsidR="0097407F" w:rsidRPr="00232473" w:rsidRDefault="0097407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rPr>
        <w:t>E</w:t>
      </w:r>
      <w:hyperlink r:id="rId25">
        <w:r w:rsidRPr="00232473">
          <w:rPr>
            <w:rFonts w:eastAsia="Times New Roman"/>
            <w:sz w:val="24"/>
            <w:szCs w:val="24"/>
          </w:rPr>
          <w:t>ngland.nhs.uk</w:t>
        </w:r>
      </w:hyperlink>
      <w:r w:rsidRPr="00232473">
        <w:rPr>
          <w:rFonts w:eastAsia="Times New Roman"/>
          <w:sz w:val="24"/>
          <w:szCs w:val="24"/>
        </w:rPr>
        <w:t xml:space="preserve">, 2026. NHS England (2023). </w:t>
      </w:r>
      <w:r w:rsidRPr="00232473">
        <w:rPr>
          <w:rFonts w:eastAsia="Times New Roman"/>
          <w:i/>
          <w:iCs/>
          <w:sz w:val="24"/>
          <w:szCs w:val="24"/>
        </w:rPr>
        <w:t>NHS Diabetes Prevention Programme (NHS DPP)</w:t>
      </w:r>
      <w:r w:rsidRPr="00232473">
        <w:rPr>
          <w:rFonts w:eastAsia="Times New Roman"/>
          <w:sz w:val="24"/>
          <w:szCs w:val="24"/>
        </w:rPr>
        <w:t>. [online] NHS England. Available at: https://www.england.nhs.uk/diabetes/diabetes-prevention/ [Accessed 24 Apr. 2026].</w:t>
      </w:r>
    </w:p>
    <w:p w:rsidR="0097407F" w:rsidRPr="00232473" w:rsidRDefault="0079170D" w:rsidP="005E0294">
      <w:pPr>
        <w:pStyle w:val="ListParagraph"/>
        <w:numPr>
          <w:ilvl w:val="0"/>
          <w:numId w:val="4"/>
        </w:numPr>
        <w:spacing w:line="360" w:lineRule="auto"/>
        <w:jc w:val="both"/>
        <w:rPr>
          <w:rFonts w:eastAsia="Times New Roman"/>
          <w:sz w:val="24"/>
          <w:szCs w:val="24"/>
        </w:rPr>
      </w:pPr>
      <w:hyperlink r:id="rId26">
        <w:r w:rsidR="0097407F" w:rsidRPr="00232473">
          <w:rPr>
            <w:rFonts w:eastAsia="Times New Roman"/>
            <w:sz w:val="24"/>
            <w:szCs w:val="24"/>
          </w:rPr>
          <w:t>Harrow.gov.uk</w:t>
        </w:r>
      </w:hyperlink>
      <w:r w:rsidR="0097407F" w:rsidRPr="00232473">
        <w:rPr>
          <w:rFonts w:eastAsia="Times New Roman"/>
          <w:sz w:val="24"/>
          <w:szCs w:val="24"/>
        </w:rPr>
        <w:t>, 2026. PUBLIC HEALTH REPORT. (2023). Available at: https://www.harrow.gov.uk/downloads/file/30091/Harrow_Diabetes_Report_2021_v3.pdf [Accessed 24 Apr. 2026].</w:t>
      </w:r>
    </w:p>
    <w:p w:rsidR="0097407F" w:rsidRPr="00232473" w:rsidRDefault="0097407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rPr>
        <w:t>H</w:t>
      </w:r>
      <w:hyperlink r:id="rId27">
        <w:r w:rsidRPr="00232473">
          <w:rPr>
            <w:rFonts w:eastAsia="Times New Roman"/>
            <w:sz w:val="24"/>
            <w:szCs w:val="24"/>
          </w:rPr>
          <w:t>arrow.moderngov.co.uk</w:t>
        </w:r>
      </w:hyperlink>
      <w:r w:rsidRPr="00232473">
        <w:rPr>
          <w:rFonts w:eastAsia="Times New Roman"/>
          <w:sz w:val="24"/>
          <w:szCs w:val="24"/>
        </w:rPr>
        <w:t>, 2026. Harrow Clinical Commissioning Group Title of Meeting : CCG Executive Date of meeting: 21 February 2017 Agenda Item Title: Diabetes Strategy for Harrow Purpose of the report. (2017). Available at: https://harrow.moderngov.co.uk/documents/s142414/Harrow%20Diabetes%20Strategy.pdf [Accessed 24 Apr. 2026].</w:t>
      </w:r>
    </w:p>
    <w:p w:rsidR="0097407F" w:rsidRPr="00232473" w:rsidRDefault="0097407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rPr>
        <w:t>H</w:t>
      </w:r>
      <w:hyperlink r:id="rId28">
        <w:r w:rsidRPr="00232473">
          <w:rPr>
            <w:rFonts w:eastAsia="Times New Roman"/>
            <w:sz w:val="24"/>
            <w:szCs w:val="24"/>
          </w:rPr>
          <w:t>ealth.harvard.edu</w:t>
        </w:r>
      </w:hyperlink>
      <w:r w:rsidRPr="00232473">
        <w:rPr>
          <w:rFonts w:eastAsia="Times New Roman"/>
          <w:sz w:val="24"/>
          <w:szCs w:val="24"/>
        </w:rPr>
        <w:t xml:space="preserve">, 2026. Lewine, H. (2024). </w:t>
      </w:r>
      <w:r w:rsidRPr="00232473">
        <w:rPr>
          <w:rFonts w:eastAsia="Times New Roman"/>
          <w:i/>
          <w:iCs/>
          <w:sz w:val="24"/>
          <w:szCs w:val="24"/>
        </w:rPr>
        <w:t>Type 2 Diabetes Mellitus</w:t>
      </w:r>
      <w:r w:rsidRPr="00232473">
        <w:rPr>
          <w:rFonts w:eastAsia="Times New Roman"/>
          <w:sz w:val="24"/>
          <w:szCs w:val="24"/>
        </w:rPr>
        <w:t>. [online] Harvard Health. Available at: https://www.health.harvard.edu/diseases-and-conditions/type-2-diabetes-mellitus-a-to-z [Accessed 24 Apr. 2026].</w:t>
      </w:r>
    </w:p>
    <w:p w:rsidR="0097407F" w:rsidRPr="00232473" w:rsidRDefault="0097407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highlight w:val="white"/>
        </w:rPr>
        <w:t xml:space="preserve">Hinnen, D., Kruger, D. and Magwire, M., 2023. Type 2 diabetes and cardiovascular disease: risk reduction and early intervention. </w:t>
      </w:r>
      <w:r w:rsidRPr="00232473">
        <w:rPr>
          <w:rFonts w:eastAsia="Times New Roman"/>
          <w:i/>
          <w:iCs/>
          <w:sz w:val="24"/>
          <w:szCs w:val="24"/>
          <w:highlight w:val="white"/>
        </w:rPr>
        <w:t>Postgraduate medicine</w:t>
      </w:r>
      <w:r w:rsidRPr="00232473">
        <w:rPr>
          <w:rFonts w:eastAsia="Times New Roman"/>
          <w:sz w:val="24"/>
          <w:szCs w:val="24"/>
          <w:highlight w:val="white"/>
        </w:rPr>
        <w:t xml:space="preserve">, </w:t>
      </w:r>
      <w:r w:rsidRPr="00232473">
        <w:rPr>
          <w:rFonts w:eastAsia="Times New Roman"/>
          <w:i/>
          <w:iCs/>
          <w:sz w:val="24"/>
          <w:szCs w:val="24"/>
          <w:highlight w:val="white"/>
        </w:rPr>
        <w:t>135</w:t>
      </w:r>
      <w:r w:rsidRPr="00232473">
        <w:rPr>
          <w:rFonts w:eastAsia="Times New Roman"/>
          <w:sz w:val="24"/>
          <w:szCs w:val="24"/>
          <w:highlight w:val="white"/>
        </w:rPr>
        <w:t>(1), pp.2-12.</w:t>
      </w:r>
      <w:r w:rsidRPr="00232473">
        <w:rPr>
          <w:rFonts w:eastAsia="Times New Roman"/>
          <w:sz w:val="24"/>
          <w:szCs w:val="24"/>
        </w:rPr>
        <w:t xml:space="preserve"> </w:t>
      </w:r>
    </w:p>
    <w:p w:rsidR="0097407F" w:rsidRPr="00232473" w:rsidRDefault="0097407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highlight w:val="white"/>
        </w:rPr>
        <w:t xml:space="preserve">McManus, E., Meacock, R., Parkinson, B. and Sutton, M., 2022. Population level impact of the NHS Diabetes Prevention Programme on incidence of type 2 diabetes in England: an observational study. </w:t>
      </w:r>
      <w:r w:rsidRPr="00232473">
        <w:rPr>
          <w:rFonts w:eastAsia="Times New Roman"/>
          <w:i/>
          <w:iCs/>
          <w:sz w:val="24"/>
          <w:szCs w:val="24"/>
          <w:highlight w:val="white"/>
        </w:rPr>
        <w:t>The Lancet Regional Health–Europe</w:t>
      </w:r>
      <w:r w:rsidRPr="00232473">
        <w:rPr>
          <w:rFonts w:eastAsia="Times New Roman"/>
          <w:sz w:val="24"/>
          <w:szCs w:val="24"/>
          <w:highlight w:val="white"/>
        </w:rPr>
        <w:t xml:space="preserve">, </w:t>
      </w:r>
      <w:r w:rsidRPr="00232473">
        <w:rPr>
          <w:rFonts w:eastAsia="Times New Roman"/>
          <w:i/>
          <w:iCs/>
          <w:sz w:val="24"/>
          <w:szCs w:val="24"/>
          <w:highlight w:val="white"/>
        </w:rPr>
        <w:t>19</w:t>
      </w:r>
      <w:r w:rsidRPr="00232473">
        <w:rPr>
          <w:rFonts w:eastAsia="Times New Roman"/>
          <w:sz w:val="24"/>
          <w:szCs w:val="24"/>
          <w:highlight w:val="white"/>
        </w:rPr>
        <w:t>.</w:t>
      </w:r>
      <w:r w:rsidRPr="00232473">
        <w:rPr>
          <w:rFonts w:eastAsia="Times New Roman"/>
          <w:sz w:val="24"/>
          <w:szCs w:val="24"/>
        </w:rPr>
        <w:t xml:space="preserve"> </w:t>
      </w:r>
    </w:p>
    <w:p w:rsidR="0097407F" w:rsidRPr="00232473" w:rsidRDefault="0097407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highlight w:val="white"/>
        </w:rPr>
        <w:t xml:space="preserve">McManus, E., Meacock, R., Parkinson, B. and Sutton, M., 2023. Evaluating the short-term costs and benefits of a nationwide diabetes prevention programme in England: retrospective observational study. </w:t>
      </w:r>
      <w:r w:rsidRPr="00232473">
        <w:rPr>
          <w:rFonts w:eastAsia="Times New Roman"/>
          <w:i/>
          <w:iCs/>
          <w:sz w:val="24"/>
          <w:szCs w:val="24"/>
          <w:highlight w:val="white"/>
        </w:rPr>
        <w:t>Applied health economics and health policy</w:t>
      </w:r>
      <w:r w:rsidRPr="00232473">
        <w:rPr>
          <w:rFonts w:eastAsia="Times New Roman"/>
          <w:sz w:val="24"/>
          <w:szCs w:val="24"/>
          <w:highlight w:val="white"/>
        </w:rPr>
        <w:t xml:space="preserve">, </w:t>
      </w:r>
      <w:r w:rsidRPr="00232473">
        <w:rPr>
          <w:rFonts w:eastAsia="Times New Roman"/>
          <w:i/>
          <w:iCs/>
          <w:sz w:val="24"/>
          <w:szCs w:val="24"/>
          <w:highlight w:val="white"/>
        </w:rPr>
        <w:t>21</w:t>
      </w:r>
      <w:r w:rsidRPr="00232473">
        <w:rPr>
          <w:rFonts w:eastAsia="Times New Roman"/>
          <w:sz w:val="24"/>
          <w:szCs w:val="24"/>
          <w:highlight w:val="white"/>
        </w:rPr>
        <w:t>(6), p.891.</w:t>
      </w:r>
      <w:r w:rsidRPr="00232473">
        <w:rPr>
          <w:rFonts w:eastAsia="Times New Roman"/>
          <w:sz w:val="24"/>
          <w:szCs w:val="24"/>
        </w:rPr>
        <w:t xml:space="preserve"> </w:t>
      </w:r>
    </w:p>
    <w:p w:rsidR="0097407F" w:rsidRPr="00232473" w:rsidRDefault="0097407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highlight w:val="white"/>
        </w:rPr>
        <w:lastRenderedPageBreak/>
        <w:t xml:space="preserve">Nguyen, V., 2024. </w:t>
      </w:r>
      <w:r w:rsidRPr="00232473">
        <w:rPr>
          <w:rFonts w:eastAsia="Times New Roman"/>
          <w:i/>
          <w:iCs/>
          <w:sz w:val="24"/>
          <w:szCs w:val="24"/>
          <w:highlight w:val="white"/>
        </w:rPr>
        <w:t>Triangulating epidemiological and data science approaches to evaluate the impact of public health interventions on the prevention of type 2 diabetes</w:t>
      </w:r>
      <w:r w:rsidRPr="00232473">
        <w:rPr>
          <w:rFonts w:eastAsia="Times New Roman"/>
          <w:sz w:val="24"/>
          <w:szCs w:val="24"/>
          <w:highlight w:val="white"/>
        </w:rPr>
        <w:t xml:space="preserve"> (Doctoral dissertation, UCL (University College London)).</w:t>
      </w:r>
      <w:r w:rsidRPr="00232473">
        <w:rPr>
          <w:rFonts w:eastAsia="Times New Roman"/>
          <w:sz w:val="24"/>
          <w:szCs w:val="24"/>
        </w:rPr>
        <w:t xml:space="preserve"> </w:t>
      </w:r>
    </w:p>
    <w:p w:rsidR="0097407F" w:rsidRPr="00232473" w:rsidRDefault="0097407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highlight w:val="white"/>
        </w:rPr>
        <w:t xml:space="preserve">Sattar, N., Welsh, P., Leslie, W.S., Thom, G., McCombie, L., Brosnahan, N., Richardson, J., Gill, J.M., Crawford, L. and Lean, M.E., 2023. Dietary weight-management for type 2 diabetes remissions in South Asians: the South Asian diabetes remission randomised trial for proof-of-concept and feasibility (STANDby). </w:t>
      </w:r>
      <w:r w:rsidRPr="00232473">
        <w:rPr>
          <w:rFonts w:eastAsia="Times New Roman"/>
          <w:i/>
          <w:iCs/>
          <w:sz w:val="24"/>
          <w:szCs w:val="24"/>
          <w:highlight w:val="white"/>
        </w:rPr>
        <w:t>The Lancet Regional Health-Southeast Asia</w:t>
      </w:r>
      <w:r w:rsidRPr="00232473">
        <w:rPr>
          <w:rFonts w:eastAsia="Times New Roman"/>
          <w:sz w:val="24"/>
          <w:szCs w:val="24"/>
          <w:highlight w:val="white"/>
        </w:rPr>
        <w:t xml:space="preserve">, </w:t>
      </w:r>
      <w:r w:rsidRPr="00232473">
        <w:rPr>
          <w:rFonts w:eastAsia="Times New Roman"/>
          <w:i/>
          <w:iCs/>
          <w:sz w:val="24"/>
          <w:szCs w:val="24"/>
          <w:highlight w:val="white"/>
        </w:rPr>
        <w:t>9</w:t>
      </w:r>
      <w:r w:rsidRPr="00232473">
        <w:rPr>
          <w:rFonts w:eastAsia="Times New Roman"/>
          <w:sz w:val="24"/>
          <w:szCs w:val="24"/>
          <w:highlight w:val="white"/>
        </w:rPr>
        <w:t>.</w:t>
      </w:r>
      <w:r w:rsidRPr="00232473">
        <w:rPr>
          <w:rFonts w:eastAsia="Times New Roman"/>
          <w:sz w:val="24"/>
          <w:szCs w:val="24"/>
        </w:rPr>
        <w:t xml:space="preserve"> </w:t>
      </w:r>
    </w:p>
    <w:p w:rsidR="0097407F" w:rsidRPr="00232473" w:rsidRDefault="0097407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highlight w:val="white"/>
        </w:rPr>
        <w:t xml:space="preserve">Valabhji, J., Gorton, T., Barron, E., Safazadeh, S., Earnshaw, F., Helm, C., Virr, M., Kernan, J., Crowe, S., Aveyard, P. and Wilding, J., 2024. Early findings from the NHS Type 2 Diabetes Path to Remission Programme: a prospective evaluation of real-world implementation. </w:t>
      </w:r>
      <w:r w:rsidRPr="00232473">
        <w:rPr>
          <w:rFonts w:eastAsia="Times New Roman"/>
          <w:i/>
          <w:iCs/>
          <w:sz w:val="24"/>
          <w:szCs w:val="24"/>
          <w:highlight w:val="white"/>
        </w:rPr>
        <w:t>The Lancet Diabetes &amp; Endocrinology</w:t>
      </w:r>
      <w:r w:rsidRPr="00232473">
        <w:rPr>
          <w:rFonts w:eastAsia="Times New Roman"/>
          <w:sz w:val="24"/>
          <w:szCs w:val="24"/>
          <w:highlight w:val="white"/>
        </w:rPr>
        <w:t xml:space="preserve">, </w:t>
      </w:r>
      <w:r w:rsidRPr="00232473">
        <w:rPr>
          <w:rFonts w:eastAsia="Times New Roman"/>
          <w:i/>
          <w:iCs/>
          <w:sz w:val="24"/>
          <w:szCs w:val="24"/>
          <w:highlight w:val="white"/>
        </w:rPr>
        <w:t>12</w:t>
      </w:r>
      <w:r w:rsidRPr="00232473">
        <w:rPr>
          <w:rFonts w:eastAsia="Times New Roman"/>
          <w:sz w:val="24"/>
          <w:szCs w:val="24"/>
          <w:highlight w:val="white"/>
        </w:rPr>
        <w:t>(9), pp.653-663.</w:t>
      </w:r>
      <w:r w:rsidRPr="00232473">
        <w:rPr>
          <w:rFonts w:eastAsia="Times New Roman"/>
          <w:sz w:val="24"/>
          <w:szCs w:val="24"/>
        </w:rPr>
        <w:t xml:space="preserve"> </w:t>
      </w:r>
    </w:p>
    <w:p w:rsidR="0097407F" w:rsidRPr="00232473" w:rsidRDefault="0097407F" w:rsidP="005E0294">
      <w:pPr>
        <w:pStyle w:val="ListParagraph"/>
        <w:numPr>
          <w:ilvl w:val="0"/>
          <w:numId w:val="4"/>
        </w:numPr>
        <w:spacing w:line="360" w:lineRule="auto"/>
        <w:jc w:val="both"/>
        <w:rPr>
          <w:rFonts w:eastAsia="Times New Roman"/>
          <w:sz w:val="24"/>
          <w:szCs w:val="24"/>
        </w:rPr>
      </w:pPr>
      <w:r w:rsidRPr="00232473">
        <w:rPr>
          <w:rFonts w:eastAsia="Times New Roman"/>
          <w:sz w:val="24"/>
          <w:szCs w:val="24"/>
          <w:highlight w:val="white"/>
        </w:rPr>
        <w:t xml:space="preserve">Ye, J., Wu, Y., Yang, S., Zhu, D., Chen, F., Chen, J., Ji, X. and Hou, K., 2023. The global, regional and national burden of type 2 diabetes mellitus in the past, present and future: a systematic analysis of the Global Burden of Disease Study 2019. </w:t>
      </w:r>
      <w:r w:rsidRPr="00232473">
        <w:rPr>
          <w:rFonts w:eastAsia="Times New Roman"/>
          <w:i/>
          <w:iCs/>
          <w:sz w:val="24"/>
          <w:szCs w:val="24"/>
          <w:highlight w:val="white"/>
        </w:rPr>
        <w:t>Frontiers in endocrinology</w:t>
      </w:r>
      <w:r w:rsidRPr="00232473">
        <w:rPr>
          <w:rFonts w:eastAsia="Times New Roman"/>
          <w:sz w:val="24"/>
          <w:szCs w:val="24"/>
          <w:highlight w:val="white"/>
        </w:rPr>
        <w:t xml:space="preserve">, </w:t>
      </w:r>
      <w:r w:rsidRPr="00232473">
        <w:rPr>
          <w:rFonts w:eastAsia="Times New Roman"/>
          <w:i/>
          <w:iCs/>
          <w:sz w:val="24"/>
          <w:szCs w:val="24"/>
          <w:highlight w:val="white"/>
        </w:rPr>
        <w:t>14</w:t>
      </w:r>
      <w:r w:rsidRPr="00232473">
        <w:rPr>
          <w:rFonts w:eastAsia="Times New Roman"/>
          <w:sz w:val="24"/>
          <w:szCs w:val="24"/>
          <w:highlight w:val="white"/>
        </w:rPr>
        <w:t>, p.1192629.</w:t>
      </w:r>
      <w:r w:rsidRPr="00232473">
        <w:rPr>
          <w:rFonts w:eastAsia="Times New Roman"/>
          <w:sz w:val="24"/>
          <w:szCs w:val="24"/>
        </w:rPr>
        <w:t xml:space="preserve"> </w:t>
      </w:r>
    </w:p>
    <w:p w:rsidR="00795395" w:rsidRPr="00232473" w:rsidRDefault="00795395">
      <w:pPr>
        <w:spacing w:line="360" w:lineRule="auto"/>
        <w:jc w:val="both"/>
        <w:rPr>
          <w:rFonts w:eastAsia="Times New Roman"/>
          <w:b/>
          <w:bCs/>
          <w:sz w:val="24"/>
          <w:szCs w:val="24"/>
        </w:rPr>
      </w:pPr>
    </w:p>
    <w:p w:rsidR="00795395" w:rsidRPr="00232473" w:rsidRDefault="00795395">
      <w:pPr>
        <w:spacing w:line="360" w:lineRule="auto"/>
        <w:jc w:val="both"/>
        <w:rPr>
          <w:rFonts w:eastAsia="Times New Roman"/>
          <w:b/>
          <w:bCs/>
          <w:sz w:val="24"/>
          <w:szCs w:val="24"/>
        </w:rPr>
      </w:pPr>
    </w:p>
    <w:sectPr w:rsidR="00795395" w:rsidRPr="00232473" w:rsidSect="00D937BD">
      <w:footerReference w:type="default" r:id="rId2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3E3A" w:rsidRDefault="00333E3A">
      <w:pPr>
        <w:spacing w:line="240" w:lineRule="auto"/>
      </w:pPr>
      <w:r>
        <w:separator/>
      </w:r>
    </w:p>
  </w:endnote>
  <w:endnote w:type="continuationSeparator" w:id="0">
    <w:p w:rsidR="00333E3A" w:rsidRDefault="00333E3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E700257-541D-4A68-83FD-F040FBF9A62F}"/>
  </w:font>
  <w:font w:name="Tahoma">
    <w:panose1 w:val="020B0604030504040204"/>
    <w:charset w:val="00"/>
    <w:family w:val="swiss"/>
    <w:pitch w:val="variable"/>
    <w:sig w:usb0="E1002EFF" w:usb1="C000605B" w:usb2="00000029" w:usb3="00000000" w:csb0="000101FF" w:csb1="00000000"/>
    <w:embedRegular r:id="rId2" w:fontKey="{904511DF-4B56-4090-91C6-0110DF0044EA}"/>
  </w:font>
  <w:font w:name="Roboto">
    <w:altName w:val="Times New Roman"/>
    <w:charset w:val="00"/>
    <w:family w:val="auto"/>
    <w:pitch w:val="variable"/>
    <w:sig w:usb0="00000001" w:usb1="5000217F" w:usb2="00000021" w:usb3="00000000" w:csb0="0000019F" w:csb1="00000000"/>
    <w:embedRegular r:id="rId3" w:fontKey="{5C99E0B5-FBED-4118-B807-9802B4266C2E}"/>
  </w:font>
  <w:font w:name="Cambria">
    <w:panose1 w:val="02040503050406030204"/>
    <w:charset w:val="00"/>
    <w:family w:val="roman"/>
    <w:pitch w:val="variable"/>
    <w:sig w:usb0="E00006FF" w:usb1="420024FF" w:usb2="02000000" w:usb3="00000000" w:csb0="0000019F" w:csb1="00000000"/>
    <w:embedRegular r:id="rId4" w:fontKey="{0CEC6224-1322-47E9-9603-1F664D1A6BC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5892721"/>
      <w:docPartObj>
        <w:docPartGallery w:val="Page Numbers (Bottom of Page)"/>
        <w:docPartUnique/>
      </w:docPartObj>
    </w:sdtPr>
    <w:sdtContent>
      <w:sdt>
        <w:sdtPr>
          <w:id w:val="-1769616900"/>
          <w:docPartObj>
            <w:docPartGallery w:val="Page Numbers (Top of Page)"/>
            <w:docPartUnique/>
          </w:docPartObj>
        </w:sdtPr>
        <w:sdtContent>
          <w:p w:rsidR="00D937BD" w:rsidRDefault="00AB15B0" w:rsidP="00D937BD">
            <w:pPr>
              <w:pStyle w:val="Footer"/>
              <w:spacing w:line="360" w:lineRule="auto"/>
              <w:jc w:val="right"/>
            </w:pPr>
            <w:r w:rsidRPr="00D937BD">
              <w:rPr>
                <w:rFonts w:ascii="Times New Roman" w:hAnsi="Times New Roman" w:cs="Times New Roman"/>
              </w:rPr>
              <w:t xml:space="preserve">Page </w:t>
            </w:r>
            <w:r w:rsidR="0079170D" w:rsidRPr="00D937BD">
              <w:rPr>
                <w:rFonts w:ascii="Times New Roman" w:hAnsi="Times New Roman" w:cs="Times New Roman"/>
              </w:rPr>
              <w:fldChar w:fldCharType="begin"/>
            </w:r>
            <w:r w:rsidRPr="00D937BD">
              <w:rPr>
                <w:rFonts w:ascii="Times New Roman" w:hAnsi="Times New Roman" w:cs="Times New Roman"/>
              </w:rPr>
              <w:instrText xml:space="preserve"> PAGE </w:instrText>
            </w:r>
            <w:r w:rsidR="0079170D" w:rsidRPr="00D937BD">
              <w:rPr>
                <w:rFonts w:ascii="Times New Roman" w:hAnsi="Times New Roman" w:cs="Times New Roman"/>
              </w:rPr>
              <w:fldChar w:fldCharType="separate"/>
            </w:r>
            <w:r w:rsidR="00CF638B">
              <w:rPr>
                <w:rFonts w:ascii="Times New Roman" w:hAnsi="Times New Roman" w:cs="Times New Roman"/>
                <w:noProof/>
              </w:rPr>
              <w:t>1</w:t>
            </w:r>
            <w:r w:rsidR="0079170D" w:rsidRPr="00D937BD">
              <w:rPr>
                <w:rFonts w:ascii="Times New Roman" w:hAnsi="Times New Roman" w:cs="Times New Roman"/>
              </w:rPr>
              <w:fldChar w:fldCharType="end"/>
            </w:r>
            <w:r w:rsidRPr="00D937BD">
              <w:rPr>
                <w:rFonts w:ascii="Times New Roman" w:hAnsi="Times New Roman" w:cs="Times New Roman"/>
              </w:rPr>
              <w:t xml:space="preserve"> of </w:t>
            </w:r>
            <w:r w:rsidR="0079170D" w:rsidRPr="00D937BD">
              <w:rPr>
                <w:rFonts w:ascii="Times New Roman" w:hAnsi="Times New Roman" w:cs="Times New Roman"/>
              </w:rPr>
              <w:fldChar w:fldCharType="begin"/>
            </w:r>
            <w:r w:rsidRPr="00D937BD">
              <w:rPr>
                <w:rFonts w:ascii="Times New Roman" w:hAnsi="Times New Roman" w:cs="Times New Roman"/>
              </w:rPr>
              <w:instrText xml:space="preserve"> NUMPAGES  </w:instrText>
            </w:r>
            <w:r w:rsidR="0079170D" w:rsidRPr="00D937BD">
              <w:rPr>
                <w:rFonts w:ascii="Times New Roman" w:hAnsi="Times New Roman" w:cs="Times New Roman"/>
              </w:rPr>
              <w:fldChar w:fldCharType="separate"/>
            </w:r>
            <w:r w:rsidR="00CF638B">
              <w:rPr>
                <w:rFonts w:ascii="Times New Roman" w:hAnsi="Times New Roman" w:cs="Times New Roman"/>
                <w:noProof/>
              </w:rPr>
              <w:t>18</w:t>
            </w:r>
            <w:r w:rsidR="0079170D" w:rsidRPr="00D937BD">
              <w:rPr>
                <w:rFonts w:ascii="Times New Roman" w:hAnsi="Times New Roman" w:cs="Times New Roman"/>
              </w:rPr>
              <w:fldChar w:fldCharType="end"/>
            </w:r>
          </w:p>
        </w:sdtContent>
      </w:sdt>
    </w:sdtContent>
  </w:sdt>
  <w:p w:rsidR="00D937BD" w:rsidRDefault="00D937B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3E3A" w:rsidRDefault="00333E3A">
      <w:pPr>
        <w:spacing w:line="240" w:lineRule="auto"/>
      </w:pPr>
      <w:r>
        <w:separator/>
      </w:r>
    </w:p>
  </w:footnote>
  <w:footnote w:type="continuationSeparator" w:id="0">
    <w:p w:rsidR="00333E3A" w:rsidRDefault="00333E3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6749A"/>
    <w:multiLevelType w:val="multilevel"/>
    <w:tmpl w:val="FC803C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6C1C4100"/>
    <w:multiLevelType w:val="multilevel"/>
    <w:tmpl w:val="C3C03B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6F58500C"/>
    <w:multiLevelType w:val="multilevel"/>
    <w:tmpl w:val="E3D032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7F7C1948"/>
    <w:multiLevelType w:val="hybridMultilevel"/>
    <w:tmpl w:val="3FFCF5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embedTrueTypeFonts/>
  <w:defaultTabStop w:val="720"/>
  <w:characterSpacingControl w:val="doNotCompress"/>
  <w:footnotePr>
    <w:footnote w:id="-1"/>
    <w:footnote w:id="0"/>
  </w:footnotePr>
  <w:endnotePr>
    <w:endnote w:id="-1"/>
    <w:endnote w:id="0"/>
  </w:endnotePr>
  <w:compat/>
  <w:rsids>
    <w:rsidRoot w:val="00795395"/>
    <w:rsid w:val="0001079A"/>
    <w:rsid w:val="000C608C"/>
    <w:rsid w:val="000D3A60"/>
    <w:rsid w:val="00115D44"/>
    <w:rsid w:val="00144272"/>
    <w:rsid w:val="00170C53"/>
    <w:rsid w:val="001925D3"/>
    <w:rsid w:val="00232473"/>
    <w:rsid w:val="00320AAF"/>
    <w:rsid w:val="00333E3A"/>
    <w:rsid w:val="0036108A"/>
    <w:rsid w:val="003905E6"/>
    <w:rsid w:val="00442A6A"/>
    <w:rsid w:val="004901C2"/>
    <w:rsid w:val="004C1D63"/>
    <w:rsid w:val="00567171"/>
    <w:rsid w:val="0059191B"/>
    <w:rsid w:val="005D4A53"/>
    <w:rsid w:val="005E0294"/>
    <w:rsid w:val="0064534B"/>
    <w:rsid w:val="006907E3"/>
    <w:rsid w:val="006932AC"/>
    <w:rsid w:val="006F3E5D"/>
    <w:rsid w:val="0079170D"/>
    <w:rsid w:val="00795395"/>
    <w:rsid w:val="007A6957"/>
    <w:rsid w:val="007C1034"/>
    <w:rsid w:val="00843EF9"/>
    <w:rsid w:val="00867A15"/>
    <w:rsid w:val="0097407F"/>
    <w:rsid w:val="009F6AE0"/>
    <w:rsid w:val="00A5662A"/>
    <w:rsid w:val="00AB15B0"/>
    <w:rsid w:val="00B2598B"/>
    <w:rsid w:val="00B36E58"/>
    <w:rsid w:val="00BF0BA6"/>
    <w:rsid w:val="00BF33C2"/>
    <w:rsid w:val="00C1298C"/>
    <w:rsid w:val="00CF638B"/>
    <w:rsid w:val="00D20801"/>
    <w:rsid w:val="00D24691"/>
    <w:rsid w:val="00D937BD"/>
    <w:rsid w:val="00DB3401"/>
    <w:rsid w:val="00E02470"/>
    <w:rsid w:val="00E24301"/>
    <w:rsid w:val="00ED7207"/>
    <w:rsid w:val="00F65C83"/>
    <w:rsid w:val="00F74662"/>
    <w:rsid w:val="00FD2D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079A"/>
  </w:style>
  <w:style w:type="paragraph" w:styleId="Heading1">
    <w:name w:val="heading 1"/>
    <w:basedOn w:val="Normal"/>
    <w:next w:val="Normal"/>
    <w:uiPriority w:val="9"/>
    <w:qFormat/>
    <w:rsid w:val="00D937BD"/>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D937BD"/>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
    <w:next w:val="Normal"/>
    <w:uiPriority w:val="9"/>
    <w:unhideWhenUsed/>
    <w:qFormat/>
    <w:rsid w:val="00115D44"/>
    <w:pPr>
      <w:keepNext/>
      <w:keepLines/>
      <w:spacing w:before="320" w:after="80" w:line="360" w:lineRule="auto"/>
      <w:jc w:val="both"/>
      <w:outlineLvl w:val="2"/>
    </w:pPr>
    <w:rPr>
      <w:rFonts w:ascii="Times New Roman" w:hAnsi="Times New Roman"/>
      <w:b/>
      <w:sz w:val="28"/>
      <w:szCs w:val="28"/>
    </w:rPr>
  </w:style>
  <w:style w:type="paragraph" w:styleId="Heading4">
    <w:name w:val="heading 4"/>
    <w:basedOn w:val="Normal"/>
    <w:next w:val="Normal"/>
    <w:uiPriority w:val="9"/>
    <w:semiHidden/>
    <w:unhideWhenUsed/>
    <w:qFormat/>
    <w:rsid w:val="0001079A"/>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01079A"/>
    <w:pPr>
      <w:keepNext/>
      <w:keepLines/>
      <w:spacing w:before="240" w:after="80"/>
      <w:outlineLvl w:val="4"/>
    </w:pPr>
    <w:rPr>
      <w:color w:val="666666"/>
    </w:rPr>
  </w:style>
  <w:style w:type="paragraph" w:styleId="Heading6">
    <w:name w:val="heading 6"/>
    <w:basedOn w:val="Normal"/>
    <w:next w:val="Normal"/>
    <w:uiPriority w:val="9"/>
    <w:semiHidden/>
    <w:unhideWhenUsed/>
    <w:qFormat/>
    <w:rsid w:val="0001079A"/>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01079A"/>
    <w:tblPr>
      <w:tblCellMar>
        <w:top w:w="100" w:type="dxa"/>
        <w:left w:w="100" w:type="dxa"/>
        <w:bottom w:w="100" w:type="dxa"/>
        <w:right w:w="100" w:type="dxa"/>
      </w:tblCellMar>
    </w:tblPr>
  </w:style>
  <w:style w:type="paragraph" w:styleId="Title">
    <w:name w:val="Title"/>
    <w:basedOn w:val="Normal"/>
    <w:next w:val="Normal"/>
    <w:uiPriority w:val="10"/>
    <w:qFormat/>
    <w:rsid w:val="0001079A"/>
    <w:pPr>
      <w:keepNext/>
      <w:keepLines/>
      <w:spacing w:after="60"/>
    </w:pPr>
    <w:rPr>
      <w:sz w:val="52"/>
      <w:szCs w:val="52"/>
    </w:rPr>
  </w:style>
  <w:style w:type="paragraph" w:styleId="Subtitle">
    <w:name w:val="Subtitle"/>
    <w:basedOn w:val="Normal"/>
    <w:next w:val="Normal"/>
    <w:uiPriority w:val="11"/>
    <w:qFormat/>
    <w:rsid w:val="0001079A"/>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01079A"/>
    <w:pPr>
      <w:spacing w:line="240" w:lineRule="auto"/>
    </w:pPr>
    <w:rPr>
      <w:sz w:val="20"/>
      <w:szCs w:val="20"/>
    </w:rPr>
  </w:style>
  <w:style w:type="character" w:customStyle="1" w:styleId="CommentTextChar">
    <w:name w:val="Comment Text Char"/>
    <w:basedOn w:val="DefaultParagraphFont"/>
    <w:link w:val="CommentText"/>
    <w:uiPriority w:val="99"/>
    <w:semiHidden/>
    <w:rsid w:val="0001079A"/>
    <w:rPr>
      <w:sz w:val="20"/>
      <w:szCs w:val="20"/>
    </w:rPr>
  </w:style>
  <w:style w:type="character" w:styleId="CommentReference">
    <w:name w:val="annotation reference"/>
    <w:basedOn w:val="DefaultParagraphFont"/>
    <w:uiPriority w:val="99"/>
    <w:semiHidden/>
    <w:unhideWhenUsed/>
    <w:rsid w:val="0001079A"/>
    <w:rPr>
      <w:sz w:val="16"/>
      <w:szCs w:val="16"/>
    </w:rPr>
  </w:style>
  <w:style w:type="paragraph" w:styleId="Header">
    <w:name w:val="header"/>
    <w:basedOn w:val="Normal"/>
    <w:link w:val="HeaderChar"/>
    <w:uiPriority w:val="99"/>
    <w:unhideWhenUsed/>
    <w:rsid w:val="00D937BD"/>
    <w:pPr>
      <w:tabs>
        <w:tab w:val="center" w:pos="4513"/>
        <w:tab w:val="right" w:pos="9026"/>
      </w:tabs>
      <w:spacing w:line="240" w:lineRule="auto"/>
    </w:pPr>
  </w:style>
  <w:style w:type="character" w:customStyle="1" w:styleId="HeaderChar">
    <w:name w:val="Header Char"/>
    <w:basedOn w:val="DefaultParagraphFont"/>
    <w:link w:val="Header"/>
    <w:uiPriority w:val="99"/>
    <w:rsid w:val="00D937BD"/>
  </w:style>
  <w:style w:type="paragraph" w:styleId="Footer">
    <w:name w:val="footer"/>
    <w:basedOn w:val="Normal"/>
    <w:link w:val="FooterChar"/>
    <w:uiPriority w:val="99"/>
    <w:unhideWhenUsed/>
    <w:rsid w:val="00D937BD"/>
    <w:pPr>
      <w:tabs>
        <w:tab w:val="center" w:pos="4513"/>
        <w:tab w:val="right" w:pos="9026"/>
      </w:tabs>
      <w:spacing w:line="240" w:lineRule="auto"/>
    </w:pPr>
  </w:style>
  <w:style w:type="character" w:customStyle="1" w:styleId="FooterChar">
    <w:name w:val="Footer Char"/>
    <w:basedOn w:val="DefaultParagraphFont"/>
    <w:link w:val="Footer"/>
    <w:uiPriority w:val="99"/>
    <w:rsid w:val="00D937BD"/>
  </w:style>
  <w:style w:type="paragraph" w:styleId="TOCHeading">
    <w:name w:val="TOC Heading"/>
    <w:basedOn w:val="Heading1"/>
    <w:next w:val="Normal"/>
    <w:uiPriority w:val="39"/>
    <w:unhideWhenUsed/>
    <w:qFormat/>
    <w:rsid w:val="00867A1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67A15"/>
    <w:pPr>
      <w:spacing w:after="100"/>
    </w:pPr>
  </w:style>
  <w:style w:type="paragraph" w:styleId="TOC2">
    <w:name w:val="toc 2"/>
    <w:basedOn w:val="Normal"/>
    <w:next w:val="Normal"/>
    <w:autoRedefine/>
    <w:uiPriority w:val="39"/>
    <w:unhideWhenUsed/>
    <w:rsid w:val="00867A15"/>
    <w:pPr>
      <w:spacing w:after="100"/>
      <w:ind w:left="220"/>
    </w:pPr>
  </w:style>
  <w:style w:type="character" w:styleId="Hyperlink">
    <w:name w:val="Hyperlink"/>
    <w:basedOn w:val="DefaultParagraphFont"/>
    <w:uiPriority w:val="99"/>
    <w:unhideWhenUsed/>
    <w:rsid w:val="00867A15"/>
    <w:rPr>
      <w:color w:val="0000FF" w:themeColor="hyperlink"/>
      <w:u w:val="single"/>
    </w:rPr>
  </w:style>
  <w:style w:type="paragraph" w:styleId="TOC3">
    <w:name w:val="toc 3"/>
    <w:basedOn w:val="Normal"/>
    <w:next w:val="Normal"/>
    <w:autoRedefine/>
    <w:uiPriority w:val="39"/>
    <w:unhideWhenUsed/>
    <w:rsid w:val="00BF33C2"/>
    <w:pPr>
      <w:spacing w:after="100"/>
      <w:ind w:left="440"/>
    </w:pPr>
  </w:style>
  <w:style w:type="paragraph" w:styleId="BalloonText">
    <w:name w:val="Balloon Text"/>
    <w:basedOn w:val="Normal"/>
    <w:link w:val="BalloonTextChar"/>
    <w:uiPriority w:val="99"/>
    <w:semiHidden/>
    <w:unhideWhenUsed/>
    <w:rsid w:val="005E02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294"/>
    <w:rPr>
      <w:rFonts w:ascii="Tahoma" w:hAnsi="Tahoma" w:cs="Tahoma"/>
      <w:sz w:val="16"/>
      <w:szCs w:val="16"/>
    </w:rPr>
  </w:style>
  <w:style w:type="paragraph" w:styleId="ListParagraph">
    <w:name w:val="List Paragraph"/>
    <w:basedOn w:val="Normal"/>
    <w:uiPriority w:val="34"/>
    <w:qFormat/>
    <w:rsid w:val="005E0294"/>
    <w:pPr>
      <w:ind w:left="720"/>
      <w:contextualSpacing/>
    </w:pPr>
  </w:style>
  <w:style w:type="paragraph" w:styleId="NormalWeb">
    <w:name w:val="Normal (Web)"/>
    <w:basedOn w:val="Normal"/>
    <w:uiPriority w:val="99"/>
    <w:unhideWhenUsed/>
    <w:rsid w:val="0023247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232473"/>
    <w:rPr>
      <w:b/>
      <w:bCs/>
    </w:rPr>
  </w:style>
</w:styles>
</file>

<file path=word/webSettings.xml><?xml version="1.0" encoding="utf-8"?>
<w:webSettings xmlns:r="http://schemas.openxmlformats.org/officeDocument/2006/relationships" xmlns:w="http://schemas.openxmlformats.org/wordprocessingml/2006/main">
  <w:divs>
    <w:div w:id="344744482">
      <w:bodyDiv w:val="1"/>
      <w:marLeft w:val="0"/>
      <w:marRight w:val="0"/>
      <w:marTop w:val="0"/>
      <w:marBottom w:val="0"/>
      <w:divBdr>
        <w:top w:val="none" w:sz="0" w:space="0" w:color="auto"/>
        <w:left w:val="none" w:sz="0" w:space="0" w:color="auto"/>
        <w:bottom w:val="none" w:sz="0" w:space="0" w:color="auto"/>
        <w:right w:val="none" w:sz="0" w:space="0" w:color="auto"/>
      </w:divBdr>
    </w:div>
    <w:div w:id="482282295">
      <w:bodyDiv w:val="1"/>
      <w:marLeft w:val="0"/>
      <w:marRight w:val="0"/>
      <w:marTop w:val="0"/>
      <w:marBottom w:val="0"/>
      <w:divBdr>
        <w:top w:val="none" w:sz="0" w:space="0" w:color="auto"/>
        <w:left w:val="none" w:sz="0" w:space="0" w:color="auto"/>
        <w:bottom w:val="none" w:sz="0" w:space="0" w:color="auto"/>
        <w:right w:val="none" w:sz="0" w:space="0" w:color="auto"/>
      </w:divBdr>
    </w:div>
    <w:div w:id="1213736845">
      <w:bodyDiv w:val="1"/>
      <w:marLeft w:val="0"/>
      <w:marRight w:val="0"/>
      <w:marTop w:val="0"/>
      <w:marBottom w:val="0"/>
      <w:divBdr>
        <w:top w:val="none" w:sz="0" w:space="0" w:color="auto"/>
        <w:left w:val="none" w:sz="0" w:space="0" w:color="auto"/>
        <w:bottom w:val="none" w:sz="0" w:space="0" w:color="auto"/>
        <w:right w:val="none" w:sz="0" w:space="0" w:color="auto"/>
      </w:divBdr>
    </w:div>
    <w:div w:id="1672298927">
      <w:bodyDiv w:val="1"/>
      <w:marLeft w:val="0"/>
      <w:marRight w:val="0"/>
      <w:marTop w:val="0"/>
      <w:marBottom w:val="0"/>
      <w:divBdr>
        <w:top w:val="none" w:sz="0" w:space="0" w:color="auto"/>
        <w:left w:val="none" w:sz="0" w:space="0" w:color="auto"/>
        <w:bottom w:val="none" w:sz="0" w:space="0" w:color="auto"/>
        <w:right w:val="none" w:sz="0" w:space="0" w:color="auto"/>
      </w:divBdr>
    </w:div>
    <w:div w:id="16981929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harrow.gov.uk" TargetMode="External"/><Relationship Id="rId18" Type="http://schemas.openxmlformats.org/officeDocument/2006/relationships/hyperlink" Target="http://england.nhs.uk" TargetMode="External"/><Relationship Id="rId26" Type="http://schemas.openxmlformats.org/officeDocument/2006/relationships/hyperlink" Target="http://harrow.gov.uk" TargetMode="External"/><Relationship Id="rId3" Type="http://schemas.openxmlformats.org/officeDocument/2006/relationships/styles" Target="styles.xml"/><Relationship Id="rId21" Type="http://schemas.openxmlformats.org/officeDocument/2006/relationships/hyperlink" Target="https://www.ombudsman.org.uk/news-and-blog/news/hospital-treatment-delay-led-avoidable-death-man-disabilities"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health.harvard.edu" TargetMode="External"/><Relationship Id="rId25" Type="http://schemas.openxmlformats.org/officeDocument/2006/relationships/hyperlink" Target="http://england.nhs.uk" TargetMode="External"/><Relationship Id="rId2" Type="http://schemas.openxmlformats.org/officeDocument/2006/relationships/numbering" Target="numbering.xml"/><Relationship Id="rId16" Type="http://schemas.openxmlformats.org/officeDocument/2006/relationships/hyperlink" Target="http://digital.nhs.uk" TargetMode="External"/><Relationship Id="rId20" Type="http://schemas.openxmlformats.org/officeDocument/2006/relationships/hyperlink" Target="https://www.gov.uk/government/statistics/the-employment-of-disabled-people-2024/the-employment-of-disabled-people-2024"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arrow.gov.uk" TargetMode="External"/><Relationship Id="rId24" Type="http://schemas.openxmlformats.org/officeDocument/2006/relationships/hyperlink" Target="http://digital.nhs.uk"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scope.org.uk/about-us/our-impact-2024-to-2025" TargetMode="External"/><Relationship Id="rId28" Type="http://schemas.openxmlformats.org/officeDocument/2006/relationships/hyperlink" Target="http://health.harvard.edu" TargetMode="External"/><Relationship Id="rId10" Type="http://schemas.openxmlformats.org/officeDocument/2006/relationships/hyperlink" Target="http://harrow.moderngov.co.uk" TargetMode="External"/><Relationship Id="rId19" Type="http://schemas.openxmlformats.org/officeDocument/2006/relationships/hyperlink" Target="https://foodfoundation.org.uk/sites/default/files/2023-12/Disabilities%20briefing_FINAL.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digital.nhs.uk" TargetMode="External"/><Relationship Id="rId22" Type="http://schemas.openxmlformats.org/officeDocument/2006/relationships/hyperlink" Target="https://www.ons.gov.uk/peoplepopulationandcommunity/healthandsocialcare/disability/bulletins/disabledpeoplesexperienceswithactivitiesgoodsandservicesuk/februarytomarch2022" TargetMode="External"/><Relationship Id="rId27" Type="http://schemas.openxmlformats.org/officeDocument/2006/relationships/hyperlink" Target="http://harrow.moderngov.co.uk"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F9F86-F6AE-46AE-8A77-64418E0C5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18</Pages>
  <Words>4573</Words>
  <Characters>26069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Nilesh</dc:creator>
  <cp:lastModifiedBy>Nilesh</cp:lastModifiedBy>
  <cp:revision>3</cp:revision>
  <dcterms:created xsi:type="dcterms:W3CDTF">2026-04-27T19:43:00Z</dcterms:created>
  <dcterms:modified xsi:type="dcterms:W3CDTF">2026-04-27T22:00:00Z</dcterms:modified>
</cp:coreProperties>
</file>