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2A6D8" w14:textId="77777777" w:rsidR="00625461" w:rsidRDefault="00E451C4" w:rsidP="00385667">
      <w:pPr>
        <w:jc w:val="center"/>
      </w:pPr>
      <w:r>
        <w:rPr>
          <w:noProof/>
        </w:rPr>
        <w:drawing>
          <wp:inline distT="114300" distB="114300" distL="114300" distR="114300" wp14:anchorId="63F6F8AD" wp14:editId="515A0512">
            <wp:extent cx="2825750" cy="111188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27695" cy="1112650"/>
                    </a:xfrm>
                    <a:prstGeom prst="rect">
                      <a:avLst/>
                    </a:prstGeom>
                    <a:ln/>
                  </pic:spPr>
                </pic:pic>
              </a:graphicData>
            </a:graphic>
          </wp:inline>
        </w:drawing>
      </w:r>
    </w:p>
    <w:p w14:paraId="1877657E" w14:textId="77777777" w:rsidR="00625461" w:rsidRDefault="00625461" w:rsidP="00385667">
      <w:pPr>
        <w:jc w:val="center"/>
        <w:rPr>
          <w:sz w:val="28"/>
          <w:szCs w:val="28"/>
        </w:rPr>
      </w:pPr>
    </w:p>
    <w:p w14:paraId="377D4F04" w14:textId="6D070E0C" w:rsidR="00625461" w:rsidRPr="007F4B05" w:rsidRDefault="00E451C4" w:rsidP="00385667">
      <w:pPr>
        <w:jc w:val="center"/>
        <w:rPr>
          <w:b/>
          <w:bCs/>
          <w:sz w:val="36"/>
          <w:szCs w:val="36"/>
        </w:rPr>
      </w:pPr>
      <w:r w:rsidRPr="007F4B05">
        <w:rPr>
          <w:b/>
          <w:bCs/>
          <w:sz w:val="36"/>
          <w:szCs w:val="36"/>
        </w:rPr>
        <w:t xml:space="preserve">Student name: </w:t>
      </w:r>
      <w:r w:rsidR="00385667" w:rsidRPr="00385667">
        <w:rPr>
          <w:b/>
          <w:bCs/>
          <w:sz w:val="36"/>
          <w:szCs w:val="36"/>
        </w:rPr>
        <w:t>MUSA BAMWINE</w:t>
      </w:r>
    </w:p>
    <w:p w14:paraId="5D4D27CA" w14:textId="501138BF" w:rsidR="00625461" w:rsidRPr="007F4B05" w:rsidRDefault="00E451C4" w:rsidP="00385667">
      <w:pPr>
        <w:jc w:val="center"/>
        <w:rPr>
          <w:b/>
          <w:bCs/>
          <w:sz w:val="36"/>
          <w:szCs w:val="36"/>
        </w:rPr>
      </w:pPr>
      <w:r w:rsidRPr="007F4B05">
        <w:rPr>
          <w:b/>
          <w:bCs/>
          <w:sz w:val="36"/>
          <w:szCs w:val="36"/>
        </w:rPr>
        <w:t>Student number:</w:t>
      </w:r>
      <w:r w:rsidR="007F4B05" w:rsidRPr="007F4B05">
        <w:rPr>
          <w:b/>
          <w:bCs/>
          <w:sz w:val="36"/>
          <w:szCs w:val="36"/>
        </w:rPr>
        <w:t>2425291</w:t>
      </w:r>
    </w:p>
    <w:p w14:paraId="73FC5A54" w14:textId="77777777" w:rsidR="00625461" w:rsidRPr="007F4B05" w:rsidRDefault="00625461" w:rsidP="00385667">
      <w:pPr>
        <w:jc w:val="center"/>
        <w:rPr>
          <w:b/>
          <w:bCs/>
          <w:sz w:val="36"/>
          <w:szCs w:val="36"/>
        </w:rPr>
      </w:pPr>
    </w:p>
    <w:p w14:paraId="33224293" w14:textId="7315A627" w:rsidR="00625461" w:rsidRPr="007F4B05" w:rsidRDefault="00E451C4" w:rsidP="00385667">
      <w:pPr>
        <w:jc w:val="center"/>
        <w:rPr>
          <w:b/>
          <w:bCs/>
          <w:sz w:val="36"/>
          <w:szCs w:val="36"/>
        </w:rPr>
      </w:pPr>
      <w:r w:rsidRPr="007F4B05">
        <w:rPr>
          <w:b/>
          <w:bCs/>
          <w:sz w:val="36"/>
          <w:szCs w:val="36"/>
        </w:rPr>
        <w:t>Module code: Psychology in Health and Social Care</w:t>
      </w:r>
    </w:p>
    <w:p w14:paraId="4460D732" w14:textId="77777777" w:rsidR="00625461" w:rsidRPr="007F4B05" w:rsidRDefault="00E451C4" w:rsidP="00385667">
      <w:pPr>
        <w:jc w:val="center"/>
        <w:rPr>
          <w:b/>
          <w:bCs/>
          <w:sz w:val="36"/>
          <w:szCs w:val="36"/>
        </w:rPr>
      </w:pPr>
      <w:r w:rsidRPr="007F4B05">
        <w:rPr>
          <w:b/>
          <w:bCs/>
          <w:sz w:val="36"/>
          <w:szCs w:val="36"/>
        </w:rPr>
        <w:t>Module Title: LCHS4010</w:t>
      </w:r>
    </w:p>
    <w:p w14:paraId="522C722E" w14:textId="77777777" w:rsidR="00625461" w:rsidRPr="007F4B05" w:rsidRDefault="00625461" w:rsidP="00385667">
      <w:pPr>
        <w:jc w:val="center"/>
        <w:rPr>
          <w:b/>
          <w:bCs/>
          <w:sz w:val="36"/>
          <w:szCs w:val="36"/>
        </w:rPr>
      </w:pPr>
    </w:p>
    <w:p w14:paraId="0E252076" w14:textId="3157F34B" w:rsidR="00625461" w:rsidRPr="007F4B05" w:rsidRDefault="00E451C4" w:rsidP="00385667">
      <w:pPr>
        <w:jc w:val="center"/>
        <w:rPr>
          <w:b/>
          <w:bCs/>
          <w:sz w:val="36"/>
          <w:szCs w:val="36"/>
        </w:rPr>
      </w:pPr>
      <w:r w:rsidRPr="007F4B05">
        <w:rPr>
          <w:b/>
          <w:bCs/>
          <w:sz w:val="36"/>
          <w:szCs w:val="36"/>
        </w:rPr>
        <w:t xml:space="preserve">Lecturer’s name: </w:t>
      </w:r>
      <w:r w:rsidR="00385667" w:rsidRPr="007F4B05">
        <w:rPr>
          <w:b/>
          <w:bCs/>
          <w:sz w:val="36"/>
          <w:szCs w:val="36"/>
        </w:rPr>
        <w:t>DR PEACE UKACHUKWU</w:t>
      </w:r>
    </w:p>
    <w:p w14:paraId="415B08DD" w14:textId="77777777" w:rsidR="00625461" w:rsidRPr="007F4B05" w:rsidRDefault="00625461" w:rsidP="00385667">
      <w:pPr>
        <w:jc w:val="center"/>
        <w:rPr>
          <w:b/>
          <w:bCs/>
          <w:sz w:val="36"/>
          <w:szCs w:val="36"/>
        </w:rPr>
      </w:pPr>
    </w:p>
    <w:p w14:paraId="5C6FD063" w14:textId="41B05229" w:rsidR="00625461" w:rsidRDefault="00E451C4" w:rsidP="00385667">
      <w:pPr>
        <w:jc w:val="center"/>
      </w:pPr>
      <w:r w:rsidRPr="007F4B05">
        <w:rPr>
          <w:b/>
          <w:bCs/>
          <w:sz w:val="36"/>
          <w:szCs w:val="36"/>
        </w:rPr>
        <w:t xml:space="preserve">Assignment title: Assignment 2: Written Task </w:t>
      </w:r>
      <w:r>
        <w:br w:type="page"/>
      </w:r>
    </w:p>
    <w:sdt>
      <w:sdtPr>
        <w:rPr>
          <w:rFonts w:ascii="Arial" w:eastAsia="Arial" w:hAnsi="Arial" w:cs="Arial"/>
          <w:color w:val="auto"/>
          <w:sz w:val="22"/>
          <w:szCs w:val="22"/>
          <w:lang w:val="en-IN" w:eastAsia="en-IN"/>
        </w:rPr>
        <w:id w:val="1086889342"/>
        <w:docPartObj>
          <w:docPartGallery w:val="Table of Contents"/>
          <w:docPartUnique/>
        </w:docPartObj>
      </w:sdtPr>
      <w:sdtEndPr>
        <w:rPr>
          <w:b/>
          <w:bCs/>
          <w:noProof/>
        </w:rPr>
      </w:sdtEndPr>
      <w:sdtContent>
        <w:p w14:paraId="489A5874" w14:textId="77777777" w:rsidR="00E74E58" w:rsidRPr="00E74E58" w:rsidRDefault="00E74E58" w:rsidP="00E74E58">
          <w:pPr>
            <w:pStyle w:val="TOCHeading"/>
            <w:jc w:val="center"/>
            <w:rPr>
              <w:b/>
              <w:color w:val="000000" w:themeColor="text1"/>
              <w:sz w:val="28"/>
            </w:rPr>
          </w:pPr>
          <w:r w:rsidRPr="00E74E58">
            <w:rPr>
              <w:b/>
              <w:color w:val="000000" w:themeColor="text1"/>
              <w:sz w:val="28"/>
            </w:rPr>
            <w:t>TABLE OF CONTENTS</w:t>
          </w:r>
        </w:p>
        <w:p w14:paraId="644048F5" w14:textId="77777777" w:rsidR="00E74E58" w:rsidRPr="00E74E58" w:rsidRDefault="00E74E58" w:rsidP="00E74E58">
          <w:pPr>
            <w:pStyle w:val="TOC1"/>
            <w:tabs>
              <w:tab w:val="right" w:leader="dot" w:pos="9019"/>
            </w:tabs>
            <w:spacing w:after="0"/>
            <w:rPr>
              <w:noProof/>
            </w:rPr>
          </w:pPr>
          <w:r w:rsidRPr="00E74E58">
            <w:fldChar w:fldCharType="begin"/>
          </w:r>
          <w:r w:rsidRPr="00E74E58">
            <w:instrText xml:space="preserve"> TOC \o "1-3" \h \z \u </w:instrText>
          </w:r>
          <w:r w:rsidRPr="00E74E58">
            <w:fldChar w:fldCharType="separate"/>
          </w:r>
          <w:hyperlink w:anchor="_Toc215493948" w:history="1">
            <w:r w:rsidRPr="00E74E58">
              <w:rPr>
                <w:rStyle w:val="Hyperlink"/>
                <w:noProof/>
              </w:rPr>
              <w:t>1. Introduction</w:t>
            </w:r>
            <w:r w:rsidRPr="00E74E58">
              <w:rPr>
                <w:noProof/>
                <w:webHidden/>
              </w:rPr>
              <w:tab/>
            </w:r>
            <w:r w:rsidRPr="00E74E58">
              <w:rPr>
                <w:noProof/>
                <w:webHidden/>
              </w:rPr>
              <w:fldChar w:fldCharType="begin"/>
            </w:r>
            <w:r w:rsidRPr="00E74E58">
              <w:rPr>
                <w:noProof/>
                <w:webHidden/>
              </w:rPr>
              <w:instrText xml:space="preserve"> PAGEREF _Toc215493948 \h </w:instrText>
            </w:r>
            <w:r w:rsidRPr="00E74E58">
              <w:rPr>
                <w:noProof/>
                <w:webHidden/>
              </w:rPr>
            </w:r>
            <w:r w:rsidRPr="00E74E58">
              <w:rPr>
                <w:noProof/>
                <w:webHidden/>
              </w:rPr>
              <w:fldChar w:fldCharType="separate"/>
            </w:r>
            <w:r w:rsidRPr="00E74E58">
              <w:rPr>
                <w:noProof/>
                <w:webHidden/>
              </w:rPr>
              <w:t>3</w:t>
            </w:r>
            <w:r w:rsidRPr="00E74E58">
              <w:rPr>
                <w:noProof/>
                <w:webHidden/>
              </w:rPr>
              <w:fldChar w:fldCharType="end"/>
            </w:r>
          </w:hyperlink>
        </w:p>
        <w:p w14:paraId="113BD1A6" w14:textId="77777777" w:rsidR="00E74E58" w:rsidRPr="00E74E58" w:rsidRDefault="00E74E58" w:rsidP="00E74E58">
          <w:pPr>
            <w:pStyle w:val="TOC1"/>
            <w:tabs>
              <w:tab w:val="right" w:leader="dot" w:pos="9019"/>
            </w:tabs>
            <w:spacing w:after="0"/>
            <w:rPr>
              <w:noProof/>
            </w:rPr>
          </w:pPr>
          <w:hyperlink w:anchor="_Toc215493949" w:history="1">
            <w:r w:rsidRPr="00E74E58">
              <w:rPr>
                <w:rStyle w:val="Hyperlink"/>
                <w:noProof/>
              </w:rPr>
              <w:t>2. Background Context</w:t>
            </w:r>
            <w:r w:rsidRPr="00E74E58">
              <w:rPr>
                <w:noProof/>
                <w:webHidden/>
              </w:rPr>
              <w:tab/>
            </w:r>
            <w:r w:rsidRPr="00E74E58">
              <w:rPr>
                <w:noProof/>
                <w:webHidden/>
              </w:rPr>
              <w:fldChar w:fldCharType="begin"/>
            </w:r>
            <w:r w:rsidRPr="00E74E58">
              <w:rPr>
                <w:noProof/>
                <w:webHidden/>
              </w:rPr>
              <w:instrText xml:space="preserve"> PAGEREF _Toc215493949 \h </w:instrText>
            </w:r>
            <w:r w:rsidRPr="00E74E58">
              <w:rPr>
                <w:noProof/>
                <w:webHidden/>
              </w:rPr>
            </w:r>
            <w:r w:rsidRPr="00E74E58">
              <w:rPr>
                <w:noProof/>
                <w:webHidden/>
              </w:rPr>
              <w:fldChar w:fldCharType="separate"/>
            </w:r>
            <w:r w:rsidRPr="00E74E58">
              <w:rPr>
                <w:noProof/>
                <w:webHidden/>
              </w:rPr>
              <w:t>3</w:t>
            </w:r>
            <w:r w:rsidRPr="00E74E58">
              <w:rPr>
                <w:noProof/>
                <w:webHidden/>
              </w:rPr>
              <w:fldChar w:fldCharType="end"/>
            </w:r>
          </w:hyperlink>
        </w:p>
        <w:p w14:paraId="3EE67D56" w14:textId="77777777" w:rsidR="00E74E58" w:rsidRPr="00E74E58" w:rsidRDefault="00E74E58" w:rsidP="00E74E58">
          <w:pPr>
            <w:pStyle w:val="TOC1"/>
            <w:tabs>
              <w:tab w:val="right" w:leader="dot" w:pos="9019"/>
            </w:tabs>
            <w:spacing w:after="0"/>
            <w:rPr>
              <w:noProof/>
            </w:rPr>
          </w:pPr>
          <w:hyperlink w:anchor="_Toc215493950" w:history="1">
            <w:r w:rsidRPr="00E74E58">
              <w:rPr>
                <w:rStyle w:val="Hyperlink"/>
                <w:noProof/>
              </w:rPr>
              <w:t>3. Detailed Overview of Two Theories</w:t>
            </w:r>
            <w:r w:rsidRPr="00E74E58">
              <w:rPr>
                <w:noProof/>
                <w:webHidden/>
              </w:rPr>
              <w:tab/>
            </w:r>
            <w:r w:rsidRPr="00E74E58">
              <w:rPr>
                <w:noProof/>
                <w:webHidden/>
              </w:rPr>
              <w:fldChar w:fldCharType="begin"/>
            </w:r>
            <w:r w:rsidRPr="00E74E58">
              <w:rPr>
                <w:noProof/>
                <w:webHidden/>
              </w:rPr>
              <w:instrText xml:space="preserve"> PAGEREF _Toc215493950 \h </w:instrText>
            </w:r>
            <w:r w:rsidRPr="00E74E58">
              <w:rPr>
                <w:noProof/>
                <w:webHidden/>
              </w:rPr>
            </w:r>
            <w:r w:rsidRPr="00E74E58">
              <w:rPr>
                <w:noProof/>
                <w:webHidden/>
              </w:rPr>
              <w:fldChar w:fldCharType="separate"/>
            </w:r>
            <w:r w:rsidRPr="00E74E58">
              <w:rPr>
                <w:noProof/>
                <w:webHidden/>
              </w:rPr>
              <w:t>4</w:t>
            </w:r>
            <w:r w:rsidRPr="00E74E58">
              <w:rPr>
                <w:noProof/>
                <w:webHidden/>
              </w:rPr>
              <w:fldChar w:fldCharType="end"/>
            </w:r>
          </w:hyperlink>
        </w:p>
        <w:p w14:paraId="2B631047" w14:textId="77777777" w:rsidR="00E74E58" w:rsidRPr="00E74E58" w:rsidRDefault="00E74E58" w:rsidP="00E74E58">
          <w:pPr>
            <w:pStyle w:val="TOC2"/>
            <w:tabs>
              <w:tab w:val="right" w:leader="dot" w:pos="9019"/>
            </w:tabs>
            <w:spacing w:after="0"/>
            <w:rPr>
              <w:noProof/>
            </w:rPr>
          </w:pPr>
          <w:hyperlink w:anchor="_Toc215493951" w:history="1">
            <w:r w:rsidRPr="00E74E58">
              <w:rPr>
                <w:rStyle w:val="Hyperlink"/>
                <w:bCs/>
                <w:i/>
                <w:iCs/>
                <w:noProof/>
              </w:rPr>
              <w:t>3.1 Core Principles of Vygotsky’s Sociocultural Theory in Late Adulthood</w:t>
            </w:r>
            <w:r w:rsidRPr="00E74E58">
              <w:rPr>
                <w:noProof/>
                <w:webHidden/>
              </w:rPr>
              <w:tab/>
            </w:r>
            <w:r w:rsidRPr="00E74E58">
              <w:rPr>
                <w:noProof/>
                <w:webHidden/>
              </w:rPr>
              <w:fldChar w:fldCharType="begin"/>
            </w:r>
            <w:r w:rsidRPr="00E74E58">
              <w:rPr>
                <w:noProof/>
                <w:webHidden/>
              </w:rPr>
              <w:instrText xml:space="preserve"> PAGEREF _Toc215493951 \h </w:instrText>
            </w:r>
            <w:r w:rsidRPr="00E74E58">
              <w:rPr>
                <w:noProof/>
                <w:webHidden/>
              </w:rPr>
            </w:r>
            <w:r w:rsidRPr="00E74E58">
              <w:rPr>
                <w:noProof/>
                <w:webHidden/>
              </w:rPr>
              <w:fldChar w:fldCharType="separate"/>
            </w:r>
            <w:r w:rsidRPr="00E74E58">
              <w:rPr>
                <w:noProof/>
                <w:webHidden/>
              </w:rPr>
              <w:t>4</w:t>
            </w:r>
            <w:r w:rsidRPr="00E74E58">
              <w:rPr>
                <w:noProof/>
                <w:webHidden/>
              </w:rPr>
              <w:fldChar w:fldCharType="end"/>
            </w:r>
          </w:hyperlink>
        </w:p>
        <w:p w14:paraId="12744AF0" w14:textId="77777777" w:rsidR="00E74E58" w:rsidRPr="00E74E58" w:rsidRDefault="00E74E58" w:rsidP="00E74E58">
          <w:pPr>
            <w:pStyle w:val="TOC2"/>
            <w:tabs>
              <w:tab w:val="right" w:leader="dot" w:pos="9019"/>
            </w:tabs>
            <w:spacing w:after="0"/>
            <w:rPr>
              <w:noProof/>
            </w:rPr>
          </w:pPr>
          <w:hyperlink w:anchor="_Toc215493952" w:history="1">
            <w:r w:rsidRPr="00E74E58">
              <w:rPr>
                <w:rStyle w:val="Hyperlink"/>
                <w:bCs/>
                <w:i/>
                <w:iCs/>
                <w:noProof/>
              </w:rPr>
              <w:t>3.2 Application of Vygotsky’s Concepts to Older Adults with Dementia</w:t>
            </w:r>
            <w:r w:rsidRPr="00E74E58">
              <w:rPr>
                <w:noProof/>
                <w:webHidden/>
              </w:rPr>
              <w:tab/>
            </w:r>
            <w:r w:rsidRPr="00E74E58">
              <w:rPr>
                <w:noProof/>
                <w:webHidden/>
              </w:rPr>
              <w:fldChar w:fldCharType="begin"/>
            </w:r>
            <w:r w:rsidRPr="00E74E58">
              <w:rPr>
                <w:noProof/>
                <w:webHidden/>
              </w:rPr>
              <w:instrText xml:space="preserve"> PAGEREF _Toc215493952 \h </w:instrText>
            </w:r>
            <w:r w:rsidRPr="00E74E58">
              <w:rPr>
                <w:noProof/>
                <w:webHidden/>
              </w:rPr>
            </w:r>
            <w:r w:rsidRPr="00E74E58">
              <w:rPr>
                <w:noProof/>
                <w:webHidden/>
              </w:rPr>
              <w:fldChar w:fldCharType="separate"/>
            </w:r>
            <w:r w:rsidRPr="00E74E58">
              <w:rPr>
                <w:noProof/>
                <w:webHidden/>
              </w:rPr>
              <w:t>4</w:t>
            </w:r>
            <w:r w:rsidRPr="00E74E58">
              <w:rPr>
                <w:noProof/>
                <w:webHidden/>
              </w:rPr>
              <w:fldChar w:fldCharType="end"/>
            </w:r>
          </w:hyperlink>
        </w:p>
        <w:p w14:paraId="126B962F" w14:textId="77777777" w:rsidR="00E74E58" w:rsidRPr="00E74E58" w:rsidRDefault="00E74E58" w:rsidP="00E74E58">
          <w:pPr>
            <w:pStyle w:val="TOC2"/>
            <w:tabs>
              <w:tab w:val="right" w:leader="dot" w:pos="9019"/>
            </w:tabs>
            <w:spacing w:after="0"/>
            <w:rPr>
              <w:noProof/>
            </w:rPr>
          </w:pPr>
          <w:hyperlink w:anchor="_Toc215493953" w:history="1">
            <w:r w:rsidRPr="00E74E58">
              <w:rPr>
                <w:rStyle w:val="Hyperlink"/>
                <w:bCs/>
                <w:i/>
                <w:iCs/>
                <w:noProof/>
              </w:rPr>
              <w:t>3.3 Core Elements of Piaget’s Cognitive Development Theory in Later Life Regression</w:t>
            </w:r>
            <w:r w:rsidRPr="00E74E58">
              <w:rPr>
                <w:noProof/>
                <w:webHidden/>
              </w:rPr>
              <w:tab/>
            </w:r>
            <w:r w:rsidRPr="00E74E58">
              <w:rPr>
                <w:noProof/>
                <w:webHidden/>
              </w:rPr>
              <w:fldChar w:fldCharType="begin"/>
            </w:r>
            <w:r w:rsidRPr="00E74E58">
              <w:rPr>
                <w:noProof/>
                <w:webHidden/>
              </w:rPr>
              <w:instrText xml:space="preserve"> PAGEREF _Toc215493953 \h </w:instrText>
            </w:r>
            <w:r w:rsidRPr="00E74E58">
              <w:rPr>
                <w:noProof/>
                <w:webHidden/>
              </w:rPr>
            </w:r>
            <w:r w:rsidRPr="00E74E58">
              <w:rPr>
                <w:noProof/>
                <w:webHidden/>
              </w:rPr>
              <w:fldChar w:fldCharType="separate"/>
            </w:r>
            <w:r w:rsidRPr="00E74E58">
              <w:rPr>
                <w:noProof/>
                <w:webHidden/>
              </w:rPr>
              <w:t>5</w:t>
            </w:r>
            <w:r w:rsidRPr="00E74E58">
              <w:rPr>
                <w:noProof/>
                <w:webHidden/>
              </w:rPr>
              <w:fldChar w:fldCharType="end"/>
            </w:r>
          </w:hyperlink>
        </w:p>
        <w:p w14:paraId="446D3701" w14:textId="77777777" w:rsidR="00E74E58" w:rsidRPr="00E74E58" w:rsidRDefault="00E74E58" w:rsidP="00E74E58">
          <w:pPr>
            <w:pStyle w:val="TOC2"/>
            <w:tabs>
              <w:tab w:val="right" w:leader="dot" w:pos="9019"/>
            </w:tabs>
            <w:spacing w:after="0"/>
            <w:rPr>
              <w:noProof/>
            </w:rPr>
          </w:pPr>
          <w:hyperlink w:anchor="_Toc215493954" w:history="1">
            <w:r w:rsidRPr="00E74E58">
              <w:rPr>
                <w:rStyle w:val="Hyperlink"/>
                <w:bCs/>
                <w:i/>
                <w:iCs/>
                <w:noProof/>
              </w:rPr>
              <w:t>3.4 Relevance of Piaget’s Theory to Cognitive Decline in Adults Aged 65+</w:t>
            </w:r>
            <w:r w:rsidRPr="00E74E58">
              <w:rPr>
                <w:noProof/>
                <w:webHidden/>
              </w:rPr>
              <w:tab/>
            </w:r>
            <w:r w:rsidRPr="00E74E58">
              <w:rPr>
                <w:noProof/>
                <w:webHidden/>
              </w:rPr>
              <w:fldChar w:fldCharType="begin"/>
            </w:r>
            <w:r w:rsidRPr="00E74E58">
              <w:rPr>
                <w:noProof/>
                <w:webHidden/>
              </w:rPr>
              <w:instrText xml:space="preserve"> PAGEREF _Toc215493954 \h </w:instrText>
            </w:r>
            <w:r w:rsidRPr="00E74E58">
              <w:rPr>
                <w:noProof/>
                <w:webHidden/>
              </w:rPr>
            </w:r>
            <w:r w:rsidRPr="00E74E58">
              <w:rPr>
                <w:noProof/>
                <w:webHidden/>
              </w:rPr>
              <w:fldChar w:fldCharType="separate"/>
            </w:r>
            <w:r w:rsidRPr="00E74E58">
              <w:rPr>
                <w:noProof/>
                <w:webHidden/>
              </w:rPr>
              <w:t>5</w:t>
            </w:r>
            <w:r w:rsidRPr="00E74E58">
              <w:rPr>
                <w:noProof/>
                <w:webHidden/>
              </w:rPr>
              <w:fldChar w:fldCharType="end"/>
            </w:r>
          </w:hyperlink>
        </w:p>
        <w:p w14:paraId="2CE40877" w14:textId="77777777" w:rsidR="00E74E58" w:rsidRPr="00E74E58" w:rsidRDefault="00E74E58" w:rsidP="00E74E58">
          <w:pPr>
            <w:pStyle w:val="TOC1"/>
            <w:tabs>
              <w:tab w:val="right" w:leader="dot" w:pos="9019"/>
            </w:tabs>
            <w:spacing w:after="0"/>
            <w:rPr>
              <w:noProof/>
            </w:rPr>
          </w:pPr>
          <w:hyperlink w:anchor="_Toc215493955" w:history="1">
            <w:r w:rsidRPr="00E74E58">
              <w:rPr>
                <w:rStyle w:val="Hyperlink"/>
                <w:noProof/>
              </w:rPr>
              <w:t>4. Application in the Health and Social Care context</w:t>
            </w:r>
            <w:r w:rsidRPr="00E74E58">
              <w:rPr>
                <w:noProof/>
                <w:webHidden/>
              </w:rPr>
              <w:tab/>
            </w:r>
            <w:r w:rsidRPr="00E74E58">
              <w:rPr>
                <w:noProof/>
                <w:webHidden/>
              </w:rPr>
              <w:fldChar w:fldCharType="begin"/>
            </w:r>
            <w:r w:rsidRPr="00E74E58">
              <w:rPr>
                <w:noProof/>
                <w:webHidden/>
              </w:rPr>
              <w:instrText xml:space="preserve"> PAGEREF _Toc215493955 \h </w:instrText>
            </w:r>
            <w:r w:rsidRPr="00E74E58">
              <w:rPr>
                <w:noProof/>
                <w:webHidden/>
              </w:rPr>
            </w:r>
            <w:r w:rsidRPr="00E74E58">
              <w:rPr>
                <w:noProof/>
                <w:webHidden/>
              </w:rPr>
              <w:fldChar w:fldCharType="separate"/>
            </w:r>
            <w:r w:rsidRPr="00E74E58">
              <w:rPr>
                <w:noProof/>
                <w:webHidden/>
              </w:rPr>
              <w:t>6</w:t>
            </w:r>
            <w:r w:rsidRPr="00E74E58">
              <w:rPr>
                <w:noProof/>
                <w:webHidden/>
              </w:rPr>
              <w:fldChar w:fldCharType="end"/>
            </w:r>
          </w:hyperlink>
        </w:p>
        <w:p w14:paraId="432594AC" w14:textId="77777777" w:rsidR="00E74E58" w:rsidRPr="00E74E58" w:rsidRDefault="00E74E58" w:rsidP="00E74E58">
          <w:pPr>
            <w:pStyle w:val="TOC2"/>
            <w:tabs>
              <w:tab w:val="right" w:leader="dot" w:pos="9019"/>
            </w:tabs>
            <w:spacing w:after="0"/>
            <w:rPr>
              <w:noProof/>
            </w:rPr>
          </w:pPr>
          <w:hyperlink w:anchor="_Toc215493956" w:history="1">
            <w:r w:rsidRPr="00E74E58">
              <w:rPr>
                <w:rStyle w:val="Hyperlink"/>
                <w:bCs/>
                <w:i/>
                <w:iCs/>
                <w:noProof/>
              </w:rPr>
              <w:t>4.1 Practical Application of Vygotsky’s Theory in Dementia Care at Ellen’s Glen House</w:t>
            </w:r>
            <w:r w:rsidRPr="00E74E58">
              <w:rPr>
                <w:noProof/>
                <w:webHidden/>
              </w:rPr>
              <w:tab/>
            </w:r>
            <w:r w:rsidRPr="00E74E58">
              <w:rPr>
                <w:noProof/>
                <w:webHidden/>
              </w:rPr>
              <w:fldChar w:fldCharType="begin"/>
            </w:r>
            <w:r w:rsidRPr="00E74E58">
              <w:rPr>
                <w:noProof/>
                <w:webHidden/>
              </w:rPr>
              <w:instrText xml:space="preserve"> PAGEREF _Toc215493956 \h </w:instrText>
            </w:r>
            <w:r w:rsidRPr="00E74E58">
              <w:rPr>
                <w:noProof/>
                <w:webHidden/>
              </w:rPr>
            </w:r>
            <w:r w:rsidRPr="00E74E58">
              <w:rPr>
                <w:noProof/>
                <w:webHidden/>
              </w:rPr>
              <w:fldChar w:fldCharType="separate"/>
            </w:r>
            <w:r w:rsidRPr="00E74E58">
              <w:rPr>
                <w:noProof/>
                <w:webHidden/>
              </w:rPr>
              <w:t>6</w:t>
            </w:r>
            <w:r w:rsidRPr="00E74E58">
              <w:rPr>
                <w:noProof/>
                <w:webHidden/>
              </w:rPr>
              <w:fldChar w:fldCharType="end"/>
            </w:r>
          </w:hyperlink>
        </w:p>
        <w:p w14:paraId="13C5635A" w14:textId="77777777" w:rsidR="00E74E58" w:rsidRPr="00E74E58" w:rsidRDefault="00E74E58" w:rsidP="00E74E58">
          <w:pPr>
            <w:pStyle w:val="TOC2"/>
            <w:tabs>
              <w:tab w:val="right" w:leader="dot" w:pos="9019"/>
            </w:tabs>
            <w:spacing w:after="0"/>
            <w:rPr>
              <w:noProof/>
            </w:rPr>
          </w:pPr>
          <w:hyperlink w:anchor="_Toc215493957" w:history="1">
            <w:r w:rsidRPr="00E74E58">
              <w:rPr>
                <w:rStyle w:val="Hyperlink"/>
                <w:bCs/>
                <w:i/>
                <w:iCs/>
                <w:noProof/>
              </w:rPr>
              <w:t>4.2 Critically Evaluating the Use of Sociocultural Approaches for Enhancing Engagement in Older Adults</w:t>
            </w:r>
            <w:r w:rsidRPr="00E74E58">
              <w:rPr>
                <w:noProof/>
                <w:webHidden/>
              </w:rPr>
              <w:tab/>
            </w:r>
            <w:r w:rsidRPr="00E74E58">
              <w:rPr>
                <w:noProof/>
                <w:webHidden/>
              </w:rPr>
              <w:fldChar w:fldCharType="begin"/>
            </w:r>
            <w:r w:rsidRPr="00E74E58">
              <w:rPr>
                <w:noProof/>
                <w:webHidden/>
              </w:rPr>
              <w:instrText xml:space="preserve"> PAGEREF _Toc215493957 \h </w:instrText>
            </w:r>
            <w:r w:rsidRPr="00E74E58">
              <w:rPr>
                <w:noProof/>
                <w:webHidden/>
              </w:rPr>
            </w:r>
            <w:r w:rsidRPr="00E74E58">
              <w:rPr>
                <w:noProof/>
                <w:webHidden/>
              </w:rPr>
              <w:fldChar w:fldCharType="separate"/>
            </w:r>
            <w:r w:rsidRPr="00E74E58">
              <w:rPr>
                <w:noProof/>
                <w:webHidden/>
              </w:rPr>
              <w:t>6</w:t>
            </w:r>
            <w:r w:rsidRPr="00E74E58">
              <w:rPr>
                <w:noProof/>
                <w:webHidden/>
              </w:rPr>
              <w:fldChar w:fldCharType="end"/>
            </w:r>
          </w:hyperlink>
        </w:p>
        <w:p w14:paraId="16813782" w14:textId="77777777" w:rsidR="00E74E58" w:rsidRPr="00E74E58" w:rsidRDefault="00E74E58" w:rsidP="00E74E58">
          <w:pPr>
            <w:pStyle w:val="TOC2"/>
            <w:tabs>
              <w:tab w:val="right" w:leader="dot" w:pos="9019"/>
            </w:tabs>
            <w:spacing w:after="0"/>
            <w:rPr>
              <w:noProof/>
            </w:rPr>
          </w:pPr>
          <w:hyperlink w:anchor="_Toc215493958" w:history="1">
            <w:r w:rsidRPr="00E74E58">
              <w:rPr>
                <w:rStyle w:val="Hyperlink"/>
                <w:bCs/>
                <w:i/>
                <w:iCs/>
                <w:noProof/>
              </w:rPr>
              <w:t>4.3 Application of Piaget’s Cognitive Theory to Cognitive Regression in Dementia Residents</w:t>
            </w:r>
            <w:r w:rsidRPr="00E74E58">
              <w:rPr>
                <w:noProof/>
                <w:webHidden/>
              </w:rPr>
              <w:tab/>
            </w:r>
            <w:r w:rsidRPr="00E74E58">
              <w:rPr>
                <w:noProof/>
                <w:webHidden/>
              </w:rPr>
              <w:fldChar w:fldCharType="begin"/>
            </w:r>
            <w:r w:rsidRPr="00E74E58">
              <w:rPr>
                <w:noProof/>
                <w:webHidden/>
              </w:rPr>
              <w:instrText xml:space="preserve"> PAGEREF _Toc215493958 \h </w:instrText>
            </w:r>
            <w:r w:rsidRPr="00E74E58">
              <w:rPr>
                <w:noProof/>
                <w:webHidden/>
              </w:rPr>
            </w:r>
            <w:r w:rsidRPr="00E74E58">
              <w:rPr>
                <w:noProof/>
                <w:webHidden/>
              </w:rPr>
              <w:fldChar w:fldCharType="separate"/>
            </w:r>
            <w:r w:rsidRPr="00E74E58">
              <w:rPr>
                <w:noProof/>
                <w:webHidden/>
              </w:rPr>
              <w:t>7</w:t>
            </w:r>
            <w:r w:rsidRPr="00E74E58">
              <w:rPr>
                <w:noProof/>
                <w:webHidden/>
              </w:rPr>
              <w:fldChar w:fldCharType="end"/>
            </w:r>
          </w:hyperlink>
        </w:p>
        <w:p w14:paraId="763B3876" w14:textId="77777777" w:rsidR="00E74E58" w:rsidRPr="00E74E58" w:rsidRDefault="00E74E58" w:rsidP="00E74E58">
          <w:pPr>
            <w:pStyle w:val="TOC2"/>
            <w:tabs>
              <w:tab w:val="right" w:leader="dot" w:pos="9019"/>
            </w:tabs>
            <w:spacing w:after="0"/>
            <w:rPr>
              <w:noProof/>
            </w:rPr>
          </w:pPr>
          <w:hyperlink w:anchor="_Toc215493959" w:history="1">
            <w:r w:rsidRPr="00E74E58">
              <w:rPr>
                <w:rStyle w:val="Hyperlink"/>
                <w:bCs/>
                <w:i/>
                <w:iCs/>
                <w:noProof/>
              </w:rPr>
              <w:t>4.4 Challenges, Professional Barriers, and Strategies for Implementing Cognitive Development Models in Care Practice</w:t>
            </w:r>
            <w:r w:rsidRPr="00E74E58">
              <w:rPr>
                <w:noProof/>
                <w:webHidden/>
              </w:rPr>
              <w:tab/>
            </w:r>
            <w:r w:rsidRPr="00E74E58">
              <w:rPr>
                <w:noProof/>
                <w:webHidden/>
              </w:rPr>
              <w:fldChar w:fldCharType="begin"/>
            </w:r>
            <w:r w:rsidRPr="00E74E58">
              <w:rPr>
                <w:noProof/>
                <w:webHidden/>
              </w:rPr>
              <w:instrText xml:space="preserve"> PAGEREF _Toc215493959 \h </w:instrText>
            </w:r>
            <w:r w:rsidRPr="00E74E58">
              <w:rPr>
                <w:noProof/>
                <w:webHidden/>
              </w:rPr>
            </w:r>
            <w:r w:rsidRPr="00E74E58">
              <w:rPr>
                <w:noProof/>
                <w:webHidden/>
              </w:rPr>
              <w:fldChar w:fldCharType="separate"/>
            </w:r>
            <w:r w:rsidRPr="00E74E58">
              <w:rPr>
                <w:noProof/>
                <w:webHidden/>
              </w:rPr>
              <w:t>7</w:t>
            </w:r>
            <w:r w:rsidRPr="00E74E58">
              <w:rPr>
                <w:noProof/>
                <w:webHidden/>
              </w:rPr>
              <w:fldChar w:fldCharType="end"/>
            </w:r>
          </w:hyperlink>
        </w:p>
        <w:p w14:paraId="58F1F696" w14:textId="77777777" w:rsidR="00E74E58" w:rsidRPr="00E74E58" w:rsidRDefault="00E74E58" w:rsidP="00E74E58">
          <w:pPr>
            <w:pStyle w:val="TOC1"/>
            <w:tabs>
              <w:tab w:val="right" w:leader="dot" w:pos="9019"/>
            </w:tabs>
            <w:spacing w:after="0"/>
            <w:rPr>
              <w:noProof/>
            </w:rPr>
          </w:pPr>
          <w:hyperlink w:anchor="_Toc215493960" w:history="1">
            <w:r w:rsidRPr="00E74E58">
              <w:rPr>
                <w:rStyle w:val="Hyperlink"/>
                <w:noProof/>
              </w:rPr>
              <w:t>5. Conclusion</w:t>
            </w:r>
            <w:r w:rsidRPr="00E74E58">
              <w:rPr>
                <w:noProof/>
                <w:webHidden/>
              </w:rPr>
              <w:tab/>
            </w:r>
            <w:r w:rsidRPr="00E74E58">
              <w:rPr>
                <w:noProof/>
                <w:webHidden/>
              </w:rPr>
              <w:fldChar w:fldCharType="begin"/>
            </w:r>
            <w:r w:rsidRPr="00E74E58">
              <w:rPr>
                <w:noProof/>
                <w:webHidden/>
              </w:rPr>
              <w:instrText xml:space="preserve"> PAGEREF _Toc215493960 \h </w:instrText>
            </w:r>
            <w:r w:rsidRPr="00E74E58">
              <w:rPr>
                <w:noProof/>
                <w:webHidden/>
              </w:rPr>
            </w:r>
            <w:r w:rsidRPr="00E74E58">
              <w:rPr>
                <w:noProof/>
                <w:webHidden/>
              </w:rPr>
              <w:fldChar w:fldCharType="separate"/>
            </w:r>
            <w:r w:rsidRPr="00E74E58">
              <w:rPr>
                <w:noProof/>
                <w:webHidden/>
              </w:rPr>
              <w:t>7</w:t>
            </w:r>
            <w:r w:rsidRPr="00E74E58">
              <w:rPr>
                <w:noProof/>
                <w:webHidden/>
              </w:rPr>
              <w:fldChar w:fldCharType="end"/>
            </w:r>
          </w:hyperlink>
        </w:p>
        <w:p w14:paraId="558DABBD" w14:textId="77777777" w:rsidR="00E74E58" w:rsidRPr="00E74E58" w:rsidRDefault="00E74E58" w:rsidP="00E74E58">
          <w:pPr>
            <w:pStyle w:val="TOC1"/>
            <w:tabs>
              <w:tab w:val="right" w:leader="dot" w:pos="9019"/>
            </w:tabs>
            <w:spacing w:after="0"/>
            <w:rPr>
              <w:noProof/>
            </w:rPr>
          </w:pPr>
          <w:hyperlink w:anchor="_Toc215493961" w:history="1">
            <w:r w:rsidRPr="00E74E58">
              <w:rPr>
                <w:rStyle w:val="Hyperlink"/>
                <w:noProof/>
              </w:rPr>
              <w:t>Reference List</w:t>
            </w:r>
            <w:r w:rsidRPr="00E74E58">
              <w:rPr>
                <w:noProof/>
                <w:webHidden/>
              </w:rPr>
              <w:tab/>
            </w:r>
            <w:r w:rsidRPr="00E74E58">
              <w:rPr>
                <w:noProof/>
                <w:webHidden/>
              </w:rPr>
              <w:fldChar w:fldCharType="begin"/>
            </w:r>
            <w:r w:rsidRPr="00E74E58">
              <w:rPr>
                <w:noProof/>
                <w:webHidden/>
              </w:rPr>
              <w:instrText xml:space="preserve"> PAGEREF _Toc215493961 \h </w:instrText>
            </w:r>
            <w:r w:rsidRPr="00E74E58">
              <w:rPr>
                <w:noProof/>
                <w:webHidden/>
              </w:rPr>
            </w:r>
            <w:r w:rsidRPr="00E74E58">
              <w:rPr>
                <w:noProof/>
                <w:webHidden/>
              </w:rPr>
              <w:fldChar w:fldCharType="separate"/>
            </w:r>
            <w:r w:rsidRPr="00E74E58">
              <w:rPr>
                <w:noProof/>
                <w:webHidden/>
              </w:rPr>
              <w:t>9</w:t>
            </w:r>
            <w:r w:rsidRPr="00E74E58">
              <w:rPr>
                <w:noProof/>
                <w:webHidden/>
              </w:rPr>
              <w:fldChar w:fldCharType="end"/>
            </w:r>
          </w:hyperlink>
        </w:p>
        <w:p w14:paraId="370243EF" w14:textId="77777777" w:rsidR="00E74E58" w:rsidRDefault="00E74E58" w:rsidP="00E74E58">
          <w:r w:rsidRPr="00E74E58">
            <w:rPr>
              <w:bCs/>
              <w:noProof/>
            </w:rPr>
            <w:fldChar w:fldCharType="end"/>
          </w:r>
        </w:p>
      </w:sdtContent>
    </w:sdt>
    <w:p w14:paraId="6CF4EC3B" w14:textId="77777777" w:rsidR="00E74E58" w:rsidRDefault="00E74E58">
      <w:pPr>
        <w:rPr>
          <w:b/>
          <w:bCs/>
          <w:sz w:val="26"/>
          <w:szCs w:val="26"/>
        </w:rPr>
      </w:pPr>
      <w:r>
        <w:rPr>
          <w:b/>
          <w:bCs/>
          <w:sz w:val="26"/>
          <w:szCs w:val="26"/>
        </w:rPr>
        <w:br w:type="page"/>
      </w:r>
    </w:p>
    <w:p w14:paraId="0B178D6C" w14:textId="77777777" w:rsidR="00625461" w:rsidRDefault="00E451C4">
      <w:pPr>
        <w:jc w:val="center"/>
        <w:rPr>
          <w:b/>
          <w:bCs/>
          <w:sz w:val="26"/>
          <w:szCs w:val="26"/>
        </w:rPr>
      </w:pPr>
      <w:r>
        <w:rPr>
          <w:b/>
          <w:bCs/>
          <w:sz w:val="26"/>
          <w:szCs w:val="26"/>
        </w:rPr>
        <w:lastRenderedPageBreak/>
        <w:t>PSYCHOLOGY IN HEALTH AND SOCIAL CARE</w:t>
      </w:r>
    </w:p>
    <w:p w14:paraId="2199109F" w14:textId="77777777" w:rsidR="00625461" w:rsidRDefault="00625461">
      <w:pPr>
        <w:jc w:val="center"/>
        <w:rPr>
          <w:b/>
          <w:bCs/>
          <w:sz w:val="26"/>
          <w:szCs w:val="26"/>
        </w:rPr>
      </w:pPr>
    </w:p>
    <w:p w14:paraId="081F79EF" w14:textId="77777777" w:rsidR="00625461" w:rsidRDefault="00E451C4">
      <w:pPr>
        <w:pStyle w:val="Heading1"/>
      </w:pPr>
      <w:bookmarkStart w:id="0" w:name="_wbe1cjmmy7t5" w:colFirst="0" w:colLast="0"/>
      <w:bookmarkStart w:id="1" w:name="_Toc215493948"/>
      <w:bookmarkEnd w:id="0"/>
      <w:r>
        <w:t>1. Introduction</w:t>
      </w:r>
      <w:bookmarkEnd w:id="1"/>
    </w:p>
    <w:p w14:paraId="3A9574F4" w14:textId="77777777" w:rsidR="00625461" w:rsidRDefault="00E451C4">
      <w:r>
        <w:t>The report will analyse how the sociocultural theory and the cognitive development theory introduced by Vygotsky and Piaget will be modified to the environment of a dementia care home. It will examine how the theories will be used to develop specific interventions for older adults who experience cognitive decline. The author will evaluate the impact the cognition on social interaction, scaffolded support, and cognitive regression will have on high-quality care practices. The results will contribute to the improvement of the emotional well-being, communication, and social activity among the residents of the Ellen Glen house.</w:t>
      </w:r>
    </w:p>
    <w:p w14:paraId="12B49826" w14:textId="77777777" w:rsidR="00625461" w:rsidRDefault="00E451C4">
      <w:pPr>
        <w:pStyle w:val="Heading1"/>
      </w:pPr>
      <w:bookmarkStart w:id="2" w:name="_rhiwftcgr1m2" w:colFirst="0" w:colLast="0"/>
      <w:bookmarkStart w:id="3" w:name="_Toc215493949"/>
      <w:bookmarkEnd w:id="2"/>
      <w:r>
        <w:t>2. Background Context</w:t>
      </w:r>
      <w:bookmarkEnd w:id="3"/>
    </w:p>
    <w:p w14:paraId="353DA5AC" w14:textId="77777777" w:rsidR="00625461" w:rsidRDefault="00E451C4">
      <w:r>
        <w:rPr>
          <w:b/>
          <w:bCs/>
        </w:rPr>
        <w:t>The Glen House is a residential dementia care home</w:t>
      </w:r>
      <w:r>
        <w:t xml:space="preserve">, caring for 94 elderly residents, with the average age of 82 years, and the nurses' nurses-to-residents' ratio is around 1:8 during the day. The residents had either moderate to advanced stages of dementia, portrayed by disorientation, memory loss, and withdrawal (Sharifi </w:t>
      </w:r>
      <w:r>
        <w:rPr>
          <w:i/>
          <w:iCs/>
        </w:rPr>
        <w:t>et al.</w:t>
      </w:r>
      <w:r>
        <w:t>, 2024). As an example, a former school teacher, who is one of the residents, often awakens in the middle of the night calling the names of missing family members, which is a symptom of consternation and tension. The other long-term resident, who used to be sociable and engaged in activities, hardly involves himself in the activities of the group and just sits and seeming to be isolated and isolated.</w:t>
      </w:r>
    </w:p>
    <w:p w14:paraId="19099659" w14:textId="77777777" w:rsidR="00625461" w:rsidRDefault="00E451C4">
      <w:pPr>
        <w:jc w:val="center"/>
      </w:pPr>
      <w:r>
        <w:rPr>
          <w:noProof/>
        </w:rPr>
        <w:drawing>
          <wp:inline distT="114300" distB="114300" distL="114300" distR="114300" wp14:anchorId="1722AF43" wp14:editId="28AA62F3">
            <wp:extent cx="4637250" cy="308875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37250" cy="3088754"/>
                    </a:xfrm>
                    <a:prstGeom prst="rect">
                      <a:avLst/>
                    </a:prstGeom>
                    <a:ln/>
                  </pic:spPr>
                </pic:pic>
              </a:graphicData>
            </a:graphic>
          </wp:inline>
        </w:drawing>
      </w:r>
    </w:p>
    <w:p w14:paraId="1FD98629" w14:textId="77777777" w:rsidR="00625461" w:rsidRPr="00E74E58" w:rsidRDefault="00E451C4">
      <w:pPr>
        <w:jc w:val="center"/>
        <w:rPr>
          <w:b/>
        </w:rPr>
      </w:pPr>
      <w:r w:rsidRPr="00E74E58">
        <w:rPr>
          <w:b/>
        </w:rPr>
        <w:t>Figure</w:t>
      </w:r>
      <w:r w:rsidR="00E74E58">
        <w:rPr>
          <w:b/>
        </w:rPr>
        <w:t xml:space="preserve"> 1</w:t>
      </w:r>
      <w:r w:rsidRPr="00E74E58">
        <w:rPr>
          <w:b/>
        </w:rPr>
        <w:t>: The Glen Care Home</w:t>
      </w:r>
    </w:p>
    <w:p w14:paraId="76FCA4B7" w14:textId="77777777" w:rsidR="00625461" w:rsidRDefault="00E451C4">
      <w:pPr>
        <w:jc w:val="center"/>
      </w:pPr>
      <w:r>
        <w:t xml:space="preserve">(Source: Sharifi </w:t>
      </w:r>
      <w:r>
        <w:rPr>
          <w:i/>
          <w:iCs/>
        </w:rPr>
        <w:t>et al.</w:t>
      </w:r>
      <w:r>
        <w:t>, 2024)</w:t>
      </w:r>
    </w:p>
    <w:p w14:paraId="5547E7CE" w14:textId="77777777" w:rsidR="00625461" w:rsidRDefault="00625461"/>
    <w:p w14:paraId="4294B642" w14:textId="77777777" w:rsidR="00625461" w:rsidRDefault="00E451C4">
      <w:r>
        <w:lastRenderedPageBreak/>
        <w:t>The building of the care home offers routines, regular eating, and drug rounds, and a few group activities, including music therapy or reminiscence learning. This routine provides predictability, and thus most residents are not agitated and not in distress. Nevertheless, it has drawbacks: sometimes continuity of care is interrupted by high staff turnover, and limited staffing on weekends denies the opportunity to interact with patients individually. Also, the fact that the residents have different cultural backgrounds complicates the provision of social or reminiscence activities that have universal meaning (</w:t>
      </w:r>
      <w:proofErr w:type="spellStart"/>
      <w:r>
        <w:t>Spännäri</w:t>
      </w:r>
      <w:proofErr w:type="spellEnd"/>
      <w:r>
        <w:t xml:space="preserve"> and </w:t>
      </w:r>
      <w:proofErr w:type="spellStart"/>
      <w:r>
        <w:t>Laceulle</w:t>
      </w:r>
      <w:proofErr w:type="spellEnd"/>
      <w:r>
        <w:t>, 2022). These weaknesses and strengths present a complicated context that requires keen and theory-based approaches to address the psychological and social requirements of elderly individuals with dementia.</w:t>
      </w:r>
    </w:p>
    <w:p w14:paraId="5E20D572" w14:textId="77777777" w:rsidR="00625461" w:rsidRDefault="00E451C4">
      <w:pPr>
        <w:pStyle w:val="Heading1"/>
      </w:pPr>
      <w:bookmarkStart w:id="4" w:name="_21g1lb6i8bn2" w:colFirst="0" w:colLast="0"/>
      <w:bookmarkStart w:id="5" w:name="_Toc215493950"/>
      <w:bookmarkEnd w:id="4"/>
      <w:r>
        <w:t>3. Detailed Overview of Two Theories</w:t>
      </w:r>
      <w:bookmarkEnd w:id="5"/>
    </w:p>
    <w:p w14:paraId="2CA95D98" w14:textId="77777777" w:rsidR="00625461" w:rsidRDefault="00E451C4">
      <w:pPr>
        <w:pStyle w:val="Heading2"/>
        <w:spacing w:before="0" w:after="0"/>
        <w:rPr>
          <w:b/>
          <w:bCs/>
          <w:i/>
          <w:iCs/>
          <w:sz w:val="24"/>
          <w:szCs w:val="24"/>
        </w:rPr>
      </w:pPr>
      <w:bookmarkStart w:id="6" w:name="_7rjp1z70w725" w:colFirst="0" w:colLast="0"/>
      <w:bookmarkStart w:id="7" w:name="_Toc215493951"/>
      <w:bookmarkEnd w:id="6"/>
      <w:r>
        <w:rPr>
          <w:b/>
          <w:bCs/>
          <w:i/>
          <w:iCs/>
          <w:sz w:val="24"/>
          <w:szCs w:val="24"/>
        </w:rPr>
        <w:t>3.1 Core Principles of Vygotsky’s Sociocultural Theory in Late Adulthood</w:t>
      </w:r>
      <w:bookmarkEnd w:id="7"/>
    </w:p>
    <w:p w14:paraId="78784843" w14:textId="77777777" w:rsidR="00625461" w:rsidRDefault="00E451C4">
      <w:r>
        <w:t xml:space="preserve">The sociocultural theory by Vygotsky emphasises social interaction, thinking mediated by language, and learning by being guided by more competent individuals. The principles are also important in late adulthood because cognitive capacity tends to be supported by the implementation of enhanced social systems (Reynolds </w:t>
      </w:r>
      <w:r>
        <w:rPr>
          <w:i/>
          <w:iCs/>
        </w:rPr>
        <w:t>et al.</w:t>
      </w:r>
      <w:r>
        <w:t>, 2022). In older adults aged more than 65 years, meaning-making, recollection, and decision-making increasingly depend on supportive communication and organised interaction. In Glen House, a residential place, the people will frequently be helped by carer facilitated conversation, mutual activities, and routine-formed engagements, which will assist in stimulating cognitive thought. Nonetheless, this method will be highly dependent on the regularity of interpersonal exchange, and with the decrease in the number of staff, there will be no opportunity for cognitive reinforcement.</w:t>
      </w:r>
    </w:p>
    <w:p w14:paraId="39792D73" w14:textId="77777777" w:rsidR="00625461" w:rsidRDefault="00E451C4">
      <w:pPr>
        <w:pStyle w:val="Heading2"/>
        <w:spacing w:before="0" w:after="0"/>
        <w:rPr>
          <w:b/>
          <w:bCs/>
          <w:i/>
          <w:iCs/>
          <w:sz w:val="24"/>
          <w:szCs w:val="24"/>
        </w:rPr>
      </w:pPr>
      <w:bookmarkStart w:id="8" w:name="_yq7n4g8d2hop" w:colFirst="0" w:colLast="0"/>
      <w:bookmarkStart w:id="9" w:name="_Toc215493952"/>
      <w:bookmarkEnd w:id="8"/>
      <w:r>
        <w:rPr>
          <w:b/>
          <w:bCs/>
          <w:i/>
          <w:iCs/>
          <w:sz w:val="24"/>
          <w:szCs w:val="24"/>
        </w:rPr>
        <w:t>3.2 Application of Vygotsky’s Concepts to Older Adults with Dementia</w:t>
      </w:r>
      <w:bookmarkEnd w:id="9"/>
    </w:p>
    <w:p w14:paraId="78D15909" w14:textId="77777777" w:rsidR="00625461" w:rsidRDefault="00E451C4">
      <w:r>
        <w:t xml:space="preserve">Dementia in old age is characterised by impaired memory, diminished executive functioning, and withdrawal. This idea of the More Knowledgeable Other developed by Vygotsky is useful when the carers support residents in their everyday activities, including choosing their meals to consume or participating in reminiscing sessions, providing emotional support and explaining verbal prompts. Scaffolding is used when employees divide tasks into manageable bits, making residents involved, although their cognitive abilities have diminished (Ho </w:t>
      </w:r>
      <w:r>
        <w:rPr>
          <w:i/>
          <w:iCs/>
        </w:rPr>
        <w:t>et al.,</w:t>
      </w:r>
      <w:r>
        <w:t xml:space="preserve"> 2024). An example of this case is when a resident finds it difficult to get dressed on his/her own; sequencing may help him/her to be successful. However, the changes in cognition and sundowning syndrome may interfere with progress, i.e. scaffolding needs to be adaptable and often reinforced to be efficient.</w:t>
      </w:r>
    </w:p>
    <w:p w14:paraId="12519A52" w14:textId="77777777" w:rsidR="00625461" w:rsidRDefault="00E451C4">
      <w:pPr>
        <w:jc w:val="center"/>
      </w:pPr>
      <w:r>
        <w:rPr>
          <w:noProof/>
        </w:rPr>
        <w:lastRenderedPageBreak/>
        <w:drawing>
          <wp:inline distT="114300" distB="114300" distL="114300" distR="114300" wp14:anchorId="2BA2D44D" wp14:editId="20B76784">
            <wp:extent cx="4290557" cy="30765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11264" cy="3091423"/>
                    </a:xfrm>
                    <a:prstGeom prst="rect">
                      <a:avLst/>
                    </a:prstGeom>
                    <a:ln/>
                  </pic:spPr>
                </pic:pic>
              </a:graphicData>
            </a:graphic>
          </wp:inline>
        </w:drawing>
      </w:r>
    </w:p>
    <w:p w14:paraId="5F99EC91" w14:textId="77777777" w:rsidR="00625461" w:rsidRDefault="00E451C4">
      <w:pPr>
        <w:jc w:val="center"/>
        <w:rPr>
          <w:b/>
          <w:bCs/>
        </w:rPr>
      </w:pPr>
      <w:r>
        <w:rPr>
          <w:b/>
          <w:bCs/>
        </w:rPr>
        <w:t>Figure</w:t>
      </w:r>
      <w:r w:rsidR="00E74E58">
        <w:rPr>
          <w:b/>
          <w:bCs/>
        </w:rPr>
        <w:t xml:space="preserve"> 2</w:t>
      </w:r>
      <w:r>
        <w:rPr>
          <w:b/>
          <w:bCs/>
        </w:rPr>
        <w:t xml:space="preserve">: Vygotsky’s sociocultural theory </w:t>
      </w:r>
    </w:p>
    <w:p w14:paraId="2F155A08" w14:textId="77777777" w:rsidR="00625461" w:rsidRDefault="00E451C4">
      <w:pPr>
        <w:jc w:val="center"/>
      </w:pPr>
      <w:r>
        <w:t xml:space="preserve">(Source: Bergman </w:t>
      </w:r>
      <w:r>
        <w:rPr>
          <w:i/>
          <w:iCs/>
        </w:rPr>
        <w:t>et al.,</w:t>
      </w:r>
      <w:r>
        <w:t xml:space="preserve"> 2021)</w:t>
      </w:r>
    </w:p>
    <w:p w14:paraId="612BB933" w14:textId="77777777" w:rsidR="00625461" w:rsidRDefault="00E451C4">
      <w:pPr>
        <w:pStyle w:val="Heading2"/>
        <w:spacing w:before="0" w:after="0"/>
        <w:rPr>
          <w:b/>
          <w:bCs/>
          <w:i/>
          <w:iCs/>
          <w:sz w:val="24"/>
          <w:szCs w:val="24"/>
        </w:rPr>
      </w:pPr>
      <w:bookmarkStart w:id="10" w:name="_fg57ss4rmygw" w:colFirst="0" w:colLast="0"/>
      <w:bookmarkStart w:id="11" w:name="_Toc215493953"/>
      <w:bookmarkEnd w:id="10"/>
      <w:r>
        <w:rPr>
          <w:b/>
          <w:bCs/>
          <w:i/>
          <w:iCs/>
          <w:sz w:val="24"/>
          <w:szCs w:val="24"/>
        </w:rPr>
        <w:t>3.3 Core Elements of Piaget’s Cognitive Development Theory in Later Life Regression</w:t>
      </w:r>
      <w:bookmarkEnd w:id="11"/>
    </w:p>
    <w:p w14:paraId="656CC0A0" w14:textId="77777777" w:rsidR="00625461" w:rsidRDefault="00E451C4">
      <w:r>
        <w:t xml:space="preserve">According to the theory by Piaget, development occurs through four developmental stages, and cognitive functioning may regress to a lower stage, especially the pre-operational and concrete operational levels, in dementia. Adults older than 65 years can exhibit lower abstract reasoning, an inability to solve problems, and dependence on their senses more (Bergman </w:t>
      </w:r>
      <w:r>
        <w:rPr>
          <w:i/>
          <w:iCs/>
        </w:rPr>
        <w:t>et al.,</w:t>
      </w:r>
      <w:r>
        <w:t xml:space="preserve"> 2021). A resident who was able to handle finances in the past can experience weakness in terms of logical thought and is now unable to grasp simple instructions. The advantage is in the ability to realise that the activities that need to be planned or involve abstract language are overwhelming. Nevertheless, the framework by Piaget was mostly crafted with respect to the development of children and would not be applicable without modifications to encompass the neurodegenerative neurocognitive reversal.</w:t>
      </w:r>
    </w:p>
    <w:p w14:paraId="1826B7EF" w14:textId="77777777" w:rsidR="00625461" w:rsidRDefault="00E451C4">
      <w:pPr>
        <w:pStyle w:val="Heading2"/>
        <w:spacing w:before="0" w:after="0"/>
        <w:rPr>
          <w:b/>
          <w:bCs/>
          <w:i/>
          <w:iCs/>
          <w:sz w:val="24"/>
          <w:szCs w:val="24"/>
        </w:rPr>
      </w:pPr>
      <w:bookmarkStart w:id="12" w:name="_scd1p2wvcdqm" w:colFirst="0" w:colLast="0"/>
      <w:bookmarkStart w:id="13" w:name="_Toc215493954"/>
      <w:bookmarkEnd w:id="12"/>
      <w:r>
        <w:rPr>
          <w:b/>
          <w:bCs/>
          <w:i/>
          <w:iCs/>
          <w:sz w:val="24"/>
          <w:szCs w:val="24"/>
        </w:rPr>
        <w:t>3.4 Relevance of Piaget’s Theory to Cognitive Decline in Adults Aged 65+</w:t>
      </w:r>
      <w:bookmarkEnd w:id="13"/>
    </w:p>
    <w:p w14:paraId="206AFE54" w14:textId="77777777" w:rsidR="00625461" w:rsidRDefault="00E451C4">
      <w:r>
        <w:t xml:space="preserve">The theory by Piaget can help practitioners in the Ellen's Glen house to comprehend why a demented person with a mental illness can be more responsive to tangible items, images, and repetitive routines as opposed to an abstract conversation (Malin, 2023). The re-involvement of residents can be achieved by the use of group craft activities, puzzle boards, and memory boxes to engage them directly, referring to the concrete experience, and not solver-based tasks. Such knowledge can guide employees to develop interventions that fit the retained capacities of the resident and encourage dignity and involvement. Nevertheless, the model </w:t>
      </w:r>
      <w:r>
        <w:lastRenderedPageBreak/>
        <w:t>proposed by Piaget does not explain the variation of emotions and personality conservation in detail.</w:t>
      </w:r>
    </w:p>
    <w:p w14:paraId="43ABA053" w14:textId="77777777" w:rsidR="00625461" w:rsidRDefault="00E451C4">
      <w:pPr>
        <w:pStyle w:val="Heading1"/>
      </w:pPr>
      <w:bookmarkStart w:id="14" w:name="_wn50nkqtjec3" w:colFirst="0" w:colLast="0"/>
      <w:bookmarkStart w:id="15" w:name="_Toc215493955"/>
      <w:bookmarkEnd w:id="14"/>
      <w:r>
        <w:t>4. Application in the Health and Social Care context</w:t>
      </w:r>
      <w:bookmarkEnd w:id="15"/>
    </w:p>
    <w:p w14:paraId="2A3278C1" w14:textId="77777777" w:rsidR="00625461" w:rsidRDefault="00E451C4">
      <w:pPr>
        <w:pStyle w:val="Heading2"/>
        <w:spacing w:before="0" w:after="0"/>
        <w:rPr>
          <w:b/>
          <w:bCs/>
          <w:i/>
          <w:iCs/>
          <w:sz w:val="24"/>
          <w:szCs w:val="24"/>
        </w:rPr>
      </w:pPr>
      <w:bookmarkStart w:id="16" w:name="_1hwqscbxbpgd" w:colFirst="0" w:colLast="0"/>
      <w:bookmarkStart w:id="17" w:name="_Toc215493956"/>
      <w:bookmarkEnd w:id="16"/>
      <w:r>
        <w:rPr>
          <w:b/>
          <w:bCs/>
          <w:i/>
          <w:iCs/>
          <w:sz w:val="24"/>
          <w:szCs w:val="24"/>
        </w:rPr>
        <w:t>4.1 Practical Application of Vygotsky’s Theory in Dementia Care at Ellen’s Glen House</w:t>
      </w:r>
      <w:bookmarkEnd w:id="17"/>
    </w:p>
    <w:p w14:paraId="6D4F4D77" w14:textId="77777777" w:rsidR="00625461" w:rsidRDefault="00E451C4">
      <w:r>
        <w:t xml:space="preserve">The sociocultural theory developed by Vygotsky would lead the personnel of the ISEN Glen House facility to consider social interaction as a cognitive scaffold so that the latter could help residents with dementia to use their leftover abilities. The long-term memory would be activated with a group reminiscence session that is to be supported by two carers with 12 residents talking, singing, and sharing cultural references (Oe </w:t>
      </w:r>
      <w:r>
        <w:rPr>
          <w:i/>
          <w:iCs/>
        </w:rPr>
        <w:t>et al.,</w:t>
      </w:r>
      <w:r>
        <w:t xml:space="preserve"> 2025). Employees may also engage in step-by-step instructions, employ visual aids and together activities, i.e., preparing materials to perform a craft event, and have the residents learn to do it through guided learning. This is a structured interpersonal support, which helps to develop steadiness and emotional autonomy.</w:t>
      </w:r>
    </w:p>
    <w:p w14:paraId="165BC7C4" w14:textId="77777777" w:rsidR="00625461" w:rsidRDefault="00E451C4">
      <w:pPr>
        <w:pStyle w:val="Heading2"/>
        <w:spacing w:before="0" w:after="0"/>
        <w:rPr>
          <w:b/>
          <w:bCs/>
          <w:i/>
          <w:iCs/>
          <w:sz w:val="24"/>
          <w:szCs w:val="24"/>
        </w:rPr>
      </w:pPr>
      <w:bookmarkStart w:id="18" w:name="_3ykqgqihhgc8" w:colFirst="0" w:colLast="0"/>
      <w:bookmarkStart w:id="19" w:name="_Toc215493957"/>
      <w:bookmarkEnd w:id="18"/>
      <w:r>
        <w:rPr>
          <w:b/>
          <w:bCs/>
          <w:i/>
          <w:iCs/>
          <w:sz w:val="24"/>
          <w:szCs w:val="24"/>
        </w:rPr>
        <w:t>4.2 Critically Evaluating the Use of Sociocultural Approaches for Enhancing Engagement in Older Adults</w:t>
      </w:r>
      <w:bookmarkEnd w:id="19"/>
    </w:p>
    <w:tbl>
      <w:tblPr>
        <w:tblStyle w:val="a"/>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25461" w14:paraId="5C1A01D4" w14:textId="77777777">
        <w:tc>
          <w:tcPr>
            <w:tcW w:w="2257" w:type="dxa"/>
            <w:shd w:val="clear" w:color="auto" w:fill="D9D9D9"/>
            <w:tcMar>
              <w:top w:w="100" w:type="dxa"/>
              <w:left w:w="100" w:type="dxa"/>
              <w:bottom w:w="100" w:type="dxa"/>
              <w:right w:w="100" w:type="dxa"/>
            </w:tcMar>
          </w:tcPr>
          <w:p w14:paraId="5A0B75A8" w14:textId="77777777" w:rsidR="00625461" w:rsidRDefault="00E451C4">
            <w:pPr>
              <w:widowControl w:val="0"/>
              <w:jc w:val="center"/>
              <w:rPr>
                <w:b/>
                <w:bCs/>
              </w:rPr>
            </w:pPr>
            <w:r>
              <w:rPr>
                <w:b/>
                <w:bCs/>
              </w:rPr>
              <w:t>Evaluation Focus</w:t>
            </w:r>
          </w:p>
        </w:tc>
        <w:tc>
          <w:tcPr>
            <w:tcW w:w="2257" w:type="dxa"/>
            <w:shd w:val="clear" w:color="auto" w:fill="D9D9D9"/>
            <w:tcMar>
              <w:top w:w="100" w:type="dxa"/>
              <w:left w:w="100" w:type="dxa"/>
              <w:bottom w:w="100" w:type="dxa"/>
              <w:right w:w="100" w:type="dxa"/>
            </w:tcMar>
          </w:tcPr>
          <w:p w14:paraId="04AD8481" w14:textId="77777777" w:rsidR="00625461" w:rsidRDefault="00E451C4">
            <w:pPr>
              <w:widowControl w:val="0"/>
              <w:jc w:val="center"/>
              <w:rPr>
                <w:b/>
                <w:bCs/>
              </w:rPr>
            </w:pPr>
            <w:r>
              <w:rPr>
                <w:b/>
                <w:bCs/>
              </w:rPr>
              <w:t>Strengths in Dementia Care Practice</w:t>
            </w:r>
          </w:p>
        </w:tc>
        <w:tc>
          <w:tcPr>
            <w:tcW w:w="2257" w:type="dxa"/>
            <w:shd w:val="clear" w:color="auto" w:fill="D9D9D9"/>
            <w:tcMar>
              <w:top w:w="100" w:type="dxa"/>
              <w:left w:w="100" w:type="dxa"/>
              <w:bottom w:w="100" w:type="dxa"/>
              <w:right w:w="100" w:type="dxa"/>
            </w:tcMar>
          </w:tcPr>
          <w:p w14:paraId="0FC0ED82" w14:textId="77777777" w:rsidR="00625461" w:rsidRDefault="00E451C4">
            <w:pPr>
              <w:widowControl w:val="0"/>
              <w:jc w:val="center"/>
              <w:rPr>
                <w:b/>
                <w:bCs/>
              </w:rPr>
            </w:pPr>
            <w:r>
              <w:rPr>
                <w:b/>
                <w:bCs/>
              </w:rPr>
              <w:t>Limitations Observed in Real Settings</w:t>
            </w:r>
          </w:p>
        </w:tc>
        <w:tc>
          <w:tcPr>
            <w:tcW w:w="2257" w:type="dxa"/>
            <w:shd w:val="clear" w:color="auto" w:fill="D9D9D9"/>
            <w:tcMar>
              <w:top w:w="100" w:type="dxa"/>
              <w:left w:w="100" w:type="dxa"/>
              <w:bottom w:w="100" w:type="dxa"/>
              <w:right w:w="100" w:type="dxa"/>
            </w:tcMar>
          </w:tcPr>
          <w:p w14:paraId="776440E1" w14:textId="77777777" w:rsidR="00625461" w:rsidRDefault="00E451C4">
            <w:pPr>
              <w:widowControl w:val="0"/>
              <w:jc w:val="center"/>
              <w:rPr>
                <w:b/>
                <w:bCs/>
              </w:rPr>
            </w:pPr>
            <w:r>
              <w:rPr>
                <w:b/>
                <w:bCs/>
              </w:rPr>
              <w:t>Implications for Ellen’s Glen House</w:t>
            </w:r>
          </w:p>
        </w:tc>
      </w:tr>
      <w:tr w:rsidR="00625461" w14:paraId="2231A5EC" w14:textId="77777777">
        <w:tc>
          <w:tcPr>
            <w:tcW w:w="2257" w:type="dxa"/>
            <w:shd w:val="clear" w:color="auto" w:fill="C9DAF8"/>
            <w:tcMar>
              <w:top w:w="100" w:type="dxa"/>
              <w:left w:w="100" w:type="dxa"/>
              <w:bottom w:w="100" w:type="dxa"/>
              <w:right w:w="100" w:type="dxa"/>
            </w:tcMar>
          </w:tcPr>
          <w:p w14:paraId="6CC51939" w14:textId="77777777" w:rsidR="00625461" w:rsidRDefault="00E451C4">
            <w:pPr>
              <w:widowControl w:val="0"/>
              <w:jc w:val="left"/>
            </w:pPr>
            <w:r>
              <w:t>Cognitive Stimulation</w:t>
            </w:r>
          </w:p>
        </w:tc>
        <w:tc>
          <w:tcPr>
            <w:tcW w:w="2257" w:type="dxa"/>
            <w:shd w:val="clear" w:color="auto" w:fill="C9DAF8"/>
            <w:tcMar>
              <w:top w:w="100" w:type="dxa"/>
              <w:left w:w="100" w:type="dxa"/>
              <w:bottom w:w="100" w:type="dxa"/>
              <w:right w:w="100" w:type="dxa"/>
            </w:tcMar>
          </w:tcPr>
          <w:p w14:paraId="60659F88" w14:textId="77777777" w:rsidR="00625461" w:rsidRDefault="00E451C4">
            <w:r>
              <w:t>The discussions trigger intellectual activities in the form of six weekly social encounters.</w:t>
            </w:r>
          </w:p>
        </w:tc>
        <w:tc>
          <w:tcPr>
            <w:tcW w:w="2257" w:type="dxa"/>
            <w:shd w:val="clear" w:color="auto" w:fill="C9DAF8"/>
            <w:tcMar>
              <w:top w:w="100" w:type="dxa"/>
              <w:left w:w="100" w:type="dxa"/>
              <w:bottom w:w="100" w:type="dxa"/>
              <w:right w:w="100" w:type="dxa"/>
            </w:tcMar>
          </w:tcPr>
          <w:p w14:paraId="35A6201D" w14:textId="77777777" w:rsidR="00625461" w:rsidRDefault="00E451C4">
            <w:r>
              <w:t>The development can be slow, and part of some residents retreat when there is a group discussion (Forsyth and Peiser, 2022).</w:t>
            </w:r>
          </w:p>
        </w:tc>
        <w:tc>
          <w:tcPr>
            <w:tcW w:w="2257" w:type="dxa"/>
            <w:shd w:val="clear" w:color="auto" w:fill="C9DAF8"/>
            <w:tcMar>
              <w:top w:w="100" w:type="dxa"/>
              <w:left w:w="100" w:type="dxa"/>
              <w:bottom w:w="100" w:type="dxa"/>
              <w:right w:w="100" w:type="dxa"/>
            </w:tcMar>
          </w:tcPr>
          <w:p w14:paraId="412ACE1B" w14:textId="77777777" w:rsidR="00625461" w:rsidRDefault="00E451C4">
            <w:r>
              <w:t>Needing individual speeds and individual attention.</w:t>
            </w:r>
          </w:p>
        </w:tc>
      </w:tr>
      <w:tr w:rsidR="00625461" w14:paraId="3830CAD1" w14:textId="77777777">
        <w:tc>
          <w:tcPr>
            <w:tcW w:w="2257" w:type="dxa"/>
            <w:shd w:val="clear" w:color="auto" w:fill="C9DAF8"/>
            <w:tcMar>
              <w:top w:w="100" w:type="dxa"/>
              <w:left w:w="100" w:type="dxa"/>
              <w:bottom w:w="100" w:type="dxa"/>
              <w:right w:w="100" w:type="dxa"/>
            </w:tcMar>
          </w:tcPr>
          <w:p w14:paraId="65B7067B" w14:textId="77777777" w:rsidR="00625461" w:rsidRDefault="00E451C4">
            <w:pPr>
              <w:widowControl w:val="0"/>
              <w:jc w:val="left"/>
            </w:pPr>
            <w:r>
              <w:t>Emotional Security</w:t>
            </w:r>
          </w:p>
        </w:tc>
        <w:tc>
          <w:tcPr>
            <w:tcW w:w="2257" w:type="dxa"/>
            <w:shd w:val="clear" w:color="auto" w:fill="C9DAF8"/>
            <w:tcMar>
              <w:top w:w="100" w:type="dxa"/>
              <w:left w:w="100" w:type="dxa"/>
              <w:bottom w:w="100" w:type="dxa"/>
              <w:right w:w="100" w:type="dxa"/>
            </w:tcMar>
          </w:tcPr>
          <w:p w14:paraId="39807BEB" w14:textId="77777777" w:rsidR="00625461" w:rsidRDefault="00E451C4">
            <w:r>
              <w:t>The normal routines in society alleviate anxiety and violence.</w:t>
            </w:r>
          </w:p>
        </w:tc>
        <w:tc>
          <w:tcPr>
            <w:tcW w:w="2257" w:type="dxa"/>
            <w:shd w:val="clear" w:color="auto" w:fill="C9DAF8"/>
            <w:tcMar>
              <w:top w:w="100" w:type="dxa"/>
              <w:left w:w="100" w:type="dxa"/>
              <w:bottom w:w="100" w:type="dxa"/>
              <w:right w:w="100" w:type="dxa"/>
            </w:tcMar>
          </w:tcPr>
          <w:p w14:paraId="111EBB0B" w14:textId="77777777" w:rsidR="00625461" w:rsidRDefault="00E451C4">
            <w:r>
              <w:t>Distress can be due to alienation of cultural references.</w:t>
            </w:r>
          </w:p>
        </w:tc>
        <w:tc>
          <w:tcPr>
            <w:tcW w:w="2257" w:type="dxa"/>
            <w:shd w:val="clear" w:color="auto" w:fill="C9DAF8"/>
            <w:tcMar>
              <w:top w:w="100" w:type="dxa"/>
              <w:left w:w="100" w:type="dxa"/>
              <w:bottom w:w="100" w:type="dxa"/>
              <w:right w:w="100" w:type="dxa"/>
            </w:tcMar>
          </w:tcPr>
          <w:p w14:paraId="62FA5236" w14:textId="77777777" w:rsidR="00625461" w:rsidRDefault="00E451C4">
            <w:r>
              <w:t>The personnel have to modify the contents using biographical life-history records.</w:t>
            </w:r>
          </w:p>
        </w:tc>
      </w:tr>
      <w:tr w:rsidR="00625461" w14:paraId="448D0024" w14:textId="77777777">
        <w:tc>
          <w:tcPr>
            <w:tcW w:w="2257" w:type="dxa"/>
            <w:shd w:val="clear" w:color="auto" w:fill="C9DAF8"/>
            <w:tcMar>
              <w:top w:w="100" w:type="dxa"/>
              <w:left w:w="100" w:type="dxa"/>
              <w:bottom w:w="100" w:type="dxa"/>
              <w:right w:w="100" w:type="dxa"/>
            </w:tcMar>
          </w:tcPr>
          <w:p w14:paraId="42E18EAA" w14:textId="77777777" w:rsidR="00625461" w:rsidRDefault="00E451C4">
            <w:pPr>
              <w:widowControl w:val="0"/>
              <w:jc w:val="left"/>
            </w:pPr>
            <w:r>
              <w:t>Skill Maintenance</w:t>
            </w:r>
          </w:p>
        </w:tc>
        <w:tc>
          <w:tcPr>
            <w:tcW w:w="2257" w:type="dxa"/>
            <w:shd w:val="clear" w:color="auto" w:fill="C9DAF8"/>
            <w:tcMar>
              <w:top w:w="100" w:type="dxa"/>
              <w:left w:w="100" w:type="dxa"/>
              <w:bottom w:w="100" w:type="dxa"/>
              <w:right w:w="100" w:type="dxa"/>
            </w:tcMar>
          </w:tcPr>
          <w:p w14:paraId="622AE852" w14:textId="77777777" w:rsidR="00625461" w:rsidRDefault="00E451C4">
            <w:r>
              <w:t xml:space="preserve">Guided bike riding, such as baking or </w:t>
            </w:r>
            <w:r>
              <w:lastRenderedPageBreak/>
              <w:t>music recall, updates the procedural memory.</w:t>
            </w:r>
          </w:p>
        </w:tc>
        <w:tc>
          <w:tcPr>
            <w:tcW w:w="2257" w:type="dxa"/>
            <w:shd w:val="clear" w:color="auto" w:fill="C9DAF8"/>
            <w:tcMar>
              <w:top w:w="100" w:type="dxa"/>
              <w:left w:w="100" w:type="dxa"/>
              <w:bottom w:w="100" w:type="dxa"/>
              <w:right w:w="100" w:type="dxa"/>
            </w:tcMar>
          </w:tcPr>
          <w:p w14:paraId="231F8674" w14:textId="77777777" w:rsidR="00625461" w:rsidRDefault="00E451C4">
            <w:r>
              <w:lastRenderedPageBreak/>
              <w:t xml:space="preserve">Deterioration with time lowers </w:t>
            </w:r>
            <w:r>
              <w:lastRenderedPageBreak/>
              <w:t>performance in long-lasting activities.</w:t>
            </w:r>
          </w:p>
        </w:tc>
        <w:tc>
          <w:tcPr>
            <w:tcW w:w="2257" w:type="dxa"/>
            <w:shd w:val="clear" w:color="auto" w:fill="C9DAF8"/>
            <w:tcMar>
              <w:top w:w="100" w:type="dxa"/>
              <w:left w:w="100" w:type="dxa"/>
              <w:bottom w:w="100" w:type="dxa"/>
              <w:right w:w="100" w:type="dxa"/>
            </w:tcMar>
          </w:tcPr>
          <w:p w14:paraId="0B75E2DD" w14:textId="77777777" w:rsidR="00625461" w:rsidRDefault="00E451C4">
            <w:r>
              <w:lastRenderedPageBreak/>
              <w:t xml:space="preserve">Success and involvement are </w:t>
            </w:r>
            <w:r>
              <w:lastRenderedPageBreak/>
              <w:t>enhanced by short and repetitive activities (</w:t>
            </w:r>
            <w:proofErr w:type="spellStart"/>
            <w:r>
              <w:t>Beraldin</w:t>
            </w:r>
            <w:proofErr w:type="spellEnd"/>
            <w:r>
              <w:t xml:space="preserve"> </w:t>
            </w:r>
            <w:r>
              <w:rPr>
                <w:i/>
                <w:iCs/>
              </w:rPr>
              <w:t>et al.,</w:t>
            </w:r>
            <w:r>
              <w:t xml:space="preserve"> 2022).</w:t>
            </w:r>
          </w:p>
        </w:tc>
      </w:tr>
    </w:tbl>
    <w:p w14:paraId="704B4655" w14:textId="77777777" w:rsidR="00625461" w:rsidRDefault="00625461"/>
    <w:p w14:paraId="12D6223E" w14:textId="77777777" w:rsidR="00625461" w:rsidRDefault="00E451C4">
      <w:pPr>
        <w:pStyle w:val="Heading2"/>
        <w:spacing w:before="0" w:after="0"/>
        <w:rPr>
          <w:b/>
          <w:bCs/>
          <w:i/>
          <w:iCs/>
          <w:sz w:val="24"/>
          <w:szCs w:val="24"/>
        </w:rPr>
      </w:pPr>
      <w:bookmarkStart w:id="20" w:name="_s7ic0a2zg7c" w:colFirst="0" w:colLast="0"/>
      <w:bookmarkStart w:id="21" w:name="_Toc215493958"/>
      <w:bookmarkEnd w:id="20"/>
      <w:r>
        <w:rPr>
          <w:b/>
          <w:bCs/>
          <w:i/>
          <w:iCs/>
          <w:sz w:val="24"/>
          <w:szCs w:val="24"/>
        </w:rPr>
        <w:t>4.3 Application of Piaget’s Cognitive Theory to Cognitive Regression in Dementia Residents</w:t>
      </w:r>
      <w:bookmarkEnd w:id="21"/>
    </w:p>
    <w:p w14:paraId="3BEC65A3" w14:textId="77777777" w:rsidR="00625461" w:rsidRDefault="00E451C4">
      <w:r>
        <w:t>The model created by Piaget emphasises the fact that dementia later in life might be similar to the earlier stages when one loses the ability to reason, become abstract and solve problems efficiently (Steidinger, 2025). The tasks offered by staff at Ellen Glen house could be sensorial-based, like sorting clothes, matching colour, or placing 15 large pieces of the puzzle, and reminiscent of concrete-operational learning. Structured thinking, re-engaging closely with the simplified executive functions through two-step sequence instructions, allows residents to accomplish tasks despite the decreased executive functioning (Johnson and Nelson, 2022). Memory boards, labelling objects and repetition will improve retention, and staff will redirect confusion with gentleness in place of criticism, which strengthens dignity in cognitive regression.</w:t>
      </w:r>
    </w:p>
    <w:p w14:paraId="7703F222" w14:textId="77777777" w:rsidR="00625461" w:rsidRDefault="00E451C4">
      <w:pPr>
        <w:pStyle w:val="Heading2"/>
        <w:spacing w:before="0" w:after="0"/>
        <w:rPr>
          <w:b/>
          <w:bCs/>
          <w:i/>
          <w:iCs/>
          <w:sz w:val="24"/>
          <w:szCs w:val="24"/>
        </w:rPr>
      </w:pPr>
      <w:bookmarkStart w:id="22" w:name="_1z11qf2u408c" w:colFirst="0" w:colLast="0"/>
      <w:bookmarkStart w:id="23" w:name="_Toc215493959"/>
      <w:bookmarkEnd w:id="22"/>
      <w:r>
        <w:rPr>
          <w:b/>
          <w:bCs/>
          <w:i/>
          <w:iCs/>
          <w:sz w:val="24"/>
          <w:szCs w:val="24"/>
        </w:rPr>
        <w:t>4.4 Challenges, Professional Barriers, and Strategies for Implementing Cognitive Development Models in Care Practice</w:t>
      </w:r>
      <w:bookmarkEnd w:id="23"/>
    </w:p>
    <w:p w14:paraId="6D6CECF9" w14:textId="77777777" w:rsidR="00625461" w:rsidRDefault="00E451C4">
      <w:r>
        <w:t xml:space="preserve">One of the challenges facing the application of developmental theories in dementia care is time constraints, with one carer managing eight residents at any one time, which limits the application of tailored scaffolding (Nguyen </w:t>
      </w:r>
      <w:r>
        <w:rPr>
          <w:i/>
          <w:iCs/>
        </w:rPr>
        <w:t>et al.</w:t>
      </w:r>
      <w:r>
        <w:t xml:space="preserve">, 2024). Structured learning tasks may be interrupted by communication loss, emotional distress and behavioural disinhibition. The 20 hours of organisation per staff member yearly of professional training, as well as multidisciplinary planning, would allow the professionals to be more adaptable in interventions (Byrne </w:t>
      </w:r>
      <w:r>
        <w:rPr>
          <w:i/>
          <w:iCs/>
        </w:rPr>
        <w:t>et al.</w:t>
      </w:r>
      <w:r>
        <w:t>, 2022). Continuity is enhanced by visual reminders, brief routines, sensory stimuli, and family-initiated memory exchange. Diagnosing dementia can cause cognitive impairment that leads to a worsening condition; however, the approach ought to be based on compassion or patience, and identity-preserving care instead of objective achievements.</w:t>
      </w:r>
    </w:p>
    <w:p w14:paraId="06CBF895" w14:textId="77777777" w:rsidR="00625461" w:rsidRDefault="00E451C4">
      <w:pPr>
        <w:pStyle w:val="Heading1"/>
      </w:pPr>
      <w:bookmarkStart w:id="24" w:name="_vqrkj9jlosc5" w:colFirst="0" w:colLast="0"/>
      <w:bookmarkStart w:id="25" w:name="_Toc215493960"/>
      <w:bookmarkEnd w:id="24"/>
      <w:r>
        <w:t>5. Conclusion</w:t>
      </w:r>
      <w:bookmarkEnd w:id="25"/>
    </w:p>
    <w:p w14:paraId="5A0C23CD" w14:textId="77777777" w:rsidR="00625461" w:rsidRDefault="00E451C4">
      <w:r>
        <w:t xml:space="preserve">The discussion has shown how both the sociocultural theory and cognitive development theory formulated by Vygotsky and Piaget can contribute positively to dementia care in Ellen Glen House. Both models indicate that the engagement, memory recalling, and emotion regulation among older adults aged 65 years and more are enhanced by social interaction, organised support, and regression-sensitive methods. Although all the models contain limitations that </w:t>
      </w:r>
      <w:r>
        <w:lastRenderedPageBreak/>
        <w:t>accompany mental deterioration, varying capacity, and staffing demands, attentive adjustment, learning through repetition, jointly arranged activities, and life-history-based care can enable residents to retain dignity, identity, and engagement despite their progressive deterioration.</w:t>
      </w:r>
    </w:p>
    <w:p w14:paraId="1EC647BE" w14:textId="77777777" w:rsidR="00625461" w:rsidRDefault="00625461"/>
    <w:p w14:paraId="37BAF673" w14:textId="77777777" w:rsidR="00625461" w:rsidRDefault="00E451C4">
      <w:r>
        <w:br w:type="page"/>
      </w:r>
    </w:p>
    <w:p w14:paraId="1A8D7CFC" w14:textId="77777777" w:rsidR="00625461" w:rsidRDefault="00E451C4">
      <w:pPr>
        <w:pStyle w:val="Heading1"/>
      </w:pPr>
      <w:bookmarkStart w:id="26" w:name="_ge45vo7jz6lc" w:colFirst="0" w:colLast="0"/>
      <w:bookmarkStart w:id="27" w:name="_Toc215493961"/>
      <w:bookmarkEnd w:id="26"/>
      <w:r>
        <w:lastRenderedPageBreak/>
        <w:t>Reference List</w:t>
      </w:r>
      <w:bookmarkEnd w:id="27"/>
    </w:p>
    <w:p w14:paraId="6A3211B2"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proofErr w:type="spellStart"/>
      <w:r w:rsidRPr="00385667">
        <w:rPr>
          <w:rFonts w:ascii="Times New Roman" w:eastAsia="Times New Roman" w:hAnsi="Times New Roman" w:cs="Times New Roman"/>
          <w:sz w:val="24"/>
          <w:szCs w:val="24"/>
          <w:lang w:val="en-GB" w:eastAsia="en-GB"/>
        </w:rPr>
        <w:t>Beraldin</w:t>
      </w:r>
      <w:proofErr w:type="spellEnd"/>
      <w:r w:rsidRPr="00385667">
        <w:rPr>
          <w:rFonts w:ascii="Times New Roman" w:eastAsia="Times New Roman" w:hAnsi="Times New Roman" w:cs="Times New Roman"/>
          <w:sz w:val="24"/>
          <w:szCs w:val="24"/>
          <w:lang w:val="en-GB" w:eastAsia="en-GB"/>
        </w:rPr>
        <w:t xml:space="preserve">, A.R., Danese, P. and Romano, P. (2022) ‘Employee involvement for continuous improvement and production repetitiveness: a contingency perspective for achieving organisational outcomes’, </w:t>
      </w:r>
      <w:r w:rsidRPr="00385667">
        <w:rPr>
          <w:rFonts w:ascii="Times New Roman" w:eastAsia="Times New Roman" w:hAnsi="Times New Roman" w:cs="Times New Roman"/>
          <w:i/>
          <w:iCs/>
          <w:sz w:val="24"/>
          <w:szCs w:val="24"/>
          <w:lang w:val="en-GB" w:eastAsia="en-GB"/>
        </w:rPr>
        <w:t>Production Planning &amp; Control</w:t>
      </w:r>
      <w:r w:rsidRPr="00385667">
        <w:rPr>
          <w:rFonts w:ascii="Times New Roman" w:eastAsia="Times New Roman" w:hAnsi="Times New Roman" w:cs="Times New Roman"/>
          <w:sz w:val="24"/>
          <w:szCs w:val="24"/>
          <w:lang w:val="en-GB" w:eastAsia="en-GB"/>
        </w:rPr>
        <w:t xml:space="preserve">, 33(4), pp. 1–17. </w:t>
      </w:r>
      <w:hyperlink r:id="rId10" w:tgtFrame="_new" w:history="1">
        <w:r w:rsidRPr="00385667">
          <w:rPr>
            <w:rFonts w:ascii="Times New Roman" w:eastAsia="Times New Roman" w:hAnsi="Times New Roman" w:cs="Times New Roman"/>
            <w:sz w:val="24"/>
            <w:szCs w:val="24"/>
            <w:u w:val="single"/>
            <w:lang w:val="en-GB" w:eastAsia="en-GB"/>
          </w:rPr>
          <w:t>https://doi.org/10.1080/09537287.2020.1823024</w:t>
        </w:r>
      </w:hyperlink>
    </w:p>
    <w:p w14:paraId="1DDDD479"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Bergman, P., Glebe, D. and Maria, K. (2021) ‘Age-related decline in senses and cognition: a review’, </w:t>
      </w:r>
      <w:r w:rsidRPr="00385667">
        <w:rPr>
          <w:rFonts w:ascii="Times New Roman" w:eastAsia="Times New Roman" w:hAnsi="Times New Roman" w:cs="Times New Roman"/>
          <w:i/>
          <w:iCs/>
          <w:sz w:val="24"/>
          <w:szCs w:val="24"/>
          <w:lang w:val="en-GB" w:eastAsia="en-GB"/>
        </w:rPr>
        <w:t>Senses and Sciences</w:t>
      </w:r>
      <w:r w:rsidRPr="00385667">
        <w:rPr>
          <w:rFonts w:ascii="Times New Roman" w:eastAsia="Times New Roman" w:hAnsi="Times New Roman" w:cs="Times New Roman"/>
          <w:sz w:val="24"/>
          <w:szCs w:val="24"/>
          <w:lang w:val="en-GB" w:eastAsia="en-GB"/>
        </w:rPr>
        <w:t xml:space="preserve">, 8(2). Available at: </w:t>
      </w:r>
      <w:hyperlink r:id="rId11" w:tgtFrame="_new" w:history="1">
        <w:r w:rsidRPr="00385667">
          <w:rPr>
            <w:rFonts w:ascii="Times New Roman" w:eastAsia="Times New Roman" w:hAnsi="Times New Roman" w:cs="Times New Roman"/>
            <w:sz w:val="24"/>
            <w:szCs w:val="24"/>
            <w:u w:val="single"/>
            <w:lang w:val="en-GB" w:eastAsia="en-GB"/>
          </w:rPr>
          <w:t>http://www.sensesandsciences.com/index.php/Senses/article/view/215</w:t>
        </w:r>
      </w:hyperlink>
    </w:p>
    <w:p w14:paraId="622CF4A1"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Byrne, L., </w:t>
      </w:r>
      <w:proofErr w:type="spellStart"/>
      <w:r w:rsidRPr="00385667">
        <w:rPr>
          <w:rFonts w:ascii="Times New Roman" w:eastAsia="Times New Roman" w:hAnsi="Times New Roman" w:cs="Times New Roman"/>
          <w:sz w:val="24"/>
          <w:szCs w:val="24"/>
          <w:lang w:val="en-GB" w:eastAsia="en-GB"/>
        </w:rPr>
        <w:t>Roennfeldt</w:t>
      </w:r>
      <w:proofErr w:type="spellEnd"/>
      <w:r w:rsidRPr="00385667">
        <w:rPr>
          <w:rFonts w:ascii="Times New Roman" w:eastAsia="Times New Roman" w:hAnsi="Times New Roman" w:cs="Times New Roman"/>
          <w:sz w:val="24"/>
          <w:szCs w:val="24"/>
          <w:lang w:val="en-GB" w:eastAsia="en-GB"/>
        </w:rPr>
        <w:t xml:space="preserve">, H., Wolf, J., Linfoot, A., Foglesong, D., Davidson, L. and Bellamy, C. (2022) ‘Effective peer employment within multidisciplinary organizations: model for best practice’, </w:t>
      </w:r>
      <w:r w:rsidRPr="00385667">
        <w:rPr>
          <w:rFonts w:ascii="Times New Roman" w:eastAsia="Times New Roman" w:hAnsi="Times New Roman" w:cs="Times New Roman"/>
          <w:i/>
          <w:iCs/>
          <w:sz w:val="24"/>
          <w:szCs w:val="24"/>
          <w:lang w:val="en-GB" w:eastAsia="en-GB"/>
        </w:rPr>
        <w:t>Administration and Policy in Mental Health and Mental Health Services Research</w:t>
      </w:r>
      <w:r w:rsidRPr="00385667">
        <w:rPr>
          <w:rFonts w:ascii="Times New Roman" w:eastAsia="Times New Roman" w:hAnsi="Times New Roman" w:cs="Times New Roman"/>
          <w:sz w:val="24"/>
          <w:szCs w:val="24"/>
          <w:lang w:val="en-GB" w:eastAsia="en-GB"/>
        </w:rPr>
        <w:t xml:space="preserve">, 49(2). </w:t>
      </w:r>
      <w:hyperlink r:id="rId12" w:tgtFrame="_new" w:history="1">
        <w:r w:rsidRPr="00385667">
          <w:rPr>
            <w:rFonts w:ascii="Times New Roman" w:eastAsia="Times New Roman" w:hAnsi="Times New Roman" w:cs="Times New Roman"/>
            <w:sz w:val="24"/>
            <w:szCs w:val="24"/>
            <w:u w:val="single"/>
            <w:lang w:val="en-GB" w:eastAsia="en-GB"/>
          </w:rPr>
          <w:t>https://doi.org/10.1007/s10488-021-01162-2</w:t>
        </w:r>
      </w:hyperlink>
    </w:p>
    <w:p w14:paraId="71B1BA0C"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Forsyth, A. and Peiser, R. (2022) ‘Lessons from planned resettlement and new town experiences for avoiding climate sprawl’, </w:t>
      </w:r>
      <w:r w:rsidRPr="00385667">
        <w:rPr>
          <w:rFonts w:ascii="Times New Roman" w:eastAsia="Times New Roman" w:hAnsi="Times New Roman" w:cs="Times New Roman"/>
          <w:i/>
          <w:iCs/>
          <w:sz w:val="24"/>
          <w:szCs w:val="24"/>
          <w:lang w:val="en-GB" w:eastAsia="en-GB"/>
        </w:rPr>
        <w:t>Landscape and Urban Planning</w:t>
      </w:r>
      <w:r w:rsidRPr="00385667">
        <w:rPr>
          <w:rFonts w:ascii="Times New Roman" w:eastAsia="Times New Roman" w:hAnsi="Times New Roman" w:cs="Times New Roman"/>
          <w:sz w:val="24"/>
          <w:szCs w:val="24"/>
          <w:lang w:val="en-GB" w:eastAsia="en-GB"/>
        </w:rPr>
        <w:t xml:space="preserve">, 205, p. 103957. </w:t>
      </w:r>
      <w:hyperlink r:id="rId13" w:tgtFrame="_new" w:history="1">
        <w:r w:rsidRPr="00385667">
          <w:rPr>
            <w:rFonts w:ascii="Times New Roman" w:eastAsia="Times New Roman" w:hAnsi="Times New Roman" w:cs="Times New Roman"/>
            <w:sz w:val="24"/>
            <w:szCs w:val="24"/>
            <w:u w:val="single"/>
            <w:lang w:val="en-GB" w:eastAsia="en-GB"/>
          </w:rPr>
          <w:t>https://doi.org/10.1016/j.landurbplan.2020.103957</w:t>
        </w:r>
      </w:hyperlink>
    </w:p>
    <w:p w14:paraId="4A3B5E56"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Ho, H.Y., Wang, A.H. and Wu, C.H. (2024) ‘Effects of training methods on performance of a scaffolding task for workers with different spatial ability’, </w:t>
      </w:r>
      <w:r w:rsidRPr="00385667">
        <w:rPr>
          <w:rFonts w:ascii="Times New Roman" w:eastAsia="Times New Roman" w:hAnsi="Times New Roman" w:cs="Times New Roman"/>
          <w:i/>
          <w:iCs/>
          <w:sz w:val="24"/>
          <w:szCs w:val="24"/>
          <w:lang w:val="en-GB" w:eastAsia="en-GB"/>
        </w:rPr>
        <w:t>International Journal of Occupational Safety and Ergonomics</w:t>
      </w:r>
      <w:r w:rsidRPr="00385667">
        <w:rPr>
          <w:rFonts w:ascii="Times New Roman" w:eastAsia="Times New Roman" w:hAnsi="Times New Roman" w:cs="Times New Roman"/>
          <w:sz w:val="24"/>
          <w:szCs w:val="24"/>
          <w:lang w:val="en-GB" w:eastAsia="en-GB"/>
        </w:rPr>
        <w:t xml:space="preserve">, 30(3), pp. 985–994. </w:t>
      </w:r>
      <w:hyperlink r:id="rId14" w:tgtFrame="_new" w:history="1">
        <w:r w:rsidRPr="00385667">
          <w:rPr>
            <w:rFonts w:ascii="Times New Roman" w:eastAsia="Times New Roman" w:hAnsi="Times New Roman" w:cs="Times New Roman"/>
            <w:sz w:val="24"/>
            <w:szCs w:val="24"/>
            <w:u w:val="single"/>
            <w:lang w:val="en-GB" w:eastAsia="en-GB"/>
          </w:rPr>
          <w:t>https://doi.org/10.1080/10803548.2024.2370643</w:t>
        </w:r>
      </w:hyperlink>
    </w:p>
    <w:p w14:paraId="629EEC5F"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Johnson, V. and Nelson, H. (2022) </w:t>
      </w:r>
      <w:r w:rsidRPr="00385667">
        <w:rPr>
          <w:rFonts w:ascii="Times New Roman" w:eastAsia="Times New Roman" w:hAnsi="Times New Roman" w:cs="Times New Roman"/>
          <w:i/>
          <w:iCs/>
          <w:sz w:val="24"/>
          <w:szCs w:val="24"/>
          <w:lang w:val="en-GB" w:eastAsia="en-GB"/>
        </w:rPr>
        <w:t>The occupational therapy guide for enabling meaningful social participation post-TBI</w:t>
      </w:r>
      <w:r w:rsidRPr="00385667">
        <w:rPr>
          <w:rFonts w:ascii="Times New Roman" w:eastAsia="Times New Roman" w:hAnsi="Times New Roman" w:cs="Times New Roman"/>
          <w:sz w:val="24"/>
          <w:szCs w:val="24"/>
          <w:lang w:val="en-GB" w:eastAsia="en-GB"/>
        </w:rPr>
        <w:t xml:space="preserve">. Grand Forks: UND Scholarly Commons. Available at: </w:t>
      </w:r>
      <w:hyperlink r:id="rId15" w:tgtFrame="_new" w:history="1">
        <w:r w:rsidRPr="00385667">
          <w:rPr>
            <w:rFonts w:ascii="Times New Roman" w:eastAsia="Times New Roman" w:hAnsi="Times New Roman" w:cs="Times New Roman"/>
            <w:sz w:val="24"/>
            <w:szCs w:val="24"/>
            <w:u w:val="single"/>
            <w:lang w:val="en-GB" w:eastAsia="en-GB"/>
          </w:rPr>
          <w:t>https://commons.und.edu/ot-grad/482/</w:t>
        </w:r>
      </w:hyperlink>
      <w:r w:rsidRPr="00385667">
        <w:rPr>
          <w:rFonts w:ascii="Times New Roman" w:eastAsia="Times New Roman" w:hAnsi="Times New Roman" w:cs="Times New Roman"/>
          <w:sz w:val="24"/>
          <w:szCs w:val="24"/>
          <w:lang w:val="en-GB" w:eastAsia="en-GB"/>
        </w:rPr>
        <w:t xml:space="preserve"> (Accessed: 1 December 2025).</w:t>
      </w:r>
    </w:p>
    <w:p w14:paraId="05DEDE45"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Malin, E. (2023) ‘</w:t>
      </w:r>
      <w:proofErr w:type="gramStart"/>
      <w:r w:rsidRPr="00385667">
        <w:rPr>
          <w:rFonts w:ascii="Times New Roman" w:eastAsia="Times New Roman" w:hAnsi="Times New Roman" w:cs="Times New Roman"/>
          <w:sz w:val="24"/>
          <w:szCs w:val="24"/>
          <w:lang w:val="en-GB" w:eastAsia="en-GB"/>
        </w:rPr>
        <w:t>Bipolar disorder</w:t>
      </w:r>
      <w:proofErr w:type="gramEnd"/>
      <w:r w:rsidRPr="00385667">
        <w:rPr>
          <w:rFonts w:ascii="Times New Roman" w:eastAsia="Times New Roman" w:hAnsi="Times New Roman" w:cs="Times New Roman"/>
          <w:sz w:val="24"/>
          <w:szCs w:val="24"/>
          <w:lang w:val="en-GB" w:eastAsia="en-GB"/>
        </w:rPr>
        <w:t xml:space="preserve"> in children (including gifted and 2e children)’, </w:t>
      </w:r>
      <w:r w:rsidRPr="00385667">
        <w:rPr>
          <w:rFonts w:ascii="Times New Roman" w:eastAsia="Times New Roman" w:hAnsi="Times New Roman" w:cs="Times New Roman"/>
          <w:i/>
          <w:iCs/>
          <w:sz w:val="24"/>
          <w:szCs w:val="24"/>
          <w:lang w:val="en-GB" w:eastAsia="en-GB"/>
        </w:rPr>
        <w:t>Graduate Student Independent Studies</w:t>
      </w:r>
      <w:r w:rsidRPr="00385667">
        <w:rPr>
          <w:rFonts w:ascii="Times New Roman" w:eastAsia="Times New Roman" w:hAnsi="Times New Roman" w:cs="Times New Roman"/>
          <w:sz w:val="24"/>
          <w:szCs w:val="24"/>
          <w:lang w:val="en-GB" w:eastAsia="en-GB"/>
        </w:rPr>
        <w:t xml:space="preserve"> [Preprint]. Available at: </w:t>
      </w:r>
      <w:hyperlink r:id="rId16" w:tgtFrame="_new" w:history="1">
        <w:r w:rsidRPr="00385667">
          <w:rPr>
            <w:rFonts w:ascii="Times New Roman" w:eastAsia="Times New Roman" w:hAnsi="Times New Roman" w:cs="Times New Roman"/>
            <w:sz w:val="24"/>
            <w:szCs w:val="24"/>
            <w:u w:val="single"/>
            <w:lang w:val="en-GB" w:eastAsia="en-GB"/>
          </w:rPr>
          <w:t>https://educate.bankstreet.edu/independent-studies/313/</w:t>
        </w:r>
      </w:hyperlink>
      <w:r w:rsidRPr="00385667">
        <w:rPr>
          <w:rFonts w:ascii="Times New Roman" w:eastAsia="Times New Roman" w:hAnsi="Times New Roman" w:cs="Times New Roman"/>
          <w:sz w:val="24"/>
          <w:szCs w:val="24"/>
          <w:lang w:val="en-GB" w:eastAsia="en-GB"/>
        </w:rPr>
        <w:t xml:space="preserve"> (Accessed: 26 April 2024).</w:t>
      </w:r>
    </w:p>
    <w:p w14:paraId="5201A3CE"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Nguyen, H., Rahman, A., </w:t>
      </w:r>
      <w:proofErr w:type="spellStart"/>
      <w:r w:rsidRPr="00385667">
        <w:rPr>
          <w:rFonts w:ascii="Times New Roman" w:eastAsia="Times New Roman" w:hAnsi="Times New Roman" w:cs="Times New Roman"/>
          <w:sz w:val="24"/>
          <w:szCs w:val="24"/>
          <w:lang w:val="en-GB" w:eastAsia="en-GB"/>
        </w:rPr>
        <w:t>Ubell</w:t>
      </w:r>
      <w:proofErr w:type="spellEnd"/>
      <w:r w:rsidRPr="00385667">
        <w:rPr>
          <w:rFonts w:ascii="Times New Roman" w:eastAsia="Times New Roman" w:hAnsi="Times New Roman" w:cs="Times New Roman"/>
          <w:sz w:val="24"/>
          <w:szCs w:val="24"/>
          <w:lang w:val="en-GB" w:eastAsia="en-GB"/>
        </w:rPr>
        <w:t>, A., Goodarzi, Z., Maxwell, C.J., Allana, S., Tate, K., Symonds-Brown, H., Weeks, L., Caspar, S., Mann, J. and Hoben, M. (2024) ‘Adult day programs and their effects on individuals with dementia and their caregivers (ADAPT-</w:t>
      </w:r>
      <w:proofErr w:type="spellStart"/>
      <w:r w:rsidRPr="00385667">
        <w:rPr>
          <w:rFonts w:ascii="Times New Roman" w:eastAsia="Times New Roman" w:hAnsi="Times New Roman" w:cs="Times New Roman"/>
          <w:sz w:val="24"/>
          <w:szCs w:val="24"/>
          <w:lang w:val="en-GB" w:eastAsia="en-GB"/>
        </w:rPr>
        <w:t>DemCare</w:t>
      </w:r>
      <w:proofErr w:type="spellEnd"/>
      <w:r w:rsidRPr="00385667">
        <w:rPr>
          <w:rFonts w:ascii="Times New Roman" w:eastAsia="Times New Roman" w:hAnsi="Times New Roman" w:cs="Times New Roman"/>
          <w:sz w:val="24"/>
          <w:szCs w:val="24"/>
          <w:lang w:val="en-GB" w:eastAsia="en-GB"/>
        </w:rPr>
        <w:t xml:space="preserve">): a realist synthesis to develop program theories on the how and why’, </w:t>
      </w:r>
      <w:r w:rsidRPr="00385667">
        <w:rPr>
          <w:rFonts w:ascii="Times New Roman" w:eastAsia="Times New Roman" w:hAnsi="Times New Roman" w:cs="Times New Roman"/>
          <w:i/>
          <w:iCs/>
          <w:sz w:val="24"/>
          <w:szCs w:val="24"/>
          <w:lang w:val="en-GB" w:eastAsia="en-GB"/>
        </w:rPr>
        <w:t>Systematic Reviews</w:t>
      </w:r>
      <w:r w:rsidRPr="00385667">
        <w:rPr>
          <w:rFonts w:ascii="Times New Roman" w:eastAsia="Times New Roman" w:hAnsi="Times New Roman" w:cs="Times New Roman"/>
          <w:sz w:val="24"/>
          <w:szCs w:val="24"/>
          <w:lang w:val="en-GB" w:eastAsia="en-GB"/>
        </w:rPr>
        <w:t xml:space="preserve">, 13(1). </w:t>
      </w:r>
      <w:hyperlink r:id="rId17" w:tgtFrame="_new" w:history="1">
        <w:r w:rsidRPr="00385667">
          <w:rPr>
            <w:rFonts w:ascii="Times New Roman" w:eastAsia="Times New Roman" w:hAnsi="Times New Roman" w:cs="Times New Roman"/>
            <w:sz w:val="24"/>
            <w:szCs w:val="24"/>
            <w:u w:val="single"/>
            <w:lang w:val="en-GB" w:eastAsia="en-GB"/>
          </w:rPr>
          <w:t>https://doi.org/10.1186/s13643-024-02683-1</w:t>
        </w:r>
      </w:hyperlink>
    </w:p>
    <w:p w14:paraId="23F5EC28"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Oe, H., Weeks, K. and Morishita, E. (2025) ‘The reminiscence journey: a novel integrated approach combining reminiscence therapy with memory jars for cognitive training in older adults’, </w:t>
      </w:r>
      <w:r w:rsidRPr="00385667">
        <w:rPr>
          <w:rFonts w:ascii="Times New Roman" w:eastAsia="Times New Roman" w:hAnsi="Times New Roman" w:cs="Times New Roman"/>
          <w:i/>
          <w:iCs/>
          <w:sz w:val="24"/>
          <w:szCs w:val="24"/>
          <w:lang w:val="en-GB" w:eastAsia="en-GB"/>
        </w:rPr>
        <w:t>The International Journal of Reminiscence and Life Review</w:t>
      </w:r>
      <w:r w:rsidRPr="00385667">
        <w:rPr>
          <w:rFonts w:ascii="Times New Roman" w:eastAsia="Times New Roman" w:hAnsi="Times New Roman" w:cs="Times New Roman"/>
          <w:sz w:val="24"/>
          <w:szCs w:val="24"/>
          <w:lang w:val="en-GB" w:eastAsia="en-GB"/>
        </w:rPr>
        <w:t xml:space="preserve">, 11(1), pp. 19–28. </w:t>
      </w:r>
      <w:hyperlink r:id="rId18" w:tgtFrame="_new" w:history="1">
        <w:r w:rsidRPr="00385667">
          <w:rPr>
            <w:rFonts w:ascii="Times New Roman" w:eastAsia="Times New Roman" w:hAnsi="Times New Roman" w:cs="Times New Roman"/>
            <w:sz w:val="24"/>
            <w:szCs w:val="24"/>
            <w:u w:val="single"/>
            <w:lang w:val="en-GB" w:eastAsia="en-GB"/>
          </w:rPr>
          <w:t>https://doi.org/10.69802/sgm1p512</w:t>
        </w:r>
      </w:hyperlink>
    </w:p>
    <w:p w14:paraId="2C717799"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Reynolds, C.F., Jeste, D.V., Sachdev, P.S. and Blazer, D.G. (2022) ‘Mental health care for older adults: recent advances and new directions in clinical practice and research’, </w:t>
      </w:r>
      <w:r w:rsidRPr="00385667">
        <w:rPr>
          <w:rFonts w:ascii="Times New Roman" w:eastAsia="Times New Roman" w:hAnsi="Times New Roman" w:cs="Times New Roman"/>
          <w:i/>
          <w:iCs/>
          <w:sz w:val="24"/>
          <w:szCs w:val="24"/>
          <w:lang w:val="en-GB" w:eastAsia="en-GB"/>
        </w:rPr>
        <w:t>World Psychiatry</w:t>
      </w:r>
      <w:r w:rsidRPr="00385667">
        <w:rPr>
          <w:rFonts w:ascii="Times New Roman" w:eastAsia="Times New Roman" w:hAnsi="Times New Roman" w:cs="Times New Roman"/>
          <w:sz w:val="24"/>
          <w:szCs w:val="24"/>
          <w:lang w:val="en-GB" w:eastAsia="en-GB"/>
        </w:rPr>
        <w:t xml:space="preserve">, 21(3), pp. 336–363. </w:t>
      </w:r>
      <w:hyperlink r:id="rId19" w:tgtFrame="_new" w:history="1">
        <w:r w:rsidRPr="00385667">
          <w:rPr>
            <w:rFonts w:ascii="Times New Roman" w:eastAsia="Times New Roman" w:hAnsi="Times New Roman" w:cs="Times New Roman"/>
            <w:sz w:val="24"/>
            <w:szCs w:val="24"/>
            <w:u w:val="single"/>
            <w:lang w:val="en-GB" w:eastAsia="en-GB"/>
          </w:rPr>
          <w:t>https://doi.org/10.1002/wps.20996</w:t>
        </w:r>
      </w:hyperlink>
    </w:p>
    <w:p w14:paraId="180603D9"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lastRenderedPageBreak/>
        <w:t xml:space="preserve">Sharifi, F., </w:t>
      </w:r>
      <w:proofErr w:type="spellStart"/>
      <w:r w:rsidRPr="00385667">
        <w:rPr>
          <w:rFonts w:ascii="Times New Roman" w:eastAsia="Times New Roman" w:hAnsi="Times New Roman" w:cs="Times New Roman"/>
          <w:sz w:val="24"/>
          <w:szCs w:val="24"/>
          <w:lang w:val="en-GB" w:eastAsia="en-GB"/>
        </w:rPr>
        <w:t>Ghandali</w:t>
      </w:r>
      <w:proofErr w:type="spellEnd"/>
      <w:r w:rsidRPr="00385667">
        <w:rPr>
          <w:rFonts w:ascii="Times New Roman" w:eastAsia="Times New Roman" w:hAnsi="Times New Roman" w:cs="Times New Roman"/>
          <w:sz w:val="24"/>
          <w:szCs w:val="24"/>
          <w:lang w:val="en-GB" w:eastAsia="en-GB"/>
        </w:rPr>
        <w:t xml:space="preserve">, R., Alimohammadi, M. and </w:t>
      </w:r>
      <w:proofErr w:type="spellStart"/>
      <w:r w:rsidRPr="00385667">
        <w:rPr>
          <w:rFonts w:ascii="Times New Roman" w:eastAsia="Times New Roman" w:hAnsi="Times New Roman" w:cs="Times New Roman"/>
          <w:sz w:val="24"/>
          <w:szCs w:val="24"/>
          <w:lang w:val="en-GB" w:eastAsia="en-GB"/>
        </w:rPr>
        <w:t>Ahmadipour</w:t>
      </w:r>
      <w:proofErr w:type="spellEnd"/>
      <w:r w:rsidRPr="00385667">
        <w:rPr>
          <w:rFonts w:ascii="Times New Roman" w:eastAsia="Times New Roman" w:hAnsi="Times New Roman" w:cs="Times New Roman"/>
          <w:sz w:val="24"/>
          <w:szCs w:val="24"/>
          <w:lang w:val="en-GB" w:eastAsia="en-GB"/>
        </w:rPr>
        <w:t xml:space="preserve">, P. (2024) ‘Symptoms and diagnosis of dementia’, in </w:t>
      </w:r>
      <w:r w:rsidRPr="00385667">
        <w:rPr>
          <w:rFonts w:ascii="Times New Roman" w:eastAsia="Times New Roman" w:hAnsi="Times New Roman" w:cs="Times New Roman"/>
          <w:i/>
          <w:iCs/>
          <w:sz w:val="24"/>
          <w:szCs w:val="24"/>
          <w:lang w:val="en-GB" w:eastAsia="en-GB"/>
        </w:rPr>
        <w:t>[Book title]</w:t>
      </w:r>
      <w:r w:rsidRPr="00385667">
        <w:rPr>
          <w:rFonts w:ascii="Times New Roman" w:eastAsia="Times New Roman" w:hAnsi="Times New Roman" w:cs="Times New Roman"/>
          <w:sz w:val="24"/>
          <w:szCs w:val="24"/>
          <w:lang w:val="en-GB" w:eastAsia="en-GB"/>
        </w:rPr>
        <w:t xml:space="preserve">. pp. 59–91. </w:t>
      </w:r>
      <w:hyperlink r:id="rId20" w:tgtFrame="_new" w:history="1">
        <w:r w:rsidRPr="00385667">
          <w:rPr>
            <w:rFonts w:ascii="Times New Roman" w:eastAsia="Times New Roman" w:hAnsi="Times New Roman" w:cs="Times New Roman"/>
            <w:sz w:val="24"/>
            <w:szCs w:val="24"/>
            <w:u w:val="single"/>
            <w:lang w:val="en-GB" w:eastAsia="en-GB"/>
          </w:rPr>
          <w:t>https://doi.org/10.1007/978-981-97-4117-5_3</w:t>
        </w:r>
      </w:hyperlink>
    </w:p>
    <w:p w14:paraId="39CE5873"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proofErr w:type="spellStart"/>
      <w:r w:rsidRPr="00385667">
        <w:rPr>
          <w:rFonts w:ascii="Times New Roman" w:eastAsia="Times New Roman" w:hAnsi="Times New Roman" w:cs="Times New Roman"/>
          <w:sz w:val="24"/>
          <w:szCs w:val="24"/>
          <w:lang w:val="en-GB" w:eastAsia="en-GB"/>
        </w:rPr>
        <w:t>Spännäri</w:t>
      </w:r>
      <w:proofErr w:type="spellEnd"/>
      <w:r w:rsidRPr="00385667">
        <w:rPr>
          <w:rFonts w:ascii="Times New Roman" w:eastAsia="Times New Roman" w:hAnsi="Times New Roman" w:cs="Times New Roman"/>
          <w:sz w:val="24"/>
          <w:szCs w:val="24"/>
          <w:lang w:val="en-GB" w:eastAsia="en-GB"/>
        </w:rPr>
        <w:t xml:space="preserve">, J. and </w:t>
      </w:r>
      <w:proofErr w:type="spellStart"/>
      <w:r w:rsidRPr="00385667">
        <w:rPr>
          <w:rFonts w:ascii="Times New Roman" w:eastAsia="Times New Roman" w:hAnsi="Times New Roman" w:cs="Times New Roman"/>
          <w:sz w:val="24"/>
          <w:szCs w:val="24"/>
          <w:lang w:val="en-GB" w:eastAsia="en-GB"/>
        </w:rPr>
        <w:t>Laceulle</w:t>
      </w:r>
      <w:proofErr w:type="spellEnd"/>
      <w:r w:rsidRPr="00385667">
        <w:rPr>
          <w:rFonts w:ascii="Times New Roman" w:eastAsia="Times New Roman" w:hAnsi="Times New Roman" w:cs="Times New Roman"/>
          <w:sz w:val="24"/>
          <w:szCs w:val="24"/>
          <w:lang w:val="en-GB" w:eastAsia="en-GB"/>
        </w:rPr>
        <w:t xml:space="preserve">, H. (2022) ‘Meaning making in a retirement migrant community: religion, spirituality, and social practices of daily lives’, </w:t>
      </w:r>
      <w:r w:rsidRPr="00385667">
        <w:rPr>
          <w:rFonts w:ascii="Times New Roman" w:eastAsia="Times New Roman" w:hAnsi="Times New Roman" w:cs="Times New Roman"/>
          <w:i/>
          <w:iCs/>
          <w:sz w:val="24"/>
          <w:szCs w:val="24"/>
          <w:lang w:val="en-GB" w:eastAsia="en-GB"/>
        </w:rPr>
        <w:t>Frontiers in Psychology</w:t>
      </w:r>
      <w:r w:rsidRPr="00385667">
        <w:rPr>
          <w:rFonts w:ascii="Times New Roman" w:eastAsia="Times New Roman" w:hAnsi="Times New Roman" w:cs="Times New Roman"/>
          <w:sz w:val="24"/>
          <w:szCs w:val="24"/>
          <w:lang w:val="en-GB" w:eastAsia="en-GB"/>
        </w:rPr>
        <w:t xml:space="preserve">, 12. </w:t>
      </w:r>
      <w:hyperlink r:id="rId21" w:tgtFrame="_new" w:history="1">
        <w:r w:rsidRPr="00385667">
          <w:rPr>
            <w:rFonts w:ascii="Times New Roman" w:eastAsia="Times New Roman" w:hAnsi="Times New Roman" w:cs="Times New Roman"/>
            <w:sz w:val="24"/>
            <w:szCs w:val="24"/>
            <w:u w:val="single"/>
            <w:lang w:val="en-GB" w:eastAsia="en-GB"/>
          </w:rPr>
          <w:t>https://doi.org/10.3389/fpsyg.2021.707060</w:t>
        </w:r>
      </w:hyperlink>
    </w:p>
    <w:p w14:paraId="3C240B98" w14:textId="77777777" w:rsidR="00385667" w:rsidRPr="00385667" w:rsidRDefault="00385667" w:rsidP="00385667">
      <w:pPr>
        <w:spacing w:before="100" w:beforeAutospacing="1" w:after="100" w:afterAutospacing="1" w:line="240" w:lineRule="auto"/>
        <w:jc w:val="left"/>
        <w:rPr>
          <w:rFonts w:ascii="Times New Roman" w:eastAsia="Times New Roman" w:hAnsi="Times New Roman" w:cs="Times New Roman"/>
          <w:sz w:val="24"/>
          <w:szCs w:val="24"/>
          <w:lang w:val="en-GB" w:eastAsia="en-GB"/>
        </w:rPr>
      </w:pPr>
      <w:r w:rsidRPr="00385667">
        <w:rPr>
          <w:rFonts w:ascii="Times New Roman" w:eastAsia="Times New Roman" w:hAnsi="Times New Roman" w:cs="Times New Roman"/>
          <w:sz w:val="24"/>
          <w:szCs w:val="24"/>
          <w:lang w:val="en-GB" w:eastAsia="en-GB"/>
        </w:rPr>
        <w:t xml:space="preserve">Steidinger, K.S. (2025) </w:t>
      </w:r>
      <w:r w:rsidRPr="00385667">
        <w:rPr>
          <w:rFonts w:ascii="Times New Roman" w:eastAsia="Times New Roman" w:hAnsi="Times New Roman" w:cs="Times New Roman"/>
          <w:i/>
          <w:iCs/>
          <w:sz w:val="24"/>
          <w:szCs w:val="24"/>
          <w:lang w:val="en-GB" w:eastAsia="en-GB"/>
        </w:rPr>
        <w:t>Cognitive processes and development</w:t>
      </w:r>
      <w:r w:rsidRPr="00385667">
        <w:rPr>
          <w:rFonts w:ascii="Times New Roman" w:eastAsia="Times New Roman" w:hAnsi="Times New Roman" w:cs="Times New Roman"/>
          <w:sz w:val="24"/>
          <w:szCs w:val="24"/>
          <w:lang w:val="en-GB" w:eastAsia="en-GB"/>
        </w:rPr>
        <w:t xml:space="preserve">. Mid-State Technical College. Available at: </w:t>
      </w:r>
      <w:hyperlink r:id="rId22" w:tgtFrame="_new" w:history="1">
        <w:r w:rsidRPr="00385667">
          <w:rPr>
            <w:rFonts w:ascii="Times New Roman" w:eastAsia="Times New Roman" w:hAnsi="Times New Roman" w:cs="Times New Roman"/>
            <w:sz w:val="24"/>
            <w:szCs w:val="24"/>
            <w:u w:val="single"/>
            <w:lang w:val="en-GB" w:eastAsia="en-GB"/>
          </w:rPr>
          <w:t>https://pressbooks.pub/devpsychmidstate/chapter/102/</w:t>
        </w:r>
      </w:hyperlink>
      <w:r w:rsidRPr="00385667">
        <w:rPr>
          <w:rFonts w:ascii="Times New Roman" w:eastAsia="Times New Roman" w:hAnsi="Times New Roman" w:cs="Times New Roman"/>
          <w:sz w:val="24"/>
          <w:szCs w:val="24"/>
          <w:lang w:val="en-GB" w:eastAsia="en-GB"/>
        </w:rPr>
        <w:t xml:space="preserve"> (Accessed: 20 July 2025).</w:t>
      </w:r>
    </w:p>
    <w:p w14:paraId="1A737048" w14:textId="77777777" w:rsidR="00385667" w:rsidRPr="00385667" w:rsidRDefault="00385667" w:rsidP="00385667"/>
    <w:sectPr w:rsidR="00385667" w:rsidRPr="00385667" w:rsidSect="00D840D8">
      <w:footerReference w:type="default" r:id="rId2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3F046" w14:textId="77777777" w:rsidR="00594828" w:rsidRDefault="00594828" w:rsidP="00D840D8">
      <w:pPr>
        <w:spacing w:line="240" w:lineRule="auto"/>
      </w:pPr>
      <w:r>
        <w:separator/>
      </w:r>
    </w:p>
  </w:endnote>
  <w:endnote w:type="continuationSeparator" w:id="0">
    <w:p w14:paraId="15753A10" w14:textId="77777777" w:rsidR="00594828" w:rsidRDefault="00594828" w:rsidP="00D840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3E7EE523-3C66-4618-921D-5EB810FAE5DB}"/>
    <w:embedBold r:id="rId2" w:fontKey="{D3C963D6-D809-4740-9FD5-F9B5EE149A78}"/>
  </w:font>
  <w:font w:name="Cambria">
    <w:panose1 w:val="02040503050406030204"/>
    <w:charset w:val="00"/>
    <w:family w:val="roman"/>
    <w:pitch w:val="variable"/>
    <w:sig w:usb0="E00006FF" w:usb1="420024FF" w:usb2="02000000" w:usb3="00000000" w:csb0="0000019F" w:csb1="00000000"/>
    <w:embedRegular r:id="rId3" w:fontKey="{923EC714-15B0-4E33-8479-B03A51D994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9354502"/>
      <w:docPartObj>
        <w:docPartGallery w:val="Page Numbers (Bottom of Page)"/>
        <w:docPartUnique/>
      </w:docPartObj>
    </w:sdtPr>
    <w:sdtContent>
      <w:sdt>
        <w:sdtPr>
          <w:id w:val="-1769616900"/>
          <w:docPartObj>
            <w:docPartGallery w:val="Page Numbers (Top of Page)"/>
            <w:docPartUnique/>
          </w:docPartObj>
        </w:sdtPr>
        <w:sdtContent>
          <w:p w14:paraId="1619EB21" w14:textId="77777777" w:rsidR="00D840D8" w:rsidRPr="00D840D8" w:rsidRDefault="00D840D8">
            <w:pPr>
              <w:pStyle w:val="Footer"/>
              <w:jc w:val="right"/>
            </w:pPr>
            <w:r w:rsidRPr="00D840D8">
              <w:rPr>
                <w:sz w:val="20"/>
              </w:rPr>
              <w:t xml:space="preserve">Page </w:t>
            </w:r>
            <w:r w:rsidRPr="00D840D8">
              <w:rPr>
                <w:b/>
                <w:bCs/>
                <w:sz w:val="20"/>
              </w:rPr>
              <w:fldChar w:fldCharType="begin"/>
            </w:r>
            <w:r w:rsidRPr="00D840D8">
              <w:rPr>
                <w:b/>
                <w:bCs/>
                <w:sz w:val="20"/>
              </w:rPr>
              <w:instrText xml:space="preserve"> PAGE </w:instrText>
            </w:r>
            <w:r w:rsidRPr="00D840D8">
              <w:rPr>
                <w:b/>
                <w:bCs/>
                <w:sz w:val="20"/>
              </w:rPr>
              <w:fldChar w:fldCharType="separate"/>
            </w:r>
            <w:r w:rsidR="00EE784B">
              <w:rPr>
                <w:b/>
                <w:bCs/>
                <w:noProof/>
                <w:sz w:val="20"/>
              </w:rPr>
              <w:t>7</w:t>
            </w:r>
            <w:r w:rsidRPr="00D840D8">
              <w:rPr>
                <w:b/>
                <w:bCs/>
                <w:sz w:val="20"/>
              </w:rPr>
              <w:fldChar w:fldCharType="end"/>
            </w:r>
            <w:r w:rsidRPr="00D840D8">
              <w:rPr>
                <w:sz w:val="20"/>
              </w:rPr>
              <w:t xml:space="preserve"> of </w:t>
            </w:r>
            <w:r w:rsidRPr="00D840D8">
              <w:rPr>
                <w:b/>
                <w:bCs/>
                <w:sz w:val="20"/>
              </w:rPr>
              <w:fldChar w:fldCharType="begin"/>
            </w:r>
            <w:r w:rsidRPr="00D840D8">
              <w:rPr>
                <w:b/>
                <w:bCs/>
                <w:sz w:val="20"/>
              </w:rPr>
              <w:instrText xml:space="preserve"> NUMPAGES  </w:instrText>
            </w:r>
            <w:r w:rsidRPr="00D840D8">
              <w:rPr>
                <w:b/>
                <w:bCs/>
                <w:sz w:val="20"/>
              </w:rPr>
              <w:fldChar w:fldCharType="separate"/>
            </w:r>
            <w:r w:rsidR="00EE784B">
              <w:rPr>
                <w:b/>
                <w:bCs/>
                <w:noProof/>
                <w:sz w:val="20"/>
              </w:rPr>
              <w:t>10</w:t>
            </w:r>
            <w:r w:rsidRPr="00D840D8">
              <w:rPr>
                <w:b/>
                <w:bCs/>
                <w:sz w:val="20"/>
              </w:rPr>
              <w:fldChar w:fldCharType="end"/>
            </w:r>
          </w:p>
        </w:sdtContent>
      </w:sdt>
    </w:sdtContent>
  </w:sdt>
  <w:p w14:paraId="7B5DFF24" w14:textId="77777777" w:rsidR="00D840D8" w:rsidRDefault="00D84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B941A" w14:textId="77777777" w:rsidR="00594828" w:rsidRDefault="00594828" w:rsidP="00D840D8">
      <w:pPr>
        <w:spacing w:line="240" w:lineRule="auto"/>
      </w:pPr>
      <w:r>
        <w:separator/>
      </w:r>
    </w:p>
  </w:footnote>
  <w:footnote w:type="continuationSeparator" w:id="0">
    <w:p w14:paraId="38679054" w14:textId="77777777" w:rsidR="00594828" w:rsidRDefault="00594828" w:rsidP="00D840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5461"/>
    <w:rsid w:val="00385667"/>
    <w:rsid w:val="003F51A5"/>
    <w:rsid w:val="0050241F"/>
    <w:rsid w:val="00594828"/>
    <w:rsid w:val="00625461"/>
    <w:rsid w:val="00642E68"/>
    <w:rsid w:val="007F4B05"/>
    <w:rsid w:val="00906BF4"/>
    <w:rsid w:val="00A5219B"/>
    <w:rsid w:val="00A659AD"/>
    <w:rsid w:val="00AC188D"/>
    <w:rsid w:val="00AE1CC4"/>
    <w:rsid w:val="00C14717"/>
    <w:rsid w:val="00D840D8"/>
    <w:rsid w:val="00E451C4"/>
    <w:rsid w:val="00E74E58"/>
    <w:rsid w:val="00EE78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C838B"/>
  <w15:docId w15:val="{D15BD367-371B-4870-AE93-F0F681431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6"/>
      <w:szCs w:val="26"/>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E74E5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74E58"/>
    <w:pPr>
      <w:spacing w:after="100"/>
    </w:pPr>
  </w:style>
  <w:style w:type="paragraph" w:styleId="TOC2">
    <w:name w:val="toc 2"/>
    <w:basedOn w:val="Normal"/>
    <w:next w:val="Normal"/>
    <w:autoRedefine/>
    <w:uiPriority w:val="39"/>
    <w:unhideWhenUsed/>
    <w:rsid w:val="00E74E58"/>
    <w:pPr>
      <w:spacing w:after="100"/>
      <w:ind w:left="220"/>
    </w:pPr>
  </w:style>
  <w:style w:type="character" w:styleId="Hyperlink">
    <w:name w:val="Hyperlink"/>
    <w:basedOn w:val="DefaultParagraphFont"/>
    <w:uiPriority w:val="99"/>
    <w:unhideWhenUsed/>
    <w:rsid w:val="00E74E58"/>
    <w:rPr>
      <w:color w:val="0000FF" w:themeColor="hyperlink"/>
      <w:u w:val="single"/>
    </w:rPr>
  </w:style>
  <w:style w:type="paragraph" w:styleId="Header">
    <w:name w:val="header"/>
    <w:basedOn w:val="Normal"/>
    <w:link w:val="HeaderChar"/>
    <w:uiPriority w:val="99"/>
    <w:unhideWhenUsed/>
    <w:rsid w:val="00D840D8"/>
    <w:pPr>
      <w:tabs>
        <w:tab w:val="center" w:pos="4513"/>
        <w:tab w:val="right" w:pos="9026"/>
      </w:tabs>
      <w:spacing w:line="240" w:lineRule="auto"/>
    </w:pPr>
  </w:style>
  <w:style w:type="character" w:customStyle="1" w:styleId="HeaderChar">
    <w:name w:val="Header Char"/>
    <w:basedOn w:val="DefaultParagraphFont"/>
    <w:link w:val="Header"/>
    <w:uiPriority w:val="99"/>
    <w:rsid w:val="00D840D8"/>
  </w:style>
  <w:style w:type="paragraph" w:styleId="Footer">
    <w:name w:val="footer"/>
    <w:basedOn w:val="Normal"/>
    <w:link w:val="FooterChar"/>
    <w:uiPriority w:val="99"/>
    <w:unhideWhenUsed/>
    <w:rsid w:val="00D840D8"/>
    <w:pPr>
      <w:tabs>
        <w:tab w:val="center" w:pos="4513"/>
        <w:tab w:val="right" w:pos="9026"/>
      </w:tabs>
      <w:spacing w:line="240" w:lineRule="auto"/>
    </w:pPr>
  </w:style>
  <w:style w:type="character" w:customStyle="1" w:styleId="FooterChar">
    <w:name w:val="Footer Char"/>
    <w:basedOn w:val="DefaultParagraphFont"/>
    <w:link w:val="Footer"/>
    <w:uiPriority w:val="99"/>
    <w:rsid w:val="00D84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landurbplan.2020.103957" TargetMode="External"/><Relationship Id="rId18" Type="http://schemas.openxmlformats.org/officeDocument/2006/relationships/hyperlink" Target="https://doi.org/10.69802/sgm1p512" TargetMode="External"/><Relationship Id="rId3" Type="http://schemas.openxmlformats.org/officeDocument/2006/relationships/settings" Target="settings.xml"/><Relationship Id="rId21" Type="http://schemas.openxmlformats.org/officeDocument/2006/relationships/hyperlink" Target="https://doi.org/10.3389/fpsyg.2021.707060" TargetMode="External"/><Relationship Id="rId7" Type="http://schemas.openxmlformats.org/officeDocument/2006/relationships/image" Target="media/image1.png"/><Relationship Id="rId12" Type="http://schemas.openxmlformats.org/officeDocument/2006/relationships/hyperlink" Target="https://doi.org/10.1007/s10488-021-01162-2" TargetMode="External"/><Relationship Id="rId17" Type="http://schemas.openxmlformats.org/officeDocument/2006/relationships/hyperlink" Target="https://doi.org/10.1186/s13643-024-02683-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ducate.bankstreet.edu/independent-studies/313/" TargetMode="External"/><Relationship Id="rId20" Type="http://schemas.openxmlformats.org/officeDocument/2006/relationships/hyperlink" Target="https://doi.org/10.1007/978-981-97-4117-5_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ensesandsciences.com/index.php/Senses/article/view/21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mmons.und.edu/ot-grad/482/" TargetMode="External"/><Relationship Id="rId23" Type="http://schemas.openxmlformats.org/officeDocument/2006/relationships/footer" Target="footer1.xml"/><Relationship Id="rId10" Type="http://schemas.openxmlformats.org/officeDocument/2006/relationships/hyperlink" Target="https://doi.org/10.1080/09537287.2020.1823024" TargetMode="External"/><Relationship Id="rId19" Type="http://schemas.openxmlformats.org/officeDocument/2006/relationships/hyperlink" Target="https://doi.org/10.1002/wps.2099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10803548.2024.2370643" TargetMode="External"/><Relationship Id="rId22" Type="http://schemas.openxmlformats.org/officeDocument/2006/relationships/hyperlink" Target="https://pressbooks.pub/devpsychmidstate/chapter/10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E0DE7-5A1E-4D01-8645-E115933CB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2544</Words>
  <Characters>14505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Musa Bamwine (2425291)</cp:lastModifiedBy>
  <cp:revision>2</cp:revision>
  <dcterms:created xsi:type="dcterms:W3CDTF">2025-12-17T21:16:00Z</dcterms:created>
  <dcterms:modified xsi:type="dcterms:W3CDTF">2025-12-17T21:16:00Z</dcterms:modified>
</cp:coreProperties>
</file>