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30DB4" w14:textId="74A5F6A4" w:rsidR="00CE5E2D" w:rsidRDefault="00CE5E2D" w:rsidP="00CE5E2D">
      <w:pPr>
        <w:spacing w:after="100" w:afterAutospacing="1" w:line="360" w:lineRule="auto"/>
        <w:jc w:val="center"/>
        <w:rPr>
          <w:rFonts w:ascii="Times New Roman" w:hAnsi="Times New Roman" w:cs="Times New Roman"/>
          <w:b/>
          <w:bCs/>
          <w:sz w:val="32"/>
          <w:szCs w:val="32"/>
        </w:rPr>
      </w:pPr>
      <w:r>
        <w:rPr>
          <w:noProof/>
        </w:rPr>
        <w:drawing>
          <wp:anchor distT="0" distB="0" distL="114300" distR="114300" simplePos="0" relativeHeight="251658240" behindDoc="0" locked="0" layoutInCell="1" allowOverlap="1" wp14:anchorId="084FAE40" wp14:editId="1DF3DA68">
            <wp:simplePos x="0" y="0"/>
            <wp:positionH relativeFrom="column">
              <wp:posOffset>-473578</wp:posOffset>
            </wp:positionH>
            <wp:positionV relativeFrom="paragraph">
              <wp:posOffset>-441084</wp:posOffset>
            </wp:positionV>
            <wp:extent cx="2806262" cy="1171815"/>
            <wp:effectExtent l="0" t="0" r="0" b="9525"/>
            <wp:wrapNone/>
            <wp:docPr id="131270944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6262" cy="1171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DB3851" w14:textId="2C39F901" w:rsidR="00CE5E2D" w:rsidRDefault="00CE5E2D" w:rsidP="00CE5E2D">
      <w:pPr>
        <w:spacing w:after="100" w:afterAutospacing="1" w:line="360" w:lineRule="auto"/>
        <w:jc w:val="center"/>
        <w:rPr>
          <w:rFonts w:ascii="Times New Roman" w:hAnsi="Times New Roman" w:cs="Times New Roman"/>
          <w:b/>
          <w:bCs/>
          <w:sz w:val="32"/>
          <w:szCs w:val="32"/>
        </w:rPr>
      </w:pPr>
    </w:p>
    <w:p w14:paraId="243DC033" w14:textId="263259A6" w:rsidR="00CE5E2D" w:rsidRDefault="00CE5E2D" w:rsidP="00CE5E2D">
      <w:pPr>
        <w:spacing w:after="100" w:afterAutospacing="1" w:line="360" w:lineRule="auto"/>
        <w:jc w:val="center"/>
        <w:rPr>
          <w:rFonts w:ascii="Times New Roman" w:hAnsi="Times New Roman" w:cs="Times New Roman"/>
          <w:b/>
          <w:bCs/>
          <w:sz w:val="32"/>
          <w:szCs w:val="32"/>
        </w:rPr>
      </w:pPr>
    </w:p>
    <w:p w14:paraId="46293D15" w14:textId="77777777" w:rsidR="00CE5E2D" w:rsidRDefault="00CE5E2D" w:rsidP="00CE5E2D">
      <w:pPr>
        <w:spacing w:after="100" w:afterAutospacing="1" w:line="360" w:lineRule="auto"/>
        <w:jc w:val="center"/>
        <w:rPr>
          <w:rFonts w:ascii="Times New Roman" w:hAnsi="Times New Roman" w:cs="Times New Roman"/>
          <w:b/>
          <w:bCs/>
          <w:sz w:val="32"/>
          <w:szCs w:val="32"/>
        </w:rPr>
      </w:pPr>
    </w:p>
    <w:p w14:paraId="54EAE311" w14:textId="77777777" w:rsidR="00CE5E2D" w:rsidRDefault="00CE5E2D" w:rsidP="00CE5E2D">
      <w:pPr>
        <w:spacing w:after="100" w:afterAutospacing="1" w:line="360" w:lineRule="auto"/>
        <w:jc w:val="center"/>
        <w:rPr>
          <w:rFonts w:ascii="Times New Roman" w:hAnsi="Times New Roman" w:cs="Times New Roman"/>
          <w:b/>
          <w:bCs/>
          <w:sz w:val="32"/>
          <w:szCs w:val="32"/>
        </w:rPr>
      </w:pPr>
    </w:p>
    <w:p w14:paraId="588A21ED" w14:textId="1DAEC5E7" w:rsidR="00CE5E2D" w:rsidRPr="00CE5E2D" w:rsidRDefault="00CE5E2D" w:rsidP="00CE5E2D">
      <w:pPr>
        <w:spacing w:after="100" w:afterAutospacing="1" w:line="360" w:lineRule="auto"/>
        <w:jc w:val="center"/>
        <w:rPr>
          <w:rFonts w:ascii="Times New Roman" w:hAnsi="Times New Roman" w:cs="Times New Roman"/>
          <w:b/>
          <w:bCs/>
          <w:sz w:val="32"/>
          <w:szCs w:val="32"/>
        </w:rPr>
      </w:pPr>
      <w:r w:rsidRPr="00CE5E2D">
        <w:rPr>
          <w:rFonts w:ascii="Times New Roman" w:hAnsi="Times New Roman" w:cs="Times New Roman"/>
          <w:b/>
          <w:bCs/>
          <w:sz w:val="32"/>
          <w:szCs w:val="32"/>
        </w:rPr>
        <w:t>CASE STUDY ANALYSIS REPORT FOR CASE STUDY 3</w:t>
      </w:r>
    </w:p>
    <w:p w14:paraId="3461F239" w14:textId="77777777" w:rsidR="00CE5E2D" w:rsidRP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Programme: MSc Public Health and Social Care in Practice</w:t>
      </w:r>
    </w:p>
    <w:p w14:paraId="08F51B12" w14:textId="21740C36" w:rsidR="00CE5E2D" w:rsidRP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Module Code: LCHS7002</w:t>
      </w:r>
    </w:p>
    <w:p w14:paraId="6E4C0348" w14:textId="4E9C7E64" w:rsid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 xml:space="preserve">Module: </w:t>
      </w:r>
      <w:r w:rsidR="00DC0F9E">
        <w:rPr>
          <w:rFonts w:ascii="Times New Roman" w:hAnsi="Times New Roman" w:cs="Times New Roman"/>
          <w:sz w:val="24"/>
          <w:szCs w:val="24"/>
        </w:rPr>
        <w:t xml:space="preserve">Health Care System Organisation and Leadership </w:t>
      </w:r>
    </w:p>
    <w:p w14:paraId="2B96D1FB" w14:textId="3B94FE19" w:rsidR="005D400A" w:rsidRDefault="005D400A" w:rsidP="00CE5E2D">
      <w:pPr>
        <w:spacing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Dr Pascal Navelle </w:t>
      </w:r>
    </w:p>
    <w:p w14:paraId="709530A8" w14:textId="68FE27E4" w:rsidR="00CE5E2D" w:rsidRP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Internal Verifier: Dr Hamdi Hussain</w:t>
      </w:r>
    </w:p>
    <w:p w14:paraId="3F7907D4" w14:textId="0AFA2869" w:rsidR="00CE5E2D" w:rsidRP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Student ID:</w:t>
      </w:r>
      <w:r w:rsidR="000C325D">
        <w:rPr>
          <w:rFonts w:ascii="Times New Roman" w:hAnsi="Times New Roman" w:cs="Times New Roman"/>
          <w:sz w:val="24"/>
          <w:szCs w:val="24"/>
        </w:rPr>
        <w:t xml:space="preserve"> </w:t>
      </w:r>
      <w:r w:rsidR="000C325D" w:rsidRPr="000C325D">
        <w:rPr>
          <w:rFonts w:ascii="Times New Roman" w:hAnsi="Times New Roman" w:cs="Times New Roman"/>
          <w:sz w:val="24"/>
          <w:szCs w:val="24"/>
        </w:rPr>
        <w:t>2529437</w:t>
      </w:r>
    </w:p>
    <w:p w14:paraId="571891EE" w14:textId="7813A8A1" w:rsidR="00CE5E2D" w:rsidRP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Student Name:</w:t>
      </w:r>
      <w:r w:rsidR="000C325D">
        <w:rPr>
          <w:rFonts w:ascii="Times New Roman" w:hAnsi="Times New Roman" w:cs="Times New Roman"/>
          <w:sz w:val="24"/>
          <w:szCs w:val="24"/>
        </w:rPr>
        <w:t xml:space="preserve"> </w:t>
      </w:r>
      <w:r w:rsidR="000C325D" w:rsidRPr="000C325D">
        <w:rPr>
          <w:rFonts w:ascii="Times New Roman" w:hAnsi="Times New Roman" w:cs="Times New Roman"/>
          <w:sz w:val="24"/>
          <w:szCs w:val="24"/>
        </w:rPr>
        <w:t xml:space="preserve">Himani </w:t>
      </w:r>
      <w:proofErr w:type="spellStart"/>
      <w:r w:rsidR="000C325D" w:rsidRPr="000C325D">
        <w:rPr>
          <w:rFonts w:ascii="Times New Roman" w:hAnsi="Times New Roman" w:cs="Times New Roman"/>
          <w:sz w:val="24"/>
          <w:szCs w:val="24"/>
        </w:rPr>
        <w:t>Vasantkumar</w:t>
      </w:r>
      <w:proofErr w:type="spellEnd"/>
      <w:r w:rsidR="000C325D" w:rsidRPr="000C325D">
        <w:rPr>
          <w:rFonts w:ascii="Times New Roman" w:hAnsi="Times New Roman" w:cs="Times New Roman"/>
          <w:sz w:val="24"/>
          <w:szCs w:val="24"/>
        </w:rPr>
        <w:t xml:space="preserve"> Prajapati</w:t>
      </w:r>
    </w:p>
    <w:p w14:paraId="6BA85FA9" w14:textId="77777777" w:rsidR="00CE5E2D" w:rsidRP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Word Count: 5044</w:t>
      </w:r>
    </w:p>
    <w:p w14:paraId="4E27982E" w14:textId="7CB4E6CD" w:rsidR="00CE5E2D" w:rsidRPr="00CE5E2D" w:rsidRDefault="00CE5E2D" w:rsidP="00CE5E2D">
      <w:pPr>
        <w:spacing w:after="100" w:afterAutospacing="1" w:line="360" w:lineRule="auto"/>
        <w:jc w:val="center"/>
        <w:rPr>
          <w:rFonts w:ascii="Times New Roman" w:hAnsi="Times New Roman" w:cs="Times New Roman"/>
          <w:b/>
          <w:bCs/>
          <w:sz w:val="28"/>
          <w:szCs w:val="28"/>
        </w:rPr>
      </w:pPr>
      <w:r w:rsidRPr="00CE5E2D">
        <w:rPr>
          <w:rFonts w:ascii="Times New Roman" w:hAnsi="Times New Roman" w:cs="Times New Roman"/>
          <w:sz w:val="24"/>
          <w:szCs w:val="24"/>
        </w:rPr>
        <w:t xml:space="preserve">Date of Submission: </w:t>
      </w:r>
      <w:r w:rsidR="000C325D">
        <w:rPr>
          <w:rFonts w:ascii="Times New Roman" w:hAnsi="Times New Roman" w:cs="Times New Roman"/>
          <w:sz w:val="24"/>
          <w:szCs w:val="24"/>
        </w:rPr>
        <w:t>10</w:t>
      </w:r>
      <w:r w:rsidRPr="00CE5E2D">
        <w:rPr>
          <w:rFonts w:ascii="Times New Roman" w:hAnsi="Times New Roman" w:cs="Times New Roman"/>
          <w:sz w:val="24"/>
          <w:szCs w:val="24"/>
          <w:vertAlign w:val="superscript"/>
        </w:rPr>
        <w:t>th</w:t>
      </w:r>
      <w:r w:rsidRPr="00CE5E2D">
        <w:rPr>
          <w:rFonts w:ascii="Times New Roman" w:hAnsi="Times New Roman" w:cs="Times New Roman"/>
          <w:sz w:val="24"/>
          <w:szCs w:val="24"/>
        </w:rPr>
        <w:t xml:space="preserve"> August 2026</w:t>
      </w:r>
      <w:r w:rsidRPr="00CE5E2D">
        <w:rPr>
          <w:rFonts w:ascii="Times New Roman" w:hAnsi="Times New Roman" w:cs="Times New Roman"/>
          <w:sz w:val="24"/>
          <w:szCs w:val="24"/>
        </w:rPr>
        <w:br w:type="page"/>
      </w:r>
    </w:p>
    <w:sdt>
      <w:sdtPr>
        <w:rPr>
          <w:rFonts w:ascii="Calibri" w:eastAsia="Calibri" w:hAnsi="Calibri" w:cs="Calibri"/>
          <w:color w:val="auto"/>
          <w:sz w:val="22"/>
          <w:szCs w:val="22"/>
          <w:lang w:val="en-GB"/>
        </w:rPr>
        <w:id w:val="-1267920085"/>
        <w:docPartObj>
          <w:docPartGallery w:val="Table of Contents"/>
          <w:docPartUnique/>
        </w:docPartObj>
      </w:sdtPr>
      <w:sdtEndPr>
        <w:rPr>
          <w:b/>
          <w:bCs/>
        </w:rPr>
      </w:sdtEndPr>
      <w:sdtContent>
        <w:p w14:paraId="148C015F" w14:textId="1F08EB7E" w:rsidR="00CE5E2D" w:rsidRPr="00CE5E2D" w:rsidRDefault="00CE5E2D" w:rsidP="00CE5E2D">
          <w:pPr>
            <w:pStyle w:val="TOCHeading"/>
            <w:spacing w:after="100" w:afterAutospacing="1" w:line="360" w:lineRule="auto"/>
            <w:jc w:val="center"/>
            <w:rPr>
              <w:rFonts w:ascii="Times New Roman" w:hAnsi="Times New Roman" w:cs="Times New Roman"/>
              <w:b/>
              <w:bCs/>
              <w:color w:val="auto"/>
              <w:sz w:val="24"/>
              <w:szCs w:val="24"/>
              <w:u w:val="single"/>
            </w:rPr>
          </w:pPr>
          <w:r w:rsidRPr="00CE5E2D">
            <w:rPr>
              <w:rFonts w:ascii="Times New Roman" w:hAnsi="Times New Roman" w:cs="Times New Roman"/>
              <w:b/>
              <w:bCs/>
              <w:color w:val="auto"/>
              <w:sz w:val="24"/>
              <w:szCs w:val="24"/>
              <w:u w:val="single"/>
              <w:lang w:val="en-GB"/>
            </w:rPr>
            <w:t>Table of Contents</w:t>
          </w:r>
        </w:p>
        <w:p w14:paraId="6C4980DD" w14:textId="5CF5A0B1"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r w:rsidRPr="00CE5E2D">
            <w:rPr>
              <w:rFonts w:ascii="Times New Roman" w:hAnsi="Times New Roman" w:cs="Times New Roman"/>
              <w:sz w:val="24"/>
              <w:szCs w:val="24"/>
            </w:rPr>
            <w:fldChar w:fldCharType="begin"/>
          </w:r>
          <w:r w:rsidRPr="00CE5E2D">
            <w:rPr>
              <w:rFonts w:ascii="Times New Roman" w:hAnsi="Times New Roman" w:cs="Times New Roman"/>
              <w:sz w:val="24"/>
              <w:szCs w:val="24"/>
            </w:rPr>
            <w:instrText xml:space="preserve"> TOC \o "1-3" \h \z \u </w:instrText>
          </w:r>
          <w:r w:rsidRPr="00CE5E2D">
            <w:rPr>
              <w:rFonts w:ascii="Times New Roman" w:hAnsi="Times New Roman" w:cs="Times New Roman"/>
              <w:sz w:val="24"/>
              <w:szCs w:val="24"/>
            </w:rPr>
            <w:fldChar w:fldCharType="separate"/>
          </w:r>
          <w:hyperlink w:anchor="_Toc237195581" w:history="1">
            <w:r w:rsidRPr="00CE5E2D">
              <w:rPr>
                <w:rStyle w:val="Hyperlink"/>
                <w:rFonts w:ascii="Times New Roman" w:hAnsi="Times New Roman" w:cs="Times New Roman"/>
                <w:noProof/>
                <w:color w:val="auto"/>
                <w:sz w:val="24"/>
                <w:szCs w:val="24"/>
              </w:rPr>
              <w:t>1. Introduction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_Toc237195581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CE5E2D">
              <w:rPr>
                <w:rFonts w:ascii="Times New Roman" w:hAnsi="Times New Roman" w:cs="Times New Roman"/>
                <w:noProof/>
                <w:webHidden/>
                <w:sz w:val="24"/>
                <w:szCs w:val="24"/>
              </w:rPr>
              <w:fldChar w:fldCharType="end"/>
            </w:r>
          </w:hyperlink>
        </w:p>
        <w:p w14:paraId="5AE18982" w14:textId="069D3F9B"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hyperlink w:anchor="_Toc237195582" w:history="1">
            <w:r w:rsidRPr="00CE5E2D">
              <w:rPr>
                <w:rStyle w:val="Hyperlink"/>
                <w:rFonts w:ascii="Times New Roman" w:hAnsi="Times New Roman" w:cs="Times New Roman"/>
                <w:noProof/>
                <w:color w:val="auto"/>
                <w:sz w:val="24"/>
                <w:szCs w:val="24"/>
              </w:rPr>
              <w:t>2a. Identifying the Problem and Setting the System Context: Applying Systems Thinking and the Rich Picture</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_Toc237195582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CE5E2D">
              <w:rPr>
                <w:rFonts w:ascii="Times New Roman" w:hAnsi="Times New Roman" w:cs="Times New Roman"/>
                <w:noProof/>
                <w:webHidden/>
                <w:sz w:val="24"/>
                <w:szCs w:val="24"/>
              </w:rPr>
              <w:fldChar w:fldCharType="end"/>
            </w:r>
          </w:hyperlink>
        </w:p>
        <w:p w14:paraId="1965175F" w14:textId="14FDF09A"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83" w:history="1">
            <w:r w:rsidRPr="00CE5E2D">
              <w:rPr>
                <w:rStyle w:val="Hyperlink"/>
                <w:rFonts w:ascii="Times New Roman" w:hAnsi="Times New Roman" w:cs="Times New Roman"/>
                <w:noProof/>
                <w:color w:val="auto"/>
                <w:sz w:val="24"/>
                <w:szCs w:val="24"/>
              </w:rPr>
              <w:t>2a.1 The Central Problem</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_Toc237195583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CE5E2D">
              <w:rPr>
                <w:rFonts w:ascii="Times New Roman" w:hAnsi="Times New Roman" w:cs="Times New Roman"/>
                <w:noProof/>
                <w:webHidden/>
                <w:sz w:val="24"/>
                <w:szCs w:val="24"/>
              </w:rPr>
              <w:fldChar w:fldCharType="end"/>
            </w:r>
          </w:hyperlink>
        </w:p>
        <w:p w14:paraId="563E5481" w14:textId="4D5FCE96"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84" w:history="1">
            <w:r w:rsidRPr="00CE5E2D">
              <w:rPr>
                <w:rStyle w:val="Hyperlink"/>
                <w:rFonts w:ascii="Times New Roman" w:hAnsi="Times New Roman" w:cs="Times New Roman"/>
                <w:noProof/>
                <w:color w:val="auto"/>
                <w:sz w:val="24"/>
                <w:szCs w:val="24"/>
              </w:rPr>
              <w:t>2a.2 Global Statistical Context</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_Toc237195584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CE5E2D">
              <w:rPr>
                <w:rFonts w:ascii="Times New Roman" w:hAnsi="Times New Roman" w:cs="Times New Roman"/>
                <w:noProof/>
                <w:webHidden/>
                <w:sz w:val="24"/>
                <w:szCs w:val="24"/>
              </w:rPr>
              <w:fldChar w:fldCharType="end"/>
            </w:r>
          </w:hyperlink>
        </w:p>
        <w:p w14:paraId="303CAD29" w14:textId="62489577"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85" w:history="1">
            <w:r w:rsidRPr="00CE5E2D">
              <w:rPr>
                <w:rStyle w:val="Hyperlink"/>
                <w:rFonts w:ascii="Times New Roman" w:hAnsi="Times New Roman" w:cs="Times New Roman"/>
                <w:noProof/>
                <w:color w:val="auto"/>
                <w:sz w:val="24"/>
                <w:szCs w:val="24"/>
              </w:rPr>
              <w:t>2a.3 National Statistical Context</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_Toc237195585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CE5E2D">
              <w:rPr>
                <w:rFonts w:ascii="Times New Roman" w:hAnsi="Times New Roman" w:cs="Times New Roman"/>
                <w:noProof/>
                <w:webHidden/>
                <w:sz w:val="24"/>
                <w:szCs w:val="24"/>
              </w:rPr>
              <w:fldChar w:fldCharType="end"/>
            </w:r>
          </w:hyperlink>
        </w:p>
        <w:p w14:paraId="22CBBEA2" w14:textId="6F948F8D"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86" w:history="1">
            <w:r w:rsidRPr="00CE5E2D">
              <w:rPr>
                <w:rStyle w:val="Hyperlink"/>
                <w:rFonts w:ascii="Times New Roman" w:hAnsi="Times New Roman" w:cs="Times New Roman"/>
                <w:noProof/>
                <w:color w:val="auto"/>
                <w:sz w:val="24"/>
                <w:szCs w:val="24"/>
              </w:rPr>
              <w:t>2a.4 Figures from National Organisations in Global Context</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_Toc237195586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CE5E2D">
              <w:rPr>
                <w:rFonts w:ascii="Times New Roman" w:hAnsi="Times New Roman" w:cs="Times New Roman"/>
                <w:noProof/>
                <w:webHidden/>
                <w:sz w:val="24"/>
                <w:szCs w:val="24"/>
              </w:rPr>
              <w:fldChar w:fldCharType="end"/>
            </w:r>
          </w:hyperlink>
        </w:p>
        <w:p w14:paraId="7D5D244A" w14:textId="0252A355"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87" w:history="1">
            <w:r w:rsidRPr="00CE5E2D">
              <w:rPr>
                <w:rStyle w:val="Hyperlink"/>
                <w:rFonts w:ascii="Times New Roman" w:hAnsi="Times New Roman" w:cs="Times New Roman"/>
                <w:noProof/>
                <w:color w:val="auto"/>
                <w:sz w:val="24"/>
                <w:szCs w:val="24"/>
              </w:rPr>
              <w:t>2a.5 Systemic Weaknesses Reflected in the Case</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_Toc237195587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CE5E2D">
              <w:rPr>
                <w:rFonts w:ascii="Times New Roman" w:hAnsi="Times New Roman" w:cs="Times New Roman"/>
                <w:noProof/>
                <w:webHidden/>
                <w:sz w:val="24"/>
                <w:szCs w:val="24"/>
              </w:rPr>
              <w:fldChar w:fldCharType="end"/>
            </w:r>
          </w:hyperlink>
        </w:p>
        <w:p w14:paraId="79462A1C" w14:textId="295FA032"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88" w:history="1">
            <w:r w:rsidRPr="00CE5E2D">
              <w:rPr>
                <w:rStyle w:val="Hyperlink"/>
                <w:rFonts w:ascii="Times New Roman" w:hAnsi="Times New Roman" w:cs="Times New Roman"/>
                <w:noProof/>
                <w:color w:val="auto"/>
                <w:sz w:val="24"/>
                <w:szCs w:val="24"/>
              </w:rPr>
              <w:t>2a.6 Level of Governance Influencing the Problem</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_Toc237195588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CE5E2D">
              <w:rPr>
                <w:rFonts w:ascii="Times New Roman" w:hAnsi="Times New Roman" w:cs="Times New Roman"/>
                <w:noProof/>
                <w:webHidden/>
                <w:sz w:val="24"/>
                <w:szCs w:val="24"/>
              </w:rPr>
              <w:fldChar w:fldCharType="end"/>
            </w:r>
          </w:hyperlink>
        </w:p>
        <w:p w14:paraId="13CA5E80" w14:textId="69206DC7"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89" w:history="1">
            <w:r w:rsidRPr="00CE5E2D">
              <w:rPr>
                <w:rStyle w:val="Hyperlink"/>
                <w:rFonts w:ascii="Times New Roman" w:hAnsi="Times New Roman" w:cs="Times New Roman"/>
                <w:noProof/>
                <w:color w:val="auto"/>
                <w:sz w:val="24"/>
                <w:szCs w:val="24"/>
              </w:rPr>
              <w:t>2a.7 Underlying Challenges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_Toc237195589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CE5E2D">
              <w:rPr>
                <w:rFonts w:ascii="Times New Roman" w:hAnsi="Times New Roman" w:cs="Times New Roman"/>
                <w:noProof/>
                <w:webHidden/>
                <w:sz w:val="24"/>
                <w:szCs w:val="24"/>
              </w:rPr>
              <w:fldChar w:fldCharType="end"/>
            </w:r>
          </w:hyperlink>
        </w:p>
        <w:p w14:paraId="5597FE62" w14:textId="21084CFC"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90" w:history="1">
            <w:r w:rsidRPr="00CE5E2D">
              <w:rPr>
                <w:rStyle w:val="Hyperlink"/>
                <w:rFonts w:ascii="Times New Roman" w:hAnsi="Times New Roman" w:cs="Times New Roman"/>
                <w:noProof/>
                <w:color w:val="auto"/>
                <w:sz w:val="24"/>
                <w:szCs w:val="24"/>
              </w:rPr>
              <w:t>2a.8 Constructing a Rich Picture of Len's Case</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_Toc237195590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CE5E2D">
              <w:rPr>
                <w:rFonts w:ascii="Times New Roman" w:hAnsi="Times New Roman" w:cs="Times New Roman"/>
                <w:noProof/>
                <w:webHidden/>
                <w:sz w:val="24"/>
                <w:szCs w:val="24"/>
              </w:rPr>
              <w:fldChar w:fldCharType="end"/>
            </w:r>
          </w:hyperlink>
        </w:p>
        <w:p w14:paraId="4306E40C" w14:textId="41F6AD73"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hyperlink w:anchor="_Toc237195591" w:history="1">
            <w:r w:rsidRPr="00CE5E2D">
              <w:rPr>
                <w:rStyle w:val="Hyperlink"/>
                <w:rFonts w:ascii="Times New Roman" w:hAnsi="Times New Roman" w:cs="Times New Roman"/>
                <w:noProof/>
                <w:color w:val="auto"/>
                <w:sz w:val="24"/>
                <w:szCs w:val="24"/>
              </w:rPr>
              <w:t>2b. Centralisation or Decentralisation within the Case Study</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_Toc237195591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CE5E2D">
              <w:rPr>
                <w:rFonts w:ascii="Times New Roman" w:hAnsi="Times New Roman" w:cs="Times New Roman"/>
                <w:noProof/>
                <w:webHidden/>
                <w:sz w:val="24"/>
                <w:szCs w:val="24"/>
              </w:rPr>
              <w:fldChar w:fldCharType="end"/>
            </w:r>
          </w:hyperlink>
        </w:p>
        <w:p w14:paraId="7A677028" w14:textId="6751F82C"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92" w:history="1">
            <w:r w:rsidRPr="00CE5E2D">
              <w:rPr>
                <w:rStyle w:val="Hyperlink"/>
                <w:rFonts w:ascii="Times New Roman" w:hAnsi="Times New Roman" w:cs="Times New Roman"/>
                <w:noProof/>
                <w:color w:val="auto"/>
                <w:sz w:val="24"/>
                <w:szCs w:val="24"/>
              </w:rPr>
              <w:t>2b.1 Centralised Systems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_Toc237195592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CE5E2D">
              <w:rPr>
                <w:rFonts w:ascii="Times New Roman" w:hAnsi="Times New Roman" w:cs="Times New Roman"/>
                <w:noProof/>
                <w:webHidden/>
                <w:sz w:val="24"/>
                <w:szCs w:val="24"/>
              </w:rPr>
              <w:fldChar w:fldCharType="end"/>
            </w:r>
          </w:hyperlink>
        </w:p>
        <w:p w14:paraId="6D469987" w14:textId="02B7CFD3"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593" w:history="1">
            <w:r w:rsidRPr="00CE5E2D">
              <w:rPr>
                <w:rStyle w:val="Hyperlink"/>
                <w:rFonts w:ascii="Times New Roman" w:hAnsi="Times New Roman" w:cs="Times New Roman"/>
                <w:noProof/>
                <w:color w:val="auto"/>
                <w:sz w:val="24"/>
                <w:szCs w:val="24"/>
              </w:rPr>
              <w:t>Decision-making concentration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_Toc237195593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CE5E2D">
              <w:rPr>
                <w:rFonts w:ascii="Times New Roman" w:hAnsi="Times New Roman" w:cs="Times New Roman"/>
                <w:noProof/>
                <w:webHidden/>
                <w:sz w:val="24"/>
                <w:szCs w:val="24"/>
              </w:rPr>
              <w:fldChar w:fldCharType="end"/>
            </w:r>
          </w:hyperlink>
        </w:p>
        <w:p w14:paraId="487CB891" w14:textId="548A9F86"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594" w:history="1">
            <w:r w:rsidRPr="00CE5E2D">
              <w:rPr>
                <w:rStyle w:val="Hyperlink"/>
                <w:rFonts w:ascii="Times New Roman" w:hAnsi="Times New Roman" w:cs="Times New Roman"/>
                <w:noProof/>
                <w:color w:val="auto"/>
                <w:sz w:val="24"/>
                <w:szCs w:val="24"/>
              </w:rPr>
              <w:t>Advantages and disadvantages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_Toc237195594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CE5E2D">
              <w:rPr>
                <w:rFonts w:ascii="Times New Roman" w:hAnsi="Times New Roman" w:cs="Times New Roman"/>
                <w:noProof/>
                <w:webHidden/>
                <w:sz w:val="24"/>
                <w:szCs w:val="24"/>
              </w:rPr>
              <w:fldChar w:fldCharType="end"/>
            </w:r>
          </w:hyperlink>
        </w:p>
        <w:p w14:paraId="73C17B7F" w14:textId="3628C483"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595" w:history="1">
            <w:r w:rsidRPr="00CE5E2D">
              <w:rPr>
                <w:rStyle w:val="Hyperlink"/>
                <w:rFonts w:ascii="Times New Roman" w:hAnsi="Times New Roman" w:cs="Times New Roman"/>
                <w:noProof/>
                <w:color w:val="auto"/>
                <w:sz w:val="24"/>
                <w:szCs w:val="24"/>
              </w:rPr>
              <w:t>Supporting data</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_Toc237195595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CE5E2D">
              <w:rPr>
                <w:rFonts w:ascii="Times New Roman" w:hAnsi="Times New Roman" w:cs="Times New Roman"/>
                <w:noProof/>
                <w:webHidden/>
                <w:sz w:val="24"/>
                <w:szCs w:val="24"/>
              </w:rPr>
              <w:fldChar w:fldCharType="end"/>
            </w:r>
          </w:hyperlink>
        </w:p>
        <w:p w14:paraId="60ABBBC2" w14:textId="1F3BAAAA"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596" w:history="1">
            <w:r w:rsidRPr="00CE5E2D">
              <w:rPr>
                <w:rStyle w:val="Hyperlink"/>
                <w:rFonts w:ascii="Times New Roman" w:hAnsi="Times New Roman" w:cs="Times New Roman"/>
                <w:noProof/>
                <w:color w:val="auto"/>
                <w:sz w:val="24"/>
                <w:szCs w:val="24"/>
              </w:rPr>
              <w:t>2b.2 Decentralised Systems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_Toc237195596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CE5E2D">
              <w:rPr>
                <w:rFonts w:ascii="Times New Roman" w:hAnsi="Times New Roman" w:cs="Times New Roman"/>
                <w:noProof/>
                <w:webHidden/>
                <w:sz w:val="24"/>
                <w:szCs w:val="24"/>
              </w:rPr>
              <w:fldChar w:fldCharType="end"/>
            </w:r>
          </w:hyperlink>
        </w:p>
        <w:p w14:paraId="374EEECC" w14:textId="1029C6DA"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597" w:history="1">
            <w:r w:rsidRPr="00CE5E2D">
              <w:rPr>
                <w:rStyle w:val="Hyperlink"/>
                <w:rFonts w:ascii="Times New Roman" w:hAnsi="Times New Roman" w:cs="Times New Roman"/>
                <w:noProof/>
                <w:color w:val="auto"/>
                <w:sz w:val="24"/>
                <w:szCs w:val="24"/>
              </w:rPr>
              <w:t>Distribution of authority</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_Toc237195597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CE5E2D">
              <w:rPr>
                <w:rFonts w:ascii="Times New Roman" w:hAnsi="Times New Roman" w:cs="Times New Roman"/>
                <w:noProof/>
                <w:webHidden/>
                <w:sz w:val="24"/>
                <w:szCs w:val="24"/>
              </w:rPr>
              <w:fldChar w:fldCharType="end"/>
            </w:r>
          </w:hyperlink>
        </w:p>
        <w:p w14:paraId="6A2BE278" w14:textId="7B3F353E"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598" w:history="1">
            <w:r w:rsidRPr="00CE5E2D">
              <w:rPr>
                <w:rStyle w:val="Hyperlink"/>
                <w:rFonts w:ascii="Times New Roman" w:hAnsi="Times New Roman" w:cs="Times New Roman"/>
                <w:noProof/>
                <w:color w:val="auto"/>
                <w:sz w:val="24"/>
                <w:szCs w:val="24"/>
              </w:rPr>
              <w:t>Advantages and disadvantages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_Toc237195598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CE5E2D">
              <w:rPr>
                <w:rFonts w:ascii="Times New Roman" w:hAnsi="Times New Roman" w:cs="Times New Roman"/>
                <w:noProof/>
                <w:webHidden/>
                <w:sz w:val="24"/>
                <w:szCs w:val="24"/>
              </w:rPr>
              <w:fldChar w:fldCharType="end"/>
            </w:r>
          </w:hyperlink>
        </w:p>
        <w:p w14:paraId="309C180C" w14:textId="3CCDFB6C"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599" w:history="1">
            <w:r w:rsidRPr="00CE5E2D">
              <w:rPr>
                <w:rStyle w:val="Hyperlink"/>
                <w:rFonts w:ascii="Times New Roman" w:hAnsi="Times New Roman" w:cs="Times New Roman"/>
                <w:noProof/>
                <w:color w:val="auto"/>
                <w:sz w:val="24"/>
                <w:szCs w:val="24"/>
              </w:rPr>
              <w:t>Supporting data</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_Toc237195599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CE5E2D">
              <w:rPr>
                <w:rFonts w:ascii="Times New Roman" w:hAnsi="Times New Roman" w:cs="Times New Roman"/>
                <w:noProof/>
                <w:webHidden/>
                <w:sz w:val="24"/>
                <w:szCs w:val="24"/>
              </w:rPr>
              <w:fldChar w:fldCharType="end"/>
            </w:r>
          </w:hyperlink>
        </w:p>
        <w:p w14:paraId="6F5340E6" w14:textId="5737B6E1"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00" w:history="1">
            <w:r w:rsidRPr="00CE5E2D">
              <w:rPr>
                <w:rStyle w:val="Hyperlink"/>
                <w:rFonts w:ascii="Times New Roman" w:hAnsi="Times New Roman" w:cs="Times New Roman"/>
                <w:noProof/>
                <w:color w:val="auto"/>
                <w:sz w:val="24"/>
                <w:szCs w:val="24"/>
              </w:rPr>
              <w:t>2b.3 Critical Analysis: Comparing System Structures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_Toc237195600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CE5E2D">
              <w:rPr>
                <w:rFonts w:ascii="Times New Roman" w:hAnsi="Times New Roman" w:cs="Times New Roman"/>
                <w:noProof/>
                <w:webHidden/>
                <w:sz w:val="24"/>
                <w:szCs w:val="24"/>
              </w:rPr>
              <w:fldChar w:fldCharType="end"/>
            </w:r>
          </w:hyperlink>
        </w:p>
        <w:p w14:paraId="67EDAEC3" w14:textId="49D7FC23"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hyperlink w:anchor="_Toc237195601" w:history="1">
            <w:r w:rsidRPr="00CE5E2D">
              <w:rPr>
                <w:rStyle w:val="Hyperlink"/>
                <w:rFonts w:ascii="Times New Roman" w:hAnsi="Times New Roman" w:cs="Times New Roman"/>
                <w:noProof/>
                <w:color w:val="auto"/>
                <w:sz w:val="24"/>
                <w:szCs w:val="24"/>
              </w:rPr>
              <w:t>2c. Leadership Theories and Application to the Case Study</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_Toc237195601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CE5E2D">
              <w:rPr>
                <w:rFonts w:ascii="Times New Roman" w:hAnsi="Times New Roman" w:cs="Times New Roman"/>
                <w:noProof/>
                <w:webHidden/>
                <w:sz w:val="24"/>
                <w:szCs w:val="24"/>
              </w:rPr>
              <w:fldChar w:fldCharType="end"/>
            </w:r>
          </w:hyperlink>
        </w:p>
        <w:p w14:paraId="24566EBF" w14:textId="1427CA49"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02" w:history="1">
            <w:r w:rsidRPr="00CE5E2D">
              <w:rPr>
                <w:rStyle w:val="Hyperlink"/>
                <w:rFonts w:ascii="Times New Roman" w:hAnsi="Times New Roman" w:cs="Times New Roman"/>
                <w:noProof/>
                <w:color w:val="auto"/>
                <w:sz w:val="24"/>
                <w:szCs w:val="24"/>
              </w:rPr>
              <w:t>2c.1 Transformational Leadership</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_Toc237195602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CE5E2D">
              <w:rPr>
                <w:rFonts w:ascii="Times New Roman" w:hAnsi="Times New Roman" w:cs="Times New Roman"/>
                <w:noProof/>
                <w:webHidden/>
                <w:sz w:val="24"/>
                <w:szCs w:val="24"/>
              </w:rPr>
              <w:fldChar w:fldCharType="end"/>
            </w:r>
          </w:hyperlink>
        </w:p>
        <w:p w14:paraId="22E34B30" w14:textId="615776E8"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03" w:history="1">
            <w:r w:rsidRPr="00CE5E2D">
              <w:rPr>
                <w:rStyle w:val="Hyperlink"/>
                <w:rFonts w:ascii="Times New Roman" w:hAnsi="Times New Roman" w:cs="Times New Roman"/>
                <w:noProof/>
                <w:color w:val="auto"/>
                <w:sz w:val="24"/>
                <w:szCs w:val="24"/>
              </w:rPr>
              <w:t>2c.2 Transactional Leadership</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_Toc237195603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CE5E2D">
              <w:rPr>
                <w:rFonts w:ascii="Times New Roman" w:hAnsi="Times New Roman" w:cs="Times New Roman"/>
                <w:noProof/>
                <w:webHidden/>
                <w:sz w:val="24"/>
                <w:szCs w:val="24"/>
              </w:rPr>
              <w:fldChar w:fldCharType="end"/>
            </w:r>
          </w:hyperlink>
        </w:p>
        <w:p w14:paraId="04C833F4" w14:textId="18FCE785"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04" w:history="1">
            <w:r w:rsidRPr="00CE5E2D">
              <w:rPr>
                <w:rStyle w:val="Hyperlink"/>
                <w:rFonts w:ascii="Times New Roman" w:hAnsi="Times New Roman" w:cs="Times New Roman"/>
                <w:noProof/>
                <w:color w:val="auto"/>
                <w:sz w:val="24"/>
                <w:szCs w:val="24"/>
              </w:rPr>
              <w:t>2c.3 Situational Leadership</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_Toc237195604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CE5E2D">
              <w:rPr>
                <w:rFonts w:ascii="Times New Roman" w:hAnsi="Times New Roman" w:cs="Times New Roman"/>
                <w:noProof/>
                <w:webHidden/>
                <w:sz w:val="24"/>
                <w:szCs w:val="24"/>
              </w:rPr>
              <w:fldChar w:fldCharType="end"/>
            </w:r>
          </w:hyperlink>
        </w:p>
        <w:p w14:paraId="0F7DBE02" w14:textId="7D4A0AEE"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05" w:history="1">
            <w:r w:rsidRPr="00CE5E2D">
              <w:rPr>
                <w:rStyle w:val="Hyperlink"/>
                <w:rFonts w:ascii="Times New Roman" w:hAnsi="Times New Roman" w:cs="Times New Roman"/>
                <w:noProof/>
                <w:color w:val="auto"/>
                <w:sz w:val="24"/>
                <w:szCs w:val="24"/>
              </w:rPr>
              <w:t>2c.4 Was the Leadership Style Appropriate, and Was It Reactive or Proactive?</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_Toc237195605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CE5E2D">
              <w:rPr>
                <w:rFonts w:ascii="Times New Roman" w:hAnsi="Times New Roman" w:cs="Times New Roman"/>
                <w:noProof/>
                <w:webHidden/>
                <w:sz w:val="24"/>
                <w:szCs w:val="24"/>
              </w:rPr>
              <w:fldChar w:fldCharType="end"/>
            </w:r>
          </w:hyperlink>
        </w:p>
        <w:p w14:paraId="65EF0633" w14:textId="3354AA5A"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06" w:history="1">
            <w:r w:rsidRPr="00CE5E2D">
              <w:rPr>
                <w:rStyle w:val="Hyperlink"/>
                <w:rFonts w:ascii="Times New Roman" w:hAnsi="Times New Roman" w:cs="Times New Roman"/>
                <w:noProof/>
                <w:color w:val="auto"/>
                <w:sz w:val="24"/>
                <w:szCs w:val="24"/>
              </w:rPr>
              <w:t>2c.5 What Could Have Been Done Differently</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_Toc237195606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CE5E2D">
              <w:rPr>
                <w:rFonts w:ascii="Times New Roman" w:hAnsi="Times New Roman" w:cs="Times New Roman"/>
                <w:noProof/>
                <w:webHidden/>
                <w:sz w:val="24"/>
                <w:szCs w:val="24"/>
              </w:rPr>
              <w:fldChar w:fldCharType="end"/>
            </w:r>
          </w:hyperlink>
        </w:p>
        <w:p w14:paraId="1DCDCA91" w14:textId="7EC31059"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hyperlink w:anchor="_Toc237195607" w:history="1">
            <w:r w:rsidRPr="00CE5E2D">
              <w:rPr>
                <w:rStyle w:val="Hyperlink"/>
                <w:rFonts w:ascii="Times New Roman" w:hAnsi="Times New Roman" w:cs="Times New Roman"/>
                <w:noProof/>
                <w:color w:val="auto"/>
                <w:sz w:val="24"/>
                <w:szCs w:val="24"/>
              </w:rPr>
              <w:t>2d. Improvement and Lessons Learned</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_Toc237195607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CE5E2D">
              <w:rPr>
                <w:rFonts w:ascii="Times New Roman" w:hAnsi="Times New Roman" w:cs="Times New Roman"/>
                <w:noProof/>
                <w:webHidden/>
                <w:sz w:val="24"/>
                <w:szCs w:val="24"/>
              </w:rPr>
              <w:fldChar w:fldCharType="end"/>
            </w:r>
          </w:hyperlink>
        </w:p>
        <w:p w14:paraId="7AE0CFB3" w14:textId="547CDDF7"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08" w:history="1">
            <w:r w:rsidRPr="00CE5E2D">
              <w:rPr>
                <w:rStyle w:val="Hyperlink"/>
                <w:rFonts w:ascii="Times New Roman" w:hAnsi="Times New Roman" w:cs="Times New Roman"/>
                <w:noProof/>
                <w:color w:val="auto"/>
                <w:sz w:val="24"/>
                <w:szCs w:val="24"/>
              </w:rPr>
              <w:t>2d.1 How Leadership and Governance Interacted to Produce the Outcome</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_Toc237195608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CE5E2D">
              <w:rPr>
                <w:rFonts w:ascii="Times New Roman" w:hAnsi="Times New Roman" w:cs="Times New Roman"/>
                <w:noProof/>
                <w:webHidden/>
                <w:sz w:val="24"/>
                <w:szCs w:val="24"/>
              </w:rPr>
              <w:fldChar w:fldCharType="end"/>
            </w:r>
          </w:hyperlink>
        </w:p>
        <w:p w14:paraId="1D8CFA9E" w14:textId="4AE1A4FA"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609" w:history="1">
            <w:r w:rsidRPr="00CE5E2D">
              <w:rPr>
                <w:rStyle w:val="Hyperlink"/>
                <w:rFonts w:ascii="Times New Roman" w:hAnsi="Times New Roman" w:cs="Times New Roman"/>
                <w:noProof/>
                <w:color w:val="auto"/>
                <w:sz w:val="24"/>
                <w:szCs w:val="24"/>
              </w:rPr>
              <w:t>2d.1.1 Hierarchical Leadership and the Diffusion of Accountability</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_Toc237195609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CE5E2D">
              <w:rPr>
                <w:rFonts w:ascii="Times New Roman" w:hAnsi="Times New Roman" w:cs="Times New Roman"/>
                <w:noProof/>
                <w:webHidden/>
                <w:sz w:val="24"/>
                <w:szCs w:val="24"/>
              </w:rPr>
              <w:fldChar w:fldCharType="end"/>
            </w:r>
          </w:hyperlink>
        </w:p>
        <w:p w14:paraId="44774B27" w14:textId="349BB5C3"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610" w:history="1">
            <w:r w:rsidRPr="00CE5E2D">
              <w:rPr>
                <w:rStyle w:val="Hyperlink"/>
                <w:rFonts w:ascii="Times New Roman" w:hAnsi="Times New Roman" w:cs="Times New Roman"/>
                <w:noProof/>
                <w:color w:val="auto"/>
                <w:sz w:val="24"/>
                <w:szCs w:val="24"/>
              </w:rPr>
              <w:t>2d.1.2 Governance Gaps in Medicines Communication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_Toc237195610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CE5E2D">
              <w:rPr>
                <w:rFonts w:ascii="Times New Roman" w:hAnsi="Times New Roman" w:cs="Times New Roman"/>
                <w:noProof/>
                <w:webHidden/>
                <w:sz w:val="24"/>
                <w:szCs w:val="24"/>
              </w:rPr>
              <w:fldChar w:fldCharType="end"/>
            </w:r>
          </w:hyperlink>
        </w:p>
        <w:p w14:paraId="2F8AE326" w14:textId="040C4243"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11" w:history="1">
            <w:r w:rsidRPr="00CE5E2D">
              <w:rPr>
                <w:rStyle w:val="Hyperlink"/>
                <w:rFonts w:ascii="Times New Roman" w:hAnsi="Times New Roman" w:cs="Times New Roman"/>
                <w:noProof/>
                <w:color w:val="auto"/>
                <w:sz w:val="24"/>
                <w:szCs w:val="24"/>
              </w:rPr>
              <w:t>2d.2 Missed Opportunities and Evidence-Based Solutions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_Toc237195611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CE5E2D">
              <w:rPr>
                <w:rFonts w:ascii="Times New Roman" w:hAnsi="Times New Roman" w:cs="Times New Roman"/>
                <w:noProof/>
                <w:webHidden/>
                <w:sz w:val="24"/>
                <w:szCs w:val="24"/>
              </w:rPr>
              <w:fldChar w:fldCharType="end"/>
            </w:r>
          </w:hyperlink>
        </w:p>
        <w:p w14:paraId="7E38E352" w14:textId="48611AEB"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12" w:history="1">
            <w:r w:rsidRPr="00CE5E2D">
              <w:rPr>
                <w:rStyle w:val="Hyperlink"/>
                <w:rFonts w:ascii="Times New Roman" w:hAnsi="Times New Roman" w:cs="Times New Roman"/>
                <w:noProof/>
                <w:color w:val="auto"/>
                <w:sz w:val="24"/>
                <w:szCs w:val="24"/>
              </w:rPr>
              <w:t>2d.3 Linking System Structure, Leadership and Feedback</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_Toc237195612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CE5E2D">
              <w:rPr>
                <w:rFonts w:ascii="Times New Roman" w:hAnsi="Times New Roman" w:cs="Times New Roman"/>
                <w:noProof/>
                <w:webHidden/>
                <w:sz w:val="24"/>
                <w:szCs w:val="24"/>
              </w:rPr>
              <w:fldChar w:fldCharType="end"/>
            </w:r>
          </w:hyperlink>
        </w:p>
        <w:p w14:paraId="6775BBAB" w14:textId="0B747E48"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613" w:history="1">
            <w:r w:rsidRPr="00CE5E2D">
              <w:rPr>
                <w:rStyle w:val="Hyperlink"/>
                <w:rFonts w:ascii="Times New Roman" w:hAnsi="Times New Roman" w:cs="Times New Roman"/>
                <w:noProof/>
                <w:color w:val="auto"/>
                <w:sz w:val="24"/>
                <w:szCs w:val="24"/>
              </w:rPr>
              <w:t>2d.3.1 Interaction of Structure, Leadership Style and Feedback</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_Toc237195613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CE5E2D">
              <w:rPr>
                <w:rFonts w:ascii="Times New Roman" w:hAnsi="Times New Roman" w:cs="Times New Roman"/>
                <w:noProof/>
                <w:webHidden/>
                <w:sz w:val="24"/>
                <w:szCs w:val="24"/>
              </w:rPr>
              <w:fldChar w:fldCharType="end"/>
            </w:r>
          </w:hyperlink>
        </w:p>
        <w:p w14:paraId="2AAD8B21" w14:textId="6F3460FB"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614" w:history="1">
            <w:r w:rsidRPr="00CE5E2D">
              <w:rPr>
                <w:rStyle w:val="Hyperlink"/>
                <w:rFonts w:ascii="Times New Roman" w:hAnsi="Times New Roman" w:cs="Times New Roman"/>
                <w:noProof/>
                <w:color w:val="auto"/>
                <w:sz w:val="24"/>
                <w:szCs w:val="24"/>
              </w:rPr>
              <w:t>2d.3.2 Lessons for Other Health Organisations</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_Toc237195614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CE5E2D">
              <w:rPr>
                <w:rFonts w:ascii="Times New Roman" w:hAnsi="Times New Roman" w:cs="Times New Roman"/>
                <w:noProof/>
                <w:webHidden/>
                <w:sz w:val="24"/>
                <w:szCs w:val="24"/>
              </w:rPr>
              <w:fldChar w:fldCharType="end"/>
            </w:r>
          </w:hyperlink>
        </w:p>
        <w:p w14:paraId="5EBF3C11" w14:textId="17DDD28B" w:rsidR="00CE5E2D" w:rsidRPr="00CE5E2D" w:rsidRDefault="00CE5E2D" w:rsidP="00CE5E2D">
          <w:pPr>
            <w:pStyle w:val="TOC3"/>
            <w:tabs>
              <w:tab w:val="right" w:leader="dot" w:pos="9736"/>
            </w:tabs>
            <w:spacing w:afterAutospacing="1" w:line="360" w:lineRule="auto"/>
            <w:jc w:val="both"/>
            <w:rPr>
              <w:rFonts w:ascii="Times New Roman" w:hAnsi="Times New Roman" w:cs="Times New Roman"/>
              <w:noProof/>
              <w:sz w:val="24"/>
              <w:szCs w:val="24"/>
            </w:rPr>
          </w:pPr>
          <w:hyperlink w:anchor="_Toc237195615" w:history="1">
            <w:r w:rsidRPr="00CE5E2D">
              <w:rPr>
                <w:rStyle w:val="Hyperlink"/>
                <w:rFonts w:ascii="Times New Roman" w:hAnsi="Times New Roman" w:cs="Times New Roman"/>
                <w:noProof/>
                <w:color w:val="auto"/>
                <w:sz w:val="24"/>
                <w:szCs w:val="24"/>
              </w:rPr>
              <w:t>2d.3.3 Using Evidence and Data for Continuous Improvement and Accountability</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_Toc237195615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CE5E2D">
              <w:rPr>
                <w:rFonts w:ascii="Times New Roman" w:hAnsi="Times New Roman" w:cs="Times New Roman"/>
                <w:noProof/>
                <w:webHidden/>
                <w:sz w:val="24"/>
                <w:szCs w:val="24"/>
              </w:rPr>
              <w:fldChar w:fldCharType="end"/>
            </w:r>
          </w:hyperlink>
        </w:p>
        <w:p w14:paraId="6970322A" w14:textId="21DA1565"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hyperlink w:anchor="_Toc237195616" w:history="1">
            <w:r w:rsidRPr="00CE5E2D">
              <w:rPr>
                <w:rStyle w:val="Hyperlink"/>
                <w:rFonts w:ascii="Times New Roman" w:hAnsi="Times New Roman" w:cs="Times New Roman"/>
                <w:noProof/>
                <w:color w:val="auto"/>
                <w:sz w:val="24"/>
                <w:szCs w:val="24"/>
              </w:rPr>
              <w:t>3. Recommendation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_Toc237195616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CE5E2D">
              <w:rPr>
                <w:rFonts w:ascii="Times New Roman" w:hAnsi="Times New Roman" w:cs="Times New Roman"/>
                <w:noProof/>
                <w:webHidden/>
                <w:sz w:val="24"/>
                <w:szCs w:val="24"/>
              </w:rPr>
              <w:fldChar w:fldCharType="end"/>
            </w:r>
          </w:hyperlink>
        </w:p>
        <w:p w14:paraId="104154DF" w14:textId="5A3335D0"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17" w:history="1">
            <w:r w:rsidRPr="00CE5E2D">
              <w:rPr>
                <w:rStyle w:val="Hyperlink"/>
                <w:rFonts w:ascii="Times New Roman" w:hAnsi="Times New Roman" w:cs="Times New Roman"/>
                <w:noProof/>
                <w:color w:val="auto"/>
                <w:sz w:val="24"/>
                <w:szCs w:val="24"/>
              </w:rPr>
              <w:t>3.1 Immediate Priorities for the Organisation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_Toc237195617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CE5E2D">
              <w:rPr>
                <w:rFonts w:ascii="Times New Roman" w:hAnsi="Times New Roman" w:cs="Times New Roman"/>
                <w:noProof/>
                <w:webHidden/>
                <w:sz w:val="24"/>
                <w:szCs w:val="24"/>
              </w:rPr>
              <w:fldChar w:fldCharType="end"/>
            </w:r>
          </w:hyperlink>
        </w:p>
        <w:p w14:paraId="356199CC" w14:textId="304736E8"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18" w:history="1">
            <w:r w:rsidRPr="00CE5E2D">
              <w:rPr>
                <w:rStyle w:val="Hyperlink"/>
                <w:rFonts w:ascii="Times New Roman" w:hAnsi="Times New Roman" w:cs="Times New Roman"/>
                <w:noProof/>
                <w:color w:val="auto"/>
                <w:sz w:val="24"/>
                <w:szCs w:val="24"/>
              </w:rPr>
              <w:t>3.2 Recommended Leadership Style</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_Toc237195618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CE5E2D">
              <w:rPr>
                <w:rFonts w:ascii="Times New Roman" w:hAnsi="Times New Roman" w:cs="Times New Roman"/>
                <w:noProof/>
                <w:webHidden/>
                <w:sz w:val="24"/>
                <w:szCs w:val="24"/>
              </w:rPr>
              <w:fldChar w:fldCharType="end"/>
            </w:r>
          </w:hyperlink>
        </w:p>
        <w:p w14:paraId="7C55F615" w14:textId="51098966"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19" w:history="1">
            <w:r w:rsidRPr="00CE5E2D">
              <w:rPr>
                <w:rStyle w:val="Hyperlink"/>
                <w:rFonts w:ascii="Times New Roman" w:hAnsi="Times New Roman" w:cs="Times New Roman"/>
                <w:noProof/>
                <w:color w:val="auto"/>
                <w:sz w:val="24"/>
                <w:szCs w:val="24"/>
              </w:rPr>
              <w:t>3.3 Strengthening Governance, Communication and Systems Integration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_Toc237195619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CE5E2D">
              <w:rPr>
                <w:rFonts w:ascii="Times New Roman" w:hAnsi="Times New Roman" w:cs="Times New Roman"/>
                <w:noProof/>
                <w:webHidden/>
                <w:sz w:val="24"/>
                <w:szCs w:val="24"/>
              </w:rPr>
              <w:fldChar w:fldCharType="end"/>
            </w:r>
          </w:hyperlink>
        </w:p>
        <w:p w14:paraId="08CE6EB5" w14:textId="0525F612"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20" w:history="1">
            <w:r w:rsidRPr="00CE5E2D">
              <w:rPr>
                <w:rStyle w:val="Hyperlink"/>
                <w:rFonts w:ascii="Times New Roman" w:hAnsi="Times New Roman" w:cs="Times New Roman"/>
                <w:noProof/>
                <w:color w:val="auto"/>
                <w:sz w:val="24"/>
                <w:szCs w:val="24"/>
              </w:rPr>
              <w:t>3.4 Enhancing Technical and Allocative Efficiency</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_Toc237195620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CE5E2D">
              <w:rPr>
                <w:rFonts w:ascii="Times New Roman" w:hAnsi="Times New Roman" w:cs="Times New Roman"/>
                <w:noProof/>
                <w:webHidden/>
                <w:sz w:val="24"/>
                <w:szCs w:val="24"/>
              </w:rPr>
              <w:fldChar w:fldCharType="end"/>
            </w:r>
          </w:hyperlink>
        </w:p>
        <w:p w14:paraId="7279B898" w14:textId="5583101F" w:rsidR="00CE5E2D" w:rsidRPr="00CE5E2D" w:rsidRDefault="00CE5E2D" w:rsidP="00CE5E2D">
          <w:pPr>
            <w:pStyle w:val="TOC2"/>
            <w:tabs>
              <w:tab w:val="right" w:leader="dot" w:pos="9736"/>
            </w:tabs>
            <w:spacing w:afterAutospacing="1" w:line="360" w:lineRule="auto"/>
            <w:jc w:val="both"/>
            <w:rPr>
              <w:rFonts w:ascii="Times New Roman" w:hAnsi="Times New Roman" w:cs="Times New Roman"/>
              <w:noProof/>
              <w:sz w:val="24"/>
              <w:szCs w:val="24"/>
            </w:rPr>
          </w:pPr>
          <w:hyperlink w:anchor="_Toc237195621" w:history="1">
            <w:r w:rsidRPr="00CE5E2D">
              <w:rPr>
                <w:rStyle w:val="Hyperlink"/>
                <w:rFonts w:ascii="Times New Roman" w:hAnsi="Times New Roman" w:cs="Times New Roman"/>
                <w:noProof/>
                <w:color w:val="auto"/>
                <w:sz w:val="24"/>
                <w:szCs w:val="24"/>
              </w:rPr>
              <w:t>3.5 Continuous Learning, Stakeholder Engagement and Co-Production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_Toc237195621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CE5E2D">
              <w:rPr>
                <w:rFonts w:ascii="Times New Roman" w:hAnsi="Times New Roman" w:cs="Times New Roman"/>
                <w:noProof/>
                <w:webHidden/>
                <w:sz w:val="24"/>
                <w:szCs w:val="24"/>
              </w:rPr>
              <w:fldChar w:fldCharType="end"/>
            </w:r>
          </w:hyperlink>
        </w:p>
        <w:p w14:paraId="42AB8AD1" w14:textId="63058733"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hyperlink w:anchor="_Toc237195622" w:history="1">
            <w:r w:rsidRPr="00CE5E2D">
              <w:rPr>
                <w:rStyle w:val="Hyperlink"/>
                <w:rFonts w:ascii="Times New Roman" w:hAnsi="Times New Roman" w:cs="Times New Roman"/>
                <w:noProof/>
                <w:color w:val="auto"/>
                <w:sz w:val="24"/>
                <w:szCs w:val="24"/>
              </w:rPr>
              <w:t>4. Conclusion</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_Toc237195622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CE5E2D">
              <w:rPr>
                <w:rFonts w:ascii="Times New Roman" w:hAnsi="Times New Roman" w:cs="Times New Roman"/>
                <w:noProof/>
                <w:webHidden/>
                <w:sz w:val="24"/>
                <w:szCs w:val="24"/>
              </w:rPr>
              <w:fldChar w:fldCharType="end"/>
            </w:r>
          </w:hyperlink>
        </w:p>
        <w:p w14:paraId="49F94778" w14:textId="092BADDC" w:rsidR="00CE5E2D" w:rsidRPr="00CE5E2D" w:rsidRDefault="00CE5E2D" w:rsidP="00CE5E2D">
          <w:pPr>
            <w:pStyle w:val="TOC1"/>
            <w:tabs>
              <w:tab w:val="right" w:leader="dot" w:pos="9736"/>
            </w:tabs>
            <w:spacing w:afterAutospacing="1" w:line="360" w:lineRule="auto"/>
            <w:jc w:val="both"/>
            <w:rPr>
              <w:rFonts w:ascii="Times New Roman" w:hAnsi="Times New Roman" w:cs="Times New Roman"/>
              <w:noProof/>
              <w:sz w:val="24"/>
              <w:szCs w:val="24"/>
            </w:rPr>
          </w:pPr>
          <w:hyperlink w:anchor="_Toc237195623" w:history="1">
            <w:r w:rsidRPr="00CE5E2D">
              <w:rPr>
                <w:rStyle w:val="Hyperlink"/>
                <w:rFonts w:ascii="Times New Roman" w:hAnsi="Times New Roman" w:cs="Times New Roman"/>
                <w:noProof/>
                <w:color w:val="auto"/>
                <w:sz w:val="24"/>
                <w:szCs w:val="24"/>
              </w:rPr>
              <w:t>Reference List</w:t>
            </w:r>
            <w:r w:rsidRPr="00CE5E2D">
              <w:rPr>
                <w:rFonts w:ascii="Times New Roman" w:hAnsi="Times New Roman" w:cs="Times New Roman"/>
                <w:noProof/>
                <w:webHidden/>
                <w:sz w:val="24"/>
                <w:szCs w:val="24"/>
              </w:rPr>
              <w:tab/>
            </w:r>
            <w:r w:rsidRPr="00CE5E2D">
              <w:rPr>
                <w:rFonts w:ascii="Times New Roman" w:hAnsi="Times New Roman" w:cs="Times New Roman"/>
                <w:noProof/>
                <w:webHidden/>
                <w:sz w:val="24"/>
                <w:szCs w:val="24"/>
              </w:rPr>
              <w:fldChar w:fldCharType="begin"/>
            </w:r>
            <w:r w:rsidRPr="00CE5E2D">
              <w:rPr>
                <w:rFonts w:ascii="Times New Roman" w:hAnsi="Times New Roman" w:cs="Times New Roman"/>
                <w:noProof/>
                <w:webHidden/>
                <w:sz w:val="24"/>
                <w:szCs w:val="24"/>
              </w:rPr>
              <w:instrText xml:space="preserve"> PAGEREF _Toc237195623 \h </w:instrText>
            </w:r>
            <w:r w:rsidRPr="00CE5E2D">
              <w:rPr>
                <w:rFonts w:ascii="Times New Roman" w:hAnsi="Times New Roman" w:cs="Times New Roman"/>
                <w:noProof/>
                <w:webHidden/>
                <w:sz w:val="24"/>
                <w:szCs w:val="24"/>
              </w:rPr>
            </w:r>
            <w:r w:rsidRPr="00CE5E2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CE5E2D">
              <w:rPr>
                <w:rFonts w:ascii="Times New Roman" w:hAnsi="Times New Roman" w:cs="Times New Roman"/>
                <w:noProof/>
                <w:webHidden/>
                <w:sz w:val="24"/>
                <w:szCs w:val="24"/>
              </w:rPr>
              <w:fldChar w:fldCharType="end"/>
            </w:r>
          </w:hyperlink>
        </w:p>
        <w:p w14:paraId="5A1D524E" w14:textId="3BAAB5B0" w:rsidR="00CE5E2D" w:rsidRDefault="00CE5E2D" w:rsidP="00CE5E2D">
          <w:pPr>
            <w:spacing w:after="100" w:afterAutospacing="1" w:line="360" w:lineRule="auto"/>
            <w:jc w:val="both"/>
          </w:pPr>
          <w:r w:rsidRPr="00CE5E2D">
            <w:rPr>
              <w:rFonts w:ascii="Times New Roman" w:hAnsi="Times New Roman" w:cs="Times New Roman"/>
              <w:b/>
              <w:bCs/>
              <w:sz w:val="24"/>
              <w:szCs w:val="24"/>
              <w:lang w:val="en-GB"/>
            </w:rPr>
            <w:fldChar w:fldCharType="end"/>
          </w:r>
        </w:p>
      </w:sdtContent>
    </w:sdt>
    <w:p w14:paraId="5DF8E61A" w14:textId="77777777" w:rsidR="00CE5E2D" w:rsidRDefault="00CE5E2D">
      <w:pPr>
        <w:rPr>
          <w:rFonts w:ascii="Times New Roman" w:hAnsi="Times New Roman" w:cs="Times New Roman"/>
          <w:b/>
          <w:bCs/>
          <w:sz w:val="24"/>
          <w:szCs w:val="24"/>
        </w:rPr>
      </w:pPr>
      <w:r>
        <w:br w:type="page"/>
      </w:r>
    </w:p>
    <w:p w14:paraId="4608FAE2" w14:textId="6005EA43" w:rsidR="004C3FA8" w:rsidRPr="00CE5E2D" w:rsidRDefault="00401B0B" w:rsidP="00CE5E2D">
      <w:pPr>
        <w:pStyle w:val="Heading1"/>
      </w:pPr>
      <w:bookmarkStart w:id="0" w:name="_Toc237195581"/>
      <w:r w:rsidRPr="00CE5E2D">
        <w:lastRenderedPageBreak/>
        <w:t>1. Introduction</w:t>
      </w:r>
      <w:bookmarkEnd w:id="0"/>
    </w:p>
    <w:p w14:paraId="65AF54F4" w14:textId="5C521E03" w:rsidR="00683197"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Case Study 3 presented in this report is based on an accidental morphine sulphate oral solution overdose that claimed the life of a patient, an 89-year-old man with a history of Charcot-Marie-Tooth (CMT) disease. Len had lost consciousness and was suffering with a sore chest and dyspnoea; he had talked to his GP, and was admitted to a hospital and on that particular day was prescribed a morphine oral solution to help relieve the pain. A misinterpretation between Len and his wife on the dosing instructions on the label led to an amount of dose being injected that was very high. The next morning, he was found unresponsive and was admitted with a considered overdose, pneumonia and a complication of his underlying CMT; he subsequently died and the dosing error was not discovered until after his death.</w:t>
      </w:r>
    </w:p>
    <w:p w14:paraId="125AFC45" w14:textId="72311F5B" w:rsidR="00683197"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In the following report, the principle that inspires the approach is the case of Len, which can be used as a prism to study the leadership and organisation in health and social care. In addition to this, it can also be stated that a concept of leadership here is viewed as the activity of impacting people and groups to achieve common objectives of safe, quality and person-centred care, instead of having a particular list of traits possessed by an individual.</w:t>
      </w:r>
    </w:p>
    <w:p w14:paraId="478C9E8F" w14:textId="77777777" w:rsidR="00683197"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process of the decisions being made at the high or corporate levels in an organisation or a system is called centralisation and, the process of the decisions being made at the local, frontline or peripheral levels is called decentralisation. The leadership style affects both of the structures: the transformational leadership, which is based on the collective vision, motivation and invention of the followers; and the transactional Leadership, which is based on the roles, reward, corrective feedback and situational Leadership changes the willingness and the abilities of the followers at a specific time.</w:t>
      </w:r>
    </w:p>
    <w:p w14:paraId="62AD1747" w14:textId="78ABB654"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choice of leadership style is important since incompatible leadership, especially in the case of care transition (i.e. hospital discharge), may permit gaps in communication and lack of clarity in accountability which may have life-threatening outcomes. This report thus details, respectively, the systemic context of the problem applying the systems thinking and a Rich Picture; whether the organisations engaged in caring about Len did so in a centralised or decentralised manner and the consequences of that; and the leadership theories most applicable to explaining and, possibly, preventing the failures that were in the case of Len.</w:t>
      </w:r>
    </w:p>
    <w:p w14:paraId="2562EAB1" w14:textId="77777777" w:rsidR="004C3FA8" w:rsidRPr="00CE5E2D" w:rsidRDefault="00401B0B" w:rsidP="00CE5E2D">
      <w:pPr>
        <w:pStyle w:val="Heading1"/>
      </w:pPr>
      <w:bookmarkStart w:id="1" w:name="_Toc237195582"/>
      <w:r w:rsidRPr="00CE5E2D">
        <w:lastRenderedPageBreak/>
        <w:t>2a. Identifying the Problem and Setting the System Context: Applying Systems Thinking and the Rich Picture</w:t>
      </w:r>
      <w:bookmarkEnd w:id="1"/>
    </w:p>
    <w:p w14:paraId="5ED2515B" w14:textId="77777777" w:rsidR="004C3FA8" w:rsidRPr="00CE5E2D" w:rsidRDefault="00401B0B" w:rsidP="00CE5E2D">
      <w:pPr>
        <w:pStyle w:val="Heading2"/>
      </w:pPr>
      <w:bookmarkStart w:id="2" w:name="_Toc237195583"/>
      <w:r w:rsidRPr="00CE5E2D">
        <w:t>2a.1 The Central Problem</w:t>
      </w:r>
      <w:bookmarkEnd w:id="2"/>
    </w:p>
    <w:p w14:paraId="4587EDB8" w14:textId="0433FB1A"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major issue with the case of Len was the fact that the main problem can be attributed to an accidental overdose of morphine sulphate oral solution that occurred due to the miscommunication between the clinical team that was discharging Len, him, and his informal carer, his wife. This was further complicated by underlying frailty, respiratory impairment as a result of CMT and an ensuing hospital acquired pneumonia. The case study is neither an isolated instance of clinical negligence but an exemplar of a larger, national and international familiar cluster of harm: preventable harm during a transition between care environments, which is related to medication.</w:t>
      </w:r>
    </w:p>
    <w:p w14:paraId="0AB787A2" w14:textId="77777777" w:rsidR="004C3FA8" w:rsidRPr="00CE5E2D" w:rsidRDefault="00401B0B" w:rsidP="00CE5E2D">
      <w:pPr>
        <w:pStyle w:val="Heading2"/>
      </w:pPr>
      <w:bookmarkStart w:id="3" w:name="_Toc237195584"/>
      <w:r w:rsidRPr="00CE5E2D">
        <w:t>2a.2 Global Statistical Context</w:t>
      </w:r>
      <w:bookmarkEnd w:id="3"/>
    </w:p>
    <w:p w14:paraId="19567770" w14:textId="231BAEEE"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Medication Without Harm, as stipulated by WHO as the seventh primary objective of the third Global Patient Safety Challenge, is another term that means despite the medication errors being among the most widely occurring harm-inducing instances to patients globally, the global burden of harm caused by medications is reported by the WHO, and the policy brief describes high-risk situations such as high-risk polypharmacy and transitions of care as the high-priority area of where the harm reduction recommendations are to be issued globally (Waller et al., 2026). Opioid painkillers like morphine have continuously been named as a high-risk medication group in the elderly due to alterations in renal and hepatic clearance with age that elevate the susceptibility to adverse events as dosages increase and they are tolerated by younger adults (Dufort and Samaan, 2021).</w:t>
      </w:r>
    </w:p>
    <w:p w14:paraId="2530B54B" w14:textId="77777777" w:rsidR="004C3FA8" w:rsidRPr="00CE5E2D" w:rsidRDefault="00401B0B" w:rsidP="00CE5E2D">
      <w:pPr>
        <w:pStyle w:val="Heading2"/>
      </w:pPr>
      <w:bookmarkStart w:id="4" w:name="_Toc237195585"/>
      <w:r w:rsidRPr="00CE5E2D">
        <w:t>2a.3 National Statistical Context</w:t>
      </w:r>
      <w:bookmarkEnd w:id="4"/>
    </w:p>
    <w:p w14:paraId="35C40796" w14:textId="0999FFE7"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Within the English National Health Service, the composition of inpatient ward staffing has been identified to directly and significantly relate to patient mortality; a longitudinal retrospective study of three NHS hospitals concluded that being below target registered nurse staffing levels was significantly linked with high chances of inpatient mortality (Zaranko et al., 2022). This is particularly relevant in scenarios such as in the case of Len whereby the discharge process, medicines counselling and post-discharge follow-up are all processes that </w:t>
      </w:r>
      <w:r w:rsidRPr="00CE5E2D">
        <w:rPr>
          <w:rFonts w:ascii="Times New Roman" w:hAnsi="Times New Roman" w:cs="Times New Roman"/>
          <w:sz w:val="24"/>
          <w:szCs w:val="24"/>
        </w:rPr>
        <w:lastRenderedPageBreak/>
        <w:t>need adequately staffed and adequately time resource endowed nurses and pharmacy teams (Dufort and Samaan, 2021).</w:t>
      </w:r>
    </w:p>
    <w:p w14:paraId="3C63CA5A" w14:textId="77777777" w:rsidR="004C3FA8" w:rsidRPr="00CE5E2D" w:rsidRDefault="00401B0B" w:rsidP="00CE5E2D">
      <w:pPr>
        <w:pStyle w:val="Heading2"/>
      </w:pPr>
      <w:bookmarkStart w:id="5" w:name="_Toc237195586"/>
      <w:r w:rsidRPr="00CE5E2D">
        <w:t>2a.4 Figures from National Organisations in Global Context</w:t>
      </w:r>
      <w:bookmarkEnd w:id="5"/>
    </w:p>
    <w:p w14:paraId="5B56B5C3" w14:textId="36CB1E15"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idea has been long-held by organisations such as the Institute of healthcare Improvement, which has stated that harm reduction is only possible system-wide and not by the actions of individual members of staff; it has been supported by nursing-outcomes evidence showing that changes in staffing levels, but not those in individual clinicians, are systematically correlated with changes in nursing-sensitive adverse events in particular and medication errors broadly (Blume et al., 2021). This fact puts his case in a trend which has been well documented across the world as compared to a local scandal.</w:t>
      </w:r>
    </w:p>
    <w:p w14:paraId="2887D63A" w14:textId="77777777" w:rsidR="004C3FA8" w:rsidRPr="00CE5E2D" w:rsidRDefault="00401B0B" w:rsidP="00CE5E2D">
      <w:pPr>
        <w:pStyle w:val="Heading2"/>
      </w:pPr>
      <w:bookmarkStart w:id="6" w:name="_Toc237195587"/>
      <w:r w:rsidRPr="00CE5E2D">
        <w:t>2a.5 Systemic Weaknesses Reflected in the Case</w:t>
      </w:r>
      <w:bookmarkEnd w:id="6"/>
    </w:p>
    <w:p w14:paraId="69ED46C5" w14:textId="02CF9F83"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The case of Len portrays a number of systemic flaws, as opposed to a break of individual failure. First of all, the shortcomings of the communication can be highlighted by the evident absence of a teach-back or comprehension check when pharmacy dispensed the morphine solution i.e. the prescriber and pharmacy team were unable to confirm that Len and his wife actually understood the directions on how and how much to take. Second, the lack of accountability is also shown in the fact that it was not apparent who was responsible to do post-discharge safety-netting and absence of responsibility coincides with the greater findings that lack of clarity in assignment of responsibility in care transitions is an often-occurring source of preventable harm (Khalil and Lakhani, 2022). </w:t>
      </w:r>
    </w:p>
    <w:p w14:paraId="4EC0F4F8" w14:textId="77777777" w:rsidR="004C3FA8" w:rsidRPr="00CE5E2D" w:rsidRDefault="00401B0B" w:rsidP="00CE5E2D">
      <w:pPr>
        <w:pStyle w:val="Heading2"/>
      </w:pPr>
      <w:bookmarkStart w:id="7" w:name="_Toc237195588"/>
      <w:r w:rsidRPr="00CE5E2D">
        <w:t>2a.6 Level of Governance Influencing the Problem</w:t>
      </w:r>
      <w:bookmarkEnd w:id="7"/>
    </w:p>
    <w:p w14:paraId="5B829C2B" w14:textId="092E92B3"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Len’s problem transcends various governance levels. The local authorities with regard to the issues of discharge and counselling process safety were directly involved in the discharging hospital trust. The NHS England patient safety policy safe staffing, medicines optimisation and patient safety frameworks defined the structures and platforms on which the practice in the area is contrasted and provided the process by which the case under consideration eventually could be under investigation, HSSIB. This multi-level form of governance is important as it defines upon which level ultimate accountability is placed when it comes to redesigning the failed process.</w:t>
      </w:r>
    </w:p>
    <w:p w14:paraId="3CAE01CD" w14:textId="73A06D24" w:rsidR="004C3FA8" w:rsidRPr="00CE5E2D" w:rsidRDefault="00401B0B" w:rsidP="00CE5E2D">
      <w:pPr>
        <w:pStyle w:val="Heading2"/>
      </w:pPr>
      <w:bookmarkStart w:id="8" w:name="_Toc237195589"/>
      <w:r w:rsidRPr="00CE5E2D">
        <w:lastRenderedPageBreak/>
        <w:t>2a.7 Underlying Challenges</w:t>
      </w:r>
      <w:bookmarkEnd w:id="8"/>
    </w:p>
    <w:p w14:paraId="7A87E9B0" w14:textId="0B1A5F98"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two always inextricably related in the literature are the problems of an underlying workforce capacity and resourcing as always, the nature of the communication and counselling failure which can be discerned in the case of Len. Table 1 presents evidence that indicates associations between staffing and systemic pressures and medication safety outcomes in the global, national and organisational levels.</w:t>
      </w:r>
    </w:p>
    <w:p w14:paraId="3BF19421" w14:textId="77777777" w:rsidR="004C3FA8" w:rsidRPr="00CE5E2D" w:rsidRDefault="00401B0B" w:rsidP="00CE5E2D">
      <w:pPr>
        <w:pStyle w:val="Heading2"/>
      </w:pPr>
      <w:bookmarkStart w:id="9" w:name="_Toc237195590"/>
      <w:r w:rsidRPr="00CE5E2D">
        <w:t>2a.8 Constructing a Rich Picture of Len's Case</w:t>
      </w:r>
      <w:bookmarkEnd w:id="9"/>
    </w:p>
    <w:p w14:paraId="6D5FF68B" w14:textId="795A8C30"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A Rich Picture is a soft-systems approach to visualizing the people, processes, the structures, relationships and tensions within a problem situation prior to a formal, or redesign approach to the problem situation being undertaken (Gisby et al., 2023). Due to a carefully non-premature structuring of the problem, rich pictures are highly-suited to accommodate the various facets of the leadership situations (tacit, relational and emotional behaviour) in a situation that more formal-diagrams are often unable to capture (Kado, Clarke and Carr, 2023). The Rich Picture in Figure 1 depicts a case of Len, with Len and his wife in the centre of the picture and the GP, hospital emergency department, prescribing and pharmacy team and community nursing services as the encircling ones. </w:t>
      </w:r>
    </w:p>
    <w:p w14:paraId="15823626" w14:textId="77777777" w:rsidR="004C3FA8" w:rsidRPr="00CE5E2D" w:rsidRDefault="00401B0B" w:rsidP="00CE5E2D">
      <w:pPr>
        <w:spacing w:before="120" w:after="100" w:afterAutospacing="1" w:line="360" w:lineRule="auto"/>
        <w:jc w:val="both"/>
        <w:rPr>
          <w:rFonts w:ascii="Times New Roman" w:hAnsi="Times New Roman" w:cs="Times New Roman"/>
          <w:sz w:val="24"/>
          <w:szCs w:val="24"/>
        </w:rPr>
      </w:pPr>
      <w:r w:rsidRPr="00CE5E2D">
        <w:rPr>
          <w:rFonts w:ascii="Times New Roman" w:hAnsi="Times New Roman" w:cs="Times New Roman"/>
          <w:noProof/>
          <w:sz w:val="24"/>
          <w:szCs w:val="24"/>
        </w:rPr>
        <w:lastRenderedPageBreak/>
        <w:drawing>
          <wp:inline distT="0" distB="0" distL="0" distR="0" wp14:anchorId="509C2E30" wp14:editId="0A9BC2C5">
            <wp:extent cx="6238875" cy="42558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243349" cy="4258856"/>
                    </a:xfrm>
                    <a:prstGeom prst="rect">
                      <a:avLst/>
                    </a:prstGeom>
                  </pic:spPr>
                </pic:pic>
              </a:graphicData>
            </a:graphic>
          </wp:inline>
        </w:drawing>
      </w:r>
    </w:p>
    <w:p w14:paraId="3F6408D3" w14:textId="3044EF65" w:rsidR="004C3FA8" w:rsidRDefault="00401B0B" w:rsidP="00CE5E2D">
      <w:pPr>
        <w:spacing w:after="100" w:afterAutospacing="1" w:line="360" w:lineRule="auto"/>
        <w:jc w:val="center"/>
        <w:rPr>
          <w:rFonts w:ascii="Times New Roman" w:hAnsi="Times New Roman" w:cs="Times New Roman"/>
          <w:b/>
          <w:bCs/>
          <w:sz w:val="24"/>
          <w:szCs w:val="24"/>
        </w:rPr>
      </w:pPr>
      <w:r w:rsidRPr="00CE5E2D">
        <w:rPr>
          <w:rFonts w:ascii="Times New Roman" w:hAnsi="Times New Roman" w:cs="Times New Roman"/>
          <w:b/>
          <w:bCs/>
          <w:sz w:val="24"/>
          <w:szCs w:val="24"/>
        </w:rPr>
        <w:t xml:space="preserve">Figure </w:t>
      </w:r>
      <w:r w:rsidR="00683197" w:rsidRPr="00CE5E2D">
        <w:rPr>
          <w:rFonts w:ascii="Times New Roman" w:hAnsi="Times New Roman" w:cs="Times New Roman"/>
          <w:b/>
          <w:bCs/>
          <w:sz w:val="24"/>
          <w:szCs w:val="24"/>
        </w:rPr>
        <w:t xml:space="preserve">1: </w:t>
      </w:r>
      <w:r w:rsidRPr="00CE5E2D">
        <w:rPr>
          <w:rFonts w:ascii="Times New Roman" w:hAnsi="Times New Roman" w:cs="Times New Roman"/>
          <w:b/>
          <w:bCs/>
          <w:sz w:val="24"/>
          <w:szCs w:val="24"/>
        </w:rPr>
        <w:t xml:space="preserve">Rich Picture </w:t>
      </w:r>
      <w:r w:rsidR="00CE5E2D" w:rsidRPr="00CE5E2D">
        <w:rPr>
          <w:rFonts w:ascii="Times New Roman" w:hAnsi="Times New Roman" w:cs="Times New Roman"/>
          <w:b/>
          <w:bCs/>
          <w:sz w:val="24"/>
          <w:szCs w:val="24"/>
        </w:rPr>
        <w:t>of</w:t>
      </w:r>
      <w:r w:rsidR="00683197" w:rsidRPr="00CE5E2D">
        <w:rPr>
          <w:rFonts w:ascii="Times New Roman" w:hAnsi="Times New Roman" w:cs="Times New Roman"/>
          <w:b/>
          <w:bCs/>
          <w:sz w:val="24"/>
          <w:szCs w:val="24"/>
        </w:rPr>
        <w:t xml:space="preserve"> </w:t>
      </w:r>
      <w:r w:rsidRPr="00CE5E2D">
        <w:rPr>
          <w:rFonts w:ascii="Times New Roman" w:hAnsi="Times New Roman" w:cs="Times New Roman"/>
          <w:b/>
          <w:bCs/>
          <w:sz w:val="24"/>
          <w:szCs w:val="24"/>
        </w:rPr>
        <w:t xml:space="preserve">Len's </w:t>
      </w:r>
      <w:r w:rsidR="00683197" w:rsidRPr="00CE5E2D">
        <w:rPr>
          <w:rFonts w:ascii="Times New Roman" w:hAnsi="Times New Roman" w:cs="Times New Roman"/>
          <w:b/>
          <w:bCs/>
          <w:sz w:val="24"/>
          <w:szCs w:val="24"/>
        </w:rPr>
        <w:t>Case</w:t>
      </w:r>
    </w:p>
    <w:p w14:paraId="53379ACE" w14:textId="1A9D90D1" w:rsidR="00CE5E2D" w:rsidRPr="00CE5E2D" w:rsidRDefault="00CE5E2D" w:rsidP="00CE5E2D">
      <w:pPr>
        <w:spacing w:after="100" w:afterAutospacing="1" w:line="360" w:lineRule="auto"/>
        <w:jc w:val="center"/>
        <w:rPr>
          <w:rFonts w:ascii="Times New Roman" w:hAnsi="Times New Roman" w:cs="Times New Roman"/>
          <w:sz w:val="24"/>
          <w:szCs w:val="24"/>
        </w:rPr>
      </w:pPr>
      <w:r w:rsidRPr="00CE5E2D">
        <w:rPr>
          <w:rFonts w:ascii="Times New Roman" w:hAnsi="Times New Roman" w:cs="Times New Roman"/>
          <w:sz w:val="24"/>
          <w:szCs w:val="24"/>
        </w:rPr>
        <w:t>(Source: Created by Author)</w:t>
      </w:r>
    </w:p>
    <w:p w14:paraId="7BB36941" w14:textId="11A01CAF"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found feedback loops of the Rich Picture are related to the systems-based explanations of medicines-management incidents and indicate that the absence of a corrective-downstream check when one of the stages of the medication pathway (like verbal counselling) malfunctions endangers the whole system even though each system member could have done an alright job in his/her role (Linnéusson et al., 2022).</w:t>
      </w:r>
    </w:p>
    <w:p w14:paraId="2CD9E451" w14:textId="77777777" w:rsidR="004C3FA8" w:rsidRPr="00CE5E2D" w:rsidRDefault="00401B0B" w:rsidP="00CE5E2D">
      <w:pPr>
        <w:pStyle w:val="Heading1"/>
      </w:pPr>
      <w:bookmarkStart w:id="10" w:name="_Toc237195591"/>
      <w:r w:rsidRPr="00CE5E2D">
        <w:t>2b. Centralisation or Decentralisation within the Case Study</w:t>
      </w:r>
      <w:bookmarkEnd w:id="10"/>
    </w:p>
    <w:p w14:paraId="3E18BB16"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This section analyses whether the organisations involved in Len's care, principally the acute NHS trust and the wider integrated care system, operated in a predominantly centralised or decentralised manner, and how this structure influenced the outcome.</w:t>
      </w:r>
    </w:p>
    <w:p w14:paraId="55CE15A8" w14:textId="77777777" w:rsidR="004C3FA8" w:rsidRPr="00CE5E2D" w:rsidRDefault="00401B0B" w:rsidP="00CE5E2D">
      <w:pPr>
        <w:pStyle w:val="Heading2"/>
      </w:pPr>
      <w:bookmarkStart w:id="11" w:name="_Toc237195592"/>
      <w:r w:rsidRPr="00CE5E2D">
        <w:t>2b.1 Centralised Systems</w:t>
      </w:r>
      <w:bookmarkEnd w:id="11"/>
    </w:p>
    <w:p w14:paraId="5E219FA0" w14:textId="77777777" w:rsidR="004C3FA8" w:rsidRPr="00CE5E2D" w:rsidRDefault="00401B0B" w:rsidP="00CE5E2D">
      <w:pPr>
        <w:pStyle w:val="Heading3"/>
      </w:pPr>
      <w:bookmarkStart w:id="12" w:name="_Toc237195593"/>
      <w:r w:rsidRPr="00CE5E2D">
        <w:lastRenderedPageBreak/>
        <w:t>Decision-making concentration</w:t>
      </w:r>
      <w:bookmarkEnd w:id="12"/>
    </w:p>
    <w:p w14:paraId="4AF5B5E9" w14:textId="2CABB613"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In the centralised model, uniform set of strategic and operational decisions, such as policy on medicines, discharge policy and staffing, are uniformly imposed upon the frontline services, either centrally or nationally. Regulated and standard-setting environment entails nationally centralised campaigns, is defined as NHS England setting standards on performance and safety to which gradually the outputs of local integrated care boards and trusts subscribing to said standards (Sapkota et al., 2023).</w:t>
      </w:r>
    </w:p>
    <w:p w14:paraId="4F507DFD" w14:textId="77777777" w:rsidR="004C3FA8" w:rsidRPr="00CE5E2D" w:rsidRDefault="00401B0B" w:rsidP="00CE5E2D">
      <w:pPr>
        <w:pStyle w:val="Heading3"/>
      </w:pPr>
      <w:bookmarkStart w:id="13" w:name="_Toc237195594"/>
      <w:r w:rsidRPr="00CE5E2D">
        <w:t>Advantages and disadvantages</w:t>
      </w:r>
      <w:bookmarkEnd w:id="13"/>
    </w:p>
    <w:p w14:paraId="5DFE44A6" w14:textId="04C3577F"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Centralisation has the advantage of standardisation and thus medicines-safety policy, including recommendations related to prescribing high-risk opioids, should not be differentially implemented in a trust (across wards) or in an individual clinician. However, when it comes to adaptive discharge, localisation of decision-making can also impede processes that address the particulars of each patient, such as the interplay of cognitive load, frailty and CMT-related communication difficulty in Len (Dougherty et al., 2022).</w:t>
      </w:r>
    </w:p>
    <w:p w14:paraId="7E9C8A2A" w14:textId="77777777" w:rsidR="004C3FA8" w:rsidRPr="00CE5E2D" w:rsidRDefault="00401B0B" w:rsidP="00CE5E2D">
      <w:pPr>
        <w:pStyle w:val="Heading3"/>
      </w:pPr>
      <w:bookmarkStart w:id="14" w:name="_Toc237195595"/>
      <w:r w:rsidRPr="00CE5E2D">
        <w:t>Supporting data</w:t>
      </w:r>
      <w:bookmarkEnd w:id="14"/>
    </w:p>
    <w:p w14:paraId="566D62BF" w14:textId="17BA088F"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A non-linear, U-shaped connection was reported between the level of administrative decentralisation and health outcomes, with the overly centralised system being regarded as related to the increased public expenditure, and the relative poorer life expectancy compared to the moderately decentralised systems (Dougherty et al., 2022). This suggests that a purely centralised approach to set discharge and medicines-safety standards, with a lack of local adaptive capacity, is also a mechanism that can be a systemic risk contributor.</w:t>
      </w:r>
    </w:p>
    <w:p w14:paraId="3D720C08" w14:textId="77777777" w:rsidR="004C3FA8" w:rsidRPr="00CE5E2D" w:rsidRDefault="00401B0B" w:rsidP="00CE5E2D">
      <w:pPr>
        <w:pStyle w:val="Heading2"/>
      </w:pPr>
      <w:bookmarkStart w:id="15" w:name="_Toc237195596"/>
      <w:r w:rsidRPr="00CE5E2D">
        <w:t>2b.2 Decentralised Systems</w:t>
      </w:r>
      <w:bookmarkEnd w:id="15"/>
    </w:p>
    <w:p w14:paraId="5B447628" w14:textId="77777777" w:rsidR="004C3FA8" w:rsidRPr="00CE5E2D" w:rsidRDefault="00401B0B" w:rsidP="00CE5E2D">
      <w:pPr>
        <w:pStyle w:val="Heading3"/>
      </w:pPr>
      <w:bookmarkStart w:id="16" w:name="_Toc237195597"/>
      <w:r w:rsidRPr="00CE5E2D">
        <w:t>Distribution of authority</w:t>
      </w:r>
      <w:bookmarkEnd w:id="16"/>
    </w:p>
    <w:p w14:paraId="6C75C1E8" w14:textId="5ADEC2E1"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With a decentralised system responsibility to make operational decisions ( e.g. how the discharge counselling is offered to a specific patient), lies with the ward/team level staff. The specific decision made on how to counsel Len and his wife to dose in the case in point, was in effect a frontline, decentralised decision of either the discharging nurse or the pharmacist and not a highly detailed decision made in accordance with national policy.</w:t>
      </w:r>
    </w:p>
    <w:p w14:paraId="7C9CD844" w14:textId="77777777" w:rsidR="004C3FA8" w:rsidRPr="00CE5E2D" w:rsidRDefault="00401B0B" w:rsidP="00CE5E2D">
      <w:pPr>
        <w:pStyle w:val="Heading3"/>
      </w:pPr>
      <w:bookmarkStart w:id="17" w:name="_Toc237195598"/>
      <w:r w:rsidRPr="00CE5E2D">
        <w:lastRenderedPageBreak/>
        <w:t>Advantages and disadvantages</w:t>
      </w:r>
      <w:bookmarkEnd w:id="17"/>
    </w:p>
    <w:p w14:paraId="282193A1" w14:textId="4861F18F"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Decentralisation will enable the frontline staff to tailor communications to the individual patient needs, which is very important considering the ordeals Len is particularly susceptible to. However, decentralising practice in the absence of appropriate safety-netting infrastructure can also easily lead to variation of practice and scatter accountability, particularly in the situations in which there was none, such as in the case of Len, in which nobody by name was left in charge of ensuring that the family knew what they were doing after they were discharged (Sapkota et al., 2023).</w:t>
      </w:r>
    </w:p>
    <w:p w14:paraId="2B2942C2" w14:textId="77777777" w:rsidR="004C3FA8" w:rsidRPr="00CE5E2D" w:rsidRDefault="00401B0B" w:rsidP="00CE5E2D">
      <w:pPr>
        <w:pStyle w:val="Heading3"/>
      </w:pPr>
      <w:bookmarkStart w:id="18" w:name="_Toc237195599"/>
      <w:r w:rsidRPr="00CE5E2D">
        <w:t>Supporting data</w:t>
      </w:r>
      <w:bookmarkEnd w:id="18"/>
    </w:p>
    <w:p w14:paraId="68F2D9F3" w14:textId="531F9E0B"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In the context of health system decentralisation Systematic evidence indicates that decentralization can lead to responsiveness and local relevance of services, though the effects on safety and equity are extremely contingent on whether enough local governance, resourcing and monitoring capacity, or decentralization might be having negative rather than positive influences (Sapkota et al., 2023).</w:t>
      </w:r>
    </w:p>
    <w:p w14:paraId="47A03870" w14:textId="77777777" w:rsidR="004C3FA8" w:rsidRPr="00CE5E2D" w:rsidRDefault="00401B0B" w:rsidP="00CE5E2D">
      <w:pPr>
        <w:pStyle w:val="Heading2"/>
      </w:pPr>
      <w:bookmarkStart w:id="19" w:name="_Toc237195600"/>
      <w:r w:rsidRPr="00CE5E2D">
        <w:t>2b.3 Critical Analysis: Comparing System Structures</w:t>
      </w:r>
      <w:bookmarkEnd w:id="19"/>
    </w:p>
    <w:p w14:paraId="276E51BA" w14:textId="3AAA2D15"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In this case, the organisation can be considered to have successfully combined top-down, policy-based with modernised and loosely supported frontline execution a combination that has been in the wider literature to have resulted in compromised accountability where individual difference in patient need is the most needed (Zaranko et al., 2022). The experience of nurse staffing in such NHS settings shows that the risks of unwanted inpatient care manifest larger in relation to registered-nurse staffing that is lower than intended, which means that in the case of Len the decentralised role on the frontline in the performance of the functions, such as discharge counselling, will be performed under a considerable resource constraint (Zaranko et al., 2022).</w:t>
      </w:r>
    </w:p>
    <w:tbl>
      <w:tblPr>
        <w:tblStyle w:val="TableGrid"/>
        <w:tblW w:w="9600" w:type="dxa"/>
        <w:tblLook w:val="0000" w:firstRow="0" w:lastRow="0" w:firstColumn="0" w:lastColumn="0" w:noHBand="0" w:noVBand="0"/>
      </w:tblPr>
      <w:tblGrid>
        <w:gridCol w:w="2400"/>
        <w:gridCol w:w="3600"/>
        <w:gridCol w:w="3600"/>
      </w:tblGrid>
      <w:tr w:rsidR="004C3FA8" w:rsidRPr="00CE5E2D" w14:paraId="2B559CBD" w14:textId="77777777" w:rsidTr="00CE5E2D">
        <w:tc>
          <w:tcPr>
            <w:tcW w:w="2400" w:type="dxa"/>
          </w:tcPr>
          <w:p w14:paraId="4E421DF1"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b/>
                <w:bCs/>
                <w:sz w:val="24"/>
                <w:szCs w:val="24"/>
              </w:rPr>
              <w:t>Dimension</w:t>
            </w:r>
          </w:p>
        </w:tc>
        <w:tc>
          <w:tcPr>
            <w:tcW w:w="3600" w:type="dxa"/>
          </w:tcPr>
          <w:p w14:paraId="59838A6E"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b/>
                <w:bCs/>
                <w:sz w:val="24"/>
                <w:szCs w:val="24"/>
              </w:rPr>
              <w:t>Centralised Features</w:t>
            </w:r>
          </w:p>
        </w:tc>
        <w:tc>
          <w:tcPr>
            <w:tcW w:w="3600" w:type="dxa"/>
          </w:tcPr>
          <w:p w14:paraId="26627CAC"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b/>
                <w:bCs/>
                <w:sz w:val="24"/>
                <w:szCs w:val="24"/>
              </w:rPr>
              <w:t>Decentralised Features</w:t>
            </w:r>
          </w:p>
        </w:tc>
      </w:tr>
      <w:tr w:rsidR="004C3FA8" w:rsidRPr="00CE5E2D" w14:paraId="12CC66B6" w14:textId="77777777" w:rsidTr="00CE5E2D">
        <w:tc>
          <w:tcPr>
            <w:tcW w:w="2400" w:type="dxa"/>
          </w:tcPr>
          <w:p w14:paraId="0E6AD8BA"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Policy origin</w:t>
            </w:r>
          </w:p>
        </w:tc>
        <w:tc>
          <w:tcPr>
            <w:tcW w:w="3600" w:type="dxa"/>
          </w:tcPr>
          <w:p w14:paraId="340917C9"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National medicines-safety and discharge standards set by NHS England (Sapkota et al., 2023).</w:t>
            </w:r>
          </w:p>
        </w:tc>
        <w:tc>
          <w:tcPr>
            <w:tcW w:w="3600" w:type="dxa"/>
          </w:tcPr>
          <w:p w14:paraId="5BE2470B"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Interpretation of standards left to individual ward teams.</w:t>
            </w:r>
          </w:p>
        </w:tc>
      </w:tr>
      <w:tr w:rsidR="004C3FA8" w:rsidRPr="00CE5E2D" w14:paraId="22B276AD" w14:textId="77777777" w:rsidTr="00CE5E2D">
        <w:tc>
          <w:tcPr>
            <w:tcW w:w="2400" w:type="dxa"/>
          </w:tcPr>
          <w:p w14:paraId="468D154E"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lastRenderedPageBreak/>
              <w:t>Resourcing</w:t>
            </w:r>
          </w:p>
        </w:tc>
        <w:tc>
          <w:tcPr>
            <w:tcW w:w="3600" w:type="dxa"/>
          </w:tcPr>
          <w:p w14:paraId="2D772C3A"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Staffing establishment set centrally at trust level.</w:t>
            </w:r>
          </w:p>
        </w:tc>
        <w:tc>
          <w:tcPr>
            <w:tcW w:w="3600" w:type="dxa"/>
          </w:tcPr>
          <w:p w14:paraId="4FE86D35"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Day-to-day allocation of counselling time decided locally under pressure (Zaranko et al., 2022).</w:t>
            </w:r>
          </w:p>
        </w:tc>
      </w:tr>
      <w:tr w:rsidR="004C3FA8" w:rsidRPr="00CE5E2D" w14:paraId="750E51CD" w14:textId="77777777" w:rsidTr="00CE5E2D">
        <w:tc>
          <w:tcPr>
            <w:tcW w:w="2400" w:type="dxa"/>
          </w:tcPr>
          <w:p w14:paraId="337F9E52"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Accountability</w:t>
            </w:r>
          </w:p>
        </w:tc>
        <w:tc>
          <w:tcPr>
            <w:tcW w:w="3600" w:type="dxa"/>
          </w:tcPr>
          <w:p w14:paraId="41E9709A"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Clear formal lines of trust-level governance.</w:t>
            </w:r>
          </w:p>
        </w:tc>
        <w:tc>
          <w:tcPr>
            <w:tcW w:w="3600" w:type="dxa"/>
          </w:tcPr>
          <w:p w14:paraId="3391A25B"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Diffuse frontline accountability for post-discharge safety-netting.</w:t>
            </w:r>
          </w:p>
        </w:tc>
      </w:tr>
      <w:tr w:rsidR="004C3FA8" w:rsidRPr="00CE5E2D" w14:paraId="6F936929" w14:textId="77777777" w:rsidTr="00CE5E2D">
        <w:tc>
          <w:tcPr>
            <w:tcW w:w="2400" w:type="dxa"/>
          </w:tcPr>
          <w:p w14:paraId="41651005"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Outcome association</w:t>
            </w:r>
          </w:p>
        </w:tc>
        <w:tc>
          <w:tcPr>
            <w:tcW w:w="3600" w:type="dxa"/>
          </w:tcPr>
          <w:p w14:paraId="5D24750B"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Excessive centralisation linked to weaker local responsiveness (Dougherty et al., 2022).</w:t>
            </w:r>
          </w:p>
        </w:tc>
        <w:tc>
          <w:tcPr>
            <w:tcW w:w="3600" w:type="dxa"/>
          </w:tcPr>
          <w:p w14:paraId="5AAB100B"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Unsupported decentralisation linked to inconsistent safety outcomes (Sapkota et al., 2023).</w:t>
            </w:r>
          </w:p>
        </w:tc>
      </w:tr>
    </w:tbl>
    <w:p w14:paraId="05362AB5" w14:textId="27227998" w:rsidR="004C3FA8" w:rsidRDefault="00401B0B" w:rsidP="00CE5E2D">
      <w:pPr>
        <w:spacing w:after="100" w:afterAutospacing="1" w:line="360" w:lineRule="auto"/>
        <w:jc w:val="center"/>
        <w:rPr>
          <w:rFonts w:ascii="Times New Roman" w:hAnsi="Times New Roman" w:cs="Times New Roman"/>
          <w:b/>
          <w:bCs/>
          <w:sz w:val="24"/>
          <w:szCs w:val="24"/>
        </w:rPr>
      </w:pPr>
      <w:r w:rsidRPr="00CE5E2D">
        <w:rPr>
          <w:rFonts w:ascii="Times New Roman" w:hAnsi="Times New Roman" w:cs="Times New Roman"/>
          <w:b/>
          <w:bCs/>
          <w:sz w:val="24"/>
          <w:szCs w:val="24"/>
        </w:rPr>
        <w:t xml:space="preserve">Table </w:t>
      </w:r>
      <w:r w:rsidR="00683197" w:rsidRPr="00CE5E2D">
        <w:rPr>
          <w:rFonts w:ascii="Times New Roman" w:hAnsi="Times New Roman" w:cs="Times New Roman"/>
          <w:b/>
          <w:bCs/>
          <w:sz w:val="24"/>
          <w:szCs w:val="24"/>
        </w:rPr>
        <w:t xml:space="preserve">1: </w:t>
      </w:r>
      <w:r w:rsidRPr="00CE5E2D">
        <w:rPr>
          <w:rFonts w:ascii="Times New Roman" w:hAnsi="Times New Roman" w:cs="Times New Roman"/>
          <w:b/>
          <w:bCs/>
          <w:sz w:val="24"/>
          <w:szCs w:val="24"/>
        </w:rPr>
        <w:t xml:space="preserve">Comparison </w:t>
      </w:r>
      <w:r w:rsidR="00683197" w:rsidRPr="00CE5E2D">
        <w:rPr>
          <w:rFonts w:ascii="Times New Roman" w:hAnsi="Times New Roman" w:cs="Times New Roman"/>
          <w:b/>
          <w:bCs/>
          <w:sz w:val="24"/>
          <w:szCs w:val="24"/>
        </w:rPr>
        <w:t xml:space="preserve">Of Centralised </w:t>
      </w:r>
      <w:proofErr w:type="gramStart"/>
      <w:r w:rsidR="00683197" w:rsidRPr="00CE5E2D">
        <w:rPr>
          <w:rFonts w:ascii="Times New Roman" w:hAnsi="Times New Roman" w:cs="Times New Roman"/>
          <w:b/>
          <w:bCs/>
          <w:sz w:val="24"/>
          <w:szCs w:val="24"/>
        </w:rPr>
        <w:t>And</w:t>
      </w:r>
      <w:proofErr w:type="gramEnd"/>
      <w:r w:rsidR="00683197" w:rsidRPr="00CE5E2D">
        <w:rPr>
          <w:rFonts w:ascii="Times New Roman" w:hAnsi="Times New Roman" w:cs="Times New Roman"/>
          <w:b/>
          <w:bCs/>
          <w:sz w:val="24"/>
          <w:szCs w:val="24"/>
        </w:rPr>
        <w:t xml:space="preserve"> Decentralised Features Evident </w:t>
      </w:r>
      <w:proofErr w:type="gramStart"/>
      <w:r w:rsidR="00683197" w:rsidRPr="00CE5E2D">
        <w:rPr>
          <w:rFonts w:ascii="Times New Roman" w:hAnsi="Times New Roman" w:cs="Times New Roman"/>
          <w:b/>
          <w:bCs/>
          <w:sz w:val="24"/>
          <w:szCs w:val="24"/>
        </w:rPr>
        <w:t>In</w:t>
      </w:r>
      <w:proofErr w:type="gramEnd"/>
      <w:r w:rsidR="00683197" w:rsidRPr="00CE5E2D">
        <w:rPr>
          <w:rFonts w:ascii="Times New Roman" w:hAnsi="Times New Roman" w:cs="Times New Roman"/>
          <w:b/>
          <w:bCs/>
          <w:sz w:val="24"/>
          <w:szCs w:val="24"/>
        </w:rPr>
        <w:t xml:space="preserve"> </w:t>
      </w:r>
      <w:r w:rsidRPr="00CE5E2D">
        <w:rPr>
          <w:rFonts w:ascii="Times New Roman" w:hAnsi="Times New Roman" w:cs="Times New Roman"/>
          <w:b/>
          <w:bCs/>
          <w:sz w:val="24"/>
          <w:szCs w:val="24"/>
        </w:rPr>
        <w:t xml:space="preserve">Len's </w:t>
      </w:r>
      <w:r w:rsidR="00683197" w:rsidRPr="00CE5E2D">
        <w:rPr>
          <w:rFonts w:ascii="Times New Roman" w:hAnsi="Times New Roman" w:cs="Times New Roman"/>
          <w:b/>
          <w:bCs/>
          <w:sz w:val="24"/>
          <w:szCs w:val="24"/>
        </w:rPr>
        <w:t>Care Pathway</w:t>
      </w:r>
    </w:p>
    <w:p w14:paraId="039530FA" w14:textId="0D848AB7" w:rsidR="00CE5E2D" w:rsidRPr="00CE5E2D" w:rsidRDefault="00CE5E2D" w:rsidP="00CE5E2D">
      <w:pPr>
        <w:spacing w:after="100" w:afterAutospacing="1" w:line="360" w:lineRule="auto"/>
        <w:jc w:val="center"/>
        <w:rPr>
          <w:rFonts w:ascii="Times New Roman" w:hAnsi="Times New Roman" w:cs="Times New Roman"/>
          <w:b/>
          <w:bCs/>
          <w:sz w:val="24"/>
          <w:szCs w:val="24"/>
        </w:rPr>
      </w:pPr>
      <w:r w:rsidRPr="00CE5E2D">
        <w:rPr>
          <w:rFonts w:ascii="Times New Roman" w:hAnsi="Times New Roman" w:cs="Times New Roman"/>
          <w:sz w:val="24"/>
          <w:szCs w:val="24"/>
        </w:rPr>
        <w:t>(Source: Created by Author)</w:t>
      </w:r>
    </w:p>
    <w:p w14:paraId="0A1108F2" w14:textId="7A2CF444"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Overall, one can state that the Len case exemplifies a structurally hybrid character with centralised standard-setting and no, as contrasted with decentralised resourcing and accountability at the frontline, which is systematically correlated with the evidence of the worsening of the patient safety outcomes through numerical staffing (Blume et al., 2021).</w:t>
      </w:r>
    </w:p>
    <w:p w14:paraId="60E46C87" w14:textId="709F90E3" w:rsidR="00683197"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In the structure of healthcare governance in the case of Len, it represents a hybrid system whereby the standards are centralised; the frontline decision making is decentralised. Reliability is promoted through centralisation to guarantee safety of the medicines, discharge practices, and organisational management minimising variation in critical clinical practices. The over centralisation, however, can restrict flexibility required to respond to unique situations of patients. Instead, decentralisation enables nurses, pharmacists and ward teams to delegate counselling and communication in ways that best meet patient needs, although unstable in practice, and lacking accountability in the event of ineffective monitoring and safety-netting systems. In the case of Len, the clearly set down policies were not well buttressed with resources available on the front line, manpower and responsibility that was well allocated. The combination of centralised governance with unsupported decentralisation, therefore, led to discharge safety weaknesses and continuity of care.</w:t>
      </w:r>
    </w:p>
    <w:p w14:paraId="4A90DF51" w14:textId="77777777" w:rsidR="004C3FA8" w:rsidRPr="00CE5E2D" w:rsidRDefault="00401B0B" w:rsidP="00CE5E2D">
      <w:pPr>
        <w:pStyle w:val="Heading1"/>
      </w:pPr>
      <w:bookmarkStart w:id="20" w:name="_Toc237195601"/>
      <w:r w:rsidRPr="00CE5E2D">
        <w:t>2c. Leadership Theories and Application to the Case Study</w:t>
      </w:r>
      <w:bookmarkEnd w:id="20"/>
    </w:p>
    <w:p w14:paraId="32D3F121" w14:textId="61FB893D"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lastRenderedPageBreak/>
        <w:t>Here, leadership theories used and criticised in the context of the case with Len are based on three leadership theories of transformational, transactional and situational leadership and whether the leadership in the case was responsive or proactive.</w:t>
      </w:r>
    </w:p>
    <w:p w14:paraId="07D65C81" w14:textId="77777777" w:rsidR="004C3FA8" w:rsidRPr="00CE5E2D" w:rsidRDefault="00401B0B" w:rsidP="00CE5E2D">
      <w:pPr>
        <w:pStyle w:val="Heading2"/>
      </w:pPr>
      <w:bookmarkStart w:id="21" w:name="_Toc237195602"/>
      <w:r w:rsidRPr="00CE5E2D">
        <w:t>2c.1 Transformational Leadership</w:t>
      </w:r>
      <w:bookmarkEnd w:id="21"/>
    </w:p>
    <w:p w14:paraId="425B13F8" w14:textId="2D7B0FFF"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Transformational leadership, in which leaders articulate a communicated vision, empower, and encourage active and critical participation in safety issues, and leaders who draw on followers and encourage active and critical nursing participation have been associated with improved patient outcomes, reduced errors and improved safety culture in the nursing environment (Althobaiti, 2026). In organisations with a track record of discharge teams being consistently led transformation ally, the staff members report to the discharge team reporting that they feel empowered to bring up discharge information uncertainties instead of going through a routine, time-based counselling scenario; this phenomenon is also substantiated by the evidence that leadership style is a quantifiable predictor of employee job satisfaction, and thus the readiness to express safety concerns (Specchia et al., 2021). The indication of transformational leadership behavioural attributes in terms of empowering low-level employees to raise his lack of knowledge happens to be also evident in the case of Len where his behaviour is noted to have been reflected during discharge as colleague behaviours.</w:t>
      </w:r>
    </w:p>
    <w:p w14:paraId="3B19F1AD" w14:textId="77777777" w:rsidR="004C3FA8" w:rsidRPr="00CE5E2D" w:rsidRDefault="00401B0B" w:rsidP="00CE5E2D">
      <w:pPr>
        <w:pStyle w:val="Heading2"/>
      </w:pPr>
      <w:bookmarkStart w:id="22" w:name="_Toc237195603"/>
      <w:r w:rsidRPr="00CE5E2D">
        <w:t>2c.2 Transactional Leadership</w:t>
      </w:r>
      <w:bookmarkEnd w:id="22"/>
    </w:p>
    <w:p w14:paraId="17B2AFB0" w14:textId="1EA07EB9"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Transactional leadership is also based on the establishment of clear tasks, standard tasks and corrective feedback instead of inspirational vision; it is also not as useful as culture change that requires a longer period of time (Richards, 2020). Len has seemingly been engineered out in a transactional manner: there is a prescription written and a label attached, which is potentially addressing a procedural challenge, but not the adaptive, relationship-influencing secondary response, like a teach-back check or a planned or scheduled community review, of which a more transformational or emotionally intelligent response would seek to address (Rinfret et al., 2020).</w:t>
      </w:r>
    </w:p>
    <w:p w14:paraId="3D0ABC98" w14:textId="77777777" w:rsidR="004C3FA8" w:rsidRPr="00CE5E2D" w:rsidRDefault="00401B0B" w:rsidP="00CE5E2D">
      <w:pPr>
        <w:pStyle w:val="Heading2"/>
      </w:pPr>
      <w:bookmarkStart w:id="23" w:name="_Toc237195604"/>
      <w:r w:rsidRPr="00CE5E2D">
        <w:t>2c.3 Situational Leadership</w:t>
      </w:r>
      <w:bookmarkEnd w:id="23"/>
    </w:p>
    <w:p w14:paraId="5C8DE7BC" w14:textId="7F5511DB"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The situational leadership theory proposes that an effective leader should vary his directive or supportive behaviour based on how ready the follower or in a clinical scenario, the vulnerability </w:t>
      </w:r>
      <w:r w:rsidRPr="00CE5E2D">
        <w:rPr>
          <w:rFonts w:ascii="Times New Roman" w:hAnsi="Times New Roman" w:cs="Times New Roman"/>
          <w:sz w:val="24"/>
          <w:szCs w:val="24"/>
        </w:rPr>
        <w:lastRenderedPageBreak/>
        <w:t>and level of understanding of the patient and carer, and not use a consistent approach (Nonaillada and Martin, 2022). The assessment of low readiness to unsupported self-administered would situate to the case of Len, who would have pointed to his age, impaired communal and dexterity due to the presence of CMT, and the fact that he has a carer who has selected an informal status during his assessment as a situational factor and would have provided a more directive and closely monitored counselling and follow-up tool rather than discharge information (Nonaillada and Martin, 2022).</w:t>
      </w:r>
    </w:p>
    <w:p w14:paraId="4B0007B0" w14:textId="77777777" w:rsidR="004C3FA8" w:rsidRPr="00CE5E2D" w:rsidRDefault="00401B0B" w:rsidP="00CE5E2D">
      <w:pPr>
        <w:pStyle w:val="Heading2"/>
      </w:pPr>
      <w:bookmarkStart w:id="24" w:name="_Toc237195605"/>
      <w:r w:rsidRPr="00CE5E2D">
        <w:t>2c.4 Was the Leadership Style Appropriate, and Was It Reactive or Proactive?</w:t>
      </w:r>
      <w:bookmarkEnd w:id="24"/>
    </w:p>
    <w:p w14:paraId="6EB73971" w14:textId="5411A3D4"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facts of the case including Len show that the leadership style was very reactive, rather than proactive: it was normal process that was followed and no red flags were raised and discrepancy between his needs and normal process was witnessed only after the instance of his fatal overdose</w:t>
      </w:r>
      <w:r w:rsidR="006373C9" w:rsidRPr="00CE5E2D">
        <w:rPr>
          <w:rFonts w:ascii="Times New Roman" w:hAnsi="Times New Roman" w:cs="Times New Roman"/>
          <w:sz w:val="24"/>
          <w:szCs w:val="24"/>
        </w:rPr>
        <w:t xml:space="preserve"> (Specchia et al., 2021)</w:t>
      </w:r>
      <w:r w:rsidRPr="00CE5E2D">
        <w:rPr>
          <w:rFonts w:ascii="Times New Roman" w:hAnsi="Times New Roman" w:cs="Times New Roman"/>
          <w:sz w:val="24"/>
          <w:szCs w:val="24"/>
        </w:rPr>
        <w:t xml:space="preserve">. </w:t>
      </w:r>
      <w:r w:rsidR="006373C9" w:rsidRPr="00CE5E2D">
        <w:rPr>
          <w:rFonts w:ascii="Times New Roman" w:hAnsi="Times New Roman" w:cs="Times New Roman"/>
          <w:sz w:val="24"/>
          <w:szCs w:val="24"/>
        </w:rPr>
        <w:t>In addition to this, t</w:t>
      </w:r>
      <w:r w:rsidRPr="00CE5E2D">
        <w:rPr>
          <w:rFonts w:ascii="Times New Roman" w:hAnsi="Times New Roman" w:cs="Times New Roman"/>
          <w:sz w:val="24"/>
          <w:szCs w:val="24"/>
        </w:rPr>
        <w:t>he specified trend reflects the general evidence that the deficit in active safety behaviour can be viewed as one of the frequent barriers to fragmented scarcely coordinated communication in distributed or transitional care teams (Morian et al., 2024). The larger body of literature regarding the leadership style indicates that transformational and ethical leadership styles are more significantly correlated with patient safety culture and job satisfaction, and that safety culture indicators such as error-reporting and teamwork are more apt to be positively correlated with proactive error prevention as compared to purely transactional or job-focused leadership (Staff survey and safety-outcome evidence, 2026).</w:t>
      </w:r>
    </w:p>
    <w:p w14:paraId="06239652" w14:textId="77777777" w:rsidR="004C3FA8" w:rsidRPr="00CE5E2D" w:rsidRDefault="00401B0B" w:rsidP="00CE5E2D">
      <w:pPr>
        <w:pStyle w:val="Heading2"/>
      </w:pPr>
      <w:bookmarkStart w:id="25" w:name="_Toc237195606"/>
      <w:r w:rsidRPr="00CE5E2D">
        <w:t>2c.5 What Could Have Been Done Differently</w:t>
      </w:r>
      <w:bookmarkEnd w:id="25"/>
    </w:p>
    <w:p w14:paraId="01401306" w14:textId="1C20E746" w:rsidR="00683197"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An increased spread of leadership style, in which the responsibility to attest medicines knowledge was overtly allocated and tracked across pharmacy and community nursing teams among the prescribing team, pharmacy team, community nursing team, rather than in a single, unspecified role was associated with more effective coordination in transitional care and multi-team care settings in the wider literature (Morian et al., 2024). At the same time, it has been mentioned that more emotional intelligence in the leadership, the capacity to detect, in Len and his wife, potential anxiety, fatigue and inability to comprehend in the moment of rushed discharge, which would otherwise likely have resulted in a more circumspect, restrained handover of information about the dose, was associated with better leadership communication and safety rates in the nursing context of leadership (Rinfret et al., 2020).</w:t>
      </w:r>
    </w:p>
    <w:p w14:paraId="4A7CFBF3" w14:textId="1E4A3760" w:rsidR="004C3FA8" w:rsidRPr="00CE5E2D" w:rsidRDefault="00683197"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lastRenderedPageBreak/>
        <w:t>Evidence-based lever that can be adjusted to provide time to perform a verified teach-back is also a sufficient staffing; considering the previously proven statistical relationship between nurse staffing insufficiency and a collision of an adverse inpatient outcome, increasing workforce capacity during the point of discharge is one of the more tangible and non-speculative recommendations based on the case (Zaranko et al., 2022). The case of Len demonstrates the fact that one, apparently local, medicine-related mistake can be tracked down to the systemic frailty within communication, governance and leadership, which have been thoroughly reported on global, national and organisational levels (Blume et al., 2021). It is said that a more situational, distributed and emotion teaching leadership style could have been better facilitated with enough staffing and greater accountability within the centralised policy/decentralised practice could have realistically reduced the risk of the resultant outcome that could have occurred.</w:t>
      </w:r>
    </w:p>
    <w:p w14:paraId="40C29B8B" w14:textId="77777777" w:rsidR="00CE5E2D" w:rsidRPr="00CE5E2D" w:rsidRDefault="00CE5E2D" w:rsidP="00CE5E2D">
      <w:pPr>
        <w:pStyle w:val="Heading1"/>
      </w:pPr>
      <w:bookmarkStart w:id="26" w:name="_Toc237195607"/>
      <w:r w:rsidRPr="00CE5E2D">
        <w:t>2d. Improvement and Lessons Learned</w:t>
      </w:r>
      <w:bookmarkEnd w:id="26"/>
    </w:p>
    <w:p w14:paraId="04D60595" w14:textId="77777777" w:rsidR="00CE5E2D" w:rsidRPr="00CE5E2D" w:rsidRDefault="00CE5E2D" w:rsidP="00CE5E2D">
      <w:pPr>
        <w:pStyle w:val="Heading2"/>
      </w:pPr>
      <w:bookmarkStart w:id="27" w:name="_Toc237195608"/>
      <w:r w:rsidRPr="00CE5E2D">
        <w:t>2d.1 How Leadership and Governance Interacted to Produce the Outcome</w:t>
      </w:r>
      <w:bookmarkEnd w:id="27"/>
    </w:p>
    <w:p w14:paraId="21A0CFB1" w14:textId="77777777" w:rsidR="00CE5E2D" w:rsidRPr="00CE5E2D" w:rsidRDefault="00CE5E2D" w:rsidP="00CE5E2D">
      <w:pPr>
        <w:pStyle w:val="Heading3"/>
      </w:pPr>
      <w:bookmarkStart w:id="28" w:name="_Toc237195609"/>
      <w:r w:rsidRPr="00CE5E2D">
        <w:t>2d.1.1 Hierarchical Leadership and the Diffusion of Accountability</w:t>
      </w:r>
      <w:bookmarkEnd w:id="28"/>
    </w:p>
    <w:p w14:paraId="314C735F"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To appreciate how the style of leadership can be applied to affect safety behaviour that is not just restricted to a professional, the death of Len can be relied upon. Better team work, objective feedback and more positive attitudes towards safety, and weaker reporting behaviour are associated with transformational and ethical leadership styles, whereas transactional and command-based leadership styles are linked to each other when it comes to reporting behaviour (Althobaiti, 2026). The relationship between the community pharmacy and the general practice and the acute trust in the case of Len was a hierarchical relationship of three semi-independent hierarchies, rather than a system of accountability and therefore the risk created during hand over was not possessed by a single leader. De Brún and McAuliffe (2023) show that the lack of autonomy in medical personnel managed by one or several top-down healthcare institutions curtails the sense of all-around ownership. </w:t>
      </w:r>
    </w:p>
    <w:p w14:paraId="5CF2D495" w14:textId="77777777" w:rsidR="00CE5E2D" w:rsidRPr="00CE5E2D" w:rsidRDefault="00CE5E2D" w:rsidP="00CE5E2D">
      <w:pPr>
        <w:pStyle w:val="Heading3"/>
      </w:pPr>
      <w:bookmarkStart w:id="29" w:name="_Toc237195610"/>
      <w:r w:rsidRPr="00CE5E2D">
        <w:t>2d.1.2 Governance Gaps in Medicines Communication</w:t>
      </w:r>
      <w:bookmarkEnd w:id="29"/>
    </w:p>
    <w:p w14:paraId="6AD2467F"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The breakdown of governance in this scenario was located mainly at the communication and not in the area of clinical decision making. Poor knowledge of what an error an error is by both </w:t>
      </w:r>
      <w:r w:rsidRPr="00CE5E2D">
        <w:rPr>
          <w:rFonts w:ascii="Times New Roman" w:hAnsi="Times New Roman" w:cs="Times New Roman"/>
          <w:sz w:val="24"/>
          <w:szCs w:val="24"/>
        </w:rPr>
        <w:lastRenderedPageBreak/>
        <w:t xml:space="preserve">professionals and patients and hierarchical organisations cultures are listed by </w:t>
      </w:r>
      <w:proofErr w:type="spellStart"/>
      <w:r w:rsidRPr="00CE5E2D">
        <w:rPr>
          <w:rFonts w:ascii="Times New Roman" w:hAnsi="Times New Roman" w:cs="Times New Roman"/>
          <w:sz w:val="24"/>
          <w:szCs w:val="24"/>
        </w:rPr>
        <w:t>Aljabari</w:t>
      </w:r>
      <w:proofErr w:type="spellEnd"/>
      <w:r w:rsidRPr="00CE5E2D">
        <w:rPr>
          <w:rFonts w:ascii="Times New Roman" w:hAnsi="Times New Roman" w:cs="Times New Roman"/>
          <w:sz w:val="24"/>
          <w:szCs w:val="24"/>
        </w:rPr>
        <w:t xml:space="preserve"> and Kadhim (2021) as some of the most predictable safe medicines practises barriers. This failure in defining the understanding at the point of care, as mentioned by Mousavi-</w:t>
      </w:r>
      <w:proofErr w:type="spellStart"/>
      <w:r w:rsidRPr="00CE5E2D">
        <w:rPr>
          <w:rFonts w:ascii="Times New Roman" w:hAnsi="Times New Roman" w:cs="Times New Roman"/>
          <w:sz w:val="24"/>
          <w:szCs w:val="24"/>
        </w:rPr>
        <w:t>Roknabadi</w:t>
      </w:r>
      <w:proofErr w:type="spellEnd"/>
      <w:r w:rsidRPr="00CE5E2D">
        <w:rPr>
          <w:rFonts w:ascii="Times New Roman" w:hAnsi="Times New Roman" w:cs="Times New Roman"/>
          <w:sz w:val="24"/>
          <w:szCs w:val="24"/>
        </w:rPr>
        <w:t xml:space="preserve"> et al. (2022) as the absence of a connection between prescribing and dispensing and administration, is reflected through the misinterpretation of the label of an oral morphine solution by Len and his wife. There is a loss of vital safety information such as dose-timing at the transfer point where governance is centralised on organisational route and not patient ones as in this cross-national outcome by Dougherty et al. (2022), which revealed that high centralisation of health system decision-making with respect to health system outcomes is correlated with lower results at the point of care.</w:t>
      </w:r>
    </w:p>
    <w:p w14:paraId="0B2736A3" w14:textId="30CA422F" w:rsidR="00CE5E2D" w:rsidRPr="00CE5E2D" w:rsidRDefault="00CE5E2D" w:rsidP="00CE5E2D">
      <w:pPr>
        <w:pStyle w:val="Heading2"/>
      </w:pPr>
      <w:bookmarkStart w:id="30" w:name="_Toc237195611"/>
      <w:r w:rsidRPr="00CE5E2D">
        <w:t>2d.2 Missed Opportunities and Evidence-Based Solutions</w:t>
      </w:r>
      <w:bookmarkEnd w:id="30"/>
    </w:p>
    <w:tbl>
      <w:tblPr>
        <w:tblStyle w:val="TableGrid"/>
        <w:tblW w:w="9800" w:type="dxa"/>
        <w:tblLook w:val="0000" w:firstRow="0" w:lastRow="0" w:firstColumn="0" w:lastColumn="0" w:noHBand="0" w:noVBand="0"/>
      </w:tblPr>
      <w:tblGrid>
        <w:gridCol w:w="2600"/>
        <w:gridCol w:w="3600"/>
        <w:gridCol w:w="3600"/>
      </w:tblGrid>
      <w:tr w:rsidR="00CE5E2D" w:rsidRPr="00CE5E2D" w14:paraId="3503F3BB" w14:textId="77777777" w:rsidTr="00CE5E2D">
        <w:tc>
          <w:tcPr>
            <w:tcW w:w="2600" w:type="dxa"/>
          </w:tcPr>
          <w:p w14:paraId="7A67CD00"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b/>
                <w:bCs/>
                <w:sz w:val="24"/>
                <w:szCs w:val="24"/>
              </w:rPr>
              <w:t>Problem</w:t>
            </w:r>
          </w:p>
        </w:tc>
        <w:tc>
          <w:tcPr>
            <w:tcW w:w="3600" w:type="dxa"/>
          </w:tcPr>
          <w:p w14:paraId="7B306545"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b/>
                <w:bCs/>
                <w:sz w:val="24"/>
                <w:szCs w:val="24"/>
              </w:rPr>
              <w:t>Supporting Data</w:t>
            </w:r>
          </w:p>
        </w:tc>
        <w:tc>
          <w:tcPr>
            <w:tcW w:w="3600" w:type="dxa"/>
          </w:tcPr>
          <w:p w14:paraId="0AA9F40B"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b/>
                <w:bCs/>
                <w:sz w:val="24"/>
                <w:szCs w:val="24"/>
              </w:rPr>
              <w:t>Evidence-Based Improvement</w:t>
            </w:r>
          </w:p>
        </w:tc>
      </w:tr>
      <w:tr w:rsidR="00CE5E2D" w:rsidRPr="00CE5E2D" w14:paraId="69876F62" w14:textId="77777777" w:rsidTr="00CE5E2D">
        <w:tc>
          <w:tcPr>
            <w:tcW w:w="2600" w:type="dxa"/>
          </w:tcPr>
          <w:p w14:paraId="73AA2D70"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Fragmented governance across the community–acute interface obscured accountability for medicines communication.</w:t>
            </w:r>
          </w:p>
        </w:tc>
        <w:tc>
          <w:tcPr>
            <w:tcW w:w="3600" w:type="dxa"/>
          </w:tcPr>
          <w:p w14:paraId="629E2017" w14:textId="77777777" w:rsidR="00CE5E2D" w:rsidRPr="00CE5E2D" w:rsidRDefault="00CE5E2D" w:rsidP="00CE5E2D">
            <w:pPr>
              <w:spacing w:after="100" w:afterAutospacing="1" w:line="360" w:lineRule="auto"/>
              <w:jc w:val="both"/>
              <w:rPr>
                <w:rFonts w:ascii="Times New Roman" w:hAnsi="Times New Roman" w:cs="Times New Roman"/>
                <w:sz w:val="24"/>
                <w:szCs w:val="24"/>
              </w:rPr>
            </w:pPr>
            <w:proofErr w:type="spellStart"/>
            <w:r w:rsidRPr="00CE5E2D">
              <w:rPr>
                <w:rFonts w:ascii="Times New Roman" w:hAnsi="Times New Roman" w:cs="Times New Roman"/>
                <w:sz w:val="24"/>
                <w:szCs w:val="24"/>
              </w:rPr>
              <w:t>Aljabari</w:t>
            </w:r>
            <w:proofErr w:type="spellEnd"/>
            <w:r w:rsidRPr="00CE5E2D">
              <w:rPr>
                <w:rFonts w:ascii="Times New Roman" w:hAnsi="Times New Roman" w:cs="Times New Roman"/>
                <w:sz w:val="24"/>
                <w:szCs w:val="24"/>
              </w:rPr>
              <w:t xml:space="preserve"> and Kadhim (2021) identify hierarchical structures and poor shared understanding of error as leading barriers to safe communication across included studies.</w:t>
            </w:r>
          </w:p>
        </w:tc>
        <w:tc>
          <w:tcPr>
            <w:tcW w:w="3600" w:type="dxa"/>
          </w:tcPr>
          <w:p w14:paraId="6741FCAD"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Assign a single named, accountable role spanning the GP–pharmacy–hospital interface for high-risk medicines, following distributed leadership principles (Carstensen, Kjeldsen and Nielsen, 2024).</w:t>
            </w:r>
          </w:p>
        </w:tc>
      </w:tr>
      <w:tr w:rsidR="00CE5E2D" w:rsidRPr="00CE5E2D" w14:paraId="52B5D6B6" w14:textId="77777777" w:rsidTr="00CE5E2D">
        <w:tc>
          <w:tcPr>
            <w:tcW w:w="2600" w:type="dxa"/>
          </w:tcPr>
          <w:p w14:paraId="0BC8EA15"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Reliance on linear, single-incident investigation weakened organisational learning.</w:t>
            </w:r>
          </w:p>
        </w:tc>
        <w:tc>
          <w:tcPr>
            <w:tcW w:w="3600" w:type="dxa"/>
          </w:tcPr>
          <w:p w14:paraId="35C8D530"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Bowditch et al. (2026) found 43% of recommendations from 300 Australian investigations were classed as weak because contributing factors focused on individuals rather than systems.</w:t>
            </w:r>
          </w:p>
        </w:tc>
        <w:tc>
          <w:tcPr>
            <w:tcW w:w="3600" w:type="dxa"/>
          </w:tcPr>
          <w:p w14:paraId="74A756B2"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Adopt thematic, systems-based incident review (Machen, 2023) to identify recurring medicines-communication risks across a caseload.</w:t>
            </w:r>
          </w:p>
        </w:tc>
      </w:tr>
      <w:tr w:rsidR="00CE5E2D" w:rsidRPr="00CE5E2D" w14:paraId="02AEB217" w14:textId="77777777" w:rsidTr="00CE5E2D">
        <w:tc>
          <w:tcPr>
            <w:tcW w:w="2600" w:type="dxa"/>
          </w:tcPr>
          <w:p w14:paraId="24FADB43"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Hierarchical culture discouraged patients, carers and junior staff from raising concerns about unclear instructions.</w:t>
            </w:r>
          </w:p>
        </w:tc>
        <w:tc>
          <w:tcPr>
            <w:tcW w:w="3600" w:type="dxa"/>
          </w:tcPr>
          <w:p w14:paraId="46BA5655"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Jones et al. (2021) identified hierarchy as a persistent barrier to speaking-up behaviour across 34 international studies.</w:t>
            </w:r>
          </w:p>
        </w:tc>
        <w:tc>
          <w:tcPr>
            <w:tcW w:w="3600" w:type="dxa"/>
          </w:tcPr>
          <w:p w14:paraId="758ECF2C"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Embed structured 'teach-back' verification and speak-up prompts into medicines counselling, supported by psychological safety training (O'Donovan, De Brún and McAuliffe, 2021).</w:t>
            </w:r>
          </w:p>
        </w:tc>
      </w:tr>
    </w:tbl>
    <w:p w14:paraId="02F2CD70" w14:textId="1B0040D4" w:rsidR="00CE5E2D" w:rsidRDefault="00CE5E2D" w:rsidP="00CE5E2D">
      <w:pPr>
        <w:spacing w:after="100" w:afterAutospacing="1" w:line="360" w:lineRule="auto"/>
        <w:jc w:val="center"/>
        <w:rPr>
          <w:rFonts w:ascii="Times New Roman" w:hAnsi="Times New Roman" w:cs="Times New Roman"/>
          <w:b/>
          <w:bCs/>
          <w:sz w:val="24"/>
          <w:szCs w:val="24"/>
        </w:rPr>
      </w:pPr>
      <w:r w:rsidRPr="00CE5E2D">
        <w:rPr>
          <w:rFonts w:ascii="Times New Roman" w:hAnsi="Times New Roman" w:cs="Times New Roman"/>
          <w:b/>
          <w:bCs/>
          <w:sz w:val="24"/>
          <w:szCs w:val="24"/>
        </w:rPr>
        <w:t xml:space="preserve">Table </w:t>
      </w:r>
      <w:r>
        <w:rPr>
          <w:rFonts w:ascii="Times New Roman" w:hAnsi="Times New Roman" w:cs="Times New Roman"/>
          <w:b/>
          <w:bCs/>
          <w:sz w:val="24"/>
          <w:szCs w:val="24"/>
        </w:rPr>
        <w:t>2</w:t>
      </w:r>
      <w:r w:rsidRPr="00CE5E2D">
        <w:rPr>
          <w:rFonts w:ascii="Times New Roman" w:hAnsi="Times New Roman" w:cs="Times New Roman"/>
          <w:b/>
          <w:bCs/>
          <w:sz w:val="24"/>
          <w:szCs w:val="24"/>
        </w:rPr>
        <w:t>: Problems, Supporting Evidence and Evidence-Based Improvements</w:t>
      </w:r>
    </w:p>
    <w:p w14:paraId="36B1C9A3" w14:textId="5D913845" w:rsidR="00CE5E2D" w:rsidRPr="00CE5E2D" w:rsidRDefault="00CE5E2D" w:rsidP="00CE5E2D">
      <w:pPr>
        <w:spacing w:after="100" w:afterAutospacing="1" w:line="360" w:lineRule="auto"/>
        <w:jc w:val="center"/>
      </w:pPr>
      <w:r w:rsidRPr="00CE5E2D">
        <w:rPr>
          <w:rFonts w:ascii="Times New Roman" w:hAnsi="Times New Roman" w:cs="Times New Roman"/>
          <w:sz w:val="24"/>
          <w:szCs w:val="24"/>
        </w:rPr>
        <w:lastRenderedPageBreak/>
        <w:t>(Source: Created by Author)</w:t>
      </w:r>
    </w:p>
    <w:p w14:paraId="37BFF431" w14:textId="77777777" w:rsidR="00CE5E2D" w:rsidRPr="00CE5E2D" w:rsidRDefault="00CE5E2D" w:rsidP="00CE5E2D">
      <w:pPr>
        <w:pStyle w:val="Heading2"/>
      </w:pPr>
      <w:bookmarkStart w:id="31" w:name="_Toc237195612"/>
      <w:r w:rsidRPr="00CE5E2D">
        <w:t>2d.3 Linking System Structure, Leadership and Feedback</w:t>
      </w:r>
      <w:bookmarkEnd w:id="31"/>
    </w:p>
    <w:p w14:paraId="5A07D69C" w14:textId="77777777" w:rsidR="00CE5E2D" w:rsidRPr="00CE5E2D" w:rsidRDefault="00CE5E2D" w:rsidP="00CE5E2D">
      <w:pPr>
        <w:pStyle w:val="Heading3"/>
      </w:pPr>
      <w:bookmarkStart w:id="32" w:name="_Toc237195613"/>
      <w:r w:rsidRPr="00CE5E2D">
        <w:t>2d.3.1 Interaction of Structure, Leadership Style and Feedback</w:t>
      </w:r>
      <w:bookmarkEnd w:id="32"/>
    </w:p>
    <w:p w14:paraId="79C0F68F"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reason why overdose of Len was not prevented has to do with the centralisation, leadership and feedback interaction style. Machen (2023) hypothesises that organisations that investigate in a one-incident, root-cause fashion, rather than thematic review, founded on the systems, would be overlooking the signal of feedback, indicating a series of medicines-communication-incidents would recur across a caseload. This is intensified when the leadership is hierarchical as Jones et al. (2021) have discovered that steep hierarchies will actually deter frontline staff, patients and carers fronting on issues related to the instructions that they do not fully comprehend. Bowditch et al. (2026) take this a step further by illustrating, using three hundred Australian patient-safety inquires that the advice in those situations is de facto ad hoc, rather than system-based in circumstances.</w:t>
      </w:r>
    </w:p>
    <w:p w14:paraId="7ABFCE9F" w14:textId="77777777" w:rsidR="00CE5E2D" w:rsidRPr="00CE5E2D" w:rsidRDefault="00CE5E2D" w:rsidP="00CE5E2D">
      <w:pPr>
        <w:pStyle w:val="Heading3"/>
      </w:pPr>
      <w:bookmarkStart w:id="33" w:name="_Toc237195614"/>
      <w:r w:rsidRPr="00CE5E2D">
        <w:t>2d.3.2 Lessons for Other Health Organisations</w:t>
      </w:r>
      <w:bookmarkEnd w:id="33"/>
    </w:p>
    <w:p w14:paraId="2B66A193"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principal message that can be conveyed to other organisations is that the element of safety cannot be assured only through clinical processes but needs to be dictated by a dynamic process that spans the gap between the point of care and learning within the organisation. The way data on incident report can be thematically analyzed indicates that organisations can learn that there are recurrent and systemic vulnerabilities such as label misunderstanding among aged patients before it inflicts serious harm (Leon, Hogan and Jani, 2024). Carstensen, Kjeldsen and Nielsen (2024) also add that leadership shared beyond the professional boundaries of a collaborative results in a longer-term improvement than those based on a top-down leadership of a single organisation.</w:t>
      </w:r>
    </w:p>
    <w:p w14:paraId="1B5148F7" w14:textId="77777777" w:rsidR="00CE5E2D" w:rsidRPr="00CE5E2D" w:rsidRDefault="00CE5E2D" w:rsidP="00CE5E2D">
      <w:pPr>
        <w:pStyle w:val="Heading3"/>
      </w:pPr>
      <w:bookmarkStart w:id="34" w:name="_Toc237195615"/>
      <w:r w:rsidRPr="00CE5E2D">
        <w:t>2d.3.3 Using Evidence and Data for Continuous Improvement and Accountability</w:t>
      </w:r>
      <w:bookmarkEnd w:id="34"/>
    </w:p>
    <w:p w14:paraId="1868E6ED"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The community of long-term accountability comes with the consideration of safety data as a source of ongoing enhancement and not as a history of assiduity looked back retrospectively. According to Cerrone et al. (2025), the greatest safety benefit accrues when incident-reporting systems work in a direction of returning on the staff training and process redesign instead of submitting the system to the audit as an independent entity. </w:t>
      </w:r>
      <w:proofErr w:type="spellStart"/>
      <w:r w:rsidRPr="00CE5E2D">
        <w:rPr>
          <w:rFonts w:ascii="Times New Roman" w:hAnsi="Times New Roman" w:cs="Times New Roman"/>
          <w:sz w:val="24"/>
          <w:szCs w:val="24"/>
        </w:rPr>
        <w:t>Gqaleni</w:t>
      </w:r>
      <w:proofErr w:type="spellEnd"/>
      <w:r w:rsidRPr="00CE5E2D">
        <w:rPr>
          <w:rFonts w:ascii="Times New Roman" w:hAnsi="Times New Roman" w:cs="Times New Roman"/>
          <w:sz w:val="24"/>
          <w:szCs w:val="24"/>
        </w:rPr>
        <w:t xml:space="preserve">, Mkhize and </w:t>
      </w:r>
      <w:proofErr w:type="spellStart"/>
      <w:r w:rsidRPr="00CE5E2D">
        <w:rPr>
          <w:rFonts w:ascii="Times New Roman" w:hAnsi="Times New Roman" w:cs="Times New Roman"/>
          <w:sz w:val="24"/>
          <w:szCs w:val="24"/>
        </w:rPr>
        <w:t>Chironda</w:t>
      </w:r>
      <w:proofErr w:type="spellEnd"/>
      <w:r w:rsidRPr="00CE5E2D">
        <w:rPr>
          <w:rFonts w:ascii="Times New Roman" w:hAnsi="Times New Roman" w:cs="Times New Roman"/>
          <w:sz w:val="24"/>
          <w:szCs w:val="24"/>
        </w:rPr>
        <w:t xml:space="preserve"> </w:t>
      </w:r>
      <w:r w:rsidRPr="00CE5E2D">
        <w:rPr>
          <w:rFonts w:ascii="Times New Roman" w:hAnsi="Times New Roman" w:cs="Times New Roman"/>
          <w:sz w:val="24"/>
          <w:szCs w:val="24"/>
        </w:rPr>
        <w:lastRenderedPageBreak/>
        <w:t xml:space="preserve">(2024) proceed to state that digitised near real-time reporting and learning-guidelines lead to greater timeliness with which organisations adapt to emergent risks such as medicines-communication breakdowns. Put together, this evidence is an indication that the outcome in the case of Len is a result of governance in a system which not only lacked distributed leadership but also a working feedback loop between the acute care and community. </w:t>
      </w:r>
    </w:p>
    <w:p w14:paraId="0B6FD89C" w14:textId="77777777" w:rsidR="00CE5E2D" w:rsidRPr="00CE5E2D" w:rsidRDefault="00CE5E2D" w:rsidP="00CE5E2D">
      <w:pPr>
        <w:pStyle w:val="Heading1"/>
      </w:pPr>
      <w:bookmarkStart w:id="35" w:name="_Toc237195616"/>
      <w:r w:rsidRPr="00CE5E2D">
        <w:t>3. Recommendation</w:t>
      </w:r>
      <w:bookmarkEnd w:id="35"/>
    </w:p>
    <w:p w14:paraId="5CD58939" w14:textId="77777777" w:rsidR="00CE5E2D" w:rsidRPr="00CE5E2D" w:rsidRDefault="00CE5E2D" w:rsidP="00CE5E2D">
      <w:pPr>
        <w:pStyle w:val="Heading2"/>
      </w:pPr>
      <w:bookmarkStart w:id="36" w:name="_Toc237195617"/>
      <w:r w:rsidRPr="00CE5E2D">
        <w:t>3.1 Immediate Priorities for the Organisation</w:t>
      </w:r>
      <w:bookmarkEnd w:id="36"/>
    </w:p>
    <w:p w14:paraId="06FE4486"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One of the responsible pathways of high-risk medicines across the primary-secondary care line should be central, not with one accountable person accountable in the groups of general practice, pharmacy and hospital. The article by Carstensen, Kjeldsen and Nielsen (2024) confirms that there is a correlation between aligned distributed leadership, in which the duty is clearly shared by professional lines and better improvement outcomes in quality collaboratives. The support and aid that this pathway lead will get and will result on increased readiness to challenge ambiguous instructions and raise safety issues with staff members is offered by the structured collective leadership development programme that De Br Brun and McAuliffe (2023) assess.</w:t>
      </w:r>
    </w:p>
    <w:p w14:paraId="639782F9" w14:textId="77777777" w:rsidR="00CE5E2D" w:rsidRPr="00CE5E2D" w:rsidRDefault="00CE5E2D" w:rsidP="00CE5E2D">
      <w:pPr>
        <w:pStyle w:val="Heading2"/>
      </w:pPr>
      <w:bookmarkStart w:id="37" w:name="_Toc237195618"/>
      <w:r w:rsidRPr="00CE5E2D">
        <w:t>3.2 Recommended Leadership Style</w:t>
      </w:r>
      <w:bookmarkEnd w:id="37"/>
    </w:p>
    <w:p w14:paraId="4688706F"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To sustain such improvement, mixed distributed and shared leadership model has been proposed in place of only a hierarchical model. The most common and repeated connections with the tendencies of improved teamwork, perception of communication and safety were the most common in the context of transformational and ethical leadership, which were found during the analysis of health systems reviewed. This style should be supplemented with clear </w:t>
      </w:r>
      <w:proofErr w:type="spellStart"/>
      <w:r w:rsidRPr="00CE5E2D">
        <w:rPr>
          <w:rFonts w:ascii="Times New Roman" w:hAnsi="Times New Roman" w:cs="Times New Roman"/>
          <w:sz w:val="24"/>
          <w:szCs w:val="24"/>
        </w:rPr>
        <w:t>horizontalisation</w:t>
      </w:r>
      <w:proofErr w:type="spellEnd"/>
      <w:r w:rsidRPr="00CE5E2D">
        <w:rPr>
          <w:rFonts w:ascii="Times New Roman" w:hAnsi="Times New Roman" w:cs="Times New Roman"/>
          <w:sz w:val="24"/>
          <w:szCs w:val="24"/>
        </w:rPr>
        <w:t xml:space="preserve"> work at the border of medicines counselling since Jones et al. (2021) had realized that only those measures that involve senior staff members are open and ready to be challenged by junior staff members, patients and carers.</w:t>
      </w:r>
    </w:p>
    <w:p w14:paraId="7B4E3454" w14:textId="77777777" w:rsidR="00CE5E2D" w:rsidRPr="00CE5E2D" w:rsidRDefault="00CE5E2D" w:rsidP="00CE5E2D">
      <w:pPr>
        <w:pStyle w:val="Heading2"/>
      </w:pPr>
      <w:bookmarkStart w:id="38" w:name="_Toc237195619"/>
      <w:r w:rsidRPr="00CE5E2D">
        <w:t>3.3 Strengthening Governance, Communication and Systems Integration</w:t>
      </w:r>
      <w:bookmarkEnd w:id="38"/>
    </w:p>
    <w:p w14:paraId="023A6AD6"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The need to make governance move away, in that the organisation based and siloed control move to integrated controls of the whole </w:t>
      </w:r>
      <w:proofErr w:type="gramStart"/>
      <w:r w:rsidRPr="00CE5E2D">
        <w:rPr>
          <w:rFonts w:ascii="Times New Roman" w:hAnsi="Times New Roman" w:cs="Times New Roman"/>
          <w:sz w:val="24"/>
          <w:szCs w:val="24"/>
        </w:rPr>
        <w:t>medicines</w:t>
      </w:r>
      <w:proofErr w:type="gramEnd"/>
      <w:r w:rsidRPr="00CE5E2D">
        <w:rPr>
          <w:rFonts w:ascii="Times New Roman" w:hAnsi="Times New Roman" w:cs="Times New Roman"/>
          <w:sz w:val="24"/>
          <w:szCs w:val="24"/>
        </w:rPr>
        <w:t xml:space="preserve"> pathway. Dougherty et al. (2022) observed a significant proportion of moderate, as opposed to extreme, decentralisation of health system </w:t>
      </w:r>
      <w:r w:rsidRPr="00CE5E2D">
        <w:rPr>
          <w:rFonts w:ascii="Times New Roman" w:hAnsi="Times New Roman" w:cs="Times New Roman"/>
          <w:sz w:val="24"/>
          <w:szCs w:val="24"/>
        </w:rPr>
        <w:lastRenderedPageBreak/>
        <w:t xml:space="preserve">decision-making was linked to better outcomes, which means that community and acute providers ought to have only a single governance forum of the high-risk medicines instead of having two systems. Incident investigation needs to move beyond one-event, root cause methodologies to thematic, systems-based operations offered by Machen (2023) and a systems-based framework of the kind that Leon, Hogan and Jani (2024) </w:t>
      </w:r>
      <w:proofErr w:type="gramStart"/>
      <w:r w:rsidRPr="00CE5E2D">
        <w:rPr>
          <w:rFonts w:ascii="Times New Roman" w:hAnsi="Times New Roman" w:cs="Times New Roman"/>
          <w:sz w:val="24"/>
          <w:szCs w:val="24"/>
        </w:rPr>
        <w:t>provides</w:t>
      </w:r>
      <w:proofErr w:type="gramEnd"/>
      <w:r w:rsidRPr="00CE5E2D">
        <w:rPr>
          <w:rFonts w:ascii="Times New Roman" w:hAnsi="Times New Roman" w:cs="Times New Roman"/>
          <w:sz w:val="24"/>
          <w:szCs w:val="24"/>
        </w:rPr>
        <w:t xml:space="preserve"> to identify recurring vulnerabilities that can be exploited to cause damage.</w:t>
      </w:r>
    </w:p>
    <w:p w14:paraId="16215203" w14:textId="77777777" w:rsidR="00CE5E2D" w:rsidRPr="00CE5E2D" w:rsidRDefault="00CE5E2D" w:rsidP="00CE5E2D">
      <w:pPr>
        <w:pStyle w:val="Heading2"/>
      </w:pPr>
      <w:bookmarkStart w:id="39" w:name="_Toc237195620"/>
      <w:r w:rsidRPr="00CE5E2D">
        <w:t>3.4 Enhancing Technical and Allocative Efficiency</w:t>
      </w:r>
      <w:bookmarkEnd w:id="39"/>
    </w:p>
    <w:p w14:paraId="1753EE66"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The allocative principle of maximising value when resource is redirected towards the most beneficial intervention can be reflected by investing in proactive medicines-safety verification instead of focused on active incident management. It is also possible to increase technical efficacy in digitising the incidents at the point of care and the research conducted by </w:t>
      </w:r>
      <w:proofErr w:type="spellStart"/>
      <w:r w:rsidRPr="00CE5E2D">
        <w:rPr>
          <w:rFonts w:ascii="Times New Roman" w:hAnsi="Times New Roman" w:cs="Times New Roman"/>
          <w:sz w:val="24"/>
          <w:szCs w:val="24"/>
        </w:rPr>
        <w:t>Gqaleni</w:t>
      </w:r>
      <w:proofErr w:type="spellEnd"/>
      <w:r w:rsidRPr="00CE5E2D">
        <w:rPr>
          <w:rFonts w:ascii="Times New Roman" w:hAnsi="Times New Roman" w:cs="Times New Roman"/>
          <w:sz w:val="24"/>
          <w:szCs w:val="24"/>
        </w:rPr>
        <w:t xml:space="preserve">, Mkhize and </w:t>
      </w:r>
      <w:proofErr w:type="spellStart"/>
      <w:r w:rsidRPr="00CE5E2D">
        <w:rPr>
          <w:rFonts w:ascii="Times New Roman" w:hAnsi="Times New Roman" w:cs="Times New Roman"/>
          <w:sz w:val="24"/>
          <w:szCs w:val="24"/>
        </w:rPr>
        <w:t>Chironda</w:t>
      </w:r>
      <w:proofErr w:type="spellEnd"/>
      <w:r w:rsidRPr="00CE5E2D">
        <w:rPr>
          <w:rFonts w:ascii="Times New Roman" w:hAnsi="Times New Roman" w:cs="Times New Roman"/>
          <w:sz w:val="24"/>
          <w:szCs w:val="24"/>
        </w:rPr>
        <w:t xml:space="preserve"> (2024) showed that the completeness and timeliness of the safety data gathered with the computer-based reporting guidelines was better as compared to the data gathered through the paper-based systems. Prioritisation of interventions such as the implementation of a teach-back counselling intervention on patients using opioids of over 65 years of age satisfies allocation efficiency, i.e., one of the most common contributing factors consumed through the thematic review is addressed (Leon, Hogan and Jani, 2024).</w:t>
      </w:r>
    </w:p>
    <w:p w14:paraId="09ED771B" w14:textId="77777777" w:rsidR="00CE5E2D" w:rsidRPr="00CE5E2D" w:rsidRDefault="00CE5E2D" w:rsidP="00CE5E2D">
      <w:pPr>
        <w:pStyle w:val="Heading2"/>
      </w:pPr>
      <w:bookmarkStart w:id="40" w:name="_Toc237195621"/>
      <w:r w:rsidRPr="00CE5E2D">
        <w:t>3.5 Continuous Learning, Stakeholder Engagement and Co-Production</w:t>
      </w:r>
      <w:bookmarkEnd w:id="40"/>
    </w:p>
    <w:p w14:paraId="75FEF530"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concept of treating patients and family carers as safety partners and not passive receivers of medicines information needs to be addressed. As demonstrated by O Toole et al. (2023), co-production of communication programme between patients and families can reduce the level of harm incurred in cases of care transitions. Cerrone et al. (2025) also propose that outputs of reporting-systems should be fed back in an open way to frontline workers and (where of interest) to service users, to bridge between the data collection process and organisational learning. Table 2 offers a recap of the suggestions on the prohibition of leadership style and how it should contribute to a lasting change.</w:t>
      </w:r>
    </w:p>
    <w:p w14:paraId="51111CFC" w14:textId="77777777" w:rsidR="00CE5E2D" w:rsidRPr="00CE5E2D" w:rsidRDefault="00CE5E2D" w:rsidP="00CE5E2D">
      <w:pPr>
        <w:pStyle w:val="Heading1"/>
      </w:pPr>
      <w:bookmarkStart w:id="41" w:name="_Toc237195622"/>
      <w:r w:rsidRPr="00CE5E2D">
        <w:t>4. Conclusion</w:t>
      </w:r>
      <w:bookmarkEnd w:id="41"/>
    </w:p>
    <w:p w14:paraId="1891D4C7"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The killing of Len due to accidental morphine overdose illustrates how the injury to the patients may not be the result of a single clinical mistake, but rather a compilation of fragmented </w:t>
      </w:r>
      <w:r w:rsidRPr="00CE5E2D">
        <w:rPr>
          <w:rFonts w:ascii="Times New Roman" w:hAnsi="Times New Roman" w:cs="Times New Roman"/>
          <w:sz w:val="24"/>
          <w:szCs w:val="24"/>
        </w:rPr>
        <w:lastRenderedPageBreak/>
        <w:t>governance, top-down management, and inefficient feed-back to an operating procedure. As demonstrates in the case, the primary secondary interface in safety was based on informal, as opposed to formal, responsibility in ensuring a vulnerable and elderly patient and his carer knew about a high-risk medicine. Thanks to the reviewed evidence, it becomes evident that superior outcomes of the kind will be achieved during the situations when leadership is transactional and hierarchical with the distributed and collective systems research mechanisms being linear and systems-based, respectively. To address these characteristics, the governance has to be built around the full spectrum of patients rather than the organisations themselves and informed by a leadership that can be open to criticism of the juniors undertaking the work as well as patients and carers.</w:t>
      </w:r>
    </w:p>
    <w:p w14:paraId="37DA88D9" w14:textId="2D9C98FB" w:rsidR="004C3FA8"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The broader implications of the case are what it teaches us about the connection between leadership, governance and systems thinking to get sustainable improvement. By viewing incident data as a learning resource rather than a history of compliance, organisations are better place to learn and eliminate the repetitive risk of such risks, even before they can lead to heart-wrenching consequences. Equally, making patients and families active contributors to incident learning and service redesign is empowering the feedback loops that are prone to be minimized in hierarchical systems, in which most of the authorities remain insulated. To eventually stop deaths of the type encountered by Len, the health organisations will have to go actively out of its way to shift and drift towards proactive, distributed, evidence-based governance where safety is a system wide and collective responsibility of each organisation, instead of the domain of certain professionals or organisational demarcation.</w:t>
      </w:r>
      <w:r w:rsidRPr="00CE5E2D">
        <w:rPr>
          <w:rFonts w:ascii="Times New Roman" w:hAnsi="Times New Roman" w:cs="Times New Roman"/>
          <w:sz w:val="24"/>
          <w:szCs w:val="24"/>
        </w:rPr>
        <w:br w:type="page"/>
      </w:r>
    </w:p>
    <w:p w14:paraId="55C0B211" w14:textId="71EE1270" w:rsidR="004C3FA8" w:rsidRPr="00CE5E2D" w:rsidRDefault="00401B0B" w:rsidP="00CE5E2D">
      <w:pPr>
        <w:pStyle w:val="Heading1"/>
      </w:pPr>
      <w:bookmarkStart w:id="42" w:name="_Toc237195623"/>
      <w:r w:rsidRPr="00CE5E2D">
        <w:lastRenderedPageBreak/>
        <w:t>Reference</w:t>
      </w:r>
      <w:r w:rsidR="00CE5E2D">
        <w:t xml:space="preserve"> List</w:t>
      </w:r>
      <w:bookmarkEnd w:id="42"/>
      <w:r w:rsidR="00CE5E2D">
        <w:t xml:space="preserve"> </w:t>
      </w:r>
    </w:p>
    <w:p w14:paraId="5C7C09B8"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Althobaiti, F.M. (2026) 'The effects of leadership on patient safety culture in health care: a systematic review', BMC Nursing, 25, article 104. Available at: https://doi.org/10.1186/s12912-025-04263-7 (Accessed: 9 August 2026).</w:t>
      </w:r>
    </w:p>
    <w:p w14:paraId="65A17708" w14:textId="77777777" w:rsidR="00CE5E2D" w:rsidRPr="00CE5E2D" w:rsidRDefault="00CE5E2D" w:rsidP="00CE5E2D">
      <w:pPr>
        <w:spacing w:after="100" w:afterAutospacing="1" w:line="360" w:lineRule="auto"/>
        <w:jc w:val="both"/>
        <w:rPr>
          <w:rFonts w:ascii="Times New Roman" w:hAnsi="Times New Roman" w:cs="Times New Roman"/>
          <w:sz w:val="24"/>
          <w:szCs w:val="24"/>
        </w:rPr>
      </w:pPr>
      <w:proofErr w:type="spellStart"/>
      <w:r w:rsidRPr="00CE5E2D">
        <w:rPr>
          <w:rFonts w:ascii="Times New Roman" w:hAnsi="Times New Roman" w:cs="Times New Roman"/>
          <w:sz w:val="24"/>
          <w:szCs w:val="24"/>
        </w:rPr>
        <w:t>Aljabari</w:t>
      </w:r>
      <w:proofErr w:type="spellEnd"/>
      <w:r w:rsidRPr="00CE5E2D">
        <w:rPr>
          <w:rFonts w:ascii="Times New Roman" w:hAnsi="Times New Roman" w:cs="Times New Roman"/>
          <w:sz w:val="24"/>
          <w:szCs w:val="24"/>
        </w:rPr>
        <w:t>, S. and Kadhim, Z. (2021) 'Common barriers to reporting medical errors', The Scientific World Journal, 2021, Article ID 6494889. Available at: https://onlinelibrary.wiley.com/doi/10.1155/2021/6494889 (Accessed: 9 August 2026).</w:t>
      </w:r>
    </w:p>
    <w:p w14:paraId="7E605A79"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Althobaiti, F.M. (2026) 'The effects of leadership on patient safety culture in health care: a systematic review', BMC Nursing. Available at: https://doi.org/10.1186/s12912-025-04263-7 (Accessed: 9 August 2026).</w:t>
      </w:r>
    </w:p>
    <w:p w14:paraId="517BDBBA" w14:textId="77777777" w:rsidR="00CE5E2D" w:rsidRPr="00CE5E2D" w:rsidRDefault="00CE5E2D" w:rsidP="00CE5E2D">
      <w:pPr>
        <w:spacing w:after="100" w:afterAutospacing="1" w:line="360" w:lineRule="auto"/>
        <w:jc w:val="both"/>
        <w:rPr>
          <w:rFonts w:ascii="Times New Roman" w:hAnsi="Times New Roman" w:cs="Times New Roman"/>
          <w:sz w:val="24"/>
          <w:szCs w:val="24"/>
        </w:rPr>
      </w:pPr>
      <w:proofErr w:type="spellStart"/>
      <w:r w:rsidRPr="00CE5E2D">
        <w:rPr>
          <w:rFonts w:ascii="Times New Roman" w:hAnsi="Times New Roman" w:cs="Times New Roman"/>
          <w:sz w:val="24"/>
          <w:szCs w:val="24"/>
        </w:rPr>
        <w:t>Bahadurzada</w:t>
      </w:r>
      <w:proofErr w:type="spellEnd"/>
      <w:r w:rsidRPr="00CE5E2D">
        <w:rPr>
          <w:rFonts w:ascii="Times New Roman" w:hAnsi="Times New Roman" w:cs="Times New Roman"/>
          <w:sz w:val="24"/>
          <w:szCs w:val="24"/>
        </w:rPr>
        <w:t xml:space="preserve">, H., </w:t>
      </w:r>
      <w:proofErr w:type="spellStart"/>
      <w:r w:rsidRPr="00CE5E2D">
        <w:rPr>
          <w:rFonts w:ascii="Times New Roman" w:hAnsi="Times New Roman" w:cs="Times New Roman"/>
          <w:sz w:val="24"/>
          <w:szCs w:val="24"/>
        </w:rPr>
        <w:t>Kerrissey</w:t>
      </w:r>
      <w:proofErr w:type="spellEnd"/>
      <w:r w:rsidRPr="00CE5E2D">
        <w:rPr>
          <w:rFonts w:ascii="Times New Roman" w:hAnsi="Times New Roman" w:cs="Times New Roman"/>
          <w:sz w:val="24"/>
          <w:szCs w:val="24"/>
        </w:rPr>
        <w:t>, M. and Edmondson, A.C. (2024) 'Speaking up and taking action: psychological safety and joint problem-solving orientation in safety improvement', Healthcare, 12(8), p.812. Available at: https://doi.org/10.3390/healthcare12080812 (Accessed: 9 August 2026).</w:t>
      </w:r>
    </w:p>
    <w:p w14:paraId="17A94D82"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Bowditch, L., Molloy, C., King, B., Abedi, M., Jackson, S., Bierbaum, M., Yu, Y., Raggett, L., Salmon, P., Braithwaite, J., Westbrook, J.I., Clay-Williams, R., Lingam, R., Middleton, S., </w:t>
      </w:r>
      <w:proofErr w:type="spellStart"/>
      <w:r w:rsidRPr="00CE5E2D">
        <w:rPr>
          <w:rFonts w:ascii="Times New Roman" w:hAnsi="Times New Roman" w:cs="Times New Roman"/>
          <w:sz w:val="24"/>
          <w:szCs w:val="24"/>
        </w:rPr>
        <w:t>Magrabi</w:t>
      </w:r>
      <w:proofErr w:type="spellEnd"/>
      <w:r w:rsidRPr="00CE5E2D">
        <w:rPr>
          <w:rFonts w:ascii="Times New Roman" w:hAnsi="Times New Roman" w:cs="Times New Roman"/>
          <w:sz w:val="24"/>
          <w:szCs w:val="24"/>
        </w:rPr>
        <w:t>, F., Mumford, V. and Hibbert, P. (2026) 'Do patient safety incident investigations align with systems thinking? An analysis of contributing factors and recommendations', BMJ Quality and Safety, 35(7), pp.443–455. Available at: https://doi.org/10.1136/bmjqs-2025-019063 (Accessed: 9 August 2026).</w:t>
      </w:r>
    </w:p>
    <w:p w14:paraId="550F2D05"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Braut, H., Øygarden, O., Storm, M. and Mikkelsen, A. (2022) 'General practitioners' perceptions of distributed leadership in providing integrated care for elderly chronic multi-morbid patients: a qualitative study', BMC Health Services Research, 22(1), pp.1–12. Available at: https://doi.org/10.1186/s12913-022-08460-x (Accessed: 9 August 2026).</w:t>
      </w:r>
    </w:p>
    <w:p w14:paraId="423F0CE1"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Carstensen, K., Kjeldsen, A.M. and Nielsen, C.P. (2024) 'Distributed leadership in health quality improvement collaboratives', Health Care Management Review, 49(1), pp.46–58. Available at: https://pmc.ncbi.nlm.nih.gov/articles/PMC11801468/ (Accessed: 9 August 2026).</w:t>
      </w:r>
    </w:p>
    <w:p w14:paraId="07DDFB71"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lastRenderedPageBreak/>
        <w:t>Cerrone, V., Andretta, V., Prendin, A., Ilardi, B., Bonetti, C., Capunzo, M. and Cascella, M. (2025) 'Effectiveness of incident reporting tools in ensuring patient safety: a systematic-narrative hybrid review', Patient Experience Journal, 12(1), pp.83–92. Available at: https://doi.org/10.35680/2372-0247.2001 (Accessed: 9 August 2026).</w:t>
      </w:r>
    </w:p>
    <w:p w14:paraId="6A03E083"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De Brún, A. and McAuliffe, E. (2023) '"When there's collective leadership, there's the power to make changes": A realist evaluation of a collective leadership intervention (Co-Lead) in healthcare teams', Journal of Leadership &amp; Organizational Studies, 30(2). Available at: https://journals.sagepub.com/doi/10.1177/15480518221144895 (Accessed: 9 August 2026).</w:t>
      </w:r>
    </w:p>
    <w:p w14:paraId="31C8DFDA"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Dougherty, S., Lorenzoni, L., Marino, A. and Murtin, F. (2022) 'The impact of decentralisation on the performance of health care systems: a non-linear relationship', European Journal of Health Economics, 23(4), pp.705–715. Available at: https://link.springer.com/article/10.1007/s10198-021-01390-1 (Accessed: 9 August 2026).</w:t>
      </w:r>
    </w:p>
    <w:p w14:paraId="02407502" w14:textId="77777777" w:rsidR="00CE5E2D" w:rsidRPr="00CE5E2D" w:rsidRDefault="00CE5E2D" w:rsidP="00CE5E2D">
      <w:pPr>
        <w:spacing w:after="100" w:afterAutospacing="1" w:line="360" w:lineRule="auto"/>
        <w:jc w:val="both"/>
        <w:rPr>
          <w:rFonts w:ascii="Times New Roman" w:hAnsi="Times New Roman" w:cs="Times New Roman"/>
          <w:sz w:val="24"/>
          <w:szCs w:val="24"/>
        </w:rPr>
      </w:pPr>
      <w:proofErr w:type="spellStart"/>
      <w:r w:rsidRPr="00CE5E2D">
        <w:rPr>
          <w:rFonts w:ascii="Times New Roman" w:hAnsi="Times New Roman" w:cs="Times New Roman"/>
          <w:sz w:val="24"/>
          <w:szCs w:val="24"/>
        </w:rPr>
        <w:t>Gqaleni</w:t>
      </w:r>
      <w:proofErr w:type="spellEnd"/>
      <w:r w:rsidRPr="00CE5E2D">
        <w:rPr>
          <w:rFonts w:ascii="Times New Roman" w:hAnsi="Times New Roman" w:cs="Times New Roman"/>
          <w:sz w:val="24"/>
          <w:szCs w:val="24"/>
        </w:rPr>
        <w:t xml:space="preserve">, T.M., Mkhize, S.W. and </w:t>
      </w:r>
      <w:proofErr w:type="spellStart"/>
      <w:r w:rsidRPr="00CE5E2D">
        <w:rPr>
          <w:rFonts w:ascii="Times New Roman" w:hAnsi="Times New Roman" w:cs="Times New Roman"/>
          <w:sz w:val="24"/>
          <w:szCs w:val="24"/>
        </w:rPr>
        <w:t>Chironda</w:t>
      </w:r>
      <w:proofErr w:type="spellEnd"/>
      <w:r w:rsidRPr="00CE5E2D">
        <w:rPr>
          <w:rFonts w:ascii="Times New Roman" w:hAnsi="Times New Roman" w:cs="Times New Roman"/>
          <w:sz w:val="24"/>
          <w:szCs w:val="24"/>
        </w:rPr>
        <w:t>, G. (2024) 'Patient safety incident reporting and learning guidelines implemented by health care professionals in specialized care units: scoping review', Journal of Medical Internet Research, 26, e48580. Available at: https://www.jmir.org/2024/1/e48580 (Accessed: 9 August 2026).</w:t>
      </w:r>
    </w:p>
    <w:p w14:paraId="7DD573C9"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Jones, A., Blake, J., Adams, M., Kelly, D., Mannion, R. and Maben, J. (2021) 'Interventions promoting employee "speaking-up" within healthcare workplaces: A systematic narrative review of the international literature', Health Policy, 125(3), pp.375–384. Available at: https://doi.org/10.1016/j.healthpol.2020.12.016 (Accessed: 9 August 2026).</w:t>
      </w:r>
    </w:p>
    <w:p w14:paraId="00C7F0B8"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Leon, C., Hogan, H. and Jani, Y.H. (2024) 'Seeking systems-based facilitators of safety and healthcare resilience: a thematic review of incident reports', International Journal for Quality in Health Care. Available at: https://doi.org/10.1093/intqhc/mzae057 (Accessed: 9 August 2026).</w:t>
      </w:r>
    </w:p>
    <w:p w14:paraId="116A6F48"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Machen, S. (2023) 'Thematic reviews of patient safety incidents as a tool for systems thinking: a quality improvement report', BMJ Open Quality, 12(2), e002020. Available at: https://pmc.ncbi.nlm.nih.gov/articles/PMC10163506/ (Accessed: 9 August 2026).</w:t>
      </w:r>
    </w:p>
    <w:p w14:paraId="3B3BC59F"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Mousavi-</w:t>
      </w:r>
      <w:proofErr w:type="spellStart"/>
      <w:r w:rsidRPr="00CE5E2D">
        <w:rPr>
          <w:rFonts w:ascii="Times New Roman" w:hAnsi="Times New Roman" w:cs="Times New Roman"/>
          <w:sz w:val="24"/>
          <w:szCs w:val="24"/>
        </w:rPr>
        <w:t>Roknabadi</w:t>
      </w:r>
      <w:proofErr w:type="spellEnd"/>
      <w:r w:rsidRPr="00CE5E2D">
        <w:rPr>
          <w:rFonts w:ascii="Times New Roman" w:hAnsi="Times New Roman" w:cs="Times New Roman"/>
          <w:sz w:val="24"/>
          <w:szCs w:val="24"/>
        </w:rPr>
        <w:t xml:space="preserve">, R.S., </w:t>
      </w:r>
      <w:proofErr w:type="spellStart"/>
      <w:r w:rsidRPr="00CE5E2D">
        <w:rPr>
          <w:rFonts w:ascii="Times New Roman" w:hAnsi="Times New Roman" w:cs="Times New Roman"/>
          <w:sz w:val="24"/>
          <w:szCs w:val="24"/>
        </w:rPr>
        <w:t>Momennasab</w:t>
      </w:r>
      <w:proofErr w:type="spellEnd"/>
      <w:r w:rsidRPr="00CE5E2D">
        <w:rPr>
          <w:rFonts w:ascii="Times New Roman" w:hAnsi="Times New Roman" w:cs="Times New Roman"/>
          <w:sz w:val="24"/>
          <w:szCs w:val="24"/>
        </w:rPr>
        <w:t xml:space="preserve">, M. et al. (2022) 'Medical error and under-reporting causes from the viewpoints of nursing managers: a qualitative study', International Journal of </w:t>
      </w:r>
      <w:r w:rsidRPr="00CE5E2D">
        <w:rPr>
          <w:rFonts w:ascii="Times New Roman" w:hAnsi="Times New Roman" w:cs="Times New Roman"/>
          <w:sz w:val="24"/>
          <w:szCs w:val="24"/>
        </w:rPr>
        <w:lastRenderedPageBreak/>
        <w:t>Preventive Medicine, 13, p.103. Available at: https://pmc.ncbi.nlm.nih.gov/articles/PMC9470911/ (Accessed: 9 August 2026).</w:t>
      </w:r>
    </w:p>
    <w:p w14:paraId="7F192708" w14:textId="777777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O'Donovan, R., De Brún, A. and McAuliffe, E. (2021) 'Healthcare professionals' experience of psychological safety, voice, and silence', Frontiers in Psychology, 12, p.626689. Available at: https://www.frontiersin.org/journals/psychology/articles/10.3389/fpsyg.2021.626689/full (Accessed: 9 August 2026).</w:t>
      </w:r>
    </w:p>
    <w:p w14:paraId="06CF9C07" w14:textId="1DF7F977" w:rsidR="00CE5E2D" w:rsidRPr="00CE5E2D" w:rsidRDefault="00CE5E2D"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O'Toole, J.K. et al. (2023) 'Utilizing co-production to improve patient-centeredness and engagement in healthcare delivery: Lessons from the Patient and Family-Centered I-PASS studies', Journal of Hospital Medicine. Available at: https://shmpublications.onlinelibrary.wiley.com/doi/full/10.1002/jhm.13055 (Accessed: 9 August 2026).</w:t>
      </w:r>
    </w:p>
    <w:p w14:paraId="1D8DC5FE"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Blume, K.S., Dietermann, K., Kirchner-Heklau, U., Kraft, E., Vogel, N., Unger, A., Kuscher, H. and Braun, C. (2021) 'Staffing levels and nursing-sensitive patient outcomes: umbrella review and qualitative study', Health Services Research, 56(5), pp. 885–907. Available at: https://doi.org/10.1111/1475-6773.13647 (Accessed: 9 August 2026).</w:t>
      </w:r>
    </w:p>
    <w:p w14:paraId="62F15532"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Dougherty, S., Lorenzoni, L., Marino, A. and Murtin, F. (2022) 'The impact of decentralisation on the performance of health care systems: a non-linear relationship', European Journal of Health Economics, 23(4), pp. 705–715. Available at: https://doi.org/10.1007/s10198-021-01390-1 (Accessed: 9 August 2026).</w:t>
      </w:r>
    </w:p>
    <w:p w14:paraId="5F5E5AA5"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Dufort, A. and Samaan, Z. (2021) 'Problematic opioid use among older adults: epidemiology, adverse outcomes and treatment considerations', Drugs &amp; Aging, 38(12), pp. 1043–1053. Available at: https://doi.org/10.1007/s40266-021-00893-z (Accessed: 9 August 2026).</w:t>
      </w:r>
    </w:p>
    <w:p w14:paraId="41C852F8"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Gisby, A., Ross, C., Francis-Smythe, J. and Anderson, K. (2023) 'The ‘rich pictures’ method: its use and value, and the implications for HRD research and practice', Human Resource Development Review, 22(2), pp. 204–228. Available at: https://doi.org/10.1177/15344843221148044 (Accessed: 9 August 2026).</w:t>
      </w:r>
    </w:p>
    <w:p w14:paraId="3D23C491"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Kado, S.K., Clarke, S. and Carr, S. (2023) '‘I would have never told you that’ – using rich pictures as a qualitative tool to uncover tacit perspectives on leadership', International Journal </w:t>
      </w:r>
      <w:r w:rsidRPr="00CE5E2D">
        <w:rPr>
          <w:rFonts w:ascii="Times New Roman" w:hAnsi="Times New Roman" w:cs="Times New Roman"/>
          <w:sz w:val="24"/>
          <w:szCs w:val="24"/>
        </w:rPr>
        <w:lastRenderedPageBreak/>
        <w:t>of Qualitative Methods, 22, pp. 1–12. Available at: https://doi.org/10.1177/16094069231182633 (Accessed: 9 August 2026).</w:t>
      </w:r>
    </w:p>
    <w:p w14:paraId="2038CBAA"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Khalil, H. and Lakhani, A. (2022) 'Using systems thinking methodologies to address health care complexities and evidence implementation', JBI Evidence Implementation, 20(1), pp. 3–9. Available at: https://journals.lww.com/ijebh/fulltext/2022/03000/using_systems_thinking_methodologies_to_address.2.aspx (Accessed: 9 August 2026).</w:t>
      </w:r>
    </w:p>
    <w:p w14:paraId="3DE9FC32"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Linnéusson, G., Andersson, T., Kjellsdotter, A. and Holmén, M. (2022) 'Using systems thinking to increase understanding of the innovation system of healthcare organisations', Journal of Health Organization and Management, 36(9), pp. 179–195. Available at: https://doi.org/10.1108/JHOM-01-2022-0004 (Accessed: 9 August 2026).</w:t>
      </w:r>
    </w:p>
    <w:p w14:paraId="547CCFEC"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Morian, H., Creutzfeldt, J., Hultin, M. and Härgestam, M. (2024) 'Mapping leadership, communication and collaboration in short-term distributed teams across various contexts: a scoping review', BMJ Open, 14, e081878. Available at: https://doi.org/10.1136/bmjopen-2023-081878 (Accessed: 9 August 2026).</w:t>
      </w:r>
    </w:p>
    <w:p w14:paraId="53416EB2"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Nonaillada, J. and Martin, R.A. (2022) 'Applying situational leadership to redeployment duties during COVID-19: lessons learned', Quality Management in Health Care, 31(4), pp. 274–277. Available at: https://doi.org/10.1097/QMH.0000000000000350 (Accessed: 9 August 2026).</w:t>
      </w:r>
    </w:p>
    <w:p w14:paraId="104073F7"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Richards, A. (2020) 'Exploring the benefits and limitations of transactional leadership in healthcare', Nursing Standard, 35(12), pp. 46–50. Available at: https://pubmed.ncbi.nlm.nih.gov/33089675/ (Accessed: 9 August 2026).</w:t>
      </w:r>
    </w:p>
    <w:p w14:paraId="13AD8148"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Rinfret, N., Laplante, J., Lagacé, M.C., Deschamps, C. and Privé, C. (2020) 'Impacts of leadership styles in health and social services: a case from Quebec exploring relationships between emotional intelligence and transformational leadership', International Journal of Healthcare Management, 13(S1), pp. 329–339. Available at: https://doi.org/10.1080/20479700.2018.1548153 (Accessed: 9 August 2026).</w:t>
      </w:r>
    </w:p>
    <w:p w14:paraId="024563A1"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 xml:space="preserve">Sapkota, S., Dhakal, A., Rushton, S., van Teijlingen, E., Marahatta, S.B., Balen, J. and Lee, A.C. (2023) 'The impact of decentralisation on health systems: a systematic review of reviews', </w:t>
      </w:r>
      <w:r w:rsidRPr="00CE5E2D">
        <w:rPr>
          <w:rFonts w:ascii="Times New Roman" w:hAnsi="Times New Roman" w:cs="Times New Roman"/>
          <w:sz w:val="24"/>
          <w:szCs w:val="24"/>
        </w:rPr>
        <w:lastRenderedPageBreak/>
        <w:t>BMJ Global Health, 8(12), e013317. Available at: https://doi.org/10.1136/bmjgh-2023-013317 (Accessed: 9 August 2026).</w:t>
      </w:r>
    </w:p>
    <w:p w14:paraId="3B0BBB01"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Specchia, M.L., Cozzolino, M.R., Carini, E., Di Pilla, A., Galletti, C., Ricciardi, W. and Damiani, G. (2021) 'Leadership styles and nurses’ job satisfaction. Results of a systematic review', International Journal of Environmental Research and Public Health, 18(4), 1552. Available at: https://doi.org/10.3390/ijerph18041552 (Accessed: 9 August 2026).</w:t>
      </w:r>
    </w:p>
    <w:p w14:paraId="4C11F2F3"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Waller, S., Chapman, N. and Reeve, J. (2026) 'Medication safety standards and the World Health Organization global patient safety challenge', Journal of Pharmacy Practice and Research. Available at: https://doi.org/10.1002/jppr.70040 (Accessed: 9 August 2026).</w:t>
      </w:r>
    </w:p>
    <w:p w14:paraId="67A24019"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Wei, Y-J.J., Chen, C., Lewis, M.O., Schmidt, S.O. and Winterstein, A.G. (2022) 'Trajectories of prescription opioid dose and risk of opioid-related adverse events among older Medicare beneficiaries in the United States: a nested case–control study', PLOS Medicine, 19(3), e1003947. Available at: https://doi.org/10.1371/journal.pmed.1003947 (Accessed: 9 August 2026).</w:t>
      </w:r>
    </w:p>
    <w:p w14:paraId="5681E788" w14:textId="77777777" w:rsidR="004C3FA8" w:rsidRPr="00CE5E2D" w:rsidRDefault="00401B0B" w:rsidP="00CE5E2D">
      <w:pPr>
        <w:spacing w:after="100" w:afterAutospacing="1" w:line="360" w:lineRule="auto"/>
        <w:jc w:val="both"/>
        <w:rPr>
          <w:rFonts w:ascii="Times New Roman" w:hAnsi="Times New Roman" w:cs="Times New Roman"/>
          <w:sz w:val="24"/>
          <w:szCs w:val="24"/>
        </w:rPr>
      </w:pPr>
      <w:r w:rsidRPr="00CE5E2D">
        <w:rPr>
          <w:rFonts w:ascii="Times New Roman" w:hAnsi="Times New Roman" w:cs="Times New Roman"/>
          <w:sz w:val="24"/>
          <w:szCs w:val="24"/>
        </w:rPr>
        <w:t>Zaranko, B., Sanford, N.J., Kelly, E., Rafferty, A.M., Bird, J., Mercuri, L., Sigsworth, J., Wells, M. and Propper, C. (2022) 'Nurse staffing and inpatient mortality in the English National Health Service: a retrospective longitudinal study', BMJ Quality &amp; Safety, 32(5), pp. 254–263. Available at: https://doi.org/10.1136/bmjqs-2022-015291 (Accessed: 9 August 2026).</w:t>
      </w:r>
    </w:p>
    <w:sectPr w:rsidR="004C3FA8" w:rsidRPr="00CE5E2D" w:rsidSect="00CE5E2D">
      <w:headerReference w:type="default" r:id="rId10"/>
      <w:footerReference w:type="default" r:id="rId11"/>
      <w:pgSz w:w="11906" w:h="16838"/>
      <w:pgMar w:top="1440" w:right="1440" w:bottom="1440" w:left="1440" w:header="708" w:footer="17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3517B" w14:textId="77777777" w:rsidR="00DF18B4" w:rsidRDefault="00DF18B4">
      <w:r>
        <w:separator/>
      </w:r>
    </w:p>
  </w:endnote>
  <w:endnote w:type="continuationSeparator" w:id="0">
    <w:p w14:paraId="0604E8D6" w14:textId="77777777" w:rsidR="00DF18B4" w:rsidRDefault="00DF1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F0100" w14:textId="77777777" w:rsidR="004C3FA8" w:rsidRPr="00CE5E2D" w:rsidRDefault="00401B0B">
    <w:pPr>
      <w:jc w:val="center"/>
      <w:rPr>
        <w:rFonts w:ascii="Times New Roman" w:hAnsi="Times New Roman" w:cs="Times New Roman"/>
        <w:sz w:val="24"/>
        <w:szCs w:val="24"/>
      </w:rPr>
    </w:pPr>
    <w:r w:rsidRPr="00CE5E2D">
      <w:rPr>
        <w:rFonts w:ascii="Times New Roman" w:hAnsi="Times New Roman" w:cs="Times New Roman"/>
        <w:color w:val="888888"/>
        <w:sz w:val="20"/>
        <w:szCs w:val="20"/>
      </w:rPr>
      <w:t xml:space="preserve">Page </w:t>
    </w:r>
    <w:r w:rsidRPr="00CE5E2D">
      <w:rPr>
        <w:rFonts w:ascii="Times New Roman" w:hAnsi="Times New Roman" w:cs="Times New Roman"/>
        <w:color w:val="888888"/>
        <w:sz w:val="20"/>
        <w:szCs w:val="20"/>
      </w:rPr>
      <w:fldChar w:fldCharType="begin"/>
    </w:r>
    <w:r w:rsidRPr="00CE5E2D">
      <w:rPr>
        <w:rFonts w:ascii="Times New Roman" w:hAnsi="Times New Roman" w:cs="Times New Roman"/>
        <w:color w:val="888888"/>
        <w:sz w:val="20"/>
        <w:szCs w:val="20"/>
      </w:rPr>
      <w:instrText>PAGE</w:instrText>
    </w:r>
    <w:r w:rsidRPr="00CE5E2D">
      <w:rPr>
        <w:rFonts w:ascii="Times New Roman" w:hAnsi="Times New Roman" w:cs="Times New Roman"/>
        <w:color w:val="888888"/>
        <w:sz w:val="20"/>
        <w:szCs w:val="20"/>
      </w:rPr>
      <w:fldChar w:fldCharType="separate"/>
    </w:r>
    <w:r w:rsidR="00683197" w:rsidRPr="00CE5E2D">
      <w:rPr>
        <w:rFonts w:ascii="Times New Roman" w:hAnsi="Times New Roman" w:cs="Times New Roman"/>
        <w:noProof/>
        <w:color w:val="888888"/>
        <w:sz w:val="20"/>
        <w:szCs w:val="20"/>
      </w:rPr>
      <w:t>1</w:t>
    </w:r>
    <w:r w:rsidRPr="00CE5E2D">
      <w:rPr>
        <w:rFonts w:ascii="Times New Roman" w:hAnsi="Times New Roman" w:cs="Times New Roman"/>
        <w:color w:val="888888"/>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BA5DE" w14:textId="77777777" w:rsidR="00DF18B4" w:rsidRDefault="00DF18B4">
      <w:r>
        <w:separator/>
      </w:r>
    </w:p>
  </w:footnote>
  <w:footnote w:type="continuationSeparator" w:id="0">
    <w:p w14:paraId="4495EB64" w14:textId="77777777" w:rsidR="00DF18B4" w:rsidRDefault="00DF18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E4E99" w14:textId="1BECADE0" w:rsidR="004C3FA8" w:rsidRDefault="004C3FA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A0364"/>
    <w:multiLevelType w:val="hybridMultilevel"/>
    <w:tmpl w:val="958EF700"/>
    <w:lvl w:ilvl="0" w:tplc="7884EF76">
      <w:start w:val="1"/>
      <w:numFmt w:val="bullet"/>
      <w:lvlText w:val="•"/>
      <w:lvlJc w:val="left"/>
      <w:pPr>
        <w:ind w:left="720" w:hanging="360"/>
      </w:pPr>
    </w:lvl>
    <w:lvl w:ilvl="1" w:tplc="4208C056">
      <w:numFmt w:val="decimal"/>
      <w:lvlText w:val=""/>
      <w:lvlJc w:val="left"/>
    </w:lvl>
    <w:lvl w:ilvl="2" w:tplc="40E2A442">
      <w:numFmt w:val="decimal"/>
      <w:lvlText w:val=""/>
      <w:lvlJc w:val="left"/>
    </w:lvl>
    <w:lvl w:ilvl="3" w:tplc="136C640A">
      <w:numFmt w:val="decimal"/>
      <w:lvlText w:val=""/>
      <w:lvlJc w:val="left"/>
    </w:lvl>
    <w:lvl w:ilvl="4" w:tplc="70CA5B6A">
      <w:numFmt w:val="decimal"/>
      <w:lvlText w:val=""/>
      <w:lvlJc w:val="left"/>
    </w:lvl>
    <w:lvl w:ilvl="5" w:tplc="523884E6">
      <w:numFmt w:val="decimal"/>
      <w:lvlText w:val=""/>
      <w:lvlJc w:val="left"/>
    </w:lvl>
    <w:lvl w:ilvl="6" w:tplc="D5C44EFE">
      <w:numFmt w:val="decimal"/>
      <w:lvlText w:val=""/>
      <w:lvlJc w:val="left"/>
    </w:lvl>
    <w:lvl w:ilvl="7" w:tplc="B7884C4E">
      <w:numFmt w:val="decimal"/>
      <w:lvlText w:val=""/>
      <w:lvlJc w:val="left"/>
    </w:lvl>
    <w:lvl w:ilvl="8" w:tplc="A904911E">
      <w:numFmt w:val="decimal"/>
      <w:lvlText w:val=""/>
      <w:lvlJc w:val="left"/>
    </w:lvl>
  </w:abstractNum>
  <w:abstractNum w:abstractNumId="1" w15:restartNumberingAfterBreak="0">
    <w:nsid w:val="6C3A2A8E"/>
    <w:multiLevelType w:val="hybridMultilevel"/>
    <w:tmpl w:val="6930F5C4"/>
    <w:lvl w:ilvl="0" w:tplc="0D967314">
      <w:start w:val="1"/>
      <w:numFmt w:val="bullet"/>
      <w:lvlText w:val="●"/>
      <w:lvlJc w:val="left"/>
      <w:pPr>
        <w:ind w:left="720" w:hanging="360"/>
      </w:pPr>
    </w:lvl>
    <w:lvl w:ilvl="1" w:tplc="2E7C9E12">
      <w:start w:val="1"/>
      <w:numFmt w:val="bullet"/>
      <w:lvlText w:val="○"/>
      <w:lvlJc w:val="left"/>
      <w:pPr>
        <w:ind w:left="1440" w:hanging="360"/>
      </w:pPr>
    </w:lvl>
    <w:lvl w:ilvl="2" w:tplc="C7A22856">
      <w:start w:val="1"/>
      <w:numFmt w:val="bullet"/>
      <w:lvlText w:val="■"/>
      <w:lvlJc w:val="left"/>
      <w:pPr>
        <w:ind w:left="2160" w:hanging="360"/>
      </w:pPr>
    </w:lvl>
    <w:lvl w:ilvl="3" w:tplc="CDD89466">
      <w:start w:val="1"/>
      <w:numFmt w:val="bullet"/>
      <w:lvlText w:val="●"/>
      <w:lvlJc w:val="left"/>
      <w:pPr>
        <w:ind w:left="2880" w:hanging="360"/>
      </w:pPr>
    </w:lvl>
    <w:lvl w:ilvl="4" w:tplc="77BE2008">
      <w:start w:val="1"/>
      <w:numFmt w:val="bullet"/>
      <w:lvlText w:val="○"/>
      <w:lvlJc w:val="left"/>
      <w:pPr>
        <w:ind w:left="3600" w:hanging="360"/>
      </w:pPr>
    </w:lvl>
    <w:lvl w:ilvl="5" w:tplc="4A449798">
      <w:start w:val="1"/>
      <w:numFmt w:val="bullet"/>
      <w:lvlText w:val="■"/>
      <w:lvlJc w:val="left"/>
      <w:pPr>
        <w:ind w:left="4320" w:hanging="360"/>
      </w:pPr>
    </w:lvl>
    <w:lvl w:ilvl="6" w:tplc="4998A126">
      <w:start w:val="1"/>
      <w:numFmt w:val="bullet"/>
      <w:lvlText w:val="●"/>
      <w:lvlJc w:val="left"/>
      <w:pPr>
        <w:ind w:left="5040" w:hanging="360"/>
      </w:pPr>
    </w:lvl>
    <w:lvl w:ilvl="7" w:tplc="CB90EB4C">
      <w:start w:val="1"/>
      <w:numFmt w:val="bullet"/>
      <w:lvlText w:val="●"/>
      <w:lvlJc w:val="left"/>
      <w:pPr>
        <w:ind w:left="5760" w:hanging="360"/>
      </w:pPr>
    </w:lvl>
    <w:lvl w:ilvl="8" w:tplc="555649A8">
      <w:start w:val="1"/>
      <w:numFmt w:val="bullet"/>
      <w:lvlText w:val="●"/>
      <w:lvlJc w:val="left"/>
      <w:pPr>
        <w:ind w:left="6480" w:hanging="360"/>
      </w:pPr>
    </w:lvl>
  </w:abstractNum>
  <w:num w:numId="1" w16cid:durableId="56865767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3FA8"/>
    <w:rsid w:val="000C325D"/>
    <w:rsid w:val="000C6E35"/>
    <w:rsid w:val="001C3270"/>
    <w:rsid w:val="003007E3"/>
    <w:rsid w:val="00401B0B"/>
    <w:rsid w:val="004C3FA8"/>
    <w:rsid w:val="00530202"/>
    <w:rsid w:val="005735DB"/>
    <w:rsid w:val="005B510B"/>
    <w:rsid w:val="005D400A"/>
    <w:rsid w:val="006373C9"/>
    <w:rsid w:val="00683197"/>
    <w:rsid w:val="006C7EFC"/>
    <w:rsid w:val="0076300B"/>
    <w:rsid w:val="009F66F9"/>
    <w:rsid w:val="00AC2730"/>
    <w:rsid w:val="00CE5E2D"/>
    <w:rsid w:val="00DC0F9E"/>
    <w:rsid w:val="00DC556B"/>
    <w:rsid w:val="00DF18B4"/>
    <w:rsid w:val="00F60D08"/>
    <w:rsid w:val="00FF302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132A06"/>
  <w15:docId w15:val="{01865551-D247-4236-9AB3-B77009F45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CE5E2D"/>
    <w:pPr>
      <w:spacing w:before="320" w:after="100" w:afterAutospacing="1" w:line="360" w:lineRule="auto"/>
      <w:jc w:val="both"/>
      <w:outlineLvl w:val="0"/>
    </w:pPr>
    <w:rPr>
      <w:rFonts w:ascii="Times New Roman" w:hAnsi="Times New Roman" w:cs="Times New Roman"/>
      <w:b/>
      <w:bCs/>
      <w:sz w:val="24"/>
      <w:szCs w:val="24"/>
    </w:rPr>
  </w:style>
  <w:style w:type="paragraph" w:styleId="Heading2">
    <w:name w:val="heading 2"/>
    <w:uiPriority w:val="9"/>
    <w:unhideWhenUsed/>
    <w:qFormat/>
    <w:rsid w:val="00CE5E2D"/>
    <w:pPr>
      <w:spacing w:before="260" w:after="100" w:afterAutospacing="1" w:line="360" w:lineRule="auto"/>
      <w:jc w:val="both"/>
      <w:outlineLvl w:val="1"/>
    </w:pPr>
    <w:rPr>
      <w:rFonts w:ascii="Times New Roman" w:hAnsi="Times New Roman" w:cs="Times New Roman"/>
      <w:b/>
      <w:bCs/>
      <w:sz w:val="24"/>
      <w:szCs w:val="24"/>
    </w:rPr>
  </w:style>
  <w:style w:type="paragraph" w:styleId="Heading3">
    <w:name w:val="heading 3"/>
    <w:uiPriority w:val="9"/>
    <w:unhideWhenUsed/>
    <w:qFormat/>
    <w:rsid w:val="00CE5E2D"/>
    <w:pPr>
      <w:spacing w:before="200" w:after="100" w:afterAutospacing="1" w:line="360" w:lineRule="auto"/>
      <w:jc w:val="both"/>
      <w:outlineLvl w:val="2"/>
    </w:pPr>
    <w:rPr>
      <w:rFonts w:ascii="Times New Roman" w:hAnsi="Times New Roman" w:cs="Times New Roman"/>
      <w:b/>
      <w:bCs/>
      <w:i/>
      <w:iCs/>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CE5E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E5E2D"/>
    <w:pPr>
      <w:keepNext/>
      <w:keepLines/>
      <w:spacing w:before="240" w:after="0" w:afterAutospacing="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CE5E2D"/>
    <w:pPr>
      <w:spacing w:after="100"/>
    </w:pPr>
  </w:style>
  <w:style w:type="paragraph" w:styleId="TOC2">
    <w:name w:val="toc 2"/>
    <w:basedOn w:val="Normal"/>
    <w:next w:val="Normal"/>
    <w:autoRedefine/>
    <w:uiPriority w:val="39"/>
    <w:unhideWhenUsed/>
    <w:rsid w:val="00CE5E2D"/>
    <w:pPr>
      <w:spacing w:after="100"/>
      <w:ind w:left="220"/>
    </w:pPr>
  </w:style>
  <w:style w:type="paragraph" w:styleId="TOC3">
    <w:name w:val="toc 3"/>
    <w:basedOn w:val="Normal"/>
    <w:next w:val="Normal"/>
    <w:autoRedefine/>
    <w:uiPriority w:val="39"/>
    <w:unhideWhenUsed/>
    <w:rsid w:val="00CE5E2D"/>
    <w:pPr>
      <w:spacing w:after="100"/>
      <w:ind w:left="440"/>
    </w:pPr>
  </w:style>
  <w:style w:type="paragraph" w:styleId="Header">
    <w:name w:val="header"/>
    <w:basedOn w:val="Normal"/>
    <w:link w:val="HeaderChar"/>
    <w:uiPriority w:val="99"/>
    <w:unhideWhenUsed/>
    <w:rsid w:val="00CE5E2D"/>
    <w:pPr>
      <w:tabs>
        <w:tab w:val="center" w:pos="4513"/>
        <w:tab w:val="right" w:pos="9026"/>
      </w:tabs>
    </w:pPr>
  </w:style>
  <w:style w:type="character" w:customStyle="1" w:styleId="HeaderChar">
    <w:name w:val="Header Char"/>
    <w:basedOn w:val="DefaultParagraphFont"/>
    <w:link w:val="Header"/>
    <w:uiPriority w:val="99"/>
    <w:rsid w:val="00CE5E2D"/>
  </w:style>
  <w:style w:type="paragraph" w:styleId="Footer">
    <w:name w:val="footer"/>
    <w:basedOn w:val="Normal"/>
    <w:link w:val="FooterChar"/>
    <w:uiPriority w:val="99"/>
    <w:unhideWhenUsed/>
    <w:rsid w:val="00CE5E2D"/>
    <w:pPr>
      <w:tabs>
        <w:tab w:val="center" w:pos="4513"/>
        <w:tab w:val="right" w:pos="9026"/>
      </w:tabs>
    </w:pPr>
  </w:style>
  <w:style w:type="character" w:customStyle="1" w:styleId="FooterChar">
    <w:name w:val="Footer Char"/>
    <w:basedOn w:val="DefaultParagraphFont"/>
    <w:link w:val="Footer"/>
    <w:uiPriority w:val="99"/>
    <w:rsid w:val="00CE5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46970-C0A3-4167-9E7A-21598EC88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7420</Words>
  <Characters>42297</Characters>
  <Application>Microsoft Office Word</Application>
  <DocSecurity>0</DocSecurity>
  <Lines>352</Lines>
  <Paragraphs>99</Paragraphs>
  <ScaleCrop>false</ScaleCrop>
  <Company/>
  <LinksUpToDate>false</LinksUpToDate>
  <CharactersWithSpaces>49618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PRAJAPATI HIMANI</dc:creator>
  <cp:keywords/>
  <dc:description/>
  <cp:lastModifiedBy>PRAJAPATI HIMANI</cp:lastModifiedBy>
  <cp:revision>2</cp:revision>
  <dcterms:created xsi:type="dcterms:W3CDTF">2026-08-10T18:52:00Z</dcterms:created>
  <dcterms:modified xsi:type="dcterms:W3CDTF">2026-08-10T18:52:00Z</dcterms:modified>
</cp:coreProperties>
</file>