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BB8A" w14:textId="77777777" w:rsidR="006A7CCA" w:rsidRDefault="006A7CCA" w:rsidP="006A7CCA">
      <w:pPr>
        <w:jc w:val="center"/>
        <w:rPr>
          <w:b/>
          <w:bCs/>
          <w:sz w:val="32"/>
          <w:szCs w:val="28"/>
        </w:rPr>
      </w:pPr>
    </w:p>
    <w:p w14:paraId="1DA1E950" w14:textId="77777777" w:rsidR="006A7CCA" w:rsidRDefault="006A7CCA" w:rsidP="006A7CCA">
      <w:pPr>
        <w:jc w:val="center"/>
        <w:rPr>
          <w:b/>
          <w:bCs/>
          <w:sz w:val="32"/>
          <w:szCs w:val="28"/>
        </w:rPr>
      </w:pPr>
    </w:p>
    <w:p w14:paraId="44E7D811" w14:textId="77777777" w:rsidR="006A7CCA" w:rsidRDefault="006A7CCA" w:rsidP="006A7CCA">
      <w:pPr>
        <w:jc w:val="center"/>
        <w:rPr>
          <w:b/>
          <w:bCs/>
          <w:sz w:val="32"/>
          <w:szCs w:val="28"/>
        </w:rPr>
      </w:pPr>
    </w:p>
    <w:p w14:paraId="2627672B" w14:textId="77777777" w:rsidR="006A7CCA" w:rsidRDefault="006A7CCA" w:rsidP="006A7CCA">
      <w:pPr>
        <w:jc w:val="center"/>
        <w:rPr>
          <w:b/>
          <w:bCs/>
          <w:sz w:val="32"/>
          <w:szCs w:val="28"/>
        </w:rPr>
      </w:pPr>
    </w:p>
    <w:p w14:paraId="1C69393F" w14:textId="77777777" w:rsidR="006A7CCA" w:rsidRDefault="006A7CCA" w:rsidP="006A7CCA">
      <w:pPr>
        <w:jc w:val="center"/>
        <w:rPr>
          <w:b/>
          <w:bCs/>
          <w:sz w:val="32"/>
          <w:szCs w:val="28"/>
        </w:rPr>
      </w:pPr>
    </w:p>
    <w:p w14:paraId="42A61A23" w14:textId="77777777" w:rsidR="006A7CCA" w:rsidRDefault="006A7CCA" w:rsidP="006A7CCA">
      <w:pPr>
        <w:jc w:val="center"/>
        <w:rPr>
          <w:b/>
          <w:bCs/>
          <w:sz w:val="32"/>
          <w:szCs w:val="28"/>
        </w:rPr>
      </w:pPr>
    </w:p>
    <w:p w14:paraId="77E19013" w14:textId="794575F2" w:rsidR="006A7CCA" w:rsidRPr="006A7CCA" w:rsidRDefault="006A7CCA" w:rsidP="006A7CCA">
      <w:pPr>
        <w:jc w:val="center"/>
        <w:rPr>
          <w:b/>
          <w:bCs/>
          <w:sz w:val="32"/>
          <w:szCs w:val="28"/>
        </w:rPr>
      </w:pPr>
      <w:r w:rsidRPr="006A7CCA">
        <w:rPr>
          <w:b/>
          <w:bCs/>
          <w:sz w:val="32"/>
          <w:szCs w:val="28"/>
        </w:rPr>
        <w:t>BA Business Management</w:t>
      </w:r>
    </w:p>
    <w:p w14:paraId="7D7190F4" w14:textId="77777777" w:rsidR="00D352D7" w:rsidRDefault="0032486E" w:rsidP="006A7CCA">
      <w:pPr>
        <w:jc w:val="center"/>
        <w:rPr>
          <w:b/>
          <w:bCs/>
          <w:sz w:val="32"/>
          <w:szCs w:val="28"/>
        </w:rPr>
      </w:pPr>
      <w:r w:rsidRPr="0032486E">
        <w:rPr>
          <w:b/>
          <w:bCs/>
          <w:sz w:val="32"/>
          <w:szCs w:val="28"/>
        </w:rPr>
        <w:t>Community Engagement</w:t>
      </w:r>
    </w:p>
    <w:p w14:paraId="375546D5" w14:textId="5F7D01CC" w:rsidR="006A7CCA" w:rsidRPr="006A7CCA" w:rsidRDefault="006A7CCA" w:rsidP="006A7CCA">
      <w:pPr>
        <w:jc w:val="center"/>
        <w:rPr>
          <w:b/>
          <w:bCs/>
          <w:sz w:val="32"/>
          <w:szCs w:val="28"/>
        </w:rPr>
      </w:pPr>
      <w:r w:rsidRPr="006A7CCA">
        <w:rPr>
          <w:b/>
          <w:bCs/>
          <w:sz w:val="32"/>
          <w:szCs w:val="28"/>
        </w:rPr>
        <w:t>LCBB400</w:t>
      </w:r>
      <w:r w:rsidR="00D352D7">
        <w:rPr>
          <w:b/>
          <w:bCs/>
          <w:sz w:val="32"/>
          <w:szCs w:val="28"/>
        </w:rPr>
        <w:t>2</w:t>
      </w:r>
    </w:p>
    <w:p w14:paraId="37B2D813" w14:textId="418AD0C8" w:rsidR="006A7CCA" w:rsidRDefault="00D352D7" w:rsidP="00D352D7">
      <w:pPr>
        <w:jc w:val="center"/>
      </w:pPr>
      <w:r w:rsidRPr="00D352D7">
        <w:rPr>
          <w:b/>
          <w:bCs/>
          <w:sz w:val="32"/>
          <w:szCs w:val="28"/>
        </w:rPr>
        <w:t>Community Engagement</w:t>
      </w:r>
    </w:p>
    <w:p w14:paraId="19C90C16" w14:textId="77777777" w:rsidR="006A7CCA" w:rsidRDefault="006A7CCA" w:rsidP="006A7CCA"/>
    <w:p w14:paraId="73C63680" w14:textId="77777777" w:rsidR="006A7CCA" w:rsidRDefault="006A7CCA" w:rsidP="006A7CCA"/>
    <w:p w14:paraId="40FD403A" w14:textId="77777777" w:rsidR="006A7CCA" w:rsidRDefault="006A7CCA" w:rsidP="006A7CCA"/>
    <w:p w14:paraId="63A47DAB" w14:textId="77777777" w:rsidR="006A7CCA" w:rsidRDefault="006A7CCA" w:rsidP="006A7CCA"/>
    <w:p w14:paraId="2028CB2B" w14:textId="77777777" w:rsidR="006A7CCA" w:rsidRDefault="006A7CCA" w:rsidP="006A7CCA"/>
    <w:p w14:paraId="5E5061A9" w14:textId="77777777" w:rsidR="00A27E1B" w:rsidRDefault="00B36B99" w:rsidP="006A7CCA">
      <w:pPr>
        <w:jc w:val="center"/>
      </w:pPr>
      <w:r>
        <w:t xml:space="preserve">Adriana Marin </w:t>
      </w:r>
    </w:p>
    <w:p w14:paraId="319CD14B" w14:textId="52C2C03D" w:rsidR="006A7CCA" w:rsidRDefault="00A27E1B" w:rsidP="006A7CCA">
      <w:pPr>
        <w:jc w:val="center"/>
      </w:pPr>
      <w:r>
        <w:t xml:space="preserve">Student id: </w:t>
      </w:r>
      <w:r w:rsidR="00B36B99">
        <w:t>2</w:t>
      </w:r>
      <w:r>
        <w:t xml:space="preserve">133454 </w:t>
      </w:r>
    </w:p>
    <w:sdt>
      <w:sdtPr>
        <w:rPr>
          <w:rFonts w:ascii="Times New Roman" w:eastAsiaTheme="minorHAnsi" w:hAnsi="Times New Roman" w:cstheme="minorBidi"/>
          <w:color w:val="auto"/>
          <w:kern w:val="2"/>
          <w:sz w:val="24"/>
          <w:szCs w:val="22"/>
        </w:rPr>
        <w:id w:val="1325707209"/>
        <w:docPartObj>
          <w:docPartGallery w:val="Table of Contents"/>
          <w:docPartUnique/>
        </w:docPartObj>
      </w:sdtPr>
      <w:sdtEndPr>
        <w:rPr>
          <w:b/>
          <w:bCs/>
          <w:noProof/>
        </w:rPr>
      </w:sdtEndPr>
      <w:sdtContent>
        <w:p w14:paraId="3F5D6450" w14:textId="7C098787" w:rsidR="006A7CCA" w:rsidRDefault="00470845">
          <w:pPr>
            <w:pStyle w:val="TOCHeading"/>
          </w:pPr>
          <w:r>
            <w:t xml:space="preserve">Table of </w:t>
          </w:r>
          <w:r w:rsidR="006A7CCA">
            <w:t>Contents</w:t>
          </w:r>
        </w:p>
        <w:p w14:paraId="0F5452B4" w14:textId="1FC1D5E8" w:rsidR="003F29F5" w:rsidRDefault="006A7CCA" w:rsidP="003F29F5">
          <w:pPr>
            <w:pStyle w:val="TOC1"/>
            <w:tabs>
              <w:tab w:val="right" w:leader="dot" w:pos="9016"/>
            </w:tabs>
            <w:spacing w:line="24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134843501" w:history="1">
            <w:r w:rsidR="003F29F5" w:rsidRPr="00C4674B">
              <w:rPr>
                <w:rStyle w:val="Hyperlink"/>
                <w:noProof/>
              </w:rPr>
              <w:t>Introduction</w:t>
            </w:r>
            <w:r w:rsidR="003F29F5">
              <w:rPr>
                <w:noProof/>
                <w:webHidden/>
              </w:rPr>
              <w:tab/>
            </w:r>
            <w:r w:rsidR="003F29F5">
              <w:rPr>
                <w:noProof/>
                <w:webHidden/>
              </w:rPr>
              <w:fldChar w:fldCharType="begin"/>
            </w:r>
            <w:r w:rsidR="003F29F5">
              <w:rPr>
                <w:noProof/>
                <w:webHidden/>
              </w:rPr>
              <w:instrText xml:space="preserve"> PAGEREF _Toc134843501 \h </w:instrText>
            </w:r>
            <w:r w:rsidR="003F29F5">
              <w:rPr>
                <w:noProof/>
                <w:webHidden/>
              </w:rPr>
            </w:r>
            <w:r w:rsidR="003F29F5">
              <w:rPr>
                <w:noProof/>
                <w:webHidden/>
              </w:rPr>
              <w:fldChar w:fldCharType="separate"/>
            </w:r>
            <w:r w:rsidR="004D1503">
              <w:rPr>
                <w:noProof/>
                <w:webHidden/>
              </w:rPr>
              <w:t>3</w:t>
            </w:r>
            <w:r w:rsidR="003F29F5">
              <w:rPr>
                <w:noProof/>
                <w:webHidden/>
              </w:rPr>
              <w:fldChar w:fldCharType="end"/>
            </w:r>
          </w:hyperlink>
        </w:p>
        <w:p w14:paraId="30F5718C" w14:textId="7B134130" w:rsidR="003F29F5" w:rsidRDefault="00EF0A53" w:rsidP="003F29F5">
          <w:pPr>
            <w:pStyle w:val="TOC1"/>
            <w:tabs>
              <w:tab w:val="right" w:leader="dot" w:pos="9016"/>
            </w:tabs>
            <w:spacing w:line="240" w:lineRule="auto"/>
            <w:rPr>
              <w:rFonts w:asciiTheme="minorHAnsi" w:eastAsiaTheme="minorEastAsia" w:hAnsiTheme="minorHAnsi"/>
              <w:noProof/>
              <w:sz w:val="22"/>
            </w:rPr>
          </w:pPr>
          <w:hyperlink w:anchor="_Toc134843502" w:history="1">
            <w:r w:rsidR="003F29F5" w:rsidRPr="00C4674B">
              <w:rPr>
                <w:rStyle w:val="Hyperlink"/>
                <w:noProof/>
              </w:rPr>
              <w:t>Evaluation of Current Principles, Standards, and Strategies</w:t>
            </w:r>
            <w:r w:rsidR="003F29F5">
              <w:rPr>
                <w:noProof/>
                <w:webHidden/>
              </w:rPr>
              <w:tab/>
            </w:r>
            <w:r w:rsidR="003F29F5">
              <w:rPr>
                <w:noProof/>
                <w:webHidden/>
              </w:rPr>
              <w:fldChar w:fldCharType="begin"/>
            </w:r>
            <w:r w:rsidR="003F29F5">
              <w:rPr>
                <w:noProof/>
                <w:webHidden/>
              </w:rPr>
              <w:instrText xml:space="preserve"> PAGEREF _Toc134843502 \h </w:instrText>
            </w:r>
            <w:r w:rsidR="003F29F5">
              <w:rPr>
                <w:noProof/>
                <w:webHidden/>
              </w:rPr>
            </w:r>
            <w:r w:rsidR="003F29F5">
              <w:rPr>
                <w:noProof/>
                <w:webHidden/>
              </w:rPr>
              <w:fldChar w:fldCharType="separate"/>
            </w:r>
            <w:r w:rsidR="004D1503">
              <w:rPr>
                <w:noProof/>
                <w:webHidden/>
              </w:rPr>
              <w:t>4</w:t>
            </w:r>
            <w:r w:rsidR="003F29F5">
              <w:rPr>
                <w:noProof/>
                <w:webHidden/>
              </w:rPr>
              <w:fldChar w:fldCharType="end"/>
            </w:r>
          </w:hyperlink>
        </w:p>
        <w:p w14:paraId="5311DD80" w14:textId="49E1CFA2"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3" w:history="1">
            <w:r w:rsidR="003F29F5" w:rsidRPr="00C4674B">
              <w:rPr>
                <w:rStyle w:val="Hyperlink"/>
                <w:noProof/>
              </w:rPr>
              <w:t>Engagement with Literature: Effective Community Engagement:</w:t>
            </w:r>
            <w:r w:rsidR="003F29F5">
              <w:rPr>
                <w:noProof/>
                <w:webHidden/>
              </w:rPr>
              <w:tab/>
            </w:r>
            <w:r w:rsidR="003F29F5">
              <w:rPr>
                <w:noProof/>
                <w:webHidden/>
              </w:rPr>
              <w:fldChar w:fldCharType="begin"/>
            </w:r>
            <w:r w:rsidR="003F29F5">
              <w:rPr>
                <w:noProof/>
                <w:webHidden/>
              </w:rPr>
              <w:instrText xml:space="preserve"> PAGEREF _Toc134843503 \h </w:instrText>
            </w:r>
            <w:r w:rsidR="003F29F5">
              <w:rPr>
                <w:noProof/>
                <w:webHidden/>
              </w:rPr>
            </w:r>
            <w:r w:rsidR="003F29F5">
              <w:rPr>
                <w:noProof/>
                <w:webHidden/>
              </w:rPr>
              <w:fldChar w:fldCharType="separate"/>
            </w:r>
            <w:r w:rsidR="004D1503">
              <w:rPr>
                <w:noProof/>
                <w:webHidden/>
              </w:rPr>
              <w:t>4</w:t>
            </w:r>
            <w:r w:rsidR="003F29F5">
              <w:rPr>
                <w:noProof/>
                <w:webHidden/>
              </w:rPr>
              <w:fldChar w:fldCharType="end"/>
            </w:r>
          </w:hyperlink>
        </w:p>
        <w:p w14:paraId="6F6B68F0" w14:textId="2112BB0A"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4" w:history="1">
            <w:r w:rsidR="003F29F5" w:rsidRPr="00C4674B">
              <w:rPr>
                <w:rStyle w:val="Hyperlink"/>
                <w:noProof/>
              </w:rPr>
              <w:t>Analysis of the Council's Current Approach</w:t>
            </w:r>
            <w:r w:rsidR="003F29F5">
              <w:rPr>
                <w:noProof/>
                <w:webHidden/>
              </w:rPr>
              <w:tab/>
            </w:r>
            <w:r w:rsidR="003F29F5">
              <w:rPr>
                <w:noProof/>
                <w:webHidden/>
              </w:rPr>
              <w:fldChar w:fldCharType="begin"/>
            </w:r>
            <w:r w:rsidR="003F29F5">
              <w:rPr>
                <w:noProof/>
                <w:webHidden/>
              </w:rPr>
              <w:instrText xml:space="preserve"> PAGEREF _Toc134843504 \h </w:instrText>
            </w:r>
            <w:r w:rsidR="003F29F5">
              <w:rPr>
                <w:noProof/>
                <w:webHidden/>
              </w:rPr>
            </w:r>
            <w:r w:rsidR="003F29F5">
              <w:rPr>
                <w:noProof/>
                <w:webHidden/>
              </w:rPr>
              <w:fldChar w:fldCharType="separate"/>
            </w:r>
            <w:r w:rsidR="004D1503">
              <w:rPr>
                <w:noProof/>
                <w:webHidden/>
              </w:rPr>
              <w:t>4</w:t>
            </w:r>
            <w:r w:rsidR="003F29F5">
              <w:rPr>
                <w:noProof/>
                <w:webHidden/>
              </w:rPr>
              <w:fldChar w:fldCharType="end"/>
            </w:r>
          </w:hyperlink>
        </w:p>
        <w:p w14:paraId="06A5BF8B" w14:textId="5D4A09ED"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5" w:history="1">
            <w:r w:rsidR="003F29F5" w:rsidRPr="00C4674B">
              <w:rPr>
                <w:rStyle w:val="Hyperlink"/>
                <w:noProof/>
              </w:rPr>
              <w:t>Practical Examples and Empirical Evidence</w:t>
            </w:r>
            <w:r w:rsidR="003F29F5">
              <w:rPr>
                <w:noProof/>
                <w:webHidden/>
              </w:rPr>
              <w:tab/>
            </w:r>
            <w:r w:rsidR="003F29F5">
              <w:rPr>
                <w:noProof/>
                <w:webHidden/>
              </w:rPr>
              <w:fldChar w:fldCharType="begin"/>
            </w:r>
            <w:r w:rsidR="003F29F5">
              <w:rPr>
                <w:noProof/>
                <w:webHidden/>
              </w:rPr>
              <w:instrText xml:space="preserve"> PAGEREF _Toc134843505 \h </w:instrText>
            </w:r>
            <w:r w:rsidR="003F29F5">
              <w:rPr>
                <w:noProof/>
                <w:webHidden/>
              </w:rPr>
            </w:r>
            <w:r w:rsidR="003F29F5">
              <w:rPr>
                <w:noProof/>
                <w:webHidden/>
              </w:rPr>
              <w:fldChar w:fldCharType="separate"/>
            </w:r>
            <w:r w:rsidR="004D1503">
              <w:rPr>
                <w:noProof/>
                <w:webHidden/>
              </w:rPr>
              <w:t>5</w:t>
            </w:r>
            <w:r w:rsidR="003F29F5">
              <w:rPr>
                <w:noProof/>
                <w:webHidden/>
              </w:rPr>
              <w:fldChar w:fldCharType="end"/>
            </w:r>
          </w:hyperlink>
        </w:p>
        <w:p w14:paraId="1FB1F0D2" w14:textId="4AE6055F" w:rsidR="003F29F5" w:rsidRDefault="00EF0A53" w:rsidP="003F29F5">
          <w:pPr>
            <w:pStyle w:val="TOC1"/>
            <w:tabs>
              <w:tab w:val="right" w:leader="dot" w:pos="9016"/>
            </w:tabs>
            <w:spacing w:line="240" w:lineRule="auto"/>
            <w:rPr>
              <w:rFonts w:asciiTheme="minorHAnsi" w:eastAsiaTheme="minorEastAsia" w:hAnsiTheme="minorHAnsi"/>
              <w:noProof/>
              <w:sz w:val="22"/>
            </w:rPr>
          </w:pPr>
          <w:hyperlink w:anchor="_Toc134843506" w:history="1">
            <w:r w:rsidR="003F29F5" w:rsidRPr="00C4674B">
              <w:rPr>
                <w:rStyle w:val="Hyperlink"/>
                <w:noProof/>
              </w:rPr>
              <w:t>Recommendations for Improvement</w:t>
            </w:r>
            <w:r w:rsidR="003F29F5">
              <w:rPr>
                <w:noProof/>
                <w:webHidden/>
              </w:rPr>
              <w:tab/>
            </w:r>
            <w:r w:rsidR="003F29F5">
              <w:rPr>
                <w:noProof/>
                <w:webHidden/>
              </w:rPr>
              <w:fldChar w:fldCharType="begin"/>
            </w:r>
            <w:r w:rsidR="003F29F5">
              <w:rPr>
                <w:noProof/>
                <w:webHidden/>
              </w:rPr>
              <w:instrText xml:space="preserve"> PAGEREF _Toc134843506 \h </w:instrText>
            </w:r>
            <w:r w:rsidR="003F29F5">
              <w:rPr>
                <w:noProof/>
                <w:webHidden/>
              </w:rPr>
            </w:r>
            <w:r w:rsidR="003F29F5">
              <w:rPr>
                <w:noProof/>
                <w:webHidden/>
              </w:rPr>
              <w:fldChar w:fldCharType="separate"/>
            </w:r>
            <w:r w:rsidR="004D1503">
              <w:rPr>
                <w:noProof/>
                <w:webHidden/>
              </w:rPr>
              <w:t>5</w:t>
            </w:r>
            <w:r w:rsidR="003F29F5">
              <w:rPr>
                <w:noProof/>
                <w:webHidden/>
              </w:rPr>
              <w:fldChar w:fldCharType="end"/>
            </w:r>
          </w:hyperlink>
        </w:p>
        <w:p w14:paraId="08705A0C" w14:textId="57601842"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7" w:history="1">
            <w:r w:rsidR="003F29F5" w:rsidRPr="00C4674B">
              <w:rPr>
                <w:rStyle w:val="Hyperlink"/>
                <w:noProof/>
              </w:rPr>
              <w:t>Identification of Areas for Improvement</w:t>
            </w:r>
            <w:r w:rsidR="003F29F5">
              <w:rPr>
                <w:noProof/>
                <w:webHidden/>
              </w:rPr>
              <w:tab/>
            </w:r>
            <w:r w:rsidR="003F29F5">
              <w:rPr>
                <w:noProof/>
                <w:webHidden/>
              </w:rPr>
              <w:fldChar w:fldCharType="begin"/>
            </w:r>
            <w:r w:rsidR="003F29F5">
              <w:rPr>
                <w:noProof/>
                <w:webHidden/>
              </w:rPr>
              <w:instrText xml:space="preserve"> PAGEREF _Toc134843507 \h </w:instrText>
            </w:r>
            <w:r w:rsidR="003F29F5">
              <w:rPr>
                <w:noProof/>
                <w:webHidden/>
              </w:rPr>
            </w:r>
            <w:r w:rsidR="003F29F5">
              <w:rPr>
                <w:noProof/>
                <w:webHidden/>
              </w:rPr>
              <w:fldChar w:fldCharType="separate"/>
            </w:r>
            <w:r w:rsidR="004D1503">
              <w:rPr>
                <w:noProof/>
                <w:webHidden/>
              </w:rPr>
              <w:t>5</w:t>
            </w:r>
            <w:r w:rsidR="003F29F5">
              <w:rPr>
                <w:noProof/>
                <w:webHidden/>
              </w:rPr>
              <w:fldChar w:fldCharType="end"/>
            </w:r>
          </w:hyperlink>
        </w:p>
        <w:p w14:paraId="593B22D9" w14:textId="497C0402"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8" w:history="1">
            <w:r w:rsidR="003F29F5" w:rsidRPr="00C4674B">
              <w:rPr>
                <w:rStyle w:val="Hyperlink"/>
                <w:noProof/>
              </w:rPr>
              <w:t>Recommendation 1: Enhancing Stakeholder Representation and Inclusivity</w:t>
            </w:r>
            <w:r w:rsidR="003F29F5">
              <w:rPr>
                <w:noProof/>
                <w:webHidden/>
              </w:rPr>
              <w:tab/>
            </w:r>
            <w:r w:rsidR="003F29F5">
              <w:rPr>
                <w:noProof/>
                <w:webHidden/>
              </w:rPr>
              <w:fldChar w:fldCharType="begin"/>
            </w:r>
            <w:r w:rsidR="003F29F5">
              <w:rPr>
                <w:noProof/>
                <w:webHidden/>
              </w:rPr>
              <w:instrText xml:space="preserve"> PAGEREF _Toc134843508 \h </w:instrText>
            </w:r>
            <w:r w:rsidR="003F29F5">
              <w:rPr>
                <w:noProof/>
                <w:webHidden/>
              </w:rPr>
            </w:r>
            <w:r w:rsidR="003F29F5">
              <w:rPr>
                <w:noProof/>
                <w:webHidden/>
              </w:rPr>
              <w:fldChar w:fldCharType="separate"/>
            </w:r>
            <w:r w:rsidR="004D1503">
              <w:rPr>
                <w:noProof/>
                <w:webHidden/>
              </w:rPr>
              <w:t>6</w:t>
            </w:r>
            <w:r w:rsidR="003F29F5">
              <w:rPr>
                <w:noProof/>
                <w:webHidden/>
              </w:rPr>
              <w:fldChar w:fldCharType="end"/>
            </w:r>
          </w:hyperlink>
        </w:p>
        <w:p w14:paraId="4CB4CA47" w14:textId="1F67C3C8"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09" w:history="1">
            <w:r w:rsidR="003F29F5" w:rsidRPr="00C4674B">
              <w:rPr>
                <w:rStyle w:val="Hyperlink"/>
                <w:noProof/>
              </w:rPr>
              <w:t>Recommendation 2: Strengthening Communication Channels</w:t>
            </w:r>
            <w:r w:rsidR="003F29F5">
              <w:rPr>
                <w:noProof/>
                <w:webHidden/>
              </w:rPr>
              <w:tab/>
            </w:r>
            <w:r w:rsidR="003F29F5">
              <w:rPr>
                <w:noProof/>
                <w:webHidden/>
              </w:rPr>
              <w:fldChar w:fldCharType="begin"/>
            </w:r>
            <w:r w:rsidR="003F29F5">
              <w:rPr>
                <w:noProof/>
                <w:webHidden/>
              </w:rPr>
              <w:instrText xml:space="preserve"> PAGEREF _Toc134843509 \h </w:instrText>
            </w:r>
            <w:r w:rsidR="003F29F5">
              <w:rPr>
                <w:noProof/>
                <w:webHidden/>
              </w:rPr>
            </w:r>
            <w:r w:rsidR="003F29F5">
              <w:rPr>
                <w:noProof/>
                <w:webHidden/>
              </w:rPr>
              <w:fldChar w:fldCharType="separate"/>
            </w:r>
            <w:r w:rsidR="004D1503">
              <w:rPr>
                <w:noProof/>
                <w:webHidden/>
              </w:rPr>
              <w:t>6</w:t>
            </w:r>
            <w:r w:rsidR="003F29F5">
              <w:rPr>
                <w:noProof/>
                <w:webHidden/>
              </w:rPr>
              <w:fldChar w:fldCharType="end"/>
            </w:r>
          </w:hyperlink>
        </w:p>
        <w:p w14:paraId="4EC0F1C4" w14:textId="12695FEB"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0" w:history="1">
            <w:r w:rsidR="003F29F5" w:rsidRPr="00C4674B">
              <w:rPr>
                <w:rStyle w:val="Hyperlink"/>
                <w:noProof/>
              </w:rPr>
              <w:t>Recommendation 3: Promoting Transparency and Accountability</w:t>
            </w:r>
            <w:r w:rsidR="003F29F5">
              <w:rPr>
                <w:noProof/>
                <w:webHidden/>
              </w:rPr>
              <w:tab/>
            </w:r>
            <w:r w:rsidR="003F29F5">
              <w:rPr>
                <w:noProof/>
                <w:webHidden/>
              </w:rPr>
              <w:fldChar w:fldCharType="begin"/>
            </w:r>
            <w:r w:rsidR="003F29F5">
              <w:rPr>
                <w:noProof/>
                <w:webHidden/>
              </w:rPr>
              <w:instrText xml:space="preserve"> PAGEREF _Toc134843510 \h </w:instrText>
            </w:r>
            <w:r w:rsidR="003F29F5">
              <w:rPr>
                <w:noProof/>
                <w:webHidden/>
              </w:rPr>
            </w:r>
            <w:r w:rsidR="003F29F5">
              <w:rPr>
                <w:noProof/>
                <w:webHidden/>
              </w:rPr>
              <w:fldChar w:fldCharType="separate"/>
            </w:r>
            <w:r w:rsidR="004D1503">
              <w:rPr>
                <w:noProof/>
                <w:webHidden/>
              </w:rPr>
              <w:t>6</w:t>
            </w:r>
            <w:r w:rsidR="003F29F5">
              <w:rPr>
                <w:noProof/>
                <w:webHidden/>
              </w:rPr>
              <w:fldChar w:fldCharType="end"/>
            </w:r>
          </w:hyperlink>
        </w:p>
        <w:p w14:paraId="5B07BC3A" w14:textId="3C044EEA"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1" w:history="1">
            <w:r w:rsidR="003F29F5" w:rsidRPr="00C4674B">
              <w:rPr>
                <w:rStyle w:val="Hyperlink"/>
                <w:noProof/>
              </w:rPr>
              <w:t>Recommendation 4: Building Trust and Collaboration</w:t>
            </w:r>
            <w:r w:rsidR="003F29F5">
              <w:rPr>
                <w:noProof/>
                <w:webHidden/>
              </w:rPr>
              <w:tab/>
            </w:r>
            <w:r w:rsidR="003F29F5">
              <w:rPr>
                <w:noProof/>
                <w:webHidden/>
              </w:rPr>
              <w:fldChar w:fldCharType="begin"/>
            </w:r>
            <w:r w:rsidR="003F29F5">
              <w:rPr>
                <w:noProof/>
                <w:webHidden/>
              </w:rPr>
              <w:instrText xml:space="preserve"> PAGEREF _Toc134843511 \h </w:instrText>
            </w:r>
            <w:r w:rsidR="003F29F5">
              <w:rPr>
                <w:noProof/>
                <w:webHidden/>
              </w:rPr>
            </w:r>
            <w:r w:rsidR="003F29F5">
              <w:rPr>
                <w:noProof/>
                <w:webHidden/>
              </w:rPr>
              <w:fldChar w:fldCharType="separate"/>
            </w:r>
            <w:r w:rsidR="004D1503">
              <w:rPr>
                <w:noProof/>
                <w:webHidden/>
              </w:rPr>
              <w:t>6</w:t>
            </w:r>
            <w:r w:rsidR="003F29F5">
              <w:rPr>
                <w:noProof/>
                <w:webHidden/>
              </w:rPr>
              <w:fldChar w:fldCharType="end"/>
            </w:r>
          </w:hyperlink>
        </w:p>
        <w:p w14:paraId="52CCD69C" w14:textId="16D59BAE"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2" w:history="1">
            <w:r w:rsidR="003F29F5" w:rsidRPr="00C4674B">
              <w:rPr>
                <w:rStyle w:val="Hyperlink"/>
                <w:noProof/>
              </w:rPr>
              <w:t>Recommendation 5: Evaluation and Continuous Improvement</w:t>
            </w:r>
            <w:r w:rsidR="003F29F5">
              <w:rPr>
                <w:noProof/>
                <w:webHidden/>
              </w:rPr>
              <w:tab/>
            </w:r>
            <w:r w:rsidR="003F29F5">
              <w:rPr>
                <w:noProof/>
                <w:webHidden/>
              </w:rPr>
              <w:fldChar w:fldCharType="begin"/>
            </w:r>
            <w:r w:rsidR="003F29F5">
              <w:rPr>
                <w:noProof/>
                <w:webHidden/>
              </w:rPr>
              <w:instrText xml:space="preserve"> PAGEREF _Toc134843512 \h </w:instrText>
            </w:r>
            <w:r w:rsidR="003F29F5">
              <w:rPr>
                <w:noProof/>
                <w:webHidden/>
              </w:rPr>
            </w:r>
            <w:r w:rsidR="003F29F5">
              <w:rPr>
                <w:noProof/>
                <w:webHidden/>
              </w:rPr>
              <w:fldChar w:fldCharType="separate"/>
            </w:r>
            <w:r w:rsidR="004D1503">
              <w:rPr>
                <w:noProof/>
                <w:webHidden/>
              </w:rPr>
              <w:t>7</w:t>
            </w:r>
            <w:r w:rsidR="003F29F5">
              <w:rPr>
                <w:noProof/>
                <w:webHidden/>
              </w:rPr>
              <w:fldChar w:fldCharType="end"/>
            </w:r>
          </w:hyperlink>
        </w:p>
        <w:p w14:paraId="1751FAD6" w14:textId="016A7FBB" w:rsidR="003F29F5" w:rsidRDefault="00EF0A53" w:rsidP="003F29F5">
          <w:pPr>
            <w:pStyle w:val="TOC1"/>
            <w:tabs>
              <w:tab w:val="right" w:leader="dot" w:pos="9016"/>
            </w:tabs>
            <w:spacing w:line="240" w:lineRule="auto"/>
            <w:rPr>
              <w:rFonts w:asciiTheme="minorHAnsi" w:eastAsiaTheme="minorEastAsia" w:hAnsiTheme="minorHAnsi"/>
              <w:noProof/>
              <w:sz w:val="22"/>
            </w:rPr>
          </w:pPr>
          <w:hyperlink w:anchor="_Toc134843513" w:history="1">
            <w:r w:rsidR="003F29F5" w:rsidRPr="00C4674B">
              <w:rPr>
                <w:rStyle w:val="Hyperlink"/>
                <w:noProof/>
              </w:rPr>
              <w:t>Implementation Strategies</w:t>
            </w:r>
            <w:r w:rsidR="003F29F5">
              <w:rPr>
                <w:noProof/>
                <w:webHidden/>
              </w:rPr>
              <w:tab/>
            </w:r>
            <w:r w:rsidR="003F29F5">
              <w:rPr>
                <w:noProof/>
                <w:webHidden/>
              </w:rPr>
              <w:fldChar w:fldCharType="begin"/>
            </w:r>
            <w:r w:rsidR="003F29F5">
              <w:rPr>
                <w:noProof/>
                <w:webHidden/>
              </w:rPr>
              <w:instrText xml:space="preserve"> PAGEREF _Toc134843513 \h </w:instrText>
            </w:r>
            <w:r w:rsidR="003F29F5">
              <w:rPr>
                <w:noProof/>
                <w:webHidden/>
              </w:rPr>
            </w:r>
            <w:r w:rsidR="003F29F5">
              <w:rPr>
                <w:noProof/>
                <w:webHidden/>
              </w:rPr>
              <w:fldChar w:fldCharType="separate"/>
            </w:r>
            <w:r w:rsidR="004D1503">
              <w:rPr>
                <w:noProof/>
                <w:webHidden/>
              </w:rPr>
              <w:t>7</w:t>
            </w:r>
            <w:r w:rsidR="003F29F5">
              <w:rPr>
                <w:noProof/>
                <w:webHidden/>
              </w:rPr>
              <w:fldChar w:fldCharType="end"/>
            </w:r>
          </w:hyperlink>
        </w:p>
        <w:p w14:paraId="3F10A741" w14:textId="037EE5A6"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4" w:history="1">
            <w:r w:rsidR="003F29F5" w:rsidRPr="00C4674B">
              <w:rPr>
                <w:rStyle w:val="Hyperlink"/>
                <w:noProof/>
              </w:rPr>
              <w:t>Developing an Implementation Plane</w:t>
            </w:r>
            <w:r w:rsidR="003F29F5">
              <w:rPr>
                <w:noProof/>
                <w:webHidden/>
              </w:rPr>
              <w:tab/>
            </w:r>
            <w:r w:rsidR="003F29F5">
              <w:rPr>
                <w:noProof/>
                <w:webHidden/>
              </w:rPr>
              <w:fldChar w:fldCharType="begin"/>
            </w:r>
            <w:r w:rsidR="003F29F5">
              <w:rPr>
                <w:noProof/>
                <w:webHidden/>
              </w:rPr>
              <w:instrText xml:space="preserve"> PAGEREF _Toc134843514 \h </w:instrText>
            </w:r>
            <w:r w:rsidR="003F29F5">
              <w:rPr>
                <w:noProof/>
                <w:webHidden/>
              </w:rPr>
            </w:r>
            <w:r w:rsidR="003F29F5">
              <w:rPr>
                <w:noProof/>
                <w:webHidden/>
              </w:rPr>
              <w:fldChar w:fldCharType="separate"/>
            </w:r>
            <w:r w:rsidR="004D1503">
              <w:rPr>
                <w:noProof/>
                <w:webHidden/>
              </w:rPr>
              <w:t>7</w:t>
            </w:r>
            <w:r w:rsidR="003F29F5">
              <w:rPr>
                <w:noProof/>
                <w:webHidden/>
              </w:rPr>
              <w:fldChar w:fldCharType="end"/>
            </w:r>
          </w:hyperlink>
        </w:p>
        <w:p w14:paraId="7CED3556" w14:textId="51A41D5E"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5" w:history="1">
            <w:r w:rsidR="003F29F5" w:rsidRPr="00C4674B">
              <w:rPr>
                <w:rStyle w:val="Hyperlink"/>
                <w:noProof/>
              </w:rPr>
              <w:t>Allocating Resources:</w:t>
            </w:r>
            <w:r w:rsidR="003F29F5">
              <w:rPr>
                <w:noProof/>
                <w:webHidden/>
              </w:rPr>
              <w:tab/>
            </w:r>
            <w:r w:rsidR="003F29F5">
              <w:rPr>
                <w:noProof/>
                <w:webHidden/>
              </w:rPr>
              <w:fldChar w:fldCharType="begin"/>
            </w:r>
            <w:r w:rsidR="003F29F5">
              <w:rPr>
                <w:noProof/>
                <w:webHidden/>
              </w:rPr>
              <w:instrText xml:space="preserve"> PAGEREF _Toc134843515 \h </w:instrText>
            </w:r>
            <w:r w:rsidR="003F29F5">
              <w:rPr>
                <w:noProof/>
                <w:webHidden/>
              </w:rPr>
            </w:r>
            <w:r w:rsidR="003F29F5">
              <w:rPr>
                <w:noProof/>
                <w:webHidden/>
              </w:rPr>
              <w:fldChar w:fldCharType="separate"/>
            </w:r>
            <w:r w:rsidR="004D1503">
              <w:rPr>
                <w:noProof/>
                <w:webHidden/>
              </w:rPr>
              <w:t>8</w:t>
            </w:r>
            <w:r w:rsidR="003F29F5">
              <w:rPr>
                <w:noProof/>
                <w:webHidden/>
              </w:rPr>
              <w:fldChar w:fldCharType="end"/>
            </w:r>
          </w:hyperlink>
        </w:p>
        <w:p w14:paraId="33242472" w14:textId="586622D7"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6" w:history="1">
            <w:r w:rsidR="003F29F5" w:rsidRPr="00C4674B">
              <w:rPr>
                <w:rStyle w:val="Hyperlink"/>
                <w:noProof/>
              </w:rPr>
              <w:t>Establishing Collaboration and Partnerships</w:t>
            </w:r>
            <w:r w:rsidR="003F29F5">
              <w:rPr>
                <w:noProof/>
                <w:webHidden/>
              </w:rPr>
              <w:tab/>
            </w:r>
            <w:r w:rsidR="003F29F5">
              <w:rPr>
                <w:noProof/>
                <w:webHidden/>
              </w:rPr>
              <w:fldChar w:fldCharType="begin"/>
            </w:r>
            <w:r w:rsidR="003F29F5">
              <w:rPr>
                <w:noProof/>
                <w:webHidden/>
              </w:rPr>
              <w:instrText xml:space="preserve"> PAGEREF _Toc134843516 \h </w:instrText>
            </w:r>
            <w:r w:rsidR="003F29F5">
              <w:rPr>
                <w:noProof/>
                <w:webHidden/>
              </w:rPr>
            </w:r>
            <w:r w:rsidR="003F29F5">
              <w:rPr>
                <w:noProof/>
                <w:webHidden/>
              </w:rPr>
              <w:fldChar w:fldCharType="separate"/>
            </w:r>
            <w:r w:rsidR="004D1503">
              <w:rPr>
                <w:noProof/>
                <w:webHidden/>
              </w:rPr>
              <w:t>8</w:t>
            </w:r>
            <w:r w:rsidR="003F29F5">
              <w:rPr>
                <w:noProof/>
                <w:webHidden/>
              </w:rPr>
              <w:fldChar w:fldCharType="end"/>
            </w:r>
          </w:hyperlink>
        </w:p>
        <w:p w14:paraId="0C96FB2A" w14:textId="5C32489D"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7" w:history="1">
            <w:r w:rsidR="003F29F5" w:rsidRPr="00C4674B">
              <w:rPr>
                <w:rStyle w:val="Hyperlink"/>
                <w:noProof/>
              </w:rPr>
              <w:t>Enhancing Staff Capacity and Training</w:t>
            </w:r>
            <w:r w:rsidR="003F29F5">
              <w:rPr>
                <w:noProof/>
                <w:webHidden/>
              </w:rPr>
              <w:tab/>
            </w:r>
            <w:r w:rsidR="003F29F5">
              <w:rPr>
                <w:noProof/>
                <w:webHidden/>
              </w:rPr>
              <w:fldChar w:fldCharType="begin"/>
            </w:r>
            <w:r w:rsidR="003F29F5">
              <w:rPr>
                <w:noProof/>
                <w:webHidden/>
              </w:rPr>
              <w:instrText xml:space="preserve"> PAGEREF _Toc134843517 \h </w:instrText>
            </w:r>
            <w:r w:rsidR="003F29F5">
              <w:rPr>
                <w:noProof/>
                <w:webHidden/>
              </w:rPr>
            </w:r>
            <w:r w:rsidR="003F29F5">
              <w:rPr>
                <w:noProof/>
                <w:webHidden/>
              </w:rPr>
              <w:fldChar w:fldCharType="separate"/>
            </w:r>
            <w:r w:rsidR="004D1503">
              <w:rPr>
                <w:noProof/>
                <w:webHidden/>
              </w:rPr>
              <w:t>8</w:t>
            </w:r>
            <w:r w:rsidR="003F29F5">
              <w:rPr>
                <w:noProof/>
                <w:webHidden/>
              </w:rPr>
              <w:fldChar w:fldCharType="end"/>
            </w:r>
          </w:hyperlink>
        </w:p>
        <w:p w14:paraId="172E3441" w14:textId="1AF3EC45"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8" w:history="1">
            <w:r w:rsidR="003F29F5" w:rsidRPr="00C4674B">
              <w:rPr>
                <w:rStyle w:val="Hyperlink"/>
                <w:noProof/>
              </w:rPr>
              <w:t>Establishing Feedback Mechanisms</w:t>
            </w:r>
            <w:r w:rsidR="003F29F5">
              <w:rPr>
                <w:noProof/>
                <w:webHidden/>
              </w:rPr>
              <w:tab/>
            </w:r>
            <w:r w:rsidR="003F29F5">
              <w:rPr>
                <w:noProof/>
                <w:webHidden/>
              </w:rPr>
              <w:fldChar w:fldCharType="begin"/>
            </w:r>
            <w:r w:rsidR="003F29F5">
              <w:rPr>
                <w:noProof/>
                <w:webHidden/>
              </w:rPr>
              <w:instrText xml:space="preserve"> PAGEREF _Toc134843518 \h </w:instrText>
            </w:r>
            <w:r w:rsidR="003F29F5">
              <w:rPr>
                <w:noProof/>
                <w:webHidden/>
              </w:rPr>
            </w:r>
            <w:r w:rsidR="003F29F5">
              <w:rPr>
                <w:noProof/>
                <w:webHidden/>
              </w:rPr>
              <w:fldChar w:fldCharType="separate"/>
            </w:r>
            <w:r w:rsidR="004D1503">
              <w:rPr>
                <w:noProof/>
                <w:webHidden/>
              </w:rPr>
              <w:t>9</w:t>
            </w:r>
            <w:r w:rsidR="003F29F5">
              <w:rPr>
                <w:noProof/>
                <w:webHidden/>
              </w:rPr>
              <w:fldChar w:fldCharType="end"/>
            </w:r>
          </w:hyperlink>
        </w:p>
        <w:p w14:paraId="62976BB7" w14:textId="3329783C"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19" w:history="1">
            <w:r w:rsidR="003F29F5" w:rsidRPr="00C4674B">
              <w:rPr>
                <w:rStyle w:val="Hyperlink"/>
                <w:noProof/>
              </w:rPr>
              <w:t>Addressing Potential Challenges</w:t>
            </w:r>
            <w:r w:rsidR="003F29F5">
              <w:rPr>
                <w:noProof/>
                <w:webHidden/>
              </w:rPr>
              <w:tab/>
            </w:r>
            <w:r w:rsidR="003F29F5">
              <w:rPr>
                <w:noProof/>
                <w:webHidden/>
              </w:rPr>
              <w:fldChar w:fldCharType="begin"/>
            </w:r>
            <w:r w:rsidR="003F29F5">
              <w:rPr>
                <w:noProof/>
                <w:webHidden/>
              </w:rPr>
              <w:instrText xml:space="preserve"> PAGEREF _Toc134843519 \h </w:instrText>
            </w:r>
            <w:r w:rsidR="003F29F5">
              <w:rPr>
                <w:noProof/>
                <w:webHidden/>
              </w:rPr>
            </w:r>
            <w:r w:rsidR="003F29F5">
              <w:rPr>
                <w:noProof/>
                <w:webHidden/>
              </w:rPr>
              <w:fldChar w:fldCharType="separate"/>
            </w:r>
            <w:r w:rsidR="004D1503">
              <w:rPr>
                <w:noProof/>
                <w:webHidden/>
              </w:rPr>
              <w:t>9</w:t>
            </w:r>
            <w:r w:rsidR="003F29F5">
              <w:rPr>
                <w:noProof/>
                <w:webHidden/>
              </w:rPr>
              <w:fldChar w:fldCharType="end"/>
            </w:r>
          </w:hyperlink>
        </w:p>
        <w:p w14:paraId="660C3DF8" w14:textId="7FE9601C" w:rsidR="003F29F5" w:rsidRDefault="00EF0A53" w:rsidP="003F29F5">
          <w:pPr>
            <w:pStyle w:val="TOC2"/>
            <w:tabs>
              <w:tab w:val="right" w:leader="dot" w:pos="9016"/>
            </w:tabs>
            <w:spacing w:line="240" w:lineRule="auto"/>
            <w:rPr>
              <w:rFonts w:asciiTheme="minorHAnsi" w:eastAsiaTheme="minorEastAsia" w:hAnsiTheme="minorHAnsi"/>
              <w:noProof/>
              <w:sz w:val="22"/>
            </w:rPr>
          </w:pPr>
          <w:hyperlink w:anchor="_Toc134843520" w:history="1">
            <w:r w:rsidR="003F29F5" w:rsidRPr="00C4674B">
              <w:rPr>
                <w:rStyle w:val="Hyperlink"/>
                <w:noProof/>
              </w:rPr>
              <w:t>Monitoring and Evaluation</w:t>
            </w:r>
            <w:r w:rsidR="003F29F5">
              <w:rPr>
                <w:noProof/>
                <w:webHidden/>
              </w:rPr>
              <w:tab/>
            </w:r>
            <w:r w:rsidR="003F29F5">
              <w:rPr>
                <w:noProof/>
                <w:webHidden/>
              </w:rPr>
              <w:fldChar w:fldCharType="begin"/>
            </w:r>
            <w:r w:rsidR="003F29F5">
              <w:rPr>
                <w:noProof/>
                <w:webHidden/>
              </w:rPr>
              <w:instrText xml:space="preserve"> PAGEREF _Toc134843520 \h </w:instrText>
            </w:r>
            <w:r w:rsidR="003F29F5">
              <w:rPr>
                <w:noProof/>
                <w:webHidden/>
              </w:rPr>
            </w:r>
            <w:r w:rsidR="003F29F5">
              <w:rPr>
                <w:noProof/>
                <w:webHidden/>
              </w:rPr>
              <w:fldChar w:fldCharType="separate"/>
            </w:r>
            <w:r w:rsidR="004D1503">
              <w:rPr>
                <w:noProof/>
                <w:webHidden/>
              </w:rPr>
              <w:t>9</w:t>
            </w:r>
            <w:r w:rsidR="003F29F5">
              <w:rPr>
                <w:noProof/>
                <w:webHidden/>
              </w:rPr>
              <w:fldChar w:fldCharType="end"/>
            </w:r>
          </w:hyperlink>
        </w:p>
        <w:p w14:paraId="7EB241E9" w14:textId="56C34B8E" w:rsidR="003F29F5" w:rsidRDefault="00EF0A53" w:rsidP="003F29F5">
          <w:pPr>
            <w:pStyle w:val="TOC1"/>
            <w:tabs>
              <w:tab w:val="right" w:leader="dot" w:pos="9016"/>
            </w:tabs>
            <w:spacing w:line="240" w:lineRule="auto"/>
            <w:rPr>
              <w:rFonts w:asciiTheme="minorHAnsi" w:eastAsiaTheme="minorEastAsia" w:hAnsiTheme="minorHAnsi"/>
              <w:noProof/>
              <w:sz w:val="22"/>
            </w:rPr>
          </w:pPr>
          <w:hyperlink w:anchor="_Toc134843521" w:history="1">
            <w:r w:rsidR="003F29F5" w:rsidRPr="00C4674B">
              <w:rPr>
                <w:rStyle w:val="Hyperlink"/>
                <w:noProof/>
              </w:rPr>
              <w:t>Conclusion</w:t>
            </w:r>
            <w:r w:rsidR="003F29F5">
              <w:rPr>
                <w:noProof/>
                <w:webHidden/>
              </w:rPr>
              <w:tab/>
            </w:r>
            <w:r w:rsidR="003F29F5">
              <w:rPr>
                <w:noProof/>
                <w:webHidden/>
              </w:rPr>
              <w:fldChar w:fldCharType="begin"/>
            </w:r>
            <w:r w:rsidR="003F29F5">
              <w:rPr>
                <w:noProof/>
                <w:webHidden/>
              </w:rPr>
              <w:instrText xml:space="preserve"> PAGEREF _Toc134843521 \h </w:instrText>
            </w:r>
            <w:r w:rsidR="003F29F5">
              <w:rPr>
                <w:noProof/>
                <w:webHidden/>
              </w:rPr>
            </w:r>
            <w:r w:rsidR="003F29F5">
              <w:rPr>
                <w:noProof/>
                <w:webHidden/>
              </w:rPr>
              <w:fldChar w:fldCharType="separate"/>
            </w:r>
            <w:r w:rsidR="004D1503">
              <w:rPr>
                <w:noProof/>
                <w:webHidden/>
              </w:rPr>
              <w:t>10</w:t>
            </w:r>
            <w:r w:rsidR="003F29F5">
              <w:rPr>
                <w:noProof/>
                <w:webHidden/>
              </w:rPr>
              <w:fldChar w:fldCharType="end"/>
            </w:r>
          </w:hyperlink>
        </w:p>
        <w:p w14:paraId="17977A4A" w14:textId="499CAD17" w:rsidR="003F29F5" w:rsidRDefault="00EF0A53" w:rsidP="003F29F5">
          <w:pPr>
            <w:pStyle w:val="TOC1"/>
            <w:tabs>
              <w:tab w:val="right" w:leader="dot" w:pos="9016"/>
            </w:tabs>
            <w:spacing w:line="240" w:lineRule="auto"/>
            <w:rPr>
              <w:rFonts w:asciiTheme="minorHAnsi" w:eastAsiaTheme="minorEastAsia" w:hAnsiTheme="minorHAnsi"/>
              <w:noProof/>
              <w:sz w:val="22"/>
            </w:rPr>
          </w:pPr>
          <w:hyperlink w:anchor="_Toc134843522" w:history="1">
            <w:r w:rsidR="003F29F5" w:rsidRPr="00C4674B">
              <w:rPr>
                <w:rStyle w:val="Hyperlink"/>
                <w:noProof/>
              </w:rPr>
              <w:t>References</w:t>
            </w:r>
            <w:r w:rsidR="003F29F5">
              <w:rPr>
                <w:noProof/>
                <w:webHidden/>
              </w:rPr>
              <w:tab/>
            </w:r>
            <w:r w:rsidR="003F29F5">
              <w:rPr>
                <w:noProof/>
                <w:webHidden/>
              </w:rPr>
              <w:fldChar w:fldCharType="begin"/>
            </w:r>
            <w:r w:rsidR="003F29F5">
              <w:rPr>
                <w:noProof/>
                <w:webHidden/>
              </w:rPr>
              <w:instrText xml:space="preserve"> PAGEREF _Toc134843522 \h </w:instrText>
            </w:r>
            <w:r w:rsidR="003F29F5">
              <w:rPr>
                <w:noProof/>
                <w:webHidden/>
              </w:rPr>
            </w:r>
            <w:r w:rsidR="003F29F5">
              <w:rPr>
                <w:noProof/>
                <w:webHidden/>
              </w:rPr>
              <w:fldChar w:fldCharType="separate"/>
            </w:r>
            <w:r w:rsidR="004D1503">
              <w:rPr>
                <w:noProof/>
                <w:webHidden/>
              </w:rPr>
              <w:t>12</w:t>
            </w:r>
            <w:r w:rsidR="003F29F5">
              <w:rPr>
                <w:noProof/>
                <w:webHidden/>
              </w:rPr>
              <w:fldChar w:fldCharType="end"/>
            </w:r>
          </w:hyperlink>
        </w:p>
        <w:p w14:paraId="26E58F0D" w14:textId="293B1910" w:rsidR="006A7CCA" w:rsidRPr="00F90DC6" w:rsidRDefault="006A7CCA" w:rsidP="003F29F5">
          <w:pPr>
            <w:spacing w:line="240" w:lineRule="auto"/>
          </w:pPr>
          <w:r>
            <w:rPr>
              <w:b/>
              <w:bCs/>
              <w:noProof/>
            </w:rPr>
            <w:fldChar w:fldCharType="end"/>
          </w:r>
        </w:p>
      </w:sdtContent>
    </w:sdt>
    <w:p w14:paraId="247EEACC" w14:textId="77777777" w:rsidR="0003084C" w:rsidRDefault="0003084C">
      <w:pPr>
        <w:spacing w:line="259" w:lineRule="auto"/>
        <w:jc w:val="left"/>
        <w:rPr>
          <w:rFonts w:eastAsiaTheme="majorEastAsia" w:cstheme="majorBidi"/>
          <w:b/>
          <w:sz w:val="32"/>
          <w:szCs w:val="32"/>
        </w:rPr>
      </w:pPr>
      <w:r>
        <w:br w:type="page"/>
      </w:r>
    </w:p>
    <w:p w14:paraId="58DA988F" w14:textId="3D1D34C9" w:rsidR="006A7CCA" w:rsidRDefault="006A7CCA" w:rsidP="006A7CCA">
      <w:pPr>
        <w:pStyle w:val="Heading1"/>
      </w:pPr>
      <w:bookmarkStart w:id="0" w:name="_Toc134843501"/>
      <w:r>
        <w:lastRenderedPageBreak/>
        <w:t>Introduction</w:t>
      </w:r>
      <w:bookmarkEnd w:id="0"/>
    </w:p>
    <w:p w14:paraId="311793FB" w14:textId="406FC15A" w:rsidR="00E24E93" w:rsidRDefault="00E24E93" w:rsidP="00E24E93">
      <w:r>
        <w:t>Local governments and the people they represent can improve their ability to work together and involve more people in the decision-making process through increased community involvement</w:t>
      </w:r>
      <w:r w:rsidR="005E71E9">
        <w:t xml:space="preserve"> </w:t>
      </w:r>
      <w:r w:rsidR="005E71E9">
        <w:fldChar w:fldCharType="begin"/>
      </w:r>
      <w:r w:rsidR="005E71E9">
        <w:instrText xml:space="preserve"> ADDIN ZOTERO_ITEM CSL_CITATION {"citationID":"fIMPcz5q","properties":{"formattedCitation":"(Pascaris {\\i{}et al.}, 2021)","plainCitation":"(Pascaris et al., 2021)","noteIndex":0},"citationItems":[{"id":7317,"uris":["http://zotero.org/users/local/JDYauMH3/items/AAUIKIYX"],"itemData":{"id":7317,"type":"article-journal","abstract":"Large-scale development of solar-generated electricity is hindered in some regions of the U.S. by land use competition and localized social resistance. One approach to alleviate these coupled challenges is agrivoltaics: the strategic co-location of solar photovoltaics and agriculture. To explore the opportunities and barriers for agrivoltaics, in-depth interviews with solar industry professionals were conducted and findings suggest that the potential for an agrivoltaic project to retain agricultural interests and consequently increase local support for development is the most significant opportunity of dual use solar. Capable of increasing community acceptance, participants expect agrivoltaics to play an important role in future solar endeavors, especially in places where development may be perceived as a threat to agricultural interests. The results further reveal the interconnections among the various dimensions of social acceptance and suggest that the growth of agrivoltaics is contingent on market adoption of the technology through community acceptance and supportive local regulatory environments. As solar photovoltaic systems transcend niche applications to become larger and more prevalent, the dimensions of social acceptance, including the opportunities and barriers associated with each dimension, can help inform decision making to enhance the growth of agrivoltaics and thus photovoltaic development. The findings can help land use planners, solar developers, and municipal governments make informed decisions that strategically and meaningfully integrate agriculture and solar, and in turn provide multiple benefits including the retention of agricultural land, local economic development, and broad adoption of solar energy technologies.","container-title":"Energy Research &amp; Social Science","DOI":"10.1016/j.erss.2021.102023","ISSN":"2214-6296","journalAbbreviation":"Energy Research &amp; Social Science","language":"en","page":"102023","source":"ScienceDirect","title":"Integrating solar energy with agriculture: Industry perspectives on the market, community, and socio-political dimensions of agrivoltaics","title-short":"Integrating solar energy with agriculture","volume":"75","author":[{"family":"Pascaris","given":"Alexis S."},{"family":"Schelly","given":"Chelsea"},{"family":"Burnham","given":"Laurie"},{"family":"Pearce","given":"Joshua M."}],"issued":{"date-parts":[["2021",5,1]]}}}],"schema":"https://github.com/citation-style-language/schema/raw/master/csl-citation.json"} </w:instrText>
      </w:r>
      <w:r w:rsidR="005E71E9">
        <w:fldChar w:fldCharType="separate"/>
      </w:r>
      <w:r w:rsidR="005E71E9" w:rsidRPr="005E71E9">
        <w:rPr>
          <w:rFonts w:cs="Times New Roman"/>
          <w:kern w:val="0"/>
          <w:szCs w:val="24"/>
        </w:rPr>
        <w:t xml:space="preserve">(Pascaris </w:t>
      </w:r>
      <w:r w:rsidR="005E71E9" w:rsidRPr="005E71E9">
        <w:rPr>
          <w:rFonts w:cs="Times New Roman"/>
          <w:i/>
          <w:iCs/>
          <w:kern w:val="0"/>
          <w:szCs w:val="24"/>
        </w:rPr>
        <w:t>et al.</w:t>
      </w:r>
      <w:r w:rsidR="005E71E9" w:rsidRPr="005E71E9">
        <w:rPr>
          <w:rFonts w:cs="Times New Roman"/>
          <w:kern w:val="0"/>
          <w:szCs w:val="24"/>
        </w:rPr>
        <w:t>, 2021)</w:t>
      </w:r>
      <w:r w:rsidR="005E71E9">
        <w:fldChar w:fldCharType="end"/>
      </w:r>
      <w:r>
        <w:t>. The goal of this introspective analysis is to offer ways to streamline a specific council's approach to community participation by analyzing its guiding principles, standards, and methods.</w:t>
      </w:r>
    </w:p>
    <w:p w14:paraId="7094E4D7" w14:textId="1A9DFEF9" w:rsidR="00E24E93" w:rsidRDefault="00E24E93" w:rsidP="00E24E93">
      <w:r>
        <w:t>Engaging the community helps the council make decisions that reflect the wants, needs, and values of the people who live there in today's fast-paced, globalized world. Trust, openness, and constructive discussion between the council and its residents are all bolstered when the process of community participation runs well. It gives locals a voice in the development of plans, initiatives, and policies that affect their daily lives, resulting to more equitable and long-lasting results</w:t>
      </w:r>
      <w:r w:rsidR="00546433">
        <w:t xml:space="preserve"> </w:t>
      </w:r>
      <w:r w:rsidR="00546433">
        <w:fldChar w:fldCharType="begin"/>
      </w:r>
      <w:r w:rsidR="00546433">
        <w:instrText xml:space="preserve"> ADDIN ZOTERO_ITEM CSL_CITATION {"citationID":"6rafjxxe","properties":{"formattedCitation":"(Gao and Yu, 2020)","plainCitation":"(Gao and Yu, 2020)","noteIndex":0},"citationItems":[{"id":7320,"uris":["http://zotero.org/users/local/JDYauMH3/items/FIQWNYIH"],"itemData":{"id":7320,"type":"article-journal","abstract":"In China, sub-provincial governments are responsible for managing public health emergencies. In the context of coordinating multiple stakeholders, the role of the local government can be defined as ‘meta-governance’. It shall provide rules to facilitate collective action and co-produce quality public services. However, the case of Wuhan suggests that some local governments still rely on the traditional administrative system, which hampers them in terms of issuing a sufficient response to the COVID-19 outbreak. Three measures can be taken to facilitate a public governance mechanism in public health emergency management. First, local governments can use the ICTs to create a more transparent information mechanism. The free flow of information could alert all stakeholders to potential emergencies, while the open government data form the base for cross-border collaboration. Second, a more comprehensive Public Health Emergency Preparedness is constructive for local governments in making quality and immediate decisions. This preparedness shall clearly define the responsibility of the involved agencies based on a careful evaluation of their qualification and capability. Third, the local government shall note that good governance requires more than an executive capacity based on command-and-control. It is necessary to develop the ability to work with stakeholders outside the bureaucratic system.","container-title":"Journal of Chinese Governance","DOI":"10.1080/23812346.2020.1744922","ISSN":"2381-2346","issue":"2","note":"publisher: Routledge\n_eprint: https://doi.org/10.1080/23812346.2020.1744922","page":"178-197","source":"Taylor and Francis+NEJM","title":"Public governance mechanism in the prevention and control of the COVID-19: information, decision-making and execution","title-short":"Public governance mechanism in the prevention and control of the COVID-19","volume":"5","author":[{"family":"Gao","given":"Xiang"},{"family":"Yu","given":"Jianxing"}],"issued":{"date-parts":[["2020",4,2]]}}}],"schema":"https://github.com/citation-style-language/schema/raw/master/csl-citation.json"} </w:instrText>
      </w:r>
      <w:r w:rsidR="00546433">
        <w:fldChar w:fldCharType="separate"/>
      </w:r>
      <w:r w:rsidR="00546433" w:rsidRPr="00546433">
        <w:rPr>
          <w:rFonts w:cs="Times New Roman"/>
        </w:rPr>
        <w:t>(Gao and Yu, 2020)</w:t>
      </w:r>
      <w:r w:rsidR="00546433">
        <w:fldChar w:fldCharType="end"/>
      </w:r>
      <w:r>
        <w:t>.</w:t>
      </w:r>
    </w:p>
    <w:p w14:paraId="1A22F1B6" w14:textId="5C9F3411" w:rsidR="00E24E93" w:rsidRDefault="00E24E93" w:rsidP="00E24E93">
      <w:r>
        <w:t>The purpose of this analysis is to provide a critical assessment of the chosen council's current procedures, taking into account both their strengths and places for growth. By taking stock of our current set of values, norms, and tactics for community participation, we may spot holes in our knowledge and work to fill them with suggestions for improvement.</w:t>
      </w:r>
    </w:p>
    <w:p w14:paraId="499FA40A" w14:textId="77777777" w:rsidR="00E24E93" w:rsidRDefault="00E24E93" w:rsidP="00E24E93">
      <w:r>
        <w:t>This paper has been thoughtfully structured into subsections to allow for in-depth examination. Section II will next assess the council's present principles, norms, and methods using appropriate academic literature and real-world examples. Recommendations for improving community involvement are presented in Section III. Section IV will detail plans for execution, taking into account available resources and potential obstacles. Finally, Section V will summarize the main findings and discuss the possible consequences of implementing the suggested changes.</w:t>
      </w:r>
    </w:p>
    <w:p w14:paraId="79D42BFA" w14:textId="06E0BC43" w:rsidR="002F3481" w:rsidRDefault="00E24E93" w:rsidP="004264A9">
      <w:r>
        <w:lastRenderedPageBreak/>
        <w:t>Our hope is that this self-reflective analysis will add to the conversation now taking place around community engagement and prompt local governments to alter their approach to citizen participation</w:t>
      </w:r>
      <w:r w:rsidR="002F3481">
        <w:t>.</w:t>
      </w:r>
    </w:p>
    <w:p w14:paraId="73E08413" w14:textId="77777777" w:rsidR="006A7CCA" w:rsidRDefault="006A7CCA" w:rsidP="006A7CCA"/>
    <w:p w14:paraId="01BBE275" w14:textId="3419AECF" w:rsidR="006A7CCA" w:rsidRDefault="00C05E07" w:rsidP="006A7CCA">
      <w:pPr>
        <w:pStyle w:val="Heading1"/>
      </w:pPr>
      <w:bookmarkStart w:id="1" w:name="_Toc134843502"/>
      <w:r w:rsidRPr="00C05E07">
        <w:t>Evaluation of Current Principles, Standards, and Strategies</w:t>
      </w:r>
      <w:bookmarkEnd w:id="1"/>
    </w:p>
    <w:p w14:paraId="632E0FF7" w14:textId="35194537" w:rsidR="006A7CCA" w:rsidRDefault="00DF14B5" w:rsidP="006A7CCA">
      <w:r w:rsidRPr="00DF14B5">
        <w:t>The chosen council has developed a set of guiding principles, criteria, and tactics to use in its outreach to the local populace. These tenets lay the groundwork for productive communication and cooperation between the city government and its constituents. These guidelines are meant to be used as checkpoints to make sure the process of involvement is open, inclusive, and accountable. The council has also implemented other measures to improve communication, dialogue, and participation with locals</w:t>
      </w:r>
      <w:r w:rsidR="006A7CCA">
        <w:t>.</w:t>
      </w:r>
    </w:p>
    <w:p w14:paraId="79275F2D" w14:textId="18733499" w:rsidR="006A7CCA" w:rsidRDefault="005A2EDE" w:rsidP="006A7CCA">
      <w:pPr>
        <w:pStyle w:val="Heading2"/>
      </w:pPr>
      <w:bookmarkStart w:id="2" w:name="_Toc134843503"/>
      <w:r w:rsidRPr="005A2EDE">
        <w:t>Engagement with Literature: Effective Community Engagement</w:t>
      </w:r>
      <w:r w:rsidR="006A7CCA">
        <w:t>:</w:t>
      </w:r>
      <w:bookmarkEnd w:id="2"/>
    </w:p>
    <w:p w14:paraId="60E52AAF" w14:textId="02B72784" w:rsidR="006A7CCA" w:rsidRDefault="00DF14B5" w:rsidP="006A7CCA">
      <w:r w:rsidRPr="00DF14B5">
        <w:t>Reviewing appropriate academic literature on efficient community participation is crucial for judging the council's present methods. In the engagement process, the literature stresses the significance of openness, transparency, and responsiveness</w:t>
      </w:r>
      <w:r w:rsidR="00A927A4">
        <w:t xml:space="preserve"> </w:t>
      </w:r>
      <w:r w:rsidR="00A927A4">
        <w:fldChar w:fldCharType="begin"/>
      </w:r>
      <w:r w:rsidR="00A927A4">
        <w:instrText xml:space="preserve"> ADDIN ZOTERO_ITEM CSL_CITATION {"citationID":"nJTNuLvA","properties":{"formattedCitation":"(Luger, Hamilton and True, 2020)","plainCitation":"(Luger, Hamilton and True, 2020)","noteIndex":0},"citationItems":[{"id":7321,"uris":["http://zotero.org/users/local/JDYauMH3/items/K9FGX6NR"],"itemData":{"id":7321,"type":"article-journal","abstract":"Policy Points Community-engaged research (CEnR) engenders meaningful academic-community partnerships to improve research quality and health outcomes. CEnR has increasingly been adopted by health care systems, funders, and communities looking for solutions to intractable problems. It has been difficult to systematically measure CEnR's impact, as most evaluations focus on project-specific outcomes. Similarly, partners have struggled with identifying appropriate measures to assess outcomes of interest. To make a case for CEnR's value, we must demonstrate the impacts of CEnR over time. We compiled recent measures and developed an interactive data visualization to facilitate more consistent measurement of CEnR's theoretical domains. Context Community-engaged research (CEnR) aims to engender meaningful academic-community partnerships to increase research quality and impact, improve individual and community health, and build capacity for uptake of evidence-based practices. Given the urgency to solve society's pressing public health problems and increasing competition for funding, it is important to demonstrate CEnR's value. Most evaluations focus on project-specific outcomes, making it difficult to demonstrate CEnR's broader impact. Moreover, it is challenging for partnerships to identify assessments of interest beyond process measures. We conducted a mapping review to help partnerships find and select measures to evaluate CEnR projects and to characterize areas where further development of measures is needed. Methods We searched electronic bibliographic databases using relevant search terms from 2009 to 2018 and scanned CEnR projects to identify unpublished measures. Through review and reduction, we found 69 measures of CEnR's context, process, or outcomes that are potentially generalizable beyond a specific health condition or population. We abstracted data from descriptions of each measure to catalog purpose, aim (context, process, or outcome), and specific domains being measured. Findings We identified 28 measures of the conditions under which CEnR is conducted and factors to support effective academic-community collaboration (context); 43 measures evaluating constructs such as group dynamics and trust (process); and 43 measures of impacts such as benefits and challenges of CEnR participation and system and capacity changes (outcomes). Conclusions We found substantial variation in how academic-community partnerships conceptualize and define even similar domains. Achieving more consistency in how partnerships evaluate key constructs could reduce measurement confusion apparent in the literature. A hybrid approach whereby partnerships discuss common metrics and develop locally important measures can address CEnR's multiple goals. Our accessible data visualization serves as a convenient resource to support partnerships’ evaluation goals and may help to build the evidence base for CEnR through the use of common measures across studies.","container-title":"The Milbank Quarterly","DOI":"10.1111/1468-0009.12458","ISSN":"1468-0009","issue":"2","language":"en","note":"_eprint: https://onlinelibrary.wiley.com/doi/pdf/10.1111/1468-0009.12458","page":"493-553","source":"Wiley Online Library","title":"Measuring Community-Engaged Research Contexts, Processes, and Outcomes: A Mapping Review","title-short":"Measuring Community-Engaged Research Contexts, Processes, and Outcomes","volume":"98","author":[{"family":"Luger","given":"Tana M."},{"family":"Hamilton","given":"Alison B."},{"family":"True","given":"Gala"}],"issued":{"date-parts":[["2020"]]}}}],"schema":"https://github.com/citation-style-language/schema/raw/master/csl-citation.json"} </w:instrText>
      </w:r>
      <w:r w:rsidR="00A927A4">
        <w:fldChar w:fldCharType="separate"/>
      </w:r>
      <w:r w:rsidR="00A927A4" w:rsidRPr="00A927A4">
        <w:rPr>
          <w:rFonts w:cs="Times New Roman"/>
        </w:rPr>
        <w:t>(Luger, Hamilton and True, 2020)</w:t>
      </w:r>
      <w:r w:rsidR="00A927A4">
        <w:fldChar w:fldCharType="end"/>
      </w:r>
      <w:r w:rsidRPr="00DF14B5">
        <w:t>. Scholarly literature stresses the importance of constant and proactive communication to keep community members informed, give them agency, and include them in decision-making. Trust, open communication, and attention to the community's many opinions and needs are also highlighted in the writings</w:t>
      </w:r>
      <w:r w:rsidR="006A7CCA">
        <w:t>.</w:t>
      </w:r>
    </w:p>
    <w:p w14:paraId="52A354E3" w14:textId="4C14610A" w:rsidR="006A7CCA" w:rsidRDefault="00F93818" w:rsidP="006A7CCA">
      <w:pPr>
        <w:pStyle w:val="Heading2"/>
      </w:pPr>
      <w:bookmarkStart w:id="3" w:name="_Toc134843504"/>
      <w:r w:rsidRPr="00F93818">
        <w:t>Analysis of the Council's Current Approach</w:t>
      </w:r>
      <w:bookmarkEnd w:id="3"/>
    </w:p>
    <w:p w14:paraId="72E4CCA7" w14:textId="5755A168" w:rsidR="006A7CCA" w:rsidRDefault="003C7A5F" w:rsidP="006A7CCA">
      <w:r w:rsidRPr="003C7A5F">
        <w:t>The council's existing method of community interaction must be dissected in order to determine its advantages and disadvantages.</w:t>
      </w:r>
      <w:r w:rsidR="00811825">
        <w:t xml:space="preserve"> </w:t>
      </w:r>
      <w:r w:rsidRPr="003C7A5F">
        <w:t xml:space="preserve">Well-defined processes, established communication channels, and initiatives to incorporate several stakeholder groups are all </w:t>
      </w:r>
      <w:r w:rsidRPr="003C7A5F">
        <w:lastRenderedPageBreak/>
        <w:t>potential assets</w:t>
      </w:r>
      <w:r w:rsidR="00811825">
        <w:t xml:space="preserve"> </w:t>
      </w:r>
      <w:r w:rsidR="00811825">
        <w:fldChar w:fldCharType="begin"/>
      </w:r>
      <w:r w:rsidR="00811825">
        <w:instrText xml:space="preserve"> ADDIN ZOTERO_ITEM CSL_CITATION {"citationID":"Ze8kT6zr","properties":{"formattedCitation":"(Balog-Way, McComas and Besley, 2020)","plainCitation":"(Balog-Way, McComas and Besley, 2020)","noteIndex":0},"citationItems":[{"id":7323,"uris":["http://zotero.org/users/local/JDYauMH3/items/3BNZ53A5"],"itemData":{"id":7323,"type":"article-journal","abstract":"The 40th Anniversary of the Society for Risk Analysis presents an apt time to step back and review the field of risk communication. In this review, we first evaluate recent debates over the field's current state and future directions. Our takeaway is that efforts to settle on a single, generic version of what constitutes risk communication will be less productive than an open-minded exploration of the multiple forms that comprise today's vibrant interdisciplinary field. We then review a selection of prominent cognitive, cultural, and social risk communication scholarship appearing in the published literature since 2010. Studies on trust in risk communication messengers continued to figure prominently, while new research directions emerged on the opportunities and critical challenges of enhancing transparency and using social media. Research on message attributes explored how conceptual insights particularly relating to framing, affective and emotional responses, and uncertainty might be operationalized to improve message effectiveness. Studies consistently demonstrated the importance of evaluation and how varying single attributes alone is unlikely to achieve desired results. Research on risk communication audiences advanced on risk perception and multiway engagement with notable interest in personal factors such as gender, race, age, and political orientation. We conclude by arguing that the field's interdisciplinary tradition should be further nurtured to drive the next evolutionary phase of risk communication research.","container-title":"Risk Analysis","DOI":"10.1111/risa.13615","ISSN":"1539-6924","issue":"S1","language":"en","note":"_eprint: https://onlinelibrary.wiley.com/doi/pdf/10.1111/risa.13615","page":"2240-2262","source":"Wiley Online Library","title":"The Evolving Field of Risk Communication","volume":"40","author":[{"family":"Balog-Way","given":"Dominic"},{"family":"McComas","given":"Katherine"},{"family":"Besley","given":"John"}],"issued":{"date-parts":[["2020"]]}}}],"schema":"https://github.com/citation-style-language/schema/raw/master/csl-citation.json"} </w:instrText>
      </w:r>
      <w:r w:rsidR="00811825">
        <w:fldChar w:fldCharType="separate"/>
      </w:r>
      <w:r w:rsidR="00811825" w:rsidRPr="00811825">
        <w:rPr>
          <w:rFonts w:cs="Times New Roman"/>
        </w:rPr>
        <w:t>(Balog-Way, McComas and Besley, 2020)</w:t>
      </w:r>
      <w:r w:rsidR="00811825">
        <w:fldChar w:fldCharType="end"/>
      </w:r>
      <w:r w:rsidRPr="003C7A5F">
        <w:t>. Weaknesses, on the other side, may include things like insufficient feedback systems, inadequate community representation, or problems in adequately addressing the needs and concerns of underrepresented groups</w:t>
      </w:r>
      <w:r w:rsidR="006A7CCA">
        <w:t>.</w:t>
      </w:r>
    </w:p>
    <w:p w14:paraId="4E8C0BCB" w14:textId="4D6B697E" w:rsidR="006A7CCA" w:rsidRDefault="008C61E9" w:rsidP="006A7CCA">
      <w:pPr>
        <w:pStyle w:val="Heading2"/>
      </w:pPr>
      <w:bookmarkStart w:id="4" w:name="_Toc134843505"/>
      <w:r w:rsidRPr="008C61E9">
        <w:t>Practical Examples and Empirical Evidence</w:t>
      </w:r>
      <w:bookmarkEnd w:id="4"/>
    </w:p>
    <w:p w14:paraId="763208E3" w14:textId="478B9416" w:rsidR="00476A06" w:rsidRDefault="00476A06" w:rsidP="00476A06">
      <w:r>
        <w:t>Analysis of the council's existing practices can be strengthened by citing relevant instances and empirical evidence. The council's positive results and effect from community participation activities are one possible example. Surveys, feedback data, and case studies are all examples of empirical information that can shed light on how well the council's engagement tactics have worked to increase community participation, satisfaction, and confidence</w:t>
      </w:r>
      <w:r w:rsidR="002466EB">
        <w:t xml:space="preserve"> </w:t>
      </w:r>
      <w:r w:rsidR="002466EB">
        <w:fldChar w:fldCharType="begin"/>
      </w:r>
      <w:r w:rsidR="002466EB">
        <w:instrText xml:space="preserve"> ADDIN ZOTERO_ITEM CSL_CITATION {"citationID":"JyboBky0","properties":{"formattedCitation":"(Saner, Yiu and Nguyen, 2020)","plainCitation":"(Saner, Yiu and Nguyen, 2020)","noteIndex":0},"citationItems":[{"id":7325,"uris":["http://zotero.org/users/local/JDYauMH3/items/SL4HYNQY"],"itemData":{"id":7325,"type":"article-journal","abstract":"Motivation The article shows that the measurement of SDG attainment remains vague and incomplete and argues that participation-based and inclusive monitoring must be an integral part of managing the SDG implementation process. Purpose Countries are supposed to review their progress of SDG implementation every four years, but the method of reviewing is left open. In addition, and even more urgent is the need to improve on the inadequate definition of monitoring methods that countries are supposed to deploy. Approach and methods The article reviews the various options currently available to conduct the four-year review and the methods of on-going SDG monitoring. Findings The analysis shows that the SDG monitoring methods have not yet been defined, leaving stakeholders (governments, business and civil society) without appropriate guidance. Policy implications The authors propose two types of monitoring: micro-monitoring and macro-monitoring, both of which are necessary to ensure effective and efficient monitoring in achieving process accountability, institutional learning, and innovation.","container-title":"Development Policy Review","DOI":"10.1111/dpr.12433","ISSN":"1467-7679","issue":"4","language":"en","note":"_eprint: https://onlinelibrary.wiley.com/doi/pdf/10.1111/dpr.12433","page":"483-500","source":"Wiley Online Library","title":"Monitoring the SDGs: Digital and social technologies to ensure citizen participation, inclusiveness and transparency","title-short":"Monitoring the SDGs","volume":"38","author":[{"family":"Saner","given":"Raymond"},{"family":"Yiu","given":"Lichia"},{"family":"Nguyen","given":"Melanie"}],"issued":{"date-parts":[["2020"]]}}}],"schema":"https://github.com/citation-style-language/schema/raw/master/csl-citation.json"} </w:instrText>
      </w:r>
      <w:r w:rsidR="002466EB">
        <w:fldChar w:fldCharType="separate"/>
      </w:r>
      <w:r w:rsidR="002466EB" w:rsidRPr="002466EB">
        <w:rPr>
          <w:rFonts w:cs="Times New Roman"/>
        </w:rPr>
        <w:t>(Saner, Yiu and Nguyen, 2020)</w:t>
      </w:r>
      <w:r w:rsidR="002466EB">
        <w:fldChar w:fldCharType="end"/>
      </w:r>
      <w:r>
        <w:t>.</w:t>
      </w:r>
    </w:p>
    <w:p w14:paraId="5FF3720C" w14:textId="7E701C4B" w:rsidR="006A7CCA" w:rsidRDefault="00476A06" w:rsidP="008C61E9">
      <w:r>
        <w:t>Comprehensive evaluations can be made by critically reviewing the council's present principles, norms, and tactics, taking into account relevant scholarly literature, and incorporating practical examples and empirical information. The following sections of this report will build on the findings of this evaluation by proposing solutions for increasing community participation and detailing methods for carrying them out</w:t>
      </w:r>
      <w:r w:rsidR="006A7CCA">
        <w:t>.</w:t>
      </w:r>
    </w:p>
    <w:p w14:paraId="6EB628C3" w14:textId="77777777" w:rsidR="006A7CCA" w:rsidRDefault="006A7CCA" w:rsidP="006A7CCA"/>
    <w:p w14:paraId="679C3054" w14:textId="77777777" w:rsidR="003717FF" w:rsidRPr="00B843CD" w:rsidRDefault="006E4138" w:rsidP="00B843CD">
      <w:pPr>
        <w:pStyle w:val="Heading1"/>
      </w:pPr>
      <w:bookmarkStart w:id="5" w:name="_Toc134843506"/>
      <w:r w:rsidRPr="00B843CD">
        <w:t>Recommendations for Improvement</w:t>
      </w:r>
      <w:bookmarkEnd w:id="5"/>
    </w:p>
    <w:p w14:paraId="36512EF8" w14:textId="1CDD7DDA" w:rsidR="003717FF" w:rsidRDefault="003717FF" w:rsidP="003717FF">
      <w:pPr>
        <w:pStyle w:val="Heading2"/>
      </w:pPr>
      <w:bookmarkStart w:id="6" w:name="_Toc134843507"/>
      <w:r w:rsidRPr="003717FF">
        <w:t>Identification of Areas for Improvement</w:t>
      </w:r>
      <w:bookmarkEnd w:id="6"/>
    </w:p>
    <w:p w14:paraId="3DEF78E6" w14:textId="1233AFCC" w:rsidR="00D347DD" w:rsidRDefault="00B06EEC" w:rsidP="00D869E6">
      <w:r w:rsidRPr="00B06EEC">
        <w:t>Several opportunities for development emerge from an analysis of the Council's current principles, standards, and strategies. These spots are where the community participation process has been found wanting or difficult. If these issues are resolved, the engagement process will be more streamlined and effective in its promotion of cooperation, diversity, and trust</w:t>
      </w:r>
      <w:r w:rsidR="00247484">
        <w:t xml:space="preserve"> </w:t>
      </w:r>
      <w:r w:rsidR="00247484">
        <w:fldChar w:fldCharType="begin"/>
      </w:r>
      <w:r w:rsidR="00247484">
        <w:instrText xml:space="preserve"> ADDIN ZOTERO_ITEM CSL_CITATION {"citationID":"B1AT04OR","properties":{"formattedCitation":"(Wierling {\\i{}et al.}, 2021)","plainCitation":"(Wierling et al., 2021)","noteIndex":0},"citationItems":[{"id":7327,"uris":["http://zotero.org/users/local/JDYauMH3/items/XLK9C7B7"],"itemData":{"id":7327,"type":"article-journal","abstract":"The principles of Findability, Accessibility, Interoperability, and Reusability (FAIR) have been put forward to guide optimal sharing of data. The potential for industrial and social innovation is vast. Domain-specific metadata standards are crucial in this context, but are widely missing in the energy sector. This report provides a collaborative response from the low carbon energy research community for addressing the necessity of advancing FAIR metadata standards. We review and test existing metadata practices in the domain based on a series of community workshops. We reflect the perspectives of energy data stakeholders. The outcome is reported in terms of challenges and elicits recommendations for advancing FAIR metadata standards in the energy domain across a broad spectrum of stakeholders.","container-title":"Energies","DOI":"10.3390/en14206692","ISSN":"1996-1073","issue":"20","language":"en","license":"http://creativecommons.org/licenses/by/3.0/","note":"number: 20\npublisher: Multidisciplinary Digital Publishing Institute","page":"6692","source":"www.mdpi.com","title":"FAIR Metadata Standards for Low Carbon Energy Research—A Review of Practices and How to Advance","volume":"14","author":[{"family":"Wierling","given":"August"},{"family":"Schwanitz","given":"Valeria Jana"},{"family":"Altinci","given":"Sebnem"},{"family":"Bałazińska","given":"Maria"},{"family":"Barber","given":"Michael J."},{"family":"Biresselioglu","given":"Mehmet Efe"},{"family":"Burger-Scheidlin","given":"Christopher"},{"family":"Celino","given":"Massimo"},{"family":"Demir","given":"Muhittin Hakan"},{"family":"Dennis","given":"Richard"},{"family":"Dintzner","given":"Nicolas"},{"family":"Gammal","given":"Adel","non-dropping-particle":"el"},{"family":"Fernández-Peruchena","given":"Carlos M."},{"family":"Gilcrease","given":"Winston"},{"family":"Gładysz","given":"Paweł"},{"family":"Hoyer-Klick","given":"Carsten"},{"family":"Joshi","given":"Kevin"},{"family":"Kruczek","given":"Mariusz"},{"family":"Lacroix","given":"David"},{"family":"Markowska","given":"Małgorzata"},{"family":"Mayo-García","given":"Rafael"},{"family":"Morrison","given":"Robbie"},{"family":"Paier","given":"Manfred"},{"family":"Peronato","given":"Giuseppe"},{"family":"Ramakrishnan","given":"Mahendranath"},{"family":"Reid","given":"Janeita"},{"family":"Sciullo","given":"Alessandro"},{"family":"Solak","given":"Berfu"},{"family":"Suna","given":"Demet"},{"family":"Süß","given":"Wolfgang"},{"family":"Unger","given":"Astrid"},{"family":"Fernandez Vanoni","given":"Maria Luisa"},{"family":"Vasiljevic","given":"Nikola"}],"issued":{"date-parts":[["2021",1]]}}}],"schema":"https://github.com/citation-style-language/schema/raw/master/csl-citation.json"} </w:instrText>
      </w:r>
      <w:r w:rsidR="00247484">
        <w:fldChar w:fldCharType="separate"/>
      </w:r>
      <w:r w:rsidR="00247484" w:rsidRPr="00247484">
        <w:rPr>
          <w:rFonts w:cs="Times New Roman"/>
          <w:kern w:val="0"/>
          <w:szCs w:val="24"/>
        </w:rPr>
        <w:t xml:space="preserve">(Wierling </w:t>
      </w:r>
      <w:r w:rsidR="00247484" w:rsidRPr="00247484">
        <w:rPr>
          <w:rFonts w:cs="Times New Roman"/>
          <w:i/>
          <w:iCs/>
          <w:kern w:val="0"/>
          <w:szCs w:val="24"/>
        </w:rPr>
        <w:t>et al.</w:t>
      </w:r>
      <w:r w:rsidR="00247484" w:rsidRPr="00247484">
        <w:rPr>
          <w:rFonts w:cs="Times New Roman"/>
          <w:kern w:val="0"/>
          <w:szCs w:val="24"/>
        </w:rPr>
        <w:t>, 2021)</w:t>
      </w:r>
      <w:r w:rsidR="00247484">
        <w:fldChar w:fldCharType="end"/>
      </w:r>
      <w:r w:rsidR="00D347DD">
        <w:t>.</w:t>
      </w:r>
    </w:p>
    <w:p w14:paraId="26FDE7BF" w14:textId="094D8778" w:rsidR="00D347DD" w:rsidRDefault="00D869E6" w:rsidP="00D347DD">
      <w:pPr>
        <w:pStyle w:val="Heading2"/>
      </w:pPr>
      <w:bookmarkStart w:id="7" w:name="_Toc134843508"/>
      <w:r w:rsidRPr="00D869E6">
        <w:lastRenderedPageBreak/>
        <w:t>Recommendation 1: Enhancing Stakeholder Representation and Inclusivity</w:t>
      </w:r>
      <w:bookmarkEnd w:id="7"/>
    </w:p>
    <w:p w14:paraId="753DAFE9" w14:textId="1847ECA1" w:rsidR="00D347DD" w:rsidRDefault="001D1FB8" w:rsidP="00D347DD">
      <w:r w:rsidRPr="001D1FB8">
        <w:t>Stakeholder diversity and inclusion are critical for boosting community involvement. The council should make an effort to hear from and involve underprivileged communities, young people, and people of color. One suggestion is to create outreach initiatives aimed squarely at these communities. The council can better accommodate everyone's concerns and needs by giving them a place to be heard through formal and informal channels</w:t>
      </w:r>
      <w:r w:rsidR="0051238D">
        <w:t xml:space="preserve"> </w:t>
      </w:r>
      <w:r w:rsidR="0051238D">
        <w:fldChar w:fldCharType="begin"/>
      </w:r>
      <w:r w:rsidR="0051238D">
        <w:instrText xml:space="preserve"> ADDIN ZOTERO_ITEM CSL_CITATION {"citationID":"Il9RzSgq","properties":{"formattedCitation":"(Dwivedi {\\i{}et al.}, 2023)","plainCitation":"(Dwivedi et al., 2023)","noteIndex":0},"citationItems":[{"id":7153,"uris":["http://zotero.org/users/local/JDYauMH3/items/GQAAS9UD"],"itemData":{"id":7153,"type":"article-journal","abstract":"Transformative artificially intelligent tools, such as ChatGPT, designed to generate sophisticated text indistinguishable from that produced by a human, are applicable across a wide range of contexts. The technology presents opportunities as well as, often ethical and legal, challenges, and has the potential for both positive and negative impacts for organisations, society, and individuals. Offering multi-disciplinary insight into some of these, this article brings together 43 contributions from experts in fields such as computer science, marketing, information systems, education, policy, hospitality and tourism, management, publishing, and nursing. The contributors acknowledge ChatGPT’s capabilities to enhance productivity and suggest that it is likely to offer significant gains in the banking, hospitality and tourism, and information technology industries, and enhance business activities, such as management and marketing. Nevertheless, they also consider its limitations, disruptions to practices, threats to privacy and security, and consequences of biases, misuse, and misinformation. However, opinion is split on whether ChatGPT’s use should be restricted or legislated. Drawing on these contributions, the article identifies questions requiring further research across three thematic areas: knowledge, transparency, and ethics; digital transformation of organisations and societies; and teaching, learning, and scholarly research. The avenues for further research include: identifying skills, resources, and capabilities needed to handle generative AI; examining biases of generative AI attributable to training datasets and processes; exploring business and societal contexts best suited for generative AI implementation; determining optimal combinations of human and generative AI for various tasks; identifying ways to assess accuracy of text produced by generative AI; and uncovering the ethical and legal issues in using generative AI across different contexts.","container-title":"International Journal of Information Management","DOI":"10.1016/j.ijinfomgt.2023.102642","ISSN":"0268-4012","journalAbbreviation":"International Journal of Information Management","language":"en","page":"102642","source":"ScienceDirect","title":"“So what if ChatGPT wrote it?” Multidisciplinary perspectives on opportunities, challenges and implications of generative conversational AI for research, practice and policy","title-short":"“So what if ChatGPT wrote it?","volume":"71","author":[{"family":"Dwivedi","given":"Yogesh K."},{"family":"Kshetri","given":"Nir"},{"family":"Hughes","given":"Laurie"},{"family":"Slade","given":"Emma Louise"},{"family":"Jeyaraj","given":"Anand"},{"family":"Kar","given":"Arpan Kumar"},{"family":"Baabdullah","given":"Abdullah M."},{"family":"Koohang","given":"Alex"},{"family":"Raghavan","given":"Vishnupriya"},{"family":"Ahuja","given":"Manju"},{"family":"Albanna","given":"Hanaa"},{"family":"Albashrawi","given":"Mousa Ahmad"},{"family":"Al-Busaidi","given":"Adil S."},{"family":"Balakrishnan","given":"Janarthanan"},{"family":"Barlette","given":"Yves"},{"family":"Basu","given":"Sriparna"},{"family":"Bose","given":"Indranil"},{"family":"Brooks","given":"Laurence"},{"family":"Buhalis","given":"Dimitrios"},{"family":"Carter","given":"Lemuria"},{"family":"Chowdhury","given":"Soumyadeb"},{"family":"Crick","given":"Tom"},{"family":"Cunningham","given":"Scott W."},{"family":"Davies","given":"Gareth H."},{"family":"Davison","given":"Robert M."},{"family":"Dé","given":"Rahul"},{"family":"Dennehy","given":"Denis"},{"family":"Duan","given":"Yanqing"},{"family":"Dubey","given":"Rameshwar"},{"family":"Dwivedi","given":"Rohita"},{"family":"Edwards","given":"John S."},{"family":"Flavián","given":"Carlos"},{"family":"Gauld","given":"Robin"},{"family":"Grover","given":"Varun"},{"family":"Hu","given":"Mei-Chih"},{"family":"Janssen","given":"Marijn"},{"family":"Jones","given":"Paul"},{"family":"Junglas","given":"Iris"},{"family":"Khorana","given":"Sangeeta"},{"family":"Kraus","given":"Sascha"},{"family":"Larsen","given":"Kai R."},{"family":"Latreille","given":"Paul"},{"family":"Laumer","given":"Sven"},{"family":"Malik","given":"F. Tegwen"},{"family":"Mardani","given":"Abbas"},{"family":"Mariani","given":"Marcello"},{"family":"Mithas","given":"Sunil"},{"family":"Mogaji","given":"Emmanuel"},{"family":"Nord","given":"Jeretta Horn"},{"family":"O’Connor","given":"Siobhan"},{"family":"Okumus","given":"Fevzi"},{"family":"Pagani","given":"Margherita"},{"family":"Pandey","given":"Neeraj"},{"family":"Papagiannidis","given":"Savvas"},{"family":"Pappas","given":"Ilias O."},{"family":"Pathak","given":"Nishith"},{"family":"Pries-Heje","given":"Jan"},{"family":"Raman","given":"Ramakrishnan"},{"family":"Rana","given":"Nripendra P."},{"family":"Rehm","given":"Sven-Volker"},{"family":"Ribeiro-Navarrete","given":"Samuel"},{"family":"Richter","given":"Alexander"},{"family":"Rowe","given":"Frantz"},{"family":"Sarker","given":"Suprateek"},{"family":"Stahl","given":"Bernd Carsten"},{"family":"Tiwari","given":"Manoj Kumar"},{"family":"Aalst","given":"Wil","non-dropping-particle":"van der"},{"family":"Venkatesh","given":"Viswanath"},{"family":"Viglia","given":"Giampaolo"},{"family":"Wade","given":"Michael"},{"family":"Walton","given":"Paul"},{"family":"Wirtz","given":"Jochen"},{"family":"Wright","given":"Ryan"}],"issued":{"date-parts":[["2023",8,1]]}}}],"schema":"https://github.com/citation-style-language/schema/raw/master/csl-citation.json"} </w:instrText>
      </w:r>
      <w:r w:rsidR="0051238D">
        <w:fldChar w:fldCharType="separate"/>
      </w:r>
      <w:r w:rsidR="0051238D" w:rsidRPr="0051238D">
        <w:rPr>
          <w:rFonts w:cs="Times New Roman"/>
          <w:kern w:val="0"/>
          <w:szCs w:val="24"/>
        </w:rPr>
        <w:t xml:space="preserve">(Dwivedi </w:t>
      </w:r>
      <w:r w:rsidR="0051238D" w:rsidRPr="0051238D">
        <w:rPr>
          <w:rFonts w:cs="Times New Roman"/>
          <w:i/>
          <w:iCs/>
          <w:kern w:val="0"/>
          <w:szCs w:val="24"/>
        </w:rPr>
        <w:t>et al.</w:t>
      </w:r>
      <w:r w:rsidR="0051238D" w:rsidRPr="0051238D">
        <w:rPr>
          <w:rFonts w:cs="Times New Roman"/>
          <w:kern w:val="0"/>
          <w:szCs w:val="24"/>
        </w:rPr>
        <w:t>, 2023)</w:t>
      </w:r>
      <w:r w:rsidR="0051238D">
        <w:fldChar w:fldCharType="end"/>
      </w:r>
      <w:r w:rsidR="00D347DD">
        <w:t>.</w:t>
      </w:r>
    </w:p>
    <w:p w14:paraId="5A9278C0" w14:textId="1657DB27" w:rsidR="00D347DD" w:rsidRDefault="00E26567" w:rsidP="00D347DD">
      <w:pPr>
        <w:pStyle w:val="Heading2"/>
      </w:pPr>
      <w:bookmarkStart w:id="8" w:name="_Toc134843509"/>
      <w:r w:rsidRPr="00E26567">
        <w:t>Recommendation 2: Strengthening Communication Channels</w:t>
      </w:r>
      <w:bookmarkEnd w:id="8"/>
    </w:p>
    <w:p w14:paraId="5D485032" w14:textId="51D9D283" w:rsidR="00D347DD" w:rsidRDefault="00D462F7" w:rsidP="00D347DD">
      <w:r w:rsidRPr="00D462F7">
        <w:t>Successful community engagement necessitates clear and open lines of communication. If the council really wants to get its message out there, it needs to diversify the means through which it does so. For example, you may use social media, online discussion boards, and engaging websites to get the word out and inspire people to get involved</w:t>
      </w:r>
      <w:r w:rsidR="00B45C39">
        <w:t xml:space="preserve"> </w:t>
      </w:r>
      <w:r w:rsidR="00B45C39">
        <w:fldChar w:fldCharType="begin"/>
      </w:r>
      <w:r w:rsidR="00B45C39">
        <w:instrText xml:space="preserve"> ADDIN ZOTERO_ITEM CSL_CITATION {"citationID":"kDS0kQ0T","properties":{"formattedCitation":"(Edwards {\\i{}et al.}, 2021)","plainCitation":"(Edwards et al., 2021)","noteIndex":0},"citationItems":[{"id":7333,"uris":["http://zotero.org/users/local/JDYauMH3/items/KI3AKPA9"],"itemData":{"id":7333,"type":"article-journal","abstract":"Aim: This study provides a recommended ‘patient engagement translation table’ that identifies evidence-based methods for meaningful patient engagement along a ten-step framework for continuous engagement. Materials &amp; methods: We used a mixed methods research design to collect data on preferred engagement methods, including an environmental scan of available literature, interviews and focus groups with patient-centered outcomes research stakeholders to match methods with research steps and a modified Delphi process with subject matter experts to create the final translation table. Results: Evidence-based engagement methods included community partnerships, focus groups, interviews, meetings, sharing print materials, social media, storytelling, surveys and including patients as research team members. Conclusion: Our recommended patient engagement translation table is designed to assist investigators in determining appropriate engagement methods for meaningful interactions with stakeholders.","container-title":"Journal of Comparative Effectiveness Research","DOI":"10.2217/cer-2021-0043","issue":"12","note":"publisher: Becaris Publishing","page":"999-1017","source":"becarispublishing.com (Atypon)","title":"What works when: mapping patient and stakeholder engagement methods along the ten-step continuum framework","title-short":"What works when","volume":"10","author":[{"family":"Edwards","given":"Hillary A"},{"family":"Huang","given":"Jennifer"},{"family":"Jansky","given":"Liz"},{"family":"Mullins","given":"CD"}],"issued":{"date-parts":[["2021",5]]}}}],"schema":"https://github.com/citation-style-language/schema/raw/master/csl-citation.json"} </w:instrText>
      </w:r>
      <w:r w:rsidR="00B45C39">
        <w:fldChar w:fldCharType="separate"/>
      </w:r>
      <w:r w:rsidR="00B45C39" w:rsidRPr="00B45C39">
        <w:rPr>
          <w:rFonts w:cs="Times New Roman"/>
          <w:kern w:val="0"/>
          <w:szCs w:val="24"/>
        </w:rPr>
        <w:t xml:space="preserve">(Edwards </w:t>
      </w:r>
      <w:r w:rsidR="00B45C39" w:rsidRPr="00B45C39">
        <w:rPr>
          <w:rFonts w:cs="Times New Roman"/>
          <w:i/>
          <w:iCs/>
          <w:kern w:val="0"/>
          <w:szCs w:val="24"/>
        </w:rPr>
        <w:t>et al.</w:t>
      </w:r>
      <w:r w:rsidR="00B45C39" w:rsidRPr="00B45C39">
        <w:rPr>
          <w:rFonts w:cs="Times New Roman"/>
          <w:kern w:val="0"/>
          <w:szCs w:val="24"/>
        </w:rPr>
        <w:t>, 2021)</w:t>
      </w:r>
      <w:r w:rsidR="00B45C39">
        <w:fldChar w:fldCharType="end"/>
      </w:r>
      <w:r w:rsidRPr="00D462F7">
        <w:t>. To further promote open communication and the sharing of ideas, the council may want to consider holding community forums, public meetings, and workshops on a regular basis</w:t>
      </w:r>
      <w:r w:rsidR="00D347DD">
        <w:t>.</w:t>
      </w:r>
    </w:p>
    <w:p w14:paraId="3A396502" w14:textId="0E775795" w:rsidR="00D347DD" w:rsidRDefault="002859BC" w:rsidP="00D347DD">
      <w:pPr>
        <w:pStyle w:val="Heading2"/>
      </w:pPr>
      <w:bookmarkStart w:id="9" w:name="_Toc134843510"/>
      <w:r w:rsidRPr="002859BC">
        <w:t>Recommendation 3: Promoting Transparency and Accountability</w:t>
      </w:r>
      <w:bookmarkEnd w:id="9"/>
    </w:p>
    <w:p w14:paraId="1935FA2B" w14:textId="4EAF2E5B" w:rsidR="00D347DD" w:rsidRDefault="00AC71C2" w:rsidP="007E4775">
      <w:r w:rsidRPr="00AC71C2">
        <w:t>Community involvement cannot exist without openness and responsibility. The council should work to ensure that the public has access to complete and timely information regarding its deliberations, activities, and projects</w:t>
      </w:r>
      <w:r w:rsidR="00940643">
        <w:t xml:space="preserve"> </w:t>
      </w:r>
      <w:r w:rsidR="00940643">
        <w:fldChar w:fldCharType="begin"/>
      </w:r>
      <w:r w:rsidR="00940643">
        <w:instrText xml:space="preserve"> ADDIN ZOTERO_ITEM CSL_CITATION {"citationID":"O6arKsbn","properties":{"formattedCitation":"(Andrews and Essah, 2020)","plainCitation":"(Andrews and Essah, 2020)","noteIndex":0},"citationItems":[{"id":7335,"uris":["http://zotero.org/users/local/JDYauMH3/items/4ZMUBPFS"],"itemData":{"id":7335,"type":"article-journal","abstract":"The role of sustainable development in the gold mining industry has received much attention in the last decade. Yet, implementing sustainable development in this industry has become a complex exercise. Cognizant of the shortfalls in existing frameworks such as the lack of supervision and accountability, we propose a new framework to help enhance the potential contribution of gold mining to sustainable development. Based on in-depth interviews and focus group discussions in selected gold mining communities of Ghana, the framework we term ‘Open, Prior, and Independent Deliberate Discussion’ (OPIDD) presents a number of benefits. First, it will help the government take better stock of mining impacts before the commencement of a project. Second, OPIDD will entrench the government's fiduciary role in long-term community development. Third, it offers a benchmark or leverage to negotiate mining agreements that are underpinned by principles of sustainable development. While it could have widespread applicability in resource-rich countries, our proposal draws primarily on insights from Ghana's gold mining industry. We conclude that such a government-led initiative will be effective in revealing the potential developmental benefits of gold mining to host communities and the country at large while making mining companies responsible and accountable.","container-title":"Resources Policy","DOI":"10.1016/j.resourpol.2020.101798","ISSN":"0301-4207","journalAbbreviation":"Resources Policy","language":"en","page":"101798","source":"ScienceDirect","title":"The sustainable development conundrum in gold mining: Exploring ‘Open, Prior and Independent Deliberate Discussion’ as a community-centered framework","title-short":"The sustainable development conundrum in gold mining","volume":"68","author":[{"family":"Andrews","given":"Nathan"},{"family":"Essah","given":"Marcellinus"}],"issued":{"date-parts":[["2020",10,1]]}}}],"schema":"https://github.com/citation-style-language/schema/raw/master/csl-citation.json"} </w:instrText>
      </w:r>
      <w:r w:rsidR="00940643">
        <w:fldChar w:fldCharType="separate"/>
      </w:r>
      <w:r w:rsidR="00940643" w:rsidRPr="00940643">
        <w:rPr>
          <w:rFonts w:cs="Times New Roman"/>
        </w:rPr>
        <w:t>(Andrews and Essah, 2020)</w:t>
      </w:r>
      <w:r w:rsidR="00940643">
        <w:fldChar w:fldCharType="end"/>
      </w:r>
      <w:r w:rsidRPr="00AC71C2">
        <w:t>. It is suggested that clear criteria be established for the dissemination of information, such as the dissemination of reports, project updates, and meeting minutes. To ensure decisions are made in an open and accountable way, the council should think about instituting methods for community feedback and monitoring</w:t>
      </w:r>
      <w:r w:rsidR="002859BC" w:rsidRPr="002859BC">
        <w:t>.</w:t>
      </w:r>
    </w:p>
    <w:p w14:paraId="46CAFF90" w14:textId="471D5CF5" w:rsidR="00D347DD" w:rsidRDefault="00F770D9" w:rsidP="00D347DD">
      <w:pPr>
        <w:pStyle w:val="Heading2"/>
      </w:pPr>
      <w:bookmarkStart w:id="10" w:name="_Toc134843511"/>
      <w:r w:rsidRPr="00F770D9">
        <w:lastRenderedPageBreak/>
        <w:t>Recommendation 4: Building Trust and Collaboration</w:t>
      </w:r>
      <w:bookmarkEnd w:id="10"/>
    </w:p>
    <w:p w14:paraId="51E5550E" w14:textId="1666AC1C" w:rsidR="00D347DD" w:rsidRDefault="008C022B" w:rsidP="00D72A14">
      <w:r w:rsidRPr="008C022B">
        <w:t>Establishing mutual trust between the council and the populace is essential for productive participation. The council should put community members' needs first by listening to them, respecting their opinions, and acting on their concerns</w:t>
      </w:r>
      <w:r w:rsidR="007124C7">
        <w:t xml:space="preserve"> </w:t>
      </w:r>
      <w:r w:rsidR="007124C7">
        <w:fldChar w:fldCharType="begin"/>
      </w:r>
      <w:r w:rsidR="007124C7">
        <w:instrText xml:space="preserve"> ADDIN ZOTERO_ITEM CSL_CITATION {"citationID":"JFdeizm3","properties":{"formattedCitation":"(Molina Rodr\\uc0\\u237{}guez-Navas, Medranda Morales and Mu\\uc0\\u241{}oz Lalinde, 2021)","plainCitation":"(Molina Rodríguez-Navas, Medranda Morales and Muñoz Lalinde, 2021)","noteIndex":0},"citationItems":[{"id":7337,"uris":["http://zotero.org/users/local/JDYauMH3/items/WX99WBH3"],"itemData":{"id":7337,"type":"article-journal","abstract":"Transparency is a communicative process whose aim is to provide citizens with information that will promote their participation in public affairs. However, its application is often reduced to a legally stipulated administrative act. In contrast, this article sets out the principles, attributes and evidence of transparency from a communication perspective, taking into consideration that transparency is treated as a process through which recipients obtain, understand and use information. This study focuses on the transparency of local town councils, although most of the concepts could be applied at other levels of public administration. To establish this framework, the legislation and application of transparency in three countries (Spain, Ecuador and Colombia) was studied using the Infoparticipa method designed with a communication approach in mind. A comparative study was then carried out using methods designed in other disciplines. Through this approach, the benefits of transparency were categorized to define six principles—disclosure, strengthening, visibility, comprehensibility, dissemination and humanism—and eight attributes of transparent information: veracity, timeliness, accessibility, usability, intelligibility, universality, pluralism and plurality. For each attribute, the evidence of its application was determined. This framework clarifies the perspective of transparency for participation from a communication approach.","container-title":"ISPRS International Journal of Geo-Information","DOI":"10.3390/ijgi10090586","ISSN":"2220-9964","issue":"9","language":"en","license":"http://creativecommons.org/licenses/by/3.0/","note":"number: 9\npublisher: Multidisciplinary Digital Publishing Institute","page":"586","source":"www.mdpi.com","title":"Transparency for Participation through the Communication Approach","volume":"10","author":[{"family":"Molina Rodríguez-Navas","given":"Pedro"},{"family":"Medranda Morales","given":"Narcisa"},{"family":"Muñoz Lalinde","given":"Johamna"}],"issued":{"date-parts":[["2021",9]]}}}],"schema":"https://github.com/citation-style-language/schema/raw/master/csl-citation.json"} </w:instrText>
      </w:r>
      <w:r w:rsidR="007124C7">
        <w:fldChar w:fldCharType="separate"/>
      </w:r>
      <w:r w:rsidR="007124C7" w:rsidRPr="007124C7">
        <w:rPr>
          <w:rFonts w:cs="Times New Roman"/>
          <w:kern w:val="0"/>
          <w:szCs w:val="24"/>
        </w:rPr>
        <w:t>(Molina Rodríguez-Navas, Medranda Morales and Muñoz Lalinde, 2021)</w:t>
      </w:r>
      <w:r w:rsidR="007124C7">
        <w:fldChar w:fldCharType="end"/>
      </w:r>
      <w:r w:rsidRPr="008C022B">
        <w:t>. To better address community challenges and co-create solutions, it is suggested that council leaders, community members, and relevant stakeholders form collaborative working groups or task forces. This method encourages participation, teamwork, and shared accountability</w:t>
      </w:r>
      <w:r w:rsidR="001C006C">
        <w:t>.</w:t>
      </w:r>
    </w:p>
    <w:p w14:paraId="282B9C5A" w14:textId="02624E07" w:rsidR="00EE1A6F" w:rsidRDefault="00EE1A6F" w:rsidP="00EE1A6F">
      <w:pPr>
        <w:pStyle w:val="Heading2"/>
      </w:pPr>
      <w:bookmarkStart w:id="11" w:name="_Toc134843512"/>
      <w:r>
        <w:t>Recommendation 5: Evaluation and Continuous Improvement</w:t>
      </w:r>
      <w:bookmarkEnd w:id="11"/>
    </w:p>
    <w:p w14:paraId="4B9DF45F" w14:textId="483D2B7A" w:rsidR="007E2597" w:rsidRDefault="007E2597" w:rsidP="007E2597">
      <w:r>
        <w:t>The council should set up a thorough evaluation framework and engage in continuous improvement procedures to guarantee the efficiency of community participation initiatives. In order to better adapt strategies to new circumstances, it is important to evaluate the efficacy and results of engagement activities on a regular basis. One suggestion is to ask participants for their thoughts on the process after it's over by means of questionnaires or focus groups. The council should set up a system of feedback in which the information gathered is used to guide future decisions and shape outreach efforts</w:t>
      </w:r>
      <w:r w:rsidR="00A753FB">
        <w:t xml:space="preserve"> </w:t>
      </w:r>
      <w:r w:rsidR="00A753FB">
        <w:fldChar w:fldCharType="begin"/>
      </w:r>
      <w:r w:rsidR="00A753FB">
        <w:instrText xml:space="preserve"> ADDIN ZOTERO_ITEM CSL_CITATION {"citationID":"0KIq0if5","properties":{"formattedCitation":"(Puras, 2022)","plainCitation":"(Puras, 2022)","noteIndex":0},"citationItems":[{"id":7339,"uris":["http://zotero.org/users/local/JDYauMH3/items/6QSZQ5RJ"],"itemData":{"id":7339,"type":"article-journal","container-title":"Philippine Law Journal","journalAbbreviation":"Phil. L.J.","page":"274","title":"Report of the Special Rapporteur on the Right of Everyone to the Enjoyment of the Highest Attainable Standard of Physical and Mental Health","volume":"95","author":[{"family":"Puras","given":"Dainius"}],"issued":{"date-parts":[["2022"]]}}}],"schema":"https://github.com/citation-style-language/schema/raw/master/csl-citation.json"} </w:instrText>
      </w:r>
      <w:r w:rsidR="00A753FB">
        <w:fldChar w:fldCharType="separate"/>
      </w:r>
      <w:r w:rsidR="00A753FB" w:rsidRPr="00A753FB">
        <w:rPr>
          <w:rFonts w:cs="Times New Roman"/>
        </w:rPr>
        <w:t>(Puras, 2022)</w:t>
      </w:r>
      <w:r w:rsidR="00A753FB">
        <w:fldChar w:fldCharType="end"/>
      </w:r>
      <w:r>
        <w:t>.</w:t>
      </w:r>
    </w:p>
    <w:p w14:paraId="777196B5" w14:textId="5FE3DD92" w:rsidR="00EE1A6F" w:rsidRDefault="007E2597" w:rsidP="00EE1A6F">
      <w:r>
        <w:t>The council may improve its community involvement methods, build deeper ties with the community, and establish a culture of collaboration, inclusivity, and trust by following these suggestions. Each advice can be supported by the reasoning behind it and the possible advantages by citing examples and case studies from other local authorities or organizations that have successfully adopted comparable ideas</w:t>
      </w:r>
      <w:r w:rsidR="00B701DB">
        <w:t>.</w:t>
      </w:r>
    </w:p>
    <w:p w14:paraId="05AB6272" w14:textId="77777777" w:rsidR="00D347DD" w:rsidRDefault="00D347DD" w:rsidP="00D347DD"/>
    <w:p w14:paraId="215A2B62" w14:textId="2D9A1870" w:rsidR="00D347DD" w:rsidRDefault="001560FD" w:rsidP="00D347DD">
      <w:pPr>
        <w:pStyle w:val="Heading1"/>
      </w:pPr>
      <w:bookmarkStart w:id="12" w:name="_Toc134843513"/>
      <w:r w:rsidRPr="001560FD">
        <w:lastRenderedPageBreak/>
        <w:t>Implementation Strategies</w:t>
      </w:r>
      <w:bookmarkEnd w:id="12"/>
    </w:p>
    <w:p w14:paraId="03004057" w14:textId="06066190" w:rsidR="00D347DD" w:rsidRDefault="001560FD" w:rsidP="00D347DD">
      <w:pPr>
        <w:pStyle w:val="Heading2"/>
      </w:pPr>
      <w:bookmarkStart w:id="13" w:name="_Toc134843514"/>
      <w:r w:rsidRPr="001560FD">
        <w:t>Developing an Implementation Plan</w:t>
      </w:r>
      <w:r>
        <w:t>e</w:t>
      </w:r>
      <w:bookmarkEnd w:id="13"/>
    </w:p>
    <w:p w14:paraId="083729FA" w14:textId="44F0F6A7" w:rsidR="00D347DD" w:rsidRDefault="00291A53" w:rsidP="00D347DD">
      <w:r w:rsidRPr="00291A53">
        <w:t>It is necessary to build a well-defined implementation plan in order to properly implement the suggested modifications for boosting community participation. Each suggestion should include a detailed plan outlining the actions to be taken, when they should be taken, and who is responsible for what. The resources, tools, and processes that will be required to back up the implementation process should also be taken into account</w:t>
      </w:r>
      <w:r w:rsidR="00D347DD">
        <w:t>.</w:t>
      </w:r>
    </w:p>
    <w:p w14:paraId="47521032" w14:textId="459F7C13" w:rsidR="00D347DD" w:rsidRDefault="00144D22" w:rsidP="00D347DD">
      <w:pPr>
        <w:pStyle w:val="Heading2"/>
      </w:pPr>
      <w:bookmarkStart w:id="14" w:name="_Toc134843515"/>
      <w:r w:rsidRPr="00144D22">
        <w:t>Allocating Resources</w:t>
      </w:r>
      <w:r w:rsidR="00D347DD">
        <w:t>:</w:t>
      </w:r>
      <w:bookmarkEnd w:id="14"/>
    </w:p>
    <w:p w14:paraId="5F13B245" w14:textId="0D0F8EB0" w:rsidR="00144D22" w:rsidRDefault="007932A3" w:rsidP="00144D22">
      <w:r w:rsidRPr="007932A3">
        <w:t>Additional financial and human resources may be needed to implement the suggested adjustments. For the strategy to succeed, the council needs to provide sufficient resources. To do so, you may need to allocate funds for things like employee education and development, technological infrastructure, public service programs, and constant assessment</w:t>
      </w:r>
      <w:r w:rsidR="00224AE2">
        <w:t xml:space="preserve"> </w:t>
      </w:r>
      <w:r w:rsidR="00224AE2">
        <w:fldChar w:fldCharType="begin"/>
      </w:r>
      <w:r w:rsidR="00224AE2">
        <w:instrText xml:space="preserve"> ADDIN ZOTERO_ITEM CSL_CITATION {"citationID":"waQzQf4Y","properties":{"formattedCitation":"(Scruggs, Pratesi and Fleck, 2020)","plainCitation":"(Scruggs, Pratesi and Fleck, 2020)","noteIndex":0},"citationItems":[{"id":7340,"uris":["http://zotero.org/users/local/JDYauMH3/items/VWM85NTJ"],"itemData":{"id":7340,"type":"article-journal","abstract":"Direct potable reuse (DPR) can improve reliability of water supplies by generating drinking water from wastewater, but communities have consistently opposed DPR more than other forms of reuse. Using interview data regarding DPR projects in five inland communities, this study fills gaps in the literature with an analysis of factors influencing acceptance of DPR. While scholars have recommended public processes used to implement non-potable and indirect potable reuse projects, there is little-to-no documentation about whether and how they have been used to implement DPR projects. Further, previous research has focused on large coastal cities. Counter to previous recommendations, we found minimal public deliberation of reuse options and public education/outreach occurring post-project conception. Findings suggest that direct experience with water scarcity, community smallness, and governance strongly influence DPR acceptance. With few DPR facilities worldwide, this new knowledge is useful to water planners who are interested in the feasibility of DPR in inland areas.","container-title":"Journal of Environmental Planning and Management","DOI":"10.1080/09640568.2019.1671815","ISSN":"0964-0568","issue":"8","note":"publisher: Routledge\n_eprint: https://doi.org/10.1080/09640568.2019.1671815","page":"1470-1500","source":"Taylor and Francis+NEJM","title":"Direct potable water reuse in five arid inland communities: an analysis of factors influencing public acceptance","title-short":"Direct potable water reuse in five arid inland communities","volume":"63","author":[{"family":"Scruggs","given":"Caroline E."},{"family":"Pratesi","given":"Claudia B."},{"family":"Fleck","given":"John R."}],"issued":{"date-parts":[["2020",7,2]]}}}],"schema":"https://github.com/citation-style-language/schema/raw/master/csl-citation.json"} </w:instrText>
      </w:r>
      <w:r w:rsidR="00224AE2">
        <w:fldChar w:fldCharType="separate"/>
      </w:r>
      <w:r w:rsidR="00224AE2" w:rsidRPr="00224AE2">
        <w:rPr>
          <w:rFonts w:cs="Times New Roman"/>
        </w:rPr>
        <w:t>(Scruggs, Pratesi and Fleck, 2020)</w:t>
      </w:r>
      <w:r w:rsidR="00224AE2">
        <w:fldChar w:fldCharType="end"/>
      </w:r>
      <w:r w:rsidRPr="007932A3">
        <w:t>. Furthermore, the council should designate specific individuals to monitor the implementation of each suggestion</w:t>
      </w:r>
      <w:r w:rsidR="00144D22">
        <w:t>.</w:t>
      </w:r>
    </w:p>
    <w:p w14:paraId="63BC3B05" w14:textId="3E85B06E" w:rsidR="00144D22" w:rsidRDefault="00144D22" w:rsidP="00086038">
      <w:pPr>
        <w:pStyle w:val="Heading2"/>
      </w:pPr>
      <w:bookmarkStart w:id="15" w:name="_Toc134843516"/>
      <w:r>
        <w:t>Establishing Collaboration and Partnerships</w:t>
      </w:r>
      <w:bookmarkEnd w:id="15"/>
    </w:p>
    <w:p w14:paraId="40901669" w14:textId="3C208E4F" w:rsidR="00144D22" w:rsidRDefault="009F79F2" w:rsidP="00144D22">
      <w:r w:rsidRPr="009F79F2">
        <w:t>Collaboration and partnership between many stakeholders is essential for a successful implementation. Involving community members, local groups, and the appropriate government institutions is a top priority for the council. Working together has several benefits, including increased community support, greater buy-in, and a greater sense of shared ownership</w:t>
      </w:r>
      <w:r w:rsidR="00B85FC4">
        <w:t xml:space="preserve"> </w:t>
      </w:r>
      <w:r w:rsidR="00B85FC4">
        <w:fldChar w:fldCharType="begin"/>
      </w:r>
      <w:r w:rsidR="00B85FC4">
        <w:instrText xml:space="preserve"> ADDIN ZOTERO_ITEM CSL_CITATION {"citationID":"myawyTkd","properties":{"formattedCitation":"(Crosweller and Tschakert, 2021)","plainCitation":"(Crosweller and Tschakert, 2021)","noteIndex":0},"citationItems":[{"id":7342,"uris":["http://zotero.org/users/local/JDYauMH3/items/QTS2Z9I7"],"itemData":{"id":7342,"type":"article-journal","abstract":"Extreme climate events and related disasters are increasing both in frequency and intensity. Resulting impacts materialize in the form of devastating bushfires, flooding, hurricanes, and cyclones and bring with them the tragic loss of life and substantial loss and damage to phenomena of value. Disaster management plays a central role in attempting to minimize and manage these impacts, and many government institutions posit that shared responsibility with citizens is the most effective approach to achieve this. However, some scholarship contends that shared approaches preference responsibility too far towards citizens and too far away from government institutions and are ineffective in lessening and managing such impacts. Here, we analyze governmental inquiries and actions undertaken regarding three past catastrophic disasters—2005 Hurricane Katrina (USA), the 2009 Victorian Bushfires (Australia), and the 2011 Queensland Floods (Australia). We assess, across these inquiries, 'what went wrong', 'what was working', and 'what needs fixing' with shared responsibility in disaster management. Our results indicate pervasive ineffectiveness in leadership, governance, trust, and resilience. We discuss how neoliberal influence contributes towards this ineffectiveness and suggest how this influence can be actively contested. We conclude by advocating for a reinstated social contract that inserts citizen rights and justice into disaster management policy making concomitant with the redistribution of public and third sector resources administered through inclusive governance frameworks. Such a social contract affords citizens greater opportunity to exercise agency whilst maximizing institutional support before, during, and after a disaster to provide greater protection and reduce harm.","container-title":"International Journal of Disaster Risk Reduction","DOI":"10.1016/j.ijdrr.2021.102440","ISSN":"2212-4209","journalAbbreviation":"International Journal of Disaster Risk Reduction","language":"en","page":"102440","source":"ScienceDirect","title":"Disaster management and the need for a reinstated social contract of shared responsibility","volume":"63","author":[{"family":"Crosweller","given":"Mark"},{"family":"Tschakert","given":"Petra"}],"issued":{"date-parts":[["2021",9,1]]}}}],"schema":"https://github.com/citation-style-language/schema/raw/master/csl-citation.json"} </w:instrText>
      </w:r>
      <w:r w:rsidR="00B85FC4">
        <w:fldChar w:fldCharType="separate"/>
      </w:r>
      <w:r w:rsidR="00B85FC4" w:rsidRPr="00B85FC4">
        <w:rPr>
          <w:rFonts w:cs="Times New Roman"/>
        </w:rPr>
        <w:t>(Crosweller and Tschakert, 2021)</w:t>
      </w:r>
      <w:r w:rsidR="00B85FC4">
        <w:fldChar w:fldCharType="end"/>
      </w:r>
      <w:r w:rsidRPr="009F79F2">
        <w:t>. Stakeholders can be actively involved in the implementation process through the formation of working groups, the development of cooperative projects, and the maintenance of open lines of communication</w:t>
      </w:r>
      <w:r w:rsidR="00144D22">
        <w:t>.</w:t>
      </w:r>
    </w:p>
    <w:p w14:paraId="2AED206E" w14:textId="7F9DA6B3" w:rsidR="00144D22" w:rsidRDefault="00144D22" w:rsidP="00086038">
      <w:pPr>
        <w:pStyle w:val="Heading2"/>
      </w:pPr>
      <w:bookmarkStart w:id="16" w:name="_Toc134843517"/>
      <w:r>
        <w:lastRenderedPageBreak/>
        <w:t>Enhancing Staff Capacity and Training</w:t>
      </w:r>
      <w:bookmarkEnd w:id="16"/>
    </w:p>
    <w:p w14:paraId="74A7067C" w14:textId="0757EB17" w:rsidR="00144D22" w:rsidRDefault="00C4784E" w:rsidP="00144D22">
      <w:r w:rsidRPr="00C4784E">
        <w:t>Staff employees with the necessary knowledge and experience to effectively enable community engagement are essential for putting the suggested adjustments into action. The council should fund programs that improve the skills of its employees, such as those that teach them to facilitate meetings, resolve conflicts, communicate effectively, and understand different cultures</w:t>
      </w:r>
      <w:r w:rsidR="007F2FD9">
        <w:t xml:space="preserve"> </w:t>
      </w:r>
      <w:r w:rsidR="007F2FD9">
        <w:fldChar w:fldCharType="begin"/>
      </w:r>
      <w:r w:rsidR="007F2FD9">
        <w:instrText xml:space="preserve"> ADDIN ZOTERO_ITEM CSL_CITATION {"citationID":"01NL6ZJG","properties":{"formattedCitation":"(Dafoe {\\i{}et al.}, 2021)","plainCitation":"(Dafoe et al., 2021)","noteIndex":0},"citationItems":[{"id":7345,"uris":["http://zotero.org/users/local/JDYauMH3/items/CZWD3EYX"],"itemData":{"id":7345,"type":"article-journal","abstract":"To help humanity solve fundamental problems of cooperation, scientists need to reconceive artificial intelligence as deeply social.","container-title":"Nature","DOI":"10.1038/d41586-021-01170-0","issue":"7857","language":"en","license":"2021 Nature","note":"Bandiera_abtest: a\nCg_type: Comment\nnumber: 7857\npublisher: Nature Publishing Group\nSubject_term: Machine learning, Computer science, Society, Technology, Sociology, Human behaviour","page":"33-36","source":"www.nature.com","title":"Cooperative AI: machines must learn to find common ground","title-short":"Cooperative AI","volume":"593","author":[{"family":"Dafoe","given":"Allan"},{"family":"Bachrach","given":"Yoram"},{"family":"Hadfield","given":"Gillian"},{"family":"Horvitz","given":"Eric"},{"family":"Larson","given":"Kate"},{"family":"Graepel","given":"Thore"}],"issued":{"date-parts":[["2021",5]]}}}],"schema":"https://github.com/citation-style-language/schema/raw/master/csl-citation.json"} </w:instrText>
      </w:r>
      <w:r w:rsidR="007F2FD9">
        <w:fldChar w:fldCharType="separate"/>
      </w:r>
      <w:r w:rsidR="007F2FD9" w:rsidRPr="007F2FD9">
        <w:rPr>
          <w:rFonts w:cs="Times New Roman"/>
          <w:kern w:val="0"/>
          <w:szCs w:val="24"/>
        </w:rPr>
        <w:t xml:space="preserve">(Dafoe </w:t>
      </w:r>
      <w:r w:rsidR="007F2FD9" w:rsidRPr="007F2FD9">
        <w:rPr>
          <w:rFonts w:cs="Times New Roman"/>
          <w:i/>
          <w:iCs/>
          <w:kern w:val="0"/>
          <w:szCs w:val="24"/>
        </w:rPr>
        <w:t>et al.</w:t>
      </w:r>
      <w:r w:rsidR="007F2FD9" w:rsidRPr="007F2FD9">
        <w:rPr>
          <w:rFonts w:cs="Times New Roman"/>
          <w:kern w:val="0"/>
          <w:szCs w:val="24"/>
        </w:rPr>
        <w:t>, 2021)</w:t>
      </w:r>
      <w:r w:rsidR="007F2FD9">
        <w:fldChar w:fldCharType="end"/>
      </w:r>
      <w:r w:rsidRPr="00C4784E">
        <w:t>. Both in-house and external partnerships with groups that focus on community engagement strategies can be used to deliver training programs</w:t>
      </w:r>
      <w:r w:rsidR="00144D22">
        <w:t>.</w:t>
      </w:r>
    </w:p>
    <w:p w14:paraId="06F177FB" w14:textId="0FB91952" w:rsidR="00144D22" w:rsidRPr="00086038" w:rsidRDefault="00144D22" w:rsidP="00086038">
      <w:pPr>
        <w:pStyle w:val="Heading2"/>
      </w:pPr>
      <w:bookmarkStart w:id="17" w:name="_Toc134843518"/>
      <w:r w:rsidRPr="00086038">
        <w:t>Establishing Feedback Mechanisms</w:t>
      </w:r>
      <w:bookmarkEnd w:id="17"/>
    </w:p>
    <w:p w14:paraId="78ACE24F" w14:textId="5E225522" w:rsidR="00144D22" w:rsidRDefault="003457E1" w:rsidP="00144D22">
      <w:r w:rsidRPr="003457E1">
        <w:t>The council should set up transparent feedback systems to track implementation and collect comments from the public. Community feedback can be gathered through a variety of channels, such as online surveys, public meetings, focus groups, and designated email accounts. The council will be able to make adjustments and deal with new issues throughout implementation if it regularly collects and analyzes feedback</w:t>
      </w:r>
      <w:r w:rsidR="00144D22">
        <w:t>.</w:t>
      </w:r>
    </w:p>
    <w:p w14:paraId="234BA2C5" w14:textId="55C3B218" w:rsidR="00144D22" w:rsidRDefault="00144D22" w:rsidP="00086038">
      <w:pPr>
        <w:pStyle w:val="Heading2"/>
      </w:pPr>
      <w:bookmarkStart w:id="18" w:name="_Toc134843519"/>
      <w:r>
        <w:t>Addressing Potential Challenges</w:t>
      </w:r>
      <w:bookmarkEnd w:id="18"/>
    </w:p>
    <w:p w14:paraId="2D244D23" w14:textId="4AB249DB" w:rsidR="00144D22" w:rsidRDefault="00421020" w:rsidP="00144D22">
      <w:r w:rsidRPr="00421020">
        <w:t>It could be difficult to put new methods of community involvement into effect. Some examples of these difficulties include people's reluctance to adapt to new circumstances, scarcity of funds, mistrust from the public, and conflicting priorities. The council should come up with plans like these to help deal with these difficulties</w:t>
      </w:r>
      <w:r w:rsidR="00456E5B">
        <w:t xml:space="preserve"> </w:t>
      </w:r>
      <w:r w:rsidR="00456E5B">
        <w:fldChar w:fldCharType="begin"/>
      </w:r>
      <w:r w:rsidR="00456E5B">
        <w:instrText xml:space="preserve"> ADDIN ZOTERO_ITEM CSL_CITATION {"citationID":"GaYijaFf","properties":{"formattedCitation":"(Mahoney {\\i{}et al.}, 2021)","plainCitation":"(Mahoney et al., 2021)","noteIndex":0},"citationItems":[{"id":7348,"uris":["http://zotero.org/users/local/JDYauMH3/items/PJ43XVJQ"],"itemData":{"id":7348,"type":"article-journal","abstract":"Social and emotional learning (SEL) has become more central to education because of demand from educators, parents, students, and business leaders alongside rigorous research showing broad, positive impacts for students and adults. However, all approaches to SEL are not equal. Systemic SEL is an approach to create equitable learning conditions that actively involve all Pre-K to Grade 12 students in learning and practicing social, emotional, and academic competencies. These conditions require aligned policies, resources, and actions at state and district levels that encourage local schools and communities to build the personal and professional capacities of adults to: implement and continuously improve evidence-based programs and practices; create an inclusive culture that fosters caring relationships and youth voice, agency, and character; and support coordinated school-family-community partnerships to enhance student development. Promoting social and emotional competencies—including the abilities to understand and manage emotions, achieve positive goals, show caring and concern for others, establish and maintain positive relationships, and make responsible decisions—are important for success at school and in life. In this article, we summarize key concepts and evidence for systemic SEL. Next, we explain interrelated Theories of Action and resources developed by the Collaborative for Academic, Social, and Emotional Learning (CASEL) to implement and continuously improve systemic SEL in schools, districts, and states. We discuss research on nested, interacting settings and processes involved in systemic SEL at proximal (classrooms, schools, families, and communities) and distal (districts, states, national, and international) ecological levels. We conclude with recommendations for future SEL research, practice, and policy. (PsycInfo Database Record (c) 2022 APA, all rights reserved)","container-title":"American Psychologist","DOI":"10.1037/amp0000701","ISSN":"1935-990X","note":"publisher-place: US\npublisher: American Psychological Association","page":"1128-1142","source":"APA PsycNet","title":"Systemic social and emotional learning: Promoting educational success for all preschool to high school students","title-short":"Systemic social and emotional learning","volume":"76","author":[{"family":"Mahoney","given":"Joseph L."},{"family":"Weissberg","given":"Roger P."},{"family":"Greenberg","given":"Mark T."},{"family":"Dusenbury","given":"Linda"},{"family":"Jagers","given":"Robert J."},{"family":"Niemi","given":"Karen"},{"family":"Schlinger","given":"Melissa"},{"family":"Schlund","given":"Justina"},{"family":"Shriver","given":"Timothy P."},{"family":"VanAusdal","given":"Karen"},{"family":"Yoder","given":"Nicholas"}],"issued":{"date-parts":[["2021"]]}}}],"schema":"https://github.com/citation-style-language/schema/raw/master/csl-citation.json"} </w:instrText>
      </w:r>
      <w:r w:rsidR="00456E5B">
        <w:fldChar w:fldCharType="separate"/>
      </w:r>
      <w:r w:rsidR="00456E5B" w:rsidRPr="00456E5B">
        <w:rPr>
          <w:rFonts w:cs="Times New Roman"/>
          <w:kern w:val="0"/>
          <w:szCs w:val="24"/>
        </w:rPr>
        <w:t xml:space="preserve">(Mahoney </w:t>
      </w:r>
      <w:r w:rsidR="00456E5B" w:rsidRPr="00456E5B">
        <w:rPr>
          <w:rFonts w:cs="Times New Roman"/>
          <w:i/>
          <w:iCs/>
          <w:kern w:val="0"/>
          <w:szCs w:val="24"/>
        </w:rPr>
        <w:t>et al.</w:t>
      </w:r>
      <w:r w:rsidR="00456E5B" w:rsidRPr="00456E5B">
        <w:rPr>
          <w:rFonts w:cs="Times New Roman"/>
          <w:kern w:val="0"/>
          <w:szCs w:val="24"/>
        </w:rPr>
        <w:t>, 2021)</w:t>
      </w:r>
      <w:r w:rsidR="00456E5B">
        <w:fldChar w:fldCharType="end"/>
      </w:r>
      <w:r w:rsidR="00144D22">
        <w:t>:</w:t>
      </w:r>
    </w:p>
    <w:p w14:paraId="64B00BA2" w14:textId="77777777" w:rsidR="00144D22" w:rsidRDefault="00144D22" w:rsidP="00086038">
      <w:pPr>
        <w:pStyle w:val="ListParagraph"/>
        <w:numPr>
          <w:ilvl w:val="0"/>
          <w:numId w:val="6"/>
        </w:numPr>
      </w:pPr>
      <w:r>
        <w:t>Conducting thorough change management efforts to gain buy-in and support from stakeholders.</w:t>
      </w:r>
    </w:p>
    <w:p w14:paraId="50BB3079" w14:textId="77777777" w:rsidR="00144D22" w:rsidRDefault="00144D22" w:rsidP="00086038">
      <w:pPr>
        <w:pStyle w:val="ListParagraph"/>
        <w:numPr>
          <w:ilvl w:val="0"/>
          <w:numId w:val="6"/>
        </w:numPr>
      </w:pPr>
      <w:r>
        <w:t>Developing a comprehensive communication plan to address concerns, provide updates, and explain the benefits of the changes.</w:t>
      </w:r>
    </w:p>
    <w:p w14:paraId="383F7E01" w14:textId="77777777" w:rsidR="00144D22" w:rsidRDefault="00144D22" w:rsidP="00086038">
      <w:pPr>
        <w:pStyle w:val="ListParagraph"/>
        <w:numPr>
          <w:ilvl w:val="0"/>
          <w:numId w:val="6"/>
        </w:numPr>
      </w:pPr>
      <w:r>
        <w:t>Seeking additional funding through grants or partnerships to address resource limitations.</w:t>
      </w:r>
    </w:p>
    <w:p w14:paraId="76D1C35A" w14:textId="77777777" w:rsidR="00144D22" w:rsidRDefault="00144D22" w:rsidP="00086038">
      <w:pPr>
        <w:pStyle w:val="ListParagraph"/>
        <w:numPr>
          <w:ilvl w:val="0"/>
          <w:numId w:val="6"/>
        </w:numPr>
      </w:pPr>
      <w:r>
        <w:lastRenderedPageBreak/>
        <w:t>Engaging community leaders and influencers to build trust and encourage participation.</w:t>
      </w:r>
    </w:p>
    <w:p w14:paraId="68404F7A" w14:textId="77777777" w:rsidR="00144D22" w:rsidRDefault="00144D22" w:rsidP="00086038">
      <w:pPr>
        <w:pStyle w:val="ListParagraph"/>
        <w:numPr>
          <w:ilvl w:val="0"/>
          <w:numId w:val="6"/>
        </w:numPr>
      </w:pPr>
      <w:r>
        <w:t>Prioritizing community engagement efforts by integrating them into the council's strategic goals and decision-making processes.</w:t>
      </w:r>
    </w:p>
    <w:p w14:paraId="5AA6D2E9" w14:textId="4C24BDA2" w:rsidR="00144D22" w:rsidRDefault="00144D22" w:rsidP="00086038">
      <w:pPr>
        <w:pStyle w:val="Heading2"/>
      </w:pPr>
      <w:bookmarkStart w:id="19" w:name="_Toc134843520"/>
      <w:r>
        <w:t>Monitoring and Evaluation</w:t>
      </w:r>
      <w:bookmarkEnd w:id="19"/>
    </w:p>
    <w:p w14:paraId="2698F09B" w14:textId="336F411F" w:rsidR="007F70AE" w:rsidRDefault="007F70AE" w:rsidP="007F70AE">
      <w:r>
        <w:t>It is crucial to check in on the implementation's progress and assess how well the adjustments are working at regular intervals. Each recommendation should have its own set of key performance indicators (KPIs), and the council should monitor these metrics on a regular basis. Activities for evaluating the effect of the improvements on community happiness, inclusivity, and collaboration can include surveys, focus groups, and data analysis</w:t>
      </w:r>
      <w:r w:rsidR="00DC6753">
        <w:t xml:space="preserve"> </w:t>
      </w:r>
      <w:r w:rsidR="00DC6753">
        <w:fldChar w:fldCharType="begin"/>
      </w:r>
      <w:r w:rsidR="00DC6753">
        <w:instrText xml:space="preserve"> ADDIN ZOTERO_ITEM CSL_CITATION {"citationID":"iMVexqTz","properties":{"formattedCitation":"(Slocum, Dimitrov and Webb, 2019)","plainCitation":"(Slocum, Dimitrov and Webb, 2019)","noteIndex":0},"citationItems":[{"id":7350,"uris":["http://zotero.org/users/local/JDYauMH3/items/IYSJD4PH"],"itemData":{"id":7350,"type":"article-journal","abstract":"Neoliberal influences can change the role of higher education towards training, which reduces their ability to instill the critical thinking skills needed to sustain the Sustainable Development Goals by future generations. Even though imparting critical thinking, decision-making skills, and ethical stewardship remain a mission of higher education, many universities are becoming more market-oriented due to insufficient public funding. Using an instrumental case study, this paper presents the findings of 14 qualitative interviews of full-time tourism academics from nine countries, highlighting the changing nature of tourism studies globally. Results indicate that consumer-centric policies and increased industry involvement in curricula are taking priority over sustainability pedagogy. Moreover, participants express a concern for their ability to enhance critical thinking skills in the next generation of tourism professionals. Four themes were found: the relevance of modern education, reallocation of resources, changing channels of communication, and the role of ethics in academia.","container-title":"Tourism Management Perspectives","DOI":"10.1016/j.tmp.2019.01.004","ISSN":"2211-9736","journalAbbreviation":"Tourism Management Perspectives","language":"en","page":"33-42","source":"ScienceDirect","title":"The impact of neoliberalism on higher education tourism programs: Meeting the 2030 sustainable development goals with the next generation","title-short":"The impact of neoliberalism on higher education tourism programs","volume":"30","author":[{"family":"Slocum","given":"Susan L."},{"family":"Dimitrov","given":"Daniela Y."},{"family":"Webb","given":"Kelley"}],"issued":{"date-parts":[["2019",4,1]]}}}],"schema":"https://github.com/citation-style-language/schema/raw/master/csl-citation.json"} </w:instrText>
      </w:r>
      <w:r w:rsidR="00DC6753">
        <w:fldChar w:fldCharType="separate"/>
      </w:r>
      <w:r w:rsidR="00DC6753" w:rsidRPr="00DC6753">
        <w:rPr>
          <w:rFonts w:cs="Times New Roman"/>
        </w:rPr>
        <w:t>(Slocum, Dimitrov and Webb, 2019)</w:t>
      </w:r>
      <w:r w:rsidR="00DC6753">
        <w:fldChar w:fldCharType="end"/>
      </w:r>
      <w:r>
        <w:t>. The results of the evaluation should be used to fine-tune and enhance the existing methods of community participation.</w:t>
      </w:r>
    </w:p>
    <w:p w14:paraId="443CC632" w14:textId="18D348E4" w:rsidR="00D347DD" w:rsidRDefault="007F70AE" w:rsidP="00144D22">
      <w:r>
        <w:t>The council can make the suggested modifications and establish a more streamlined method of community interaction by adhering to these implementation tactics. The recommendations will be most effectively implemented through collaboration with stakeholders, judicious allocation of resources, capacity building for personnel, and ongoing monitoring</w:t>
      </w:r>
      <w:r w:rsidR="00144D22">
        <w:t>.</w:t>
      </w:r>
    </w:p>
    <w:p w14:paraId="68944DC9" w14:textId="77777777" w:rsidR="00DF67CD" w:rsidRDefault="00DF67CD" w:rsidP="00DF67CD"/>
    <w:p w14:paraId="5214FA46" w14:textId="21B93A28" w:rsidR="00DF67CD" w:rsidRDefault="00DF67CD" w:rsidP="00DF67CD">
      <w:pPr>
        <w:pStyle w:val="Heading1"/>
      </w:pPr>
      <w:bookmarkStart w:id="20" w:name="_Toc134843521"/>
      <w:r>
        <w:t>Conclusion</w:t>
      </w:r>
      <w:bookmarkEnd w:id="20"/>
    </w:p>
    <w:p w14:paraId="03B494DD" w14:textId="77777777" w:rsidR="00797666" w:rsidRDefault="00797666" w:rsidP="00797666">
      <w:r>
        <w:t>The council's present community participation practices have been evaluated, revealing both strengths and need for development. Cooperation, acceptance, and confidence between the council and the community it serves can only flourish with active participation from the latter. In addition to improving the council's decision-making, a streamlined method for community participation can also help it better connect with the people it serves.</w:t>
      </w:r>
    </w:p>
    <w:p w14:paraId="41BF8AAC" w14:textId="77777777" w:rsidR="00797666" w:rsidRDefault="00797666" w:rsidP="00797666">
      <w:r>
        <w:lastRenderedPageBreak/>
        <w:t>The review led to the identification of numerous major recommendations to enhance the council's community participation procedures. Recommendations include using technology to increase reach and participation, increasing information clarity and availability, encouraging meaningful participation through a variety of engagement methods, strengthening ties with community organizations, and so on. If these suggestions are implemented, the decision-making process will become more open and responsive, improving the lives of everyone involved.</w:t>
      </w:r>
    </w:p>
    <w:p w14:paraId="3199E22A" w14:textId="7F7DFD8C" w:rsidR="00797666" w:rsidRDefault="00797666" w:rsidP="00797666">
      <w:r>
        <w:t>The council may build trust and a culture of cooperation with the locals by adopting the suggested alterations. Decisions that are more inclusive and reflective of the community's different needs and viewpoints are the outcome of extensive stakeholder engagement throughout the decision-making process. By bolstering collaboration with local groups, we may draw on their knowledge and resources to develop a strategy for community participation that is both thorough and long-lasting.</w:t>
      </w:r>
    </w:p>
    <w:p w14:paraId="6A915F90" w14:textId="4ED351B5" w:rsidR="002F3481" w:rsidRPr="006C6168" w:rsidRDefault="00797666" w:rsidP="00086038">
      <w:r>
        <w:t>The recommendations should be implemented with careful planning, enough resources, and the participation of all relevant parties. In order to determine whether or not the changes are having the desired effect, ongoing monitoring and assessment will be required</w:t>
      </w:r>
      <w:r w:rsidR="00DF67CD">
        <w:t>.</w:t>
      </w:r>
    </w:p>
    <w:p w14:paraId="3A33CD4D" w14:textId="77777777" w:rsidR="006B4637" w:rsidRDefault="006B4637">
      <w:pPr>
        <w:spacing w:line="259" w:lineRule="auto"/>
        <w:jc w:val="left"/>
        <w:rPr>
          <w:rFonts w:eastAsiaTheme="majorEastAsia" w:cstheme="majorBidi"/>
          <w:b/>
          <w:sz w:val="32"/>
          <w:szCs w:val="32"/>
        </w:rPr>
      </w:pPr>
      <w:r>
        <w:br w:type="page"/>
      </w:r>
    </w:p>
    <w:p w14:paraId="39507B11" w14:textId="5464CDB0" w:rsidR="002F3481" w:rsidRDefault="002F3481" w:rsidP="002F3481">
      <w:pPr>
        <w:pStyle w:val="Heading1"/>
      </w:pPr>
      <w:bookmarkStart w:id="21" w:name="_Toc134843522"/>
      <w:r>
        <w:lastRenderedPageBreak/>
        <w:t>References</w:t>
      </w:r>
      <w:bookmarkEnd w:id="21"/>
    </w:p>
    <w:p w14:paraId="2D956CEE" w14:textId="77777777" w:rsidR="00AB30B2" w:rsidRPr="00AB30B2" w:rsidRDefault="00AB30B2" w:rsidP="00AB30B2">
      <w:pPr>
        <w:pStyle w:val="Bibliography"/>
        <w:rPr>
          <w:rFonts w:cs="Times New Roman"/>
        </w:rPr>
      </w:pPr>
      <w:r>
        <w:fldChar w:fldCharType="begin"/>
      </w:r>
      <w:r>
        <w:instrText xml:space="preserve"> ADDIN ZOTERO_BIBL {"uncited":[],"omitted":[],"custom":[]} CSL_BIBLIOGRAPHY </w:instrText>
      </w:r>
      <w:r>
        <w:fldChar w:fldCharType="separate"/>
      </w:r>
      <w:r w:rsidRPr="00AB30B2">
        <w:rPr>
          <w:rFonts w:cs="Times New Roman"/>
        </w:rPr>
        <w:t xml:space="preserve">Andrews, N. and Essah, M. (2020) ‘The sustainable development conundrum in gold mining: Exploring “Open, Prior and Independent Deliberate Discussion” as a community-centered framework’, </w:t>
      </w:r>
      <w:r w:rsidRPr="00AB30B2">
        <w:rPr>
          <w:rFonts w:cs="Times New Roman"/>
          <w:i/>
          <w:iCs/>
        </w:rPr>
        <w:t>Resources Policy</w:t>
      </w:r>
      <w:r w:rsidRPr="00AB30B2">
        <w:rPr>
          <w:rFonts w:cs="Times New Roman"/>
        </w:rPr>
        <w:t>, 68, p. 101798. Available at: https://doi.org/10.1016/j.resourpol.2020.101798.</w:t>
      </w:r>
    </w:p>
    <w:p w14:paraId="5880B00A" w14:textId="77777777" w:rsidR="00AB30B2" w:rsidRPr="00AB30B2" w:rsidRDefault="00AB30B2" w:rsidP="00AB30B2">
      <w:pPr>
        <w:pStyle w:val="Bibliography"/>
        <w:rPr>
          <w:rFonts w:cs="Times New Roman"/>
        </w:rPr>
      </w:pPr>
      <w:r w:rsidRPr="00AB30B2">
        <w:rPr>
          <w:rFonts w:cs="Times New Roman"/>
        </w:rPr>
        <w:t xml:space="preserve">Balog-Way, D., McComas, K. and Besley, J. (2020) ‘The Evolving Field of Risk Communication’, </w:t>
      </w:r>
      <w:r w:rsidRPr="00AB30B2">
        <w:rPr>
          <w:rFonts w:cs="Times New Roman"/>
          <w:i/>
          <w:iCs/>
        </w:rPr>
        <w:t>Risk Analysis</w:t>
      </w:r>
      <w:r w:rsidRPr="00AB30B2">
        <w:rPr>
          <w:rFonts w:cs="Times New Roman"/>
        </w:rPr>
        <w:t>, 40(S1), pp. 2240–2262. Available at: https://doi.org/10.1111/risa.13615.</w:t>
      </w:r>
    </w:p>
    <w:p w14:paraId="5BEE57B5" w14:textId="77777777" w:rsidR="00AB30B2" w:rsidRPr="00AB30B2" w:rsidRDefault="00AB30B2" w:rsidP="00AB30B2">
      <w:pPr>
        <w:pStyle w:val="Bibliography"/>
        <w:rPr>
          <w:rFonts w:cs="Times New Roman"/>
        </w:rPr>
      </w:pPr>
      <w:r w:rsidRPr="00AB30B2">
        <w:rPr>
          <w:rFonts w:cs="Times New Roman"/>
        </w:rPr>
        <w:t xml:space="preserve">Crosweller, M. and Tschakert, P. (2021) ‘Disaster management and the need for a reinstated social contract of shared responsibility’, </w:t>
      </w:r>
      <w:r w:rsidRPr="00AB30B2">
        <w:rPr>
          <w:rFonts w:cs="Times New Roman"/>
          <w:i/>
          <w:iCs/>
        </w:rPr>
        <w:t>International Journal of Disaster Risk Reduction</w:t>
      </w:r>
      <w:r w:rsidRPr="00AB30B2">
        <w:rPr>
          <w:rFonts w:cs="Times New Roman"/>
        </w:rPr>
        <w:t>, 63, p. 102440. Available at: https://doi.org/10.1016/j.ijdrr.2021.102440.</w:t>
      </w:r>
    </w:p>
    <w:p w14:paraId="61A7A00E" w14:textId="77777777" w:rsidR="00AB30B2" w:rsidRPr="00AB30B2" w:rsidRDefault="00AB30B2" w:rsidP="00AB30B2">
      <w:pPr>
        <w:pStyle w:val="Bibliography"/>
        <w:rPr>
          <w:rFonts w:cs="Times New Roman"/>
        </w:rPr>
      </w:pPr>
      <w:r w:rsidRPr="00AB30B2">
        <w:rPr>
          <w:rFonts w:cs="Times New Roman"/>
        </w:rPr>
        <w:t xml:space="preserve">Dafoe, A. </w:t>
      </w:r>
      <w:r w:rsidRPr="00AB30B2">
        <w:rPr>
          <w:rFonts w:cs="Times New Roman"/>
          <w:i/>
          <w:iCs/>
        </w:rPr>
        <w:t>et al.</w:t>
      </w:r>
      <w:r w:rsidRPr="00AB30B2">
        <w:rPr>
          <w:rFonts w:cs="Times New Roman"/>
        </w:rPr>
        <w:t xml:space="preserve"> (2021) ‘Cooperative AI: machines must learn to find common ground’, </w:t>
      </w:r>
      <w:r w:rsidRPr="00AB30B2">
        <w:rPr>
          <w:rFonts w:cs="Times New Roman"/>
          <w:i/>
          <w:iCs/>
        </w:rPr>
        <w:t>Nature</w:t>
      </w:r>
      <w:r w:rsidRPr="00AB30B2">
        <w:rPr>
          <w:rFonts w:cs="Times New Roman"/>
        </w:rPr>
        <w:t>, 593(7857), pp. 33–36. Available at: https://doi.org/10.1038/d41586-021-01170-0.</w:t>
      </w:r>
    </w:p>
    <w:p w14:paraId="76B4291A" w14:textId="77777777" w:rsidR="00AB30B2" w:rsidRPr="00AB30B2" w:rsidRDefault="00AB30B2" w:rsidP="00AB30B2">
      <w:pPr>
        <w:pStyle w:val="Bibliography"/>
        <w:rPr>
          <w:rFonts w:cs="Times New Roman"/>
        </w:rPr>
      </w:pPr>
      <w:r w:rsidRPr="00AB30B2">
        <w:rPr>
          <w:rFonts w:cs="Times New Roman"/>
        </w:rPr>
        <w:t xml:space="preserve">Dwivedi, Y.K. </w:t>
      </w:r>
      <w:r w:rsidRPr="00AB30B2">
        <w:rPr>
          <w:rFonts w:cs="Times New Roman"/>
          <w:i/>
          <w:iCs/>
        </w:rPr>
        <w:t>et al.</w:t>
      </w:r>
      <w:r w:rsidRPr="00AB30B2">
        <w:rPr>
          <w:rFonts w:cs="Times New Roman"/>
        </w:rPr>
        <w:t xml:space="preserve"> (2023) ‘“So what if ChatGPT wrote it?” Multidisciplinary perspectives on opportunities, challenges and implications of generative conversational AI for research, practice and policy’, </w:t>
      </w:r>
      <w:r w:rsidRPr="00AB30B2">
        <w:rPr>
          <w:rFonts w:cs="Times New Roman"/>
          <w:i/>
          <w:iCs/>
        </w:rPr>
        <w:t>International Journal of Information Management</w:t>
      </w:r>
      <w:r w:rsidRPr="00AB30B2">
        <w:rPr>
          <w:rFonts w:cs="Times New Roman"/>
        </w:rPr>
        <w:t>, 71, p. 102642. Available at: https://doi.org/10.1016/j.ijinfomgt.2023.102642.</w:t>
      </w:r>
    </w:p>
    <w:p w14:paraId="7899B97C" w14:textId="77777777" w:rsidR="00AB30B2" w:rsidRPr="00AB30B2" w:rsidRDefault="00AB30B2" w:rsidP="00AB30B2">
      <w:pPr>
        <w:pStyle w:val="Bibliography"/>
        <w:rPr>
          <w:rFonts w:cs="Times New Roman"/>
        </w:rPr>
      </w:pPr>
      <w:r w:rsidRPr="00AB30B2">
        <w:rPr>
          <w:rFonts w:cs="Times New Roman"/>
        </w:rPr>
        <w:t xml:space="preserve">Edwards, H.A. </w:t>
      </w:r>
      <w:r w:rsidRPr="00AB30B2">
        <w:rPr>
          <w:rFonts w:cs="Times New Roman"/>
          <w:i/>
          <w:iCs/>
        </w:rPr>
        <w:t>et al.</w:t>
      </w:r>
      <w:r w:rsidRPr="00AB30B2">
        <w:rPr>
          <w:rFonts w:cs="Times New Roman"/>
        </w:rPr>
        <w:t xml:space="preserve"> (2021) ‘What works when: mapping patient and stakeholder engagement methods along the ten-step continuum framework’, </w:t>
      </w:r>
      <w:r w:rsidRPr="00AB30B2">
        <w:rPr>
          <w:rFonts w:cs="Times New Roman"/>
          <w:i/>
          <w:iCs/>
        </w:rPr>
        <w:t>Journal of Comparative Effectiveness Research</w:t>
      </w:r>
      <w:r w:rsidRPr="00AB30B2">
        <w:rPr>
          <w:rFonts w:cs="Times New Roman"/>
        </w:rPr>
        <w:t>, 10(12), pp. 999–1017. Available at: https://doi.org/10.2217/cer-2021-0043.</w:t>
      </w:r>
    </w:p>
    <w:p w14:paraId="3C6DD1BE" w14:textId="77777777" w:rsidR="00AB30B2" w:rsidRPr="00AB30B2" w:rsidRDefault="00AB30B2" w:rsidP="00AB30B2">
      <w:pPr>
        <w:pStyle w:val="Bibliography"/>
        <w:rPr>
          <w:rFonts w:cs="Times New Roman"/>
        </w:rPr>
      </w:pPr>
      <w:r w:rsidRPr="00AB30B2">
        <w:rPr>
          <w:rFonts w:cs="Times New Roman"/>
        </w:rPr>
        <w:t xml:space="preserve">Gao, X. and Yu, J. (2020) ‘Public governance mechanism in the prevention and control of the COVID-19: information, decision-making and execution’, </w:t>
      </w:r>
      <w:r w:rsidRPr="00AB30B2">
        <w:rPr>
          <w:rFonts w:cs="Times New Roman"/>
          <w:i/>
          <w:iCs/>
        </w:rPr>
        <w:t>Journal of Chinese Governance</w:t>
      </w:r>
      <w:r w:rsidRPr="00AB30B2">
        <w:rPr>
          <w:rFonts w:cs="Times New Roman"/>
        </w:rPr>
        <w:t>, 5(2), pp. 178–197. Available at: https://doi.org/10.1080/23812346.2020.1744922.</w:t>
      </w:r>
    </w:p>
    <w:p w14:paraId="5C143E10" w14:textId="77777777" w:rsidR="00AB30B2" w:rsidRPr="00AB30B2" w:rsidRDefault="00AB30B2" w:rsidP="00AB30B2">
      <w:pPr>
        <w:pStyle w:val="Bibliography"/>
        <w:rPr>
          <w:rFonts w:cs="Times New Roman"/>
        </w:rPr>
      </w:pPr>
      <w:r w:rsidRPr="00AB30B2">
        <w:rPr>
          <w:rFonts w:cs="Times New Roman"/>
        </w:rPr>
        <w:t xml:space="preserve">Luger, T.M., Hamilton, A.B. and True, G. (2020) ‘Measuring Community-Engaged Research Contexts, Processes, and Outcomes: A Mapping Review’, </w:t>
      </w:r>
      <w:r w:rsidRPr="00AB30B2">
        <w:rPr>
          <w:rFonts w:cs="Times New Roman"/>
          <w:i/>
          <w:iCs/>
        </w:rPr>
        <w:t>The Milbank Quarterly</w:t>
      </w:r>
      <w:r w:rsidRPr="00AB30B2">
        <w:rPr>
          <w:rFonts w:cs="Times New Roman"/>
        </w:rPr>
        <w:t>, 98(2), pp. 493–553. Available at: https://doi.org/10.1111/1468-0009.12458.</w:t>
      </w:r>
    </w:p>
    <w:p w14:paraId="0F9DD610" w14:textId="77777777" w:rsidR="00AB30B2" w:rsidRPr="00AB30B2" w:rsidRDefault="00AB30B2" w:rsidP="00AB30B2">
      <w:pPr>
        <w:pStyle w:val="Bibliography"/>
        <w:rPr>
          <w:rFonts w:cs="Times New Roman"/>
        </w:rPr>
      </w:pPr>
      <w:r w:rsidRPr="00AB30B2">
        <w:rPr>
          <w:rFonts w:cs="Times New Roman"/>
        </w:rPr>
        <w:t xml:space="preserve">Mahoney, J.L. </w:t>
      </w:r>
      <w:r w:rsidRPr="00AB30B2">
        <w:rPr>
          <w:rFonts w:cs="Times New Roman"/>
          <w:i/>
          <w:iCs/>
        </w:rPr>
        <w:t>et al.</w:t>
      </w:r>
      <w:r w:rsidRPr="00AB30B2">
        <w:rPr>
          <w:rFonts w:cs="Times New Roman"/>
        </w:rPr>
        <w:t xml:space="preserve"> (2021) ‘Systemic social and emotional learning: Promoting educational success for all preschool to high school students’, </w:t>
      </w:r>
      <w:r w:rsidRPr="00AB30B2">
        <w:rPr>
          <w:rFonts w:cs="Times New Roman"/>
          <w:i/>
          <w:iCs/>
        </w:rPr>
        <w:t>American Psychologist</w:t>
      </w:r>
      <w:r w:rsidRPr="00AB30B2">
        <w:rPr>
          <w:rFonts w:cs="Times New Roman"/>
        </w:rPr>
        <w:t>, 76, pp. 1128–1142. Available at: https://doi.org/10.1037/amp0000701.</w:t>
      </w:r>
    </w:p>
    <w:p w14:paraId="3529ED05" w14:textId="77777777" w:rsidR="00AB30B2" w:rsidRPr="00AB30B2" w:rsidRDefault="00AB30B2" w:rsidP="00AB30B2">
      <w:pPr>
        <w:pStyle w:val="Bibliography"/>
        <w:rPr>
          <w:rFonts w:cs="Times New Roman"/>
        </w:rPr>
      </w:pPr>
      <w:r w:rsidRPr="00AB30B2">
        <w:rPr>
          <w:rFonts w:cs="Times New Roman"/>
        </w:rPr>
        <w:t xml:space="preserve">Molina Rodríguez-Navas, P., Medranda Morales, N. and Muñoz Lalinde, J. (2021) ‘Transparency for Participation through the Communication Approach’, </w:t>
      </w:r>
      <w:r w:rsidRPr="00AB30B2">
        <w:rPr>
          <w:rFonts w:cs="Times New Roman"/>
          <w:i/>
          <w:iCs/>
        </w:rPr>
        <w:t>ISPRS International Journal of Geo-Information</w:t>
      </w:r>
      <w:r w:rsidRPr="00AB30B2">
        <w:rPr>
          <w:rFonts w:cs="Times New Roman"/>
        </w:rPr>
        <w:t>, 10(9), p. 586. Available at: https://doi.org/10.3390/ijgi10090586.</w:t>
      </w:r>
    </w:p>
    <w:p w14:paraId="24769E0D" w14:textId="77777777" w:rsidR="00AB30B2" w:rsidRPr="00AB30B2" w:rsidRDefault="00AB30B2" w:rsidP="00AB30B2">
      <w:pPr>
        <w:pStyle w:val="Bibliography"/>
        <w:rPr>
          <w:rFonts w:cs="Times New Roman"/>
        </w:rPr>
      </w:pPr>
      <w:r w:rsidRPr="00AB30B2">
        <w:rPr>
          <w:rFonts w:cs="Times New Roman"/>
        </w:rPr>
        <w:t xml:space="preserve">Pascaris, A.S. </w:t>
      </w:r>
      <w:r w:rsidRPr="00AB30B2">
        <w:rPr>
          <w:rFonts w:cs="Times New Roman"/>
          <w:i/>
          <w:iCs/>
        </w:rPr>
        <w:t>et al.</w:t>
      </w:r>
      <w:r w:rsidRPr="00AB30B2">
        <w:rPr>
          <w:rFonts w:cs="Times New Roman"/>
        </w:rPr>
        <w:t xml:space="preserve"> (2021) ‘Integrating solar energy with agriculture: Industry perspectives on the market, community, and socio-political dimensions of agrivoltaics’, </w:t>
      </w:r>
      <w:r w:rsidRPr="00AB30B2">
        <w:rPr>
          <w:rFonts w:cs="Times New Roman"/>
          <w:i/>
          <w:iCs/>
        </w:rPr>
        <w:t>Energy Research &amp; Social Science</w:t>
      </w:r>
      <w:r w:rsidRPr="00AB30B2">
        <w:rPr>
          <w:rFonts w:cs="Times New Roman"/>
        </w:rPr>
        <w:t>, 75, p. 102023. Available at: https://doi.org/10.1016/j.erss.2021.102023.</w:t>
      </w:r>
    </w:p>
    <w:p w14:paraId="759A2C44" w14:textId="77777777" w:rsidR="00AB30B2" w:rsidRPr="00AB30B2" w:rsidRDefault="00AB30B2" w:rsidP="00AB30B2">
      <w:pPr>
        <w:pStyle w:val="Bibliography"/>
        <w:rPr>
          <w:rFonts w:cs="Times New Roman"/>
        </w:rPr>
      </w:pPr>
      <w:r w:rsidRPr="00AB30B2">
        <w:rPr>
          <w:rFonts w:cs="Times New Roman"/>
        </w:rPr>
        <w:t xml:space="preserve">Puras, D. (2022) ‘Report of the Special Rapporteur on the Right of Everyone to the Enjoyment of the Highest Attainable Standard of Physical and Mental Health’, </w:t>
      </w:r>
      <w:r w:rsidRPr="00AB30B2">
        <w:rPr>
          <w:rFonts w:cs="Times New Roman"/>
          <w:i/>
          <w:iCs/>
        </w:rPr>
        <w:t>Philippine Law Journal</w:t>
      </w:r>
      <w:r w:rsidRPr="00AB30B2">
        <w:rPr>
          <w:rFonts w:cs="Times New Roman"/>
        </w:rPr>
        <w:t>, 95, p. 274.</w:t>
      </w:r>
    </w:p>
    <w:p w14:paraId="36A11AD9" w14:textId="77777777" w:rsidR="00AB30B2" w:rsidRPr="00AB30B2" w:rsidRDefault="00AB30B2" w:rsidP="00AB30B2">
      <w:pPr>
        <w:pStyle w:val="Bibliography"/>
        <w:rPr>
          <w:rFonts w:cs="Times New Roman"/>
        </w:rPr>
      </w:pPr>
      <w:r w:rsidRPr="00AB30B2">
        <w:rPr>
          <w:rFonts w:cs="Times New Roman"/>
        </w:rPr>
        <w:lastRenderedPageBreak/>
        <w:t xml:space="preserve">Saner, R., Yiu, L. and Nguyen, M. (2020) ‘Monitoring the SDGs: Digital and social technologies to ensure citizen participation, inclusiveness and transparency’, </w:t>
      </w:r>
      <w:r w:rsidRPr="00AB30B2">
        <w:rPr>
          <w:rFonts w:cs="Times New Roman"/>
          <w:i/>
          <w:iCs/>
        </w:rPr>
        <w:t>Development Policy Review</w:t>
      </w:r>
      <w:r w:rsidRPr="00AB30B2">
        <w:rPr>
          <w:rFonts w:cs="Times New Roman"/>
        </w:rPr>
        <w:t>, 38(4), pp. 483–500. Available at: https://doi.org/10.1111/dpr.12433.</w:t>
      </w:r>
    </w:p>
    <w:p w14:paraId="5D8FD145" w14:textId="77777777" w:rsidR="00AB30B2" w:rsidRPr="00AB30B2" w:rsidRDefault="00AB30B2" w:rsidP="00AB30B2">
      <w:pPr>
        <w:pStyle w:val="Bibliography"/>
        <w:rPr>
          <w:rFonts w:cs="Times New Roman"/>
        </w:rPr>
      </w:pPr>
      <w:r w:rsidRPr="00AB30B2">
        <w:rPr>
          <w:rFonts w:cs="Times New Roman"/>
        </w:rPr>
        <w:t xml:space="preserve">Scruggs, C.E., Pratesi, C.B. and Fleck, J.R. (2020) ‘Direct potable water reuse in five arid inland communities: an analysis of factors influencing public acceptance’, </w:t>
      </w:r>
      <w:r w:rsidRPr="00AB30B2">
        <w:rPr>
          <w:rFonts w:cs="Times New Roman"/>
          <w:i/>
          <w:iCs/>
        </w:rPr>
        <w:t>Journal of Environmental Planning and Management</w:t>
      </w:r>
      <w:r w:rsidRPr="00AB30B2">
        <w:rPr>
          <w:rFonts w:cs="Times New Roman"/>
        </w:rPr>
        <w:t>, 63(8), pp. 1470–1500. Available at: https://doi.org/10.1080/09640568.2019.1671815.</w:t>
      </w:r>
    </w:p>
    <w:p w14:paraId="715C271E" w14:textId="77777777" w:rsidR="00AB30B2" w:rsidRPr="00AB30B2" w:rsidRDefault="00AB30B2" w:rsidP="00AB30B2">
      <w:pPr>
        <w:pStyle w:val="Bibliography"/>
        <w:rPr>
          <w:rFonts w:cs="Times New Roman"/>
        </w:rPr>
      </w:pPr>
      <w:r w:rsidRPr="00AB30B2">
        <w:rPr>
          <w:rFonts w:cs="Times New Roman"/>
        </w:rPr>
        <w:t xml:space="preserve">Slocum, S.L., Dimitrov, D.Y. and Webb, K. (2019) ‘The impact of neoliberalism on higher education tourism programs: Meeting the 2030 sustainable development goals with the next generation’, </w:t>
      </w:r>
      <w:r w:rsidRPr="00AB30B2">
        <w:rPr>
          <w:rFonts w:cs="Times New Roman"/>
          <w:i/>
          <w:iCs/>
        </w:rPr>
        <w:t>Tourism Management Perspectives</w:t>
      </w:r>
      <w:r w:rsidRPr="00AB30B2">
        <w:rPr>
          <w:rFonts w:cs="Times New Roman"/>
        </w:rPr>
        <w:t>, 30, pp. 33–42. Available at: https://doi.org/10.1016/j.tmp.2019.01.004.</w:t>
      </w:r>
    </w:p>
    <w:p w14:paraId="7755AF0B" w14:textId="77777777" w:rsidR="00AB30B2" w:rsidRPr="00AB30B2" w:rsidRDefault="00AB30B2" w:rsidP="00AB30B2">
      <w:pPr>
        <w:pStyle w:val="Bibliography"/>
        <w:rPr>
          <w:rFonts w:cs="Times New Roman"/>
        </w:rPr>
      </w:pPr>
      <w:r w:rsidRPr="00AB30B2">
        <w:rPr>
          <w:rFonts w:cs="Times New Roman"/>
        </w:rPr>
        <w:t xml:space="preserve">Wierling, A. </w:t>
      </w:r>
      <w:r w:rsidRPr="00AB30B2">
        <w:rPr>
          <w:rFonts w:cs="Times New Roman"/>
          <w:i/>
          <w:iCs/>
        </w:rPr>
        <w:t>et al.</w:t>
      </w:r>
      <w:r w:rsidRPr="00AB30B2">
        <w:rPr>
          <w:rFonts w:cs="Times New Roman"/>
        </w:rPr>
        <w:t xml:space="preserve"> (2021) ‘FAIR Metadata Standards for Low Carbon Energy Research—A Review of Practices and How to Advance’, </w:t>
      </w:r>
      <w:r w:rsidRPr="00AB30B2">
        <w:rPr>
          <w:rFonts w:cs="Times New Roman"/>
          <w:i/>
          <w:iCs/>
        </w:rPr>
        <w:t>Energies</w:t>
      </w:r>
      <w:r w:rsidRPr="00AB30B2">
        <w:rPr>
          <w:rFonts w:cs="Times New Roman"/>
        </w:rPr>
        <w:t>, 14(20), p. 6692. Available at: https://doi.org/10.3390/en14206692.</w:t>
      </w:r>
    </w:p>
    <w:p w14:paraId="78EC14C0" w14:textId="4B21D540" w:rsidR="002F3481" w:rsidRPr="002F3481" w:rsidRDefault="00AB30B2" w:rsidP="002F3481">
      <w:r>
        <w:fldChar w:fldCharType="end"/>
      </w:r>
    </w:p>
    <w:sectPr w:rsidR="002F3481" w:rsidRPr="002F3481" w:rsidSect="00D43607">
      <w:pgSz w:w="11906" w:h="16838"/>
      <w:pgMar w:top="1440" w:right="1440"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3442"/>
    <w:multiLevelType w:val="hybridMultilevel"/>
    <w:tmpl w:val="05B8B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8922F7"/>
    <w:multiLevelType w:val="hybridMultilevel"/>
    <w:tmpl w:val="21E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C05F79"/>
    <w:multiLevelType w:val="hybridMultilevel"/>
    <w:tmpl w:val="F5AC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A31851"/>
    <w:multiLevelType w:val="hybridMultilevel"/>
    <w:tmpl w:val="2D42A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0F7199"/>
    <w:multiLevelType w:val="hybridMultilevel"/>
    <w:tmpl w:val="79B0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0753AB"/>
    <w:multiLevelType w:val="hybridMultilevel"/>
    <w:tmpl w:val="12DAB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1965173">
    <w:abstractNumId w:val="4"/>
  </w:num>
  <w:num w:numId="2" w16cid:durableId="1744522723">
    <w:abstractNumId w:val="3"/>
  </w:num>
  <w:num w:numId="3" w16cid:durableId="1336113253">
    <w:abstractNumId w:val="0"/>
  </w:num>
  <w:num w:numId="4" w16cid:durableId="819658927">
    <w:abstractNumId w:val="5"/>
  </w:num>
  <w:num w:numId="5" w16cid:durableId="616059042">
    <w:abstractNumId w:val="1"/>
  </w:num>
  <w:num w:numId="6" w16cid:durableId="368847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2NjC1NDSwMDS2tDBV0lEKTi0uzszPAykwqQUApwohtCwAAAA="/>
  </w:docVars>
  <w:rsids>
    <w:rsidRoot w:val="002948B6"/>
    <w:rsid w:val="0003084C"/>
    <w:rsid w:val="00086038"/>
    <w:rsid w:val="000D7216"/>
    <w:rsid w:val="001341B7"/>
    <w:rsid w:val="00144D22"/>
    <w:rsid w:val="0015469C"/>
    <w:rsid w:val="001560FD"/>
    <w:rsid w:val="001B0EFA"/>
    <w:rsid w:val="001C006C"/>
    <w:rsid w:val="001D1FB8"/>
    <w:rsid w:val="00223EFD"/>
    <w:rsid w:val="00224AE2"/>
    <w:rsid w:val="002466EB"/>
    <w:rsid w:val="00247484"/>
    <w:rsid w:val="002859BC"/>
    <w:rsid w:val="00291A53"/>
    <w:rsid w:val="002948B6"/>
    <w:rsid w:val="002F3481"/>
    <w:rsid w:val="002F388A"/>
    <w:rsid w:val="0032486E"/>
    <w:rsid w:val="003457E1"/>
    <w:rsid w:val="003717FF"/>
    <w:rsid w:val="003C7A5F"/>
    <w:rsid w:val="003F29F5"/>
    <w:rsid w:val="00421020"/>
    <w:rsid w:val="004264A9"/>
    <w:rsid w:val="004302C1"/>
    <w:rsid w:val="00456E5B"/>
    <w:rsid w:val="00470845"/>
    <w:rsid w:val="00476A06"/>
    <w:rsid w:val="004D1503"/>
    <w:rsid w:val="0051238D"/>
    <w:rsid w:val="005141FA"/>
    <w:rsid w:val="00546433"/>
    <w:rsid w:val="005A2EDE"/>
    <w:rsid w:val="005D736B"/>
    <w:rsid w:val="005E71E9"/>
    <w:rsid w:val="00616FD3"/>
    <w:rsid w:val="006A7CCA"/>
    <w:rsid w:val="006B4637"/>
    <w:rsid w:val="006B59CF"/>
    <w:rsid w:val="006C6168"/>
    <w:rsid w:val="006E4138"/>
    <w:rsid w:val="007124C7"/>
    <w:rsid w:val="007143C8"/>
    <w:rsid w:val="00720894"/>
    <w:rsid w:val="0073130C"/>
    <w:rsid w:val="007932A3"/>
    <w:rsid w:val="00797666"/>
    <w:rsid w:val="007E2597"/>
    <w:rsid w:val="007E4775"/>
    <w:rsid w:val="007F2FD9"/>
    <w:rsid w:val="007F70AE"/>
    <w:rsid w:val="007F7DFE"/>
    <w:rsid w:val="00811825"/>
    <w:rsid w:val="008933F0"/>
    <w:rsid w:val="008A797E"/>
    <w:rsid w:val="008C022B"/>
    <w:rsid w:val="008C61E9"/>
    <w:rsid w:val="008F25D1"/>
    <w:rsid w:val="00940643"/>
    <w:rsid w:val="009F79F2"/>
    <w:rsid w:val="00A27E1B"/>
    <w:rsid w:val="00A521E5"/>
    <w:rsid w:val="00A753FB"/>
    <w:rsid w:val="00A927A4"/>
    <w:rsid w:val="00A92DD3"/>
    <w:rsid w:val="00AB30B2"/>
    <w:rsid w:val="00AC71C2"/>
    <w:rsid w:val="00AF70FF"/>
    <w:rsid w:val="00B06EEC"/>
    <w:rsid w:val="00B36B99"/>
    <w:rsid w:val="00B45C39"/>
    <w:rsid w:val="00B54FD7"/>
    <w:rsid w:val="00B701DB"/>
    <w:rsid w:val="00B843CD"/>
    <w:rsid w:val="00B85FC4"/>
    <w:rsid w:val="00BA56CE"/>
    <w:rsid w:val="00BD22B2"/>
    <w:rsid w:val="00BD65C4"/>
    <w:rsid w:val="00C05E07"/>
    <w:rsid w:val="00C4784E"/>
    <w:rsid w:val="00CD5481"/>
    <w:rsid w:val="00D0483C"/>
    <w:rsid w:val="00D347DD"/>
    <w:rsid w:val="00D352D7"/>
    <w:rsid w:val="00D43607"/>
    <w:rsid w:val="00D462F7"/>
    <w:rsid w:val="00D52165"/>
    <w:rsid w:val="00D72A14"/>
    <w:rsid w:val="00D869E6"/>
    <w:rsid w:val="00DB0CBF"/>
    <w:rsid w:val="00DC6753"/>
    <w:rsid w:val="00DF14B5"/>
    <w:rsid w:val="00DF67CD"/>
    <w:rsid w:val="00DF7151"/>
    <w:rsid w:val="00E24E93"/>
    <w:rsid w:val="00E26567"/>
    <w:rsid w:val="00E9279A"/>
    <w:rsid w:val="00EE1A6F"/>
    <w:rsid w:val="00EF0A53"/>
    <w:rsid w:val="00F26F1D"/>
    <w:rsid w:val="00F770D9"/>
    <w:rsid w:val="00F90DC6"/>
    <w:rsid w:val="00F9355E"/>
    <w:rsid w:val="00F938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8CE5"/>
  <w15:chartTrackingRefBased/>
  <w15:docId w15:val="{E2F9113E-691A-47AA-AFC7-60A11139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CC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A7CC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A7CC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8603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C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A7CC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6A7CCA"/>
    <w:pPr>
      <w:spacing w:line="259" w:lineRule="auto"/>
      <w:jc w:val="left"/>
      <w:outlineLvl w:val="9"/>
    </w:pPr>
    <w:rPr>
      <w:rFonts w:asciiTheme="majorHAnsi" w:hAnsiTheme="majorHAnsi"/>
      <w:b w:val="0"/>
      <w:color w:val="2F5496" w:themeColor="accent1" w:themeShade="BF"/>
      <w:kern w:val="0"/>
    </w:rPr>
  </w:style>
  <w:style w:type="paragraph" w:styleId="TOC1">
    <w:name w:val="toc 1"/>
    <w:basedOn w:val="Normal"/>
    <w:next w:val="Normal"/>
    <w:autoRedefine/>
    <w:uiPriority w:val="39"/>
    <w:unhideWhenUsed/>
    <w:rsid w:val="006A7CCA"/>
    <w:pPr>
      <w:spacing w:after="100"/>
    </w:pPr>
  </w:style>
  <w:style w:type="character" w:styleId="Hyperlink">
    <w:name w:val="Hyperlink"/>
    <w:basedOn w:val="DefaultParagraphFont"/>
    <w:uiPriority w:val="99"/>
    <w:unhideWhenUsed/>
    <w:rsid w:val="006A7CCA"/>
    <w:rPr>
      <w:color w:val="0563C1" w:themeColor="hyperlink"/>
      <w:u w:val="single"/>
    </w:rPr>
  </w:style>
  <w:style w:type="paragraph" w:styleId="ListParagraph">
    <w:name w:val="List Paragraph"/>
    <w:basedOn w:val="Normal"/>
    <w:uiPriority w:val="34"/>
    <w:qFormat/>
    <w:rsid w:val="00D347DD"/>
    <w:pPr>
      <w:ind w:left="720"/>
      <w:contextualSpacing/>
    </w:pPr>
  </w:style>
  <w:style w:type="paragraph" w:styleId="TOC2">
    <w:name w:val="toc 2"/>
    <w:basedOn w:val="Normal"/>
    <w:next w:val="Normal"/>
    <w:autoRedefine/>
    <w:uiPriority w:val="39"/>
    <w:unhideWhenUsed/>
    <w:rsid w:val="00470845"/>
    <w:pPr>
      <w:spacing w:after="100"/>
      <w:ind w:left="240"/>
    </w:pPr>
  </w:style>
  <w:style w:type="character" w:customStyle="1" w:styleId="Heading3Char">
    <w:name w:val="Heading 3 Char"/>
    <w:basedOn w:val="DefaultParagraphFont"/>
    <w:link w:val="Heading3"/>
    <w:uiPriority w:val="9"/>
    <w:rsid w:val="00086038"/>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AB30B2"/>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27E3D-7362-4DEA-954E-3C1E337B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9488</Words>
  <Characters>54084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Satti</dc:creator>
  <cp:keywords/>
  <dc:description/>
  <cp:lastModifiedBy>Manuela Dineva</cp:lastModifiedBy>
  <cp:revision>2</cp:revision>
  <dcterms:created xsi:type="dcterms:W3CDTF">2023-06-06T09:10:00Z</dcterms:created>
  <dcterms:modified xsi:type="dcterms:W3CDTF">2023-06-06T09:10:00Z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2023-05-12T02:06:28Z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adf51fe1-75bd-4ae0-8eff-9a7418ced5a3</vt:lpwstr>
  </property>
  <property fmtid="{D5CDD505-2E9C-101B-9397-08002B2CF9AE}" pid="7" name="MSIP_Label_defa4170-0d19-0005-0004-bc88714345d2_ActionId">
    <vt:lpwstr>c7518c5a-3102-4493-b56f-7cf1bede035e</vt:lpwstr>
  </property>
  <property fmtid="{D5CDD505-2E9C-101B-9397-08002B2CF9AE}" pid="8" name="MSIP_Label_defa4170-0d19-0005-0004-bc88714345d2_ContentBits">
    <vt:lpwstr>0</vt:lpwstr>
  </property>
  <property fmtid="{D5CDD505-2E9C-101B-9397-08002B2CF9AE}" pid="9" name="ZOTERO_PREF_1">
    <vt:lpwstr>&lt;data data-version="3" zotero-version="6.0.26"&gt;&lt;session id="qc6z3Nu8"/&gt;&lt;style id="http://www.zotero.org/styles/harvard1" locale="en-US" hasBibliography="1" bibliographyStyleHasBeenSet="1"/&gt;&lt;prefs&gt;&lt;pref name="fieldType" value="Field"/&gt;&lt;pref name="automatic</vt:lpwstr>
  </property>
  <property fmtid="{D5CDD505-2E9C-101B-9397-08002B2CF9AE}" pid="10" name="ZOTERO_PREF_2">
    <vt:lpwstr>JournalAbbreviations" value="true"/&gt;&lt;/prefs&gt;&lt;/data&gt;</vt:lpwstr>
  </property>
  <property fmtid="{D5CDD505-2E9C-101B-9397-08002B2CF9AE}" pid="11" name="GrammarlyDocumentId">
    <vt:lpwstr>f95de852c56c5166286872327b4e23c443ea39f1f5d82822d49d975ecce98f7e</vt:lpwstr>
  </property>
</Properties>
</file>