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2128FC" w14:textId="77777777" w:rsidR="00C355BC" w:rsidRPr="00EB3083" w:rsidRDefault="00C355BC" w:rsidP="00EB3083">
      <w:pPr>
        <w:spacing w:before="2000" w:line="360" w:lineRule="auto"/>
        <w:rPr>
          <w:color w:val="000000" w:themeColor="text1"/>
        </w:rPr>
      </w:pPr>
    </w:p>
    <w:p w14:paraId="162E25EA" w14:textId="77777777" w:rsidR="00C355BC" w:rsidRPr="00EB3083" w:rsidRDefault="00000000" w:rsidP="00EB3083">
      <w:pPr>
        <w:spacing w:line="360" w:lineRule="auto"/>
        <w:jc w:val="center"/>
        <w:rPr>
          <w:color w:val="000000" w:themeColor="text1"/>
        </w:rPr>
      </w:pPr>
      <w:r w:rsidRPr="00EB3083">
        <w:rPr>
          <w:color w:val="000000" w:themeColor="text1"/>
          <w:sz w:val="32"/>
          <w:szCs w:val="32"/>
        </w:rPr>
        <w:t>Component 2: Research Literacy</w:t>
      </w:r>
    </w:p>
    <w:p w14:paraId="037137BC" w14:textId="77777777" w:rsidR="00C355BC" w:rsidRPr="00EB3083" w:rsidRDefault="00000000" w:rsidP="00EB3083">
      <w:pPr>
        <w:spacing w:before="200" w:after="800" w:line="360" w:lineRule="auto"/>
        <w:jc w:val="center"/>
        <w:rPr>
          <w:color w:val="000000" w:themeColor="text1"/>
        </w:rPr>
      </w:pPr>
      <w:r w:rsidRPr="00EB3083">
        <w:rPr>
          <w:color w:val="000000" w:themeColor="text1"/>
          <w:sz w:val="28"/>
          <w:szCs w:val="28"/>
        </w:rPr>
        <w:t>Learning How to Read a Research Paper</w:t>
      </w:r>
    </w:p>
    <w:p w14:paraId="5DF87FF4" w14:textId="77777777" w:rsidR="00C355BC" w:rsidRPr="00EB3083" w:rsidRDefault="00000000" w:rsidP="00EB3083">
      <w:pPr>
        <w:spacing w:after="100" w:line="360" w:lineRule="auto"/>
        <w:jc w:val="center"/>
        <w:rPr>
          <w:color w:val="000000" w:themeColor="text1"/>
        </w:rPr>
      </w:pPr>
      <w:r w:rsidRPr="00EB3083">
        <w:rPr>
          <w:color w:val="000000" w:themeColor="text1"/>
        </w:rPr>
        <w:t xml:space="preserve">Student name: Clara </w:t>
      </w:r>
      <w:proofErr w:type="spellStart"/>
      <w:r w:rsidRPr="00EB3083">
        <w:rPr>
          <w:color w:val="000000" w:themeColor="text1"/>
        </w:rPr>
        <w:t>Ribad</w:t>
      </w:r>
      <w:proofErr w:type="spellEnd"/>
      <w:r w:rsidRPr="00EB3083">
        <w:rPr>
          <w:color w:val="000000" w:themeColor="text1"/>
        </w:rPr>
        <w:t xml:space="preserve"> Angeles</w:t>
      </w:r>
    </w:p>
    <w:p w14:paraId="21518D1B" w14:textId="77777777" w:rsidR="00C355BC" w:rsidRPr="00EB3083" w:rsidRDefault="00000000" w:rsidP="00EB3083">
      <w:pPr>
        <w:spacing w:after="100" w:line="360" w:lineRule="auto"/>
        <w:jc w:val="center"/>
        <w:rPr>
          <w:color w:val="000000" w:themeColor="text1"/>
        </w:rPr>
      </w:pPr>
      <w:r w:rsidRPr="00EB3083">
        <w:rPr>
          <w:color w:val="000000" w:themeColor="text1"/>
        </w:rPr>
        <w:t>Student ID: 2544841</w:t>
      </w:r>
    </w:p>
    <w:p w14:paraId="509F1A00" w14:textId="77777777" w:rsidR="00C355BC" w:rsidRPr="00EB3083" w:rsidRDefault="00000000" w:rsidP="00EB3083">
      <w:pPr>
        <w:spacing w:after="100" w:line="360" w:lineRule="auto"/>
        <w:jc w:val="center"/>
        <w:rPr>
          <w:color w:val="000000" w:themeColor="text1"/>
        </w:rPr>
      </w:pPr>
      <w:r w:rsidRPr="00EB3083">
        <w:rPr>
          <w:color w:val="000000" w:themeColor="text1"/>
        </w:rPr>
        <w:t>Module: Digital Skills and Research Methods</w:t>
      </w:r>
    </w:p>
    <w:p w14:paraId="02B56000" w14:textId="77777777" w:rsidR="00C355BC" w:rsidRPr="00EB3083" w:rsidRDefault="00000000" w:rsidP="00EB3083">
      <w:pPr>
        <w:spacing w:after="100" w:line="360" w:lineRule="auto"/>
        <w:jc w:val="center"/>
        <w:rPr>
          <w:color w:val="000000" w:themeColor="text1"/>
        </w:rPr>
      </w:pPr>
      <w:r w:rsidRPr="00EB3083">
        <w:rPr>
          <w:color w:val="000000" w:themeColor="text1"/>
        </w:rPr>
        <w:t>Module Code: LCHS4007</w:t>
      </w:r>
    </w:p>
    <w:p w14:paraId="033085FE" w14:textId="12DC7930" w:rsidR="00C355BC" w:rsidRPr="00EB3083" w:rsidRDefault="00000000" w:rsidP="00EB3083">
      <w:pPr>
        <w:spacing w:after="100" w:line="360" w:lineRule="auto"/>
        <w:jc w:val="center"/>
        <w:rPr>
          <w:color w:val="000000" w:themeColor="text1"/>
        </w:rPr>
      </w:pPr>
      <w:r w:rsidRPr="00EB3083">
        <w:rPr>
          <w:color w:val="000000" w:themeColor="text1"/>
        </w:rPr>
        <w:t xml:space="preserve">Lecturer: </w:t>
      </w:r>
      <w:r w:rsidR="003A2222" w:rsidRPr="003A2222">
        <w:rPr>
          <w:color w:val="000000" w:themeColor="text1"/>
        </w:rPr>
        <w:t>Koushik Modak</w:t>
      </w:r>
    </w:p>
    <w:p w14:paraId="77911845" w14:textId="77777777" w:rsidR="00C355BC" w:rsidRPr="00EB3083" w:rsidRDefault="00000000" w:rsidP="00EB3083">
      <w:pPr>
        <w:spacing w:after="100" w:line="360" w:lineRule="auto"/>
        <w:jc w:val="center"/>
        <w:rPr>
          <w:color w:val="000000" w:themeColor="text1"/>
        </w:rPr>
      </w:pPr>
      <w:r w:rsidRPr="00EB3083">
        <w:rPr>
          <w:color w:val="000000" w:themeColor="text1"/>
        </w:rPr>
        <w:t>Assignment: Component 2 - Research Literacy Report</w:t>
      </w:r>
    </w:p>
    <w:p w14:paraId="145D0C58" w14:textId="77777777" w:rsidR="00C355BC" w:rsidRPr="00EB3083" w:rsidRDefault="00000000" w:rsidP="00EB3083">
      <w:pPr>
        <w:spacing w:line="360" w:lineRule="auto"/>
        <w:rPr>
          <w:color w:val="000000" w:themeColor="text1"/>
        </w:rPr>
      </w:pPr>
      <w:r w:rsidRPr="00EB3083">
        <w:rPr>
          <w:color w:val="000000" w:themeColor="text1"/>
        </w:rPr>
        <w:br w:type="page"/>
      </w:r>
    </w:p>
    <w:p w14:paraId="50AF52C6" w14:textId="77777777" w:rsidR="00C355BC" w:rsidRPr="00EB3083" w:rsidRDefault="00000000" w:rsidP="00EB3083">
      <w:pPr>
        <w:pStyle w:val="Heading1"/>
        <w:spacing w:after="300" w:line="360" w:lineRule="auto"/>
        <w:rPr>
          <w:color w:val="000000" w:themeColor="text1"/>
        </w:rPr>
      </w:pPr>
      <w:r w:rsidRPr="00EB3083">
        <w:rPr>
          <w:color w:val="000000" w:themeColor="text1"/>
          <w:sz w:val="28"/>
          <w:szCs w:val="28"/>
        </w:rPr>
        <w:lastRenderedPageBreak/>
        <w:t>Table of Contents</w:t>
      </w:r>
    </w:p>
    <w:p w14:paraId="710768B8" w14:textId="77777777" w:rsidR="00C355BC" w:rsidRPr="00EB3083" w:rsidRDefault="00000000" w:rsidP="00EB3083">
      <w:pPr>
        <w:tabs>
          <w:tab w:val="right" w:leader="dot" w:pos="9026"/>
        </w:tabs>
        <w:spacing w:after="160" w:line="360" w:lineRule="auto"/>
        <w:rPr>
          <w:color w:val="000000" w:themeColor="text1"/>
        </w:rPr>
      </w:pPr>
      <w:r w:rsidRPr="00EB3083">
        <w:rPr>
          <w:color w:val="000000" w:themeColor="text1"/>
        </w:rPr>
        <w:t>Section 1: Introducing the Research Paper and Topic Development</w:t>
      </w:r>
      <w:r w:rsidRPr="00EB3083">
        <w:rPr>
          <w:color w:val="000000" w:themeColor="text1"/>
        </w:rPr>
        <w:tab/>
        <w:t>3</w:t>
      </w:r>
    </w:p>
    <w:p w14:paraId="44493F2C" w14:textId="77777777" w:rsidR="00C355BC" w:rsidRPr="00EB3083" w:rsidRDefault="00000000" w:rsidP="00EB3083">
      <w:pPr>
        <w:tabs>
          <w:tab w:val="right" w:leader="dot" w:pos="9026"/>
        </w:tabs>
        <w:spacing w:after="160" w:line="360" w:lineRule="auto"/>
        <w:rPr>
          <w:color w:val="000000" w:themeColor="text1"/>
        </w:rPr>
      </w:pPr>
      <w:r w:rsidRPr="00EB3083">
        <w:rPr>
          <w:color w:val="000000" w:themeColor="text1"/>
        </w:rPr>
        <w:t>Section 2: Understanding the Purpose and Research Question</w:t>
      </w:r>
      <w:r w:rsidRPr="00EB3083">
        <w:rPr>
          <w:color w:val="000000" w:themeColor="text1"/>
        </w:rPr>
        <w:tab/>
        <w:t>3</w:t>
      </w:r>
    </w:p>
    <w:p w14:paraId="49095D37" w14:textId="77777777" w:rsidR="00C355BC" w:rsidRPr="00EB3083" w:rsidRDefault="00000000" w:rsidP="00EB3083">
      <w:pPr>
        <w:tabs>
          <w:tab w:val="right" w:leader="dot" w:pos="9026"/>
        </w:tabs>
        <w:spacing w:after="160" w:line="360" w:lineRule="auto"/>
        <w:rPr>
          <w:color w:val="000000" w:themeColor="text1"/>
        </w:rPr>
      </w:pPr>
      <w:r w:rsidRPr="00EB3083">
        <w:rPr>
          <w:color w:val="000000" w:themeColor="text1"/>
        </w:rPr>
        <w:t>Section 3: Understanding the Research Methods</w:t>
      </w:r>
      <w:r w:rsidRPr="00EB3083">
        <w:rPr>
          <w:color w:val="000000" w:themeColor="text1"/>
        </w:rPr>
        <w:tab/>
        <w:t>4</w:t>
      </w:r>
    </w:p>
    <w:p w14:paraId="0749E5D8" w14:textId="77777777" w:rsidR="00C355BC" w:rsidRPr="00EB3083" w:rsidRDefault="00000000" w:rsidP="00EB3083">
      <w:pPr>
        <w:tabs>
          <w:tab w:val="right" w:leader="dot" w:pos="9026"/>
        </w:tabs>
        <w:spacing w:after="160" w:line="360" w:lineRule="auto"/>
        <w:rPr>
          <w:color w:val="000000" w:themeColor="text1"/>
        </w:rPr>
      </w:pPr>
      <w:r w:rsidRPr="00EB3083">
        <w:rPr>
          <w:color w:val="000000" w:themeColor="text1"/>
        </w:rPr>
        <w:t>Section 4: Conclusion</w:t>
      </w:r>
      <w:r w:rsidRPr="00EB3083">
        <w:rPr>
          <w:color w:val="000000" w:themeColor="text1"/>
        </w:rPr>
        <w:tab/>
        <w:t>6</w:t>
      </w:r>
    </w:p>
    <w:p w14:paraId="3903414C" w14:textId="77777777" w:rsidR="00C355BC" w:rsidRPr="00EB3083" w:rsidRDefault="00000000" w:rsidP="00EB3083">
      <w:pPr>
        <w:tabs>
          <w:tab w:val="right" w:leader="dot" w:pos="9026"/>
        </w:tabs>
        <w:spacing w:after="160" w:line="360" w:lineRule="auto"/>
        <w:rPr>
          <w:color w:val="000000" w:themeColor="text1"/>
        </w:rPr>
      </w:pPr>
      <w:r w:rsidRPr="00EB3083">
        <w:rPr>
          <w:color w:val="000000" w:themeColor="text1"/>
        </w:rPr>
        <w:t>Reference List</w:t>
      </w:r>
      <w:r w:rsidRPr="00EB3083">
        <w:rPr>
          <w:color w:val="000000" w:themeColor="text1"/>
        </w:rPr>
        <w:tab/>
        <w:t>7</w:t>
      </w:r>
    </w:p>
    <w:p w14:paraId="4CECD26E" w14:textId="77777777" w:rsidR="00C355BC" w:rsidRPr="00EB3083" w:rsidRDefault="00000000" w:rsidP="00EB3083">
      <w:pPr>
        <w:spacing w:line="360" w:lineRule="auto"/>
        <w:rPr>
          <w:color w:val="000000" w:themeColor="text1"/>
        </w:rPr>
      </w:pPr>
      <w:r w:rsidRPr="00EB3083">
        <w:rPr>
          <w:color w:val="000000" w:themeColor="text1"/>
        </w:rPr>
        <w:br w:type="page"/>
      </w:r>
    </w:p>
    <w:p w14:paraId="3451AD4A" w14:textId="77777777" w:rsidR="00C355BC" w:rsidRPr="00EB3083" w:rsidRDefault="00000000" w:rsidP="00EB3083">
      <w:pPr>
        <w:pStyle w:val="Heading1"/>
        <w:spacing w:before="300" w:after="200" w:line="360" w:lineRule="auto"/>
        <w:rPr>
          <w:color w:val="000000" w:themeColor="text1"/>
        </w:rPr>
      </w:pPr>
      <w:r w:rsidRPr="00EB3083">
        <w:rPr>
          <w:color w:val="000000" w:themeColor="text1"/>
          <w:sz w:val="26"/>
          <w:szCs w:val="26"/>
        </w:rPr>
        <w:lastRenderedPageBreak/>
        <w:t>Section 1: Introducing the Research Paper and Topic Development</w:t>
      </w:r>
    </w:p>
    <w:p w14:paraId="3C71B5DE" w14:textId="77777777" w:rsidR="00C355BC" w:rsidRPr="00EB3083" w:rsidRDefault="00000000" w:rsidP="00EB3083">
      <w:pPr>
        <w:spacing w:after="200" w:line="360" w:lineRule="auto"/>
        <w:rPr>
          <w:color w:val="000000" w:themeColor="text1"/>
        </w:rPr>
      </w:pPr>
      <w:r w:rsidRPr="00EB3083">
        <w:rPr>
          <w:color w:val="000000" w:themeColor="text1"/>
        </w:rPr>
        <w:t>The research paper I have chosen for this report is titled "Barriers and motivators to undertaking physical activity in adults over 70 - a systematic review of the quantitative literature". It was written by Alixe H.M. Kilgour and colleagues, including Matthew Rutherford, Joanna Higson, Samantha J. Meredith, Jessica McNiff, Stephanie Mitchell, Anusan Wijayendran, Stephen E.R. Lim and Susan D. Shenkin, and was published in 2024 in the journal Age and Ageing (Kilgour et al., 2024). The authors are based at the University of Edinburgh, NHS Lothian and the University of Southampton, so the research is grounded firmly in a UK academic and clinical setting.</w:t>
      </w:r>
    </w:p>
    <w:p w14:paraId="715AD226" w14:textId="77777777" w:rsidR="00C355BC" w:rsidRPr="00EB3083" w:rsidRDefault="00000000" w:rsidP="00EB3083">
      <w:pPr>
        <w:spacing w:after="200" w:line="360" w:lineRule="auto"/>
        <w:rPr>
          <w:color w:val="000000" w:themeColor="text1"/>
        </w:rPr>
      </w:pPr>
      <w:r w:rsidRPr="00EB3083">
        <w:rPr>
          <w:color w:val="000000" w:themeColor="text1"/>
        </w:rPr>
        <w:t>The paper explores why some older adults stay active while many do not, by pulling together 37 existing quantitative studies on the barriers, meaning things that stop people, and motivators, meaning things that encourage people, to physical activity in those aged 70 and over. This is a review paper rather than a brand-new study; instead of collecting fresh data from participants, the authors searched for, appraised and combined findings from research already published elsewhere.</w:t>
      </w:r>
    </w:p>
    <w:p w14:paraId="443CE71A" w14:textId="77777777" w:rsidR="00C355BC" w:rsidRPr="00EB3083" w:rsidRDefault="00000000" w:rsidP="00EB3083">
      <w:pPr>
        <w:spacing w:after="200" w:line="360" w:lineRule="auto"/>
        <w:rPr>
          <w:color w:val="000000" w:themeColor="text1"/>
        </w:rPr>
      </w:pPr>
      <w:r w:rsidRPr="00EB3083">
        <w:rPr>
          <w:color w:val="000000" w:themeColor="text1"/>
        </w:rPr>
        <w:t xml:space="preserve">The research is about adults aged 70 and above living in the community rather than in care homes, and it specifically excludes people with a diagnosed cognitive impairment or a single defined illness, so the results reflect general older-adult experience rather than one </w:t>
      </w:r>
      <w:proofErr w:type="gramStart"/>
      <w:r w:rsidRPr="00EB3083">
        <w:rPr>
          <w:color w:val="000000" w:themeColor="text1"/>
        </w:rPr>
        <w:t>particular health</w:t>
      </w:r>
      <w:proofErr w:type="gramEnd"/>
      <w:r w:rsidRPr="00EB3083">
        <w:rPr>
          <w:color w:val="000000" w:themeColor="text1"/>
        </w:rPr>
        <w:t xml:space="preserve"> condition. This population matters enormously to UK health and social care because the proportion of over-70s is rising quickly, and physical inactivity in this group is closely linked to falls, loss of independence, frailty, cardiovascular disease and greater use of NHS and social care services (Kilgour et al., 2024). Encouraging safe activity is also central to UK policy, reflected in the UK Chief Medical Officers' Physical Activity Guidelines (Department of Health and Social Care, 2019) and the World Health Organization guidelines on physical activity (WHO, 2020). The topic appears to have developed from a clear gap in earlier reviews, which tended to focus on younger groups or people with a specific condition, rather than the "oldest old". Understanding what helps or hinders activity in this group gives health and social care staff practical direction for supporting healthier ageing across the UK.</w:t>
      </w:r>
    </w:p>
    <w:p w14:paraId="6F7AAE7A" w14:textId="77777777" w:rsidR="00C355BC" w:rsidRPr="00EB3083" w:rsidRDefault="00000000" w:rsidP="00EB3083">
      <w:pPr>
        <w:pStyle w:val="Heading1"/>
        <w:spacing w:before="300" w:after="200" w:line="360" w:lineRule="auto"/>
        <w:rPr>
          <w:color w:val="000000" w:themeColor="text1"/>
        </w:rPr>
      </w:pPr>
      <w:r w:rsidRPr="00EB3083">
        <w:rPr>
          <w:color w:val="000000" w:themeColor="text1"/>
          <w:sz w:val="26"/>
          <w:szCs w:val="26"/>
        </w:rPr>
        <w:t>Section 2: Understanding the Purpose and Research Question</w:t>
      </w:r>
    </w:p>
    <w:p w14:paraId="50847CF3" w14:textId="77777777" w:rsidR="00C355BC" w:rsidRPr="00EB3083" w:rsidRDefault="00000000" w:rsidP="00EB3083">
      <w:pPr>
        <w:spacing w:after="200" w:line="360" w:lineRule="auto"/>
        <w:rPr>
          <w:color w:val="000000" w:themeColor="text1"/>
        </w:rPr>
      </w:pPr>
      <w:r w:rsidRPr="00EB3083">
        <w:rPr>
          <w:color w:val="000000" w:themeColor="text1"/>
        </w:rPr>
        <w:t xml:space="preserve">The purpose of this review was to bring together existing quantitative evidence </w:t>
      </w:r>
      <w:proofErr w:type="gramStart"/>
      <w:r w:rsidRPr="00EB3083">
        <w:rPr>
          <w:color w:val="000000" w:themeColor="text1"/>
        </w:rPr>
        <w:t>in order to</w:t>
      </w:r>
      <w:proofErr w:type="gramEnd"/>
      <w:r w:rsidRPr="00EB3083">
        <w:rPr>
          <w:color w:val="000000" w:themeColor="text1"/>
        </w:rPr>
        <w:t xml:space="preserve"> identify the most common barriers and motivators to physical activity among adults aged 70 and above. In simple terms, the authors wanted to answer: what factors, according to numerical research, stop or encourage people over 70 from being physically active, and how </w:t>
      </w:r>
      <w:r w:rsidRPr="00EB3083">
        <w:rPr>
          <w:color w:val="000000" w:themeColor="text1"/>
        </w:rPr>
        <w:lastRenderedPageBreak/>
        <w:t>do these factors differ by gender, age, ability and location? The review was registered on PROSPERO with a defined protocol, so its objectives were clear from the outset: to categorise barriers and motivators using a socioecological model and identify modifiable factors that could inform future policy and practice (Kilgour et al., 2024).</w:t>
      </w:r>
    </w:p>
    <w:p w14:paraId="05BA4F12" w14:textId="77777777" w:rsidR="00C355BC" w:rsidRPr="00EB3083" w:rsidRDefault="00000000" w:rsidP="00EB3083">
      <w:pPr>
        <w:pStyle w:val="Heading1"/>
        <w:spacing w:before="300" w:after="200" w:line="360" w:lineRule="auto"/>
        <w:rPr>
          <w:color w:val="000000" w:themeColor="text1"/>
        </w:rPr>
      </w:pPr>
      <w:r w:rsidRPr="00EB3083">
        <w:rPr>
          <w:color w:val="000000" w:themeColor="text1"/>
          <w:sz w:val="26"/>
          <w:szCs w:val="26"/>
        </w:rPr>
        <w:t>Section 3: Understanding the Research Methods</w:t>
      </w:r>
    </w:p>
    <w:p w14:paraId="57782261" w14:textId="77777777" w:rsidR="00C355BC" w:rsidRPr="00EB3083" w:rsidRDefault="00000000" w:rsidP="00EB3083">
      <w:pPr>
        <w:spacing w:after="200" w:line="360" w:lineRule="auto"/>
        <w:rPr>
          <w:color w:val="000000" w:themeColor="text1"/>
        </w:rPr>
      </w:pPr>
      <w:r w:rsidRPr="00EB3083">
        <w:rPr>
          <w:color w:val="000000" w:themeColor="text1"/>
        </w:rPr>
        <w:t>Before looking at how this research was carried out, it helps to understand the three broad types of research method used across health and social care.</w:t>
      </w:r>
    </w:p>
    <w:p w14:paraId="36CBCFF6" w14:textId="77777777" w:rsidR="00C355BC" w:rsidRPr="00EB3083" w:rsidRDefault="00000000" w:rsidP="00EB3083">
      <w:pPr>
        <w:spacing w:after="200" w:line="360" w:lineRule="auto"/>
        <w:rPr>
          <w:color w:val="000000" w:themeColor="text1"/>
        </w:rPr>
      </w:pPr>
      <w:r w:rsidRPr="00EB3083">
        <w:rPr>
          <w:color w:val="000000" w:themeColor="text1"/>
        </w:rPr>
        <w:t xml:space="preserve">Quantitative research collects information that can be counted or measured, such as scores, percentages, rates or statistical results. It usually </w:t>
      </w:r>
      <w:proofErr w:type="gramStart"/>
      <w:r w:rsidRPr="00EB3083">
        <w:rPr>
          <w:color w:val="000000" w:themeColor="text1"/>
        </w:rPr>
        <w:t>asks</w:t>
      </w:r>
      <w:proofErr w:type="gramEnd"/>
      <w:r w:rsidRPr="00EB3083">
        <w:rPr>
          <w:color w:val="000000" w:themeColor="text1"/>
        </w:rPr>
        <w:t xml:space="preserve"> "how many" or "how much" and often uses surveys, questionnaires or measuring equipment, aiming to produce objective, generalisable results (Bowling, 2014). Qualitative research, by contrast, is concerned with people's experiences, opinions and feelings. It gathers non-numerical data through methods such as interviews, focus groups or observation, aiming to understand meaning rather than measurement. Mixed-methods research combines both approaches within a single study, using quantitative data to show scale or pattern and qualitative data to explain the reasons behind it, giving a fuller picture than either approach alone (Creswell </w:t>
      </w:r>
      <w:proofErr w:type="gramStart"/>
      <w:r w:rsidRPr="00EB3083">
        <w:rPr>
          <w:color w:val="000000" w:themeColor="text1"/>
        </w:rPr>
        <w:t>and</w:t>
      </w:r>
      <w:proofErr w:type="gramEnd"/>
      <w:r w:rsidRPr="00EB3083">
        <w:rPr>
          <w:color w:val="000000" w:themeColor="text1"/>
        </w:rPr>
        <w:t xml:space="preserve"> Creswell, 2018).</w:t>
      </w:r>
    </w:p>
    <w:p w14:paraId="43F5D959" w14:textId="77777777" w:rsidR="00C355BC" w:rsidRPr="00EB3083" w:rsidRDefault="00000000" w:rsidP="00EB3083">
      <w:pPr>
        <w:spacing w:after="200" w:line="360" w:lineRule="auto"/>
        <w:rPr>
          <w:color w:val="000000" w:themeColor="text1"/>
        </w:rPr>
      </w:pPr>
      <w:r w:rsidRPr="00EB3083">
        <w:rPr>
          <w:color w:val="000000" w:themeColor="text1"/>
        </w:rPr>
        <w:t>The paper I have chosen is a systematic review of quantitative literature. This means the authors did not collect new numerical data themselves from participants; instead, they searched for, screened and combined the results of 37 already-published quantitative studies that had investigated barriers and motivators to physical activity in older adults. Six databases were searched, namely ASSIA, CINAHL, Embase, Medline, PsycINFO and Web of Science, and the process followed the PRISMA guidelines for reporting systematic reviews, with the review protocol registered in advance on PROSPERO (Kilgour et al., 2024). In simple terms, rather than asking questions directly to older people themselves, the researchers acted rather like detectives, gathering existing statistical evidence from many different studies around the world, checking its quality, and looking for patterns across all of it.</w:t>
      </w:r>
    </w:p>
    <w:p w14:paraId="49A00206" w14:textId="77777777" w:rsidR="00C355BC" w:rsidRPr="00EB3083" w:rsidRDefault="00000000" w:rsidP="00EB3083">
      <w:pPr>
        <w:spacing w:after="200" w:line="360" w:lineRule="auto"/>
        <w:rPr>
          <w:color w:val="000000" w:themeColor="text1"/>
        </w:rPr>
      </w:pPr>
      <w:r w:rsidRPr="00EB3083">
        <w:rPr>
          <w:color w:val="000000" w:themeColor="text1"/>
        </w:rPr>
        <w:t xml:space="preserve">This links closely to the distinction between primary and secondary data. Primary data is information collected first-hand by researchers for the specific purpose of their own study, for example through a new survey, interview or observation. Secondary data is information that already exists, having been collected by someone else for another purpose, and is then reused or reanalysed by later researchers (Bowling, 2014). The Kilgour et al. (2024) systematic review is a clear example of secondary research, because the review itself did not gather new information directly from older adults; it relied entirely on secondary data </w:t>
      </w:r>
      <w:r w:rsidRPr="00EB3083">
        <w:rPr>
          <w:color w:val="000000" w:themeColor="text1"/>
        </w:rPr>
        <w:lastRenderedPageBreak/>
        <w:t>drawn from the 37 studies that were already published. It is worth noting, however, that within those original 37 studies, the data had originally been primary data, collected first-hand from real participants using tools such as self-report questionnaires, accelerometers, which are small devices worn on the body to measure movement, and the Short Physical Performance Battery, a physical test of mobility and balance.</w:t>
      </w:r>
    </w:p>
    <w:p w14:paraId="1A7A8017" w14:textId="77777777" w:rsidR="00C355BC" w:rsidRPr="00EB3083" w:rsidRDefault="00000000" w:rsidP="00EB3083">
      <w:pPr>
        <w:spacing w:after="200" w:line="360" w:lineRule="auto"/>
        <w:rPr>
          <w:color w:val="000000" w:themeColor="text1"/>
        </w:rPr>
      </w:pPr>
      <w:r w:rsidRPr="00EB3083">
        <w:rPr>
          <w:color w:val="000000" w:themeColor="text1"/>
        </w:rPr>
        <w:t>The data collection therefore happened in two stages. First, the individual studies included in the review used a range of primary data collection methods: some were cross-sectional surveys asking older people to rate the importance of various barriers and motivators; others were longitudinal cohort studies following the same participants over time; and a small number used baseline data from randomised controlled trials. Second, the authors of this review collected their own information in the form of study characteristics, extracted using a structured data extraction form completed by three researchers, alongside a formal quality check known as the Risk of Bias Assessment Tool for Non-randomised Studies (ROBANS), completed independently by two reviewers for every included study (Kilgour et al., 2024).</w:t>
      </w:r>
    </w:p>
    <w:p w14:paraId="6890B903" w14:textId="77777777" w:rsidR="00C355BC" w:rsidRPr="00EB3083" w:rsidRDefault="00000000" w:rsidP="00EB3083">
      <w:pPr>
        <w:spacing w:after="200" w:line="360" w:lineRule="auto"/>
        <w:rPr>
          <w:color w:val="000000" w:themeColor="text1"/>
        </w:rPr>
      </w:pPr>
      <w:r w:rsidRPr="00EB3083">
        <w:rPr>
          <w:color w:val="000000" w:themeColor="text1"/>
        </w:rPr>
        <w:t>In terms of analysis, the authors originally hoped to carry out a meta-analysis, a statistical technique for combining numerical results from several studies into one overall figure. However, because the included studies measured different outcomes in different ways, and most reported only percentages or rankings rather than precise effect sizes, a meta-analysis was not considered appropriate. Instead, the researchers carried out a narrative synthesis, using an existing theoretical framework called the socioecological model to organise the barriers and motivators into intrapersonal, meaning physical and psychological, interpersonal, and environmental categories. This allowed the authors to compare findings across very different studies in a structured way, even though the results themselves could not be statistically merged. Overall risk of bias across the 37 studies was found to be low, which gives reasonable confidence in the conclusions the review draws.</w:t>
      </w:r>
    </w:p>
    <w:p w14:paraId="13168CF2" w14:textId="77777777" w:rsidR="00C355BC" w:rsidRPr="00EB3083" w:rsidRDefault="00000000" w:rsidP="00EB3083">
      <w:pPr>
        <w:spacing w:after="200" w:line="360" w:lineRule="auto"/>
        <w:rPr>
          <w:color w:val="000000" w:themeColor="text1"/>
        </w:rPr>
      </w:pPr>
      <w:r w:rsidRPr="00EB3083">
        <w:rPr>
          <w:color w:val="000000" w:themeColor="text1"/>
        </w:rPr>
        <w:t xml:space="preserve">Choosing a quantitative approach made sense for this </w:t>
      </w:r>
      <w:proofErr w:type="gramStart"/>
      <w:r w:rsidRPr="00EB3083">
        <w:rPr>
          <w:color w:val="000000" w:themeColor="text1"/>
        </w:rPr>
        <w:t>particular research</w:t>
      </w:r>
      <w:proofErr w:type="gramEnd"/>
      <w:r w:rsidRPr="00EB3083">
        <w:rPr>
          <w:color w:val="000000" w:themeColor="text1"/>
        </w:rPr>
        <w:t xml:space="preserve"> question, because the authors wanted to know how common each barrier or motivator was across a </w:t>
      </w:r>
      <w:proofErr w:type="gramStart"/>
      <w:r w:rsidRPr="00EB3083">
        <w:rPr>
          <w:color w:val="000000" w:themeColor="text1"/>
        </w:rPr>
        <w:t>large combined</w:t>
      </w:r>
      <w:proofErr w:type="gramEnd"/>
      <w:r w:rsidRPr="00EB3083">
        <w:rPr>
          <w:color w:val="000000" w:themeColor="text1"/>
        </w:rPr>
        <w:t xml:space="preserve"> sample of over 26,000 older adults, and quantitative data is best suited to showing scale, frequency and comparison in this way. A purely qualitative approach could not have shown, for example, that fourteen separate studies identified concerns about health and fitness as a barrier, or that fear of falling was linked to forty-five extra sedentary minutes per day in one UK study. Interestingly, the authors note that their review was designed to sit alongside a companion qualitative review of the same topic (Meredith et al., 2023), which explored older people's own words and experiences. Together, the two reviews demonstrate </w:t>
      </w:r>
      <w:r w:rsidRPr="00EB3083">
        <w:rPr>
          <w:color w:val="000000" w:themeColor="text1"/>
        </w:rPr>
        <w:lastRenderedPageBreak/>
        <w:t>how quantitative and qualitative research can complement one another, with numbers showing what happens and words helping to explain why.</w:t>
      </w:r>
    </w:p>
    <w:p w14:paraId="6329E61F" w14:textId="77777777" w:rsidR="00C355BC" w:rsidRPr="00EB3083" w:rsidRDefault="00000000" w:rsidP="00EB3083">
      <w:pPr>
        <w:pStyle w:val="Heading1"/>
        <w:spacing w:before="300" w:after="200" w:line="360" w:lineRule="auto"/>
        <w:rPr>
          <w:color w:val="000000" w:themeColor="text1"/>
        </w:rPr>
      </w:pPr>
      <w:r w:rsidRPr="00EB3083">
        <w:rPr>
          <w:color w:val="000000" w:themeColor="text1"/>
          <w:sz w:val="26"/>
          <w:szCs w:val="26"/>
        </w:rPr>
        <w:t>Section 4: Conclusion</w:t>
      </w:r>
    </w:p>
    <w:p w14:paraId="596E14AB" w14:textId="77777777" w:rsidR="00C355BC" w:rsidRPr="00EB3083" w:rsidRDefault="00000000" w:rsidP="00EB3083">
      <w:pPr>
        <w:spacing w:after="200" w:line="360" w:lineRule="auto"/>
        <w:rPr>
          <w:color w:val="000000" w:themeColor="text1"/>
        </w:rPr>
      </w:pPr>
      <w:r w:rsidRPr="00EB3083">
        <w:rPr>
          <w:color w:val="000000" w:themeColor="text1"/>
        </w:rPr>
        <w:t>In summary, this report has examined Kilgour et al.'s (2024) systematic review of quantitative research into the barriers and motivators affecting physical activity among adults aged 70 and over. The review found that the most common barriers were concerns about health and fitness, lack of motivation, fear of falling, and environmental obstacles, while the strongest motivators were support from family and friends, social interaction, personal enjoyment, and access to outdoor facilities. The review used secondary quantitative data drawn from 37 existing studies, analysed through narrative synthesis rather than statistical meta-analysis, because the underlying studies were too varied in design to combine mathematically.</w:t>
      </w:r>
    </w:p>
    <w:p w14:paraId="6F1BC30D" w14:textId="77777777" w:rsidR="00C355BC" w:rsidRPr="00EB3083" w:rsidRDefault="00000000" w:rsidP="00EB3083">
      <w:pPr>
        <w:spacing w:after="200" w:line="360" w:lineRule="auto"/>
        <w:rPr>
          <w:color w:val="000000" w:themeColor="text1"/>
        </w:rPr>
      </w:pPr>
      <w:r w:rsidRPr="00EB3083">
        <w:rPr>
          <w:color w:val="000000" w:themeColor="text1"/>
        </w:rPr>
        <w:t xml:space="preserve">Working through this paper has taught me a great deal about how to read and evaluate research critically rather than simply accepting findings at face value. I now feel more confident distinguishing between quantitative, qualitative and mixed-methods research, and understanding why a researcher might choose one approach over another depending on their question. I also understand the difference between primary and secondary data more clearly, and how a systematic review can generate valuable, trustworthy evidence without collecting a single new questionnaire, provided it is carried out with a rigorous and transparent method such as PRISMA. Recognising tools like PROSPERO registration and formal risk-of-bias assessment has helped me understand what </w:t>
      </w:r>
      <w:proofErr w:type="gramStart"/>
      <w:r w:rsidRPr="00EB3083">
        <w:rPr>
          <w:color w:val="000000" w:themeColor="text1"/>
        </w:rPr>
        <w:t>actually makes</w:t>
      </w:r>
      <w:proofErr w:type="gramEnd"/>
      <w:r w:rsidRPr="00EB3083">
        <w:rPr>
          <w:color w:val="000000" w:themeColor="text1"/>
        </w:rPr>
        <w:t xml:space="preserve"> a piece of research credible. These research literacy skills will be valuable throughout my future studies and career in health and social care, helping me critically appraise evidence-based guidance and make more informed, confident decisions when supporting the wellbeing of older people.</w:t>
      </w:r>
    </w:p>
    <w:p w14:paraId="1716CF3F" w14:textId="77777777" w:rsidR="00C355BC" w:rsidRPr="00EB3083" w:rsidRDefault="00000000" w:rsidP="00EB3083">
      <w:pPr>
        <w:spacing w:line="360" w:lineRule="auto"/>
        <w:rPr>
          <w:color w:val="000000" w:themeColor="text1"/>
        </w:rPr>
      </w:pPr>
      <w:r w:rsidRPr="00EB3083">
        <w:rPr>
          <w:color w:val="000000" w:themeColor="text1"/>
        </w:rPr>
        <w:br w:type="page"/>
      </w:r>
    </w:p>
    <w:p w14:paraId="61197196" w14:textId="77777777" w:rsidR="00C355BC" w:rsidRPr="00EB3083" w:rsidRDefault="00000000" w:rsidP="00EB3083">
      <w:pPr>
        <w:pStyle w:val="Heading1"/>
        <w:spacing w:before="300" w:after="200" w:line="360" w:lineRule="auto"/>
        <w:rPr>
          <w:color w:val="000000" w:themeColor="text1"/>
        </w:rPr>
      </w:pPr>
      <w:r w:rsidRPr="00EB3083">
        <w:rPr>
          <w:color w:val="000000" w:themeColor="text1"/>
          <w:sz w:val="26"/>
          <w:szCs w:val="26"/>
        </w:rPr>
        <w:lastRenderedPageBreak/>
        <w:t>Reference List</w:t>
      </w:r>
    </w:p>
    <w:p w14:paraId="28276F32" w14:textId="77777777" w:rsidR="00C355BC" w:rsidRPr="00EB3083" w:rsidRDefault="00000000" w:rsidP="00EB3083">
      <w:pPr>
        <w:spacing w:after="160" w:line="360" w:lineRule="auto"/>
        <w:ind w:left="720" w:hanging="720"/>
        <w:rPr>
          <w:color w:val="000000" w:themeColor="text1"/>
        </w:rPr>
      </w:pPr>
      <w:r w:rsidRPr="00EB3083">
        <w:rPr>
          <w:color w:val="000000" w:themeColor="text1"/>
        </w:rPr>
        <w:t xml:space="preserve">Bowling, A. (2014) Research Methods in Health: Investigating Health and Health Services. 4th </w:t>
      </w:r>
      <w:proofErr w:type="spellStart"/>
      <w:r w:rsidRPr="00EB3083">
        <w:rPr>
          <w:color w:val="000000" w:themeColor="text1"/>
        </w:rPr>
        <w:t>edn</w:t>
      </w:r>
      <w:proofErr w:type="spellEnd"/>
      <w:r w:rsidRPr="00EB3083">
        <w:rPr>
          <w:color w:val="000000" w:themeColor="text1"/>
        </w:rPr>
        <w:t>. Maidenhead: Open University Press.</w:t>
      </w:r>
    </w:p>
    <w:p w14:paraId="0BE193A1" w14:textId="77777777" w:rsidR="00C355BC" w:rsidRPr="00EB3083" w:rsidRDefault="00000000" w:rsidP="00EB3083">
      <w:pPr>
        <w:spacing w:after="160" w:line="360" w:lineRule="auto"/>
        <w:ind w:left="720" w:hanging="720"/>
        <w:rPr>
          <w:color w:val="000000" w:themeColor="text1"/>
        </w:rPr>
      </w:pPr>
      <w:r w:rsidRPr="00EB3083">
        <w:rPr>
          <w:color w:val="000000" w:themeColor="text1"/>
        </w:rPr>
        <w:t xml:space="preserve">Creswell, J.W. and Creswell, J.D. (2018) Research Design: Qualitative, Quantitative, and Mixed Methods Approaches. 5th </w:t>
      </w:r>
      <w:proofErr w:type="spellStart"/>
      <w:r w:rsidRPr="00EB3083">
        <w:rPr>
          <w:color w:val="000000" w:themeColor="text1"/>
        </w:rPr>
        <w:t>edn</w:t>
      </w:r>
      <w:proofErr w:type="spellEnd"/>
      <w:r w:rsidRPr="00EB3083">
        <w:rPr>
          <w:color w:val="000000" w:themeColor="text1"/>
        </w:rPr>
        <w:t>. Thousand Oaks, CA: Sage.</w:t>
      </w:r>
    </w:p>
    <w:p w14:paraId="67E93F62" w14:textId="77777777" w:rsidR="00C355BC" w:rsidRPr="00EB3083" w:rsidRDefault="00000000" w:rsidP="00EB3083">
      <w:pPr>
        <w:spacing w:after="160" w:line="360" w:lineRule="auto"/>
        <w:ind w:left="720" w:hanging="720"/>
        <w:rPr>
          <w:color w:val="000000" w:themeColor="text1"/>
        </w:rPr>
      </w:pPr>
      <w:r w:rsidRPr="00EB3083">
        <w:rPr>
          <w:color w:val="000000" w:themeColor="text1"/>
        </w:rPr>
        <w:t>Department of Health and Social Care (2019) UK Chief Medical Officers' Physical Activity Guidelines. London: DHSC.</w:t>
      </w:r>
    </w:p>
    <w:p w14:paraId="7A317FC5" w14:textId="77777777" w:rsidR="00C355BC" w:rsidRPr="00EB3083" w:rsidRDefault="00000000" w:rsidP="00EB3083">
      <w:pPr>
        <w:spacing w:after="160" w:line="360" w:lineRule="auto"/>
        <w:ind w:left="720" w:hanging="720"/>
        <w:rPr>
          <w:color w:val="000000" w:themeColor="text1"/>
        </w:rPr>
      </w:pPr>
      <w:r w:rsidRPr="00EB3083">
        <w:rPr>
          <w:color w:val="000000" w:themeColor="text1"/>
        </w:rPr>
        <w:t xml:space="preserve">Kilgour, A.H.M., Rutherford, M., Higson, J., Meredith, S.J., McNiff, J., Mitchell, S., </w:t>
      </w:r>
      <w:proofErr w:type="spellStart"/>
      <w:r w:rsidRPr="00EB3083">
        <w:rPr>
          <w:color w:val="000000" w:themeColor="text1"/>
        </w:rPr>
        <w:t>Wijayendran</w:t>
      </w:r>
      <w:proofErr w:type="spellEnd"/>
      <w:r w:rsidRPr="00EB3083">
        <w:rPr>
          <w:color w:val="000000" w:themeColor="text1"/>
        </w:rPr>
        <w:t>, A., Lim, S.E.R. and Shenkin, S.D. (2024) 'Barriers and motivators to undertaking physical activity in adults over 70 - a systematic review of the quantitative literature', Age and Ageing, 53(4), afae080. Available at: https://doi.org/10.1093/ageing/afae080 (Accessed: 17 August 2026).</w:t>
      </w:r>
    </w:p>
    <w:p w14:paraId="57FF9B5B" w14:textId="77777777" w:rsidR="00C355BC" w:rsidRPr="00EB3083" w:rsidRDefault="00000000" w:rsidP="00EB3083">
      <w:pPr>
        <w:spacing w:after="160" w:line="360" w:lineRule="auto"/>
        <w:ind w:left="720" w:hanging="720"/>
        <w:rPr>
          <w:color w:val="000000" w:themeColor="text1"/>
        </w:rPr>
      </w:pPr>
      <w:r w:rsidRPr="00EB3083">
        <w:rPr>
          <w:color w:val="000000" w:themeColor="text1"/>
        </w:rPr>
        <w:t xml:space="preserve">Meredith, S.J., Cox, N.J., Ibrahim, K., Higson, J., McNiff, J., Mitchell, S., </w:t>
      </w:r>
      <w:proofErr w:type="spellStart"/>
      <w:r w:rsidRPr="00EB3083">
        <w:rPr>
          <w:color w:val="000000" w:themeColor="text1"/>
        </w:rPr>
        <w:t>Wijayendran</w:t>
      </w:r>
      <w:proofErr w:type="spellEnd"/>
      <w:r w:rsidRPr="00EB3083">
        <w:rPr>
          <w:color w:val="000000" w:themeColor="text1"/>
        </w:rPr>
        <w:t xml:space="preserve">, A., Lim, S.E.R., Rutherford, M. and </w:t>
      </w:r>
      <w:proofErr w:type="spellStart"/>
      <w:r w:rsidRPr="00EB3083">
        <w:rPr>
          <w:color w:val="000000" w:themeColor="text1"/>
        </w:rPr>
        <w:t>Shenkin</w:t>
      </w:r>
      <w:proofErr w:type="spellEnd"/>
      <w:r w:rsidRPr="00EB3083">
        <w:rPr>
          <w:color w:val="000000" w:themeColor="text1"/>
        </w:rPr>
        <w:t>, S.D. (2023) 'Factors that influence older adults' participation in physical activity: a systematic review of qualitative studies', Age and Ageing, 52(12), afad145.</w:t>
      </w:r>
    </w:p>
    <w:p w14:paraId="03F7D664" w14:textId="77777777" w:rsidR="00C355BC" w:rsidRPr="00EB3083" w:rsidRDefault="00000000" w:rsidP="00EB3083">
      <w:pPr>
        <w:spacing w:after="160" w:line="360" w:lineRule="auto"/>
        <w:ind w:left="720" w:hanging="720"/>
        <w:rPr>
          <w:color w:val="000000" w:themeColor="text1"/>
        </w:rPr>
      </w:pPr>
      <w:r w:rsidRPr="00EB3083">
        <w:rPr>
          <w:color w:val="000000" w:themeColor="text1"/>
        </w:rPr>
        <w:t>NHS Digital (2017) Health Survey for England 2016. Leeds: NHS Digital.</w:t>
      </w:r>
    </w:p>
    <w:p w14:paraId="55E8761F" w14:textId="77777777" w:rsidR="00C355BC" w:rsidRPr="00EB3083" w:rsidRDefault="00000000" w:rsidP="00EB3083">
      <w:pPr>
        <w:spacing w:after="160" w:line="360" w:lineRule="auto"/>
        <w:ind w:left="720" w:hanging="720"/>
        <w:rPr>
          <w:color w:val="000000" w:themeColor="text1"/>
        </w:rPr>
      </w:pPr>
      <w:r w:rsidRPr="00EB3083">
        <w:rPr>
          <w:color w:val="000000" w:themeColor="text1"/>
        </w:rPr>
        <w:t xml:space="preserve">Sherrington, C., Fairhall, N., Kwok, W., Michaleff, Z.A., Tiedemann, A., Sherrington, C., Wallbank, G., Hassett, L. and Cameron, I.D. (2020) 'Evidence on physical activity and falls prevention for people aged 65+ years: systematic review to inform the WHO guidelines on physical activity and sedentary behaviour', International Journal of </w:t>
      </w:r>
      <w:proofErr w:type="spellStart"/>
      <w:r w:rsidRPr="00EB3083">
        <w:rPr>
          <w:color w:val="000000" w:themeColor="text1"/>
        </w:rPr>
        <w:t>Behavioral</w:t>
      </w:r>
      <w:proofErr w:type="spellEnd"/>
      <w:r w:rsidRPr="00EB3083">
        <w:rPr>
          <w:color w:val="000000" w:themeColor="text1"/>
        </w:rPr>
        <w:t xml:space="preserve"> Nutrition and Physical Activity, 17, 144.</w:t>
      </w:r>
    </w:p>
    <w:p w14:paraId="52085B27" w14:textId="77777777" w:rsidR="00C355BC" w:rsidRPr="00EB3083" w:rsidRDefault="00000000" w:rsidP="00EB3083">
      <w:pPr>
        <w:spacing w:after="160" w:line="360" w:lineRule="auto"/>
        <w:ind w:left="720" w:hanging="720"/>
        <w:rPr>
          <w:color w:val="000000" w:themeColor="text1"/>
        </w:rPr>
      </w:pPr>
      <w:r w:rsidRPr="00EB3083">
        <w:rPr>
          <w:color w:val="000000" w:themeColor="text1"/>
        </w:rPr>
        <w:t>World Health Organization (2020) WHO Guidelines on Physical Activity and Sedentary Behaviour. Geneva: WHO.</w:t>
      </w:r>
    </w:p>
    <w:sectPr w:rsidR="00C355BC" w:rsidRPr="00EB3083">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12F68" w14:textId="77777777" w:rsidR="007A4DDD" w:rsidRDefault="007A4DDD">
      <w:r>
        <w:separator/>
      </w:r>
    </w:p>
  </w:endnote>
  <w:endnote w:type="continuationSeparator" w:id="0">
    <w:p w14:paraId="71B000A7" w14:textId="77777777" w:rsidR="007A4DDD" w:rsidRDefault="007A4D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E4BD05" w14:textId="77777777" w:rsidR="00C355BC" w:rsidRDefault="00000000">
    <w:pPr>
      <w:jc w:val="center"/>
    </w:pPr>
    <w:r>
      <w:fldChar w:fldCharType="begin"/>
    </w:r>
    <w:r>
      <w:instrText>PAGE</w:instrText>
    </w:r>
    <w:r>
      <w:fldChar w:fldCharType="separate"/>
    </w:r>
    <w:r w:rsidR="00EB3083">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50390" w14:textId="77777777" w:rsidR="007A4DDD" w:rsidRDefault="007A4DDD">
      <w:r>
        <w:separator/>
      </w:r>
    </w:p>
  </w:footnote>
  <w:footnote w:type="continuationSeparator" w:id="0">
    <w:p w14:paraId="7C9ECF54" w14:textId="77777777" w:rsidR="007A4DDD" w:rsidRDefault="007A4D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F66E8B" w14:textId="77777777" w:rsidR="00C355BC" w:rsidRDefault="00C355B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484FC6"/>
    <w:multiLevelType w:val="hybridMultilevel"/>
    <w:tmpl w:val="69C88BD2"/>
    <w:lvl w:ilvl="0" w:tplc="8306054C">
      <w:start w:val="1"/>
      <w:numFmt w:val="bullet"/>
      <w:lvlText w:val="●"/>
      <w:lvlJc w:val="left"/>
      <w:pPr>
        <w:ind w:left="720" w:hanging="360"/>
      </w:pPr>
    </w:lvl>
    <w:lvl w:ilvl="1" w:tplc="881AE968">
      <w:start w:val="1"/>
      <w:numFmt w:val="bullet"/>
      <w:lvlText w:val="○"/>
      <w:lvlJc w:val="left"/>
      <w:pPr>
        <w:ind w:left="1440" w:hanging="360"/>
      </w:pPr>
    </w:lvl>
    <w:lvl w:ilvl="2" w:tplc="C758F2B6">
      <w:start w:val="1"/>
      <w:numFmt w:val="bullet"/>
      <w:lvlText w:val="■"/>
      <w:lvlJc w:val="left"/>
      <w:pPr>
        <w:ind w:left="2160" w:hanging="360"/>
      </w:pPr>
    </w:lvl>
    <w:lvl w:ilvl="3" w:tplc="F996712A">
      <w:start w:val="1"/>
      <w:numFmt w:val="bullet"/>
      <w:lvlText w:val="●"/>
      <w:lvlJc w:val="left"/>
      <w:pPr>
        <w:ind w:left="2880" w:hanging="360"/>
      </w:pPr>
    </w:lvl>
    <w:lvl w:ilvl="4" w:tplc="BB7AD0CC">
      <w:start w:val="1"/>
      <w:numFmt w:val="bullet"/>
      <w:lvlText w:val="○"/>
      <w:lvlJc w:val="left"/>
      <w:pPr>
        <w:ind w:left="3600" w:hanging="360"/>
      </w:pPr>
    </w:lvl>
    <w:lvl w:ilvl="5" w:tplc="CB9CDA98">
      <w:start w:val="1"/>
      <w:numFmt w:val="bullet"/>
      <w:lvlText w:val="■"/>
      <w:lvlJc w:val="left"/>
      <w:pPr>
        <w:ind w:left="4320" w:hanging="360"/>
      </w:pPr>
    </w:lvl>
    <w:lvl w:ilvl="6" w:tplc="9E68AC0C">
      <w:start w:val="1"/>
      <w:numFmt w:val="bullet"/>
      <w:lvlText w:val="●"/>
      <w:lvlJc w:val="left"/>
      <w:pPr>
        <w:ind w:left="5040" w:hanging="360"/>
      </w:pPr>
    </w:lvl>
    <w:lvl w:ilvl="7" w:tplc="D990E658">
      <w:start w:val="1"/>
      <w:numFmt w:val="bullet"/>
      <w:lvlText w:val="●"/>
      <w:lvlJc w:val="left"/>
      <w:pPr>
        <w:ind w:left="5760" w:hanging="360"/>
      </w:pPr>
    </w:lvl>
    <w:lvl w:ilvl="8" w:tplc="6BCE48F2">
      <w:start w:val="1"/>
      <w:numFmt w:val="bullet"/>
      <w:lvlText w:val="●"/>
      <w:lvlJc w:val="left"/>
      <w:pPr>
        <w:ind w:left="6480" w:hanging="360"/>
      </w:pPr>
    </w:lvl>
  </w:abstractNum>
  <w:num w:numId="1" w16cid:durableId="195193053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55BC"/>
    <w:rsid w:val="003A2222"/>
    <w:rsid w:val="007210BB"/>
    <w:rsid w:val="007A4DDD"/>
    <w:rsid w:val="007E3BFC"/>
    <w:rsid w:val="00A74DD0"/>
    <w:rsid w:val="00C355BC"/>
    <w:rsid w:val="00EB3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364C05"/>
  <w15:docId w15:val="{3C55E4E7-DDEE-AB40-9ED2-501CB3BA8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7</Pages>
  <Words>1889</Words>
  <Characters>10962</Characters>
  <Application>Microsoft Office Word</Application>
  <DocSecurity>0</DocSecurity>
  <Lines>168</Lines>
  <Paragraphs>47</Paragraphs>
  <ScaleCrop>false</ScaleCrop>
  <Company/>
  <LinksUpToDate>false</LinksUpToDate>
  <CharactersWithSpaces>12804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Sojib Ahmed Raj</cp:lastModifiedBy>
  <cp:revision>5</cp:revision>
  <dcterms:created xsi:type="dcterms:W3CDTF">2026-08-17T09:50:00Z</dcterms:created>
  <dcterms:modified xsi:type="dcterms:W3CDTF">2026-08-17T12:59:00Z</dcterms:modified>
</cp:coreProperties>
</file>