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D2647" w:rsidRDefault="004D2647" w14:paraId="56F33799" w14:textId="77777777"/>
    <w:p w:rsidR="004D2647" w:rsidRDefault="004D2647" w14:paraId="4BA8DB4C" w14:textId="77777777"/>
    <w:p w:rsidR="004D2647" w:rsidRDefault="004D2647" w14:paraId="27F1CFF9" w14:textId="77777777"/>
    <w:p w:rsidR="004D2647" w:rsidRDefault="00C871CC" w14:paraId="02C44360" w14:textId="77777777">
      <w:pPr>
        <w:jc w:val="center"/>
      </w:pPr>
      <w:r>
        <w:rPr>
          <w:b/>
          <w:color w:val="1F4E79"/>
          <w:sz w:val="22"/>
        </w:rPr>
        <w:t>LCBB5014 | DATA HANDLING &amp; BUSINESS INTELLIGENCE</w:t>
      </w:r>
    </w:p>
    <w:p w:rsidR="004D2647" w:rsidRDefault="00C871CC" w14:paraId="3E596B07" w14:textId="77777777">
      <w:pPr>
        <w:pStyle w:val="Title"/>
        <w:jc w:val="center"/>
      </w:pPr>
      <w:r>
        <w:t>Business Intelligence for Retail Decision-Making</w:t>
      </w:r>
    </w:p>
    <w:p w:rsidR="004D2647" w:rsidRDefault="00C871CC" w14:paraId="076BCB62" w14:textId="77777777">
      <w:pPr>
        <w:pStyle w:val="Subtitle"/>
        <w:jc w:val="center"/>
      </w:pPr>
      <w:r>
        <w:t>A practical BI, data warehousing and analytics proposal</w:t>
      </w:r>
    </w:p>
    <w:p w:rsidR="004D2647" w:rsidRDefault="00C871CC" w14:paraId="4D661EEE" w14:textId="382FD822">
      <w:pPr>
        <w:jc w:val="center"/>
      </w:pPr>
      <w:r>
        <w:rPr>
          <w:b/>
          <w:color w:val="1F4E79"/>
          <w:sz w:val="28"/>
        </w:rPr>
        <w:t>The Works.co.uk plc</w:t>
      </w:r>
    </w:p>
    <w:p w:rsidR="004D2647" w:rsidRDefault="004D2647" w14:paraId="61BD705E" w14:textId="77777777"/>
    <w:tbl>
      <w:tblPr>
        <w:tblW w:w="9360" w:type="dxa"/>
        <w:tblInd w:w="120" w:type="dxa"/>
        <w:tblBorders>
          <w:top w:val="single" w:color="AAB7C4" w:sz="6" w:space="0"/>
          <w:left w:val="single" w:color="AAB7C4" w:sz="6" w:space="0"/>
          <w:bottom w:val="single" w:color="AAB7C4" w:sz="6" w:space="0"/>
          <w:right w:val="single" w:color="AAB7C4" w:sz="6" w:space="0"/>
          <w:insideH w:val="single" w:color="AAB7C4" w:sz="6" w:space="0"/>
          <w:insideV w:val="single" w:color="AAB7C4" w:sz="6" w:space="0"/>
        </w:tblBorders>
        <w:tblLayout w:type="fixed"/>
        <w:tblLook w:val="04A0" w:firstRow="1" w:lastRow="0" w:firstColumn="1" w:lastColumn="0" w:noHBand="0" w:noVBand="1"/>
      </w:tblPr>
      <w:tblGrid>
        <w:gridCol w:w="2700"/>
        <w:gridCol w:w="6660"/>
      </w:tblGrid>
      <w:tr w:rsidR="004D2647" w:rsidTr="16BC88C1" w14:paraId="7E88D786" w14:textId="77777777">
        <w:tc>
          <w:tcPr>
            <w:tcW w:w="2700" w:type="dxa"/>
            <w:shd w:val="clear" w:color="auto" w:fill="EAF0F6"/>
            <w:tcMar>
              <w:top w:w="100" w:type="dxa"/>
              <w:left w:w="120" w:type="dxa"/>
              <w:bottom w:w="100" w:type="dxa"/>
              <w:right w:w="120" w:type="dxa"/>
            </w:tcMar>
            <w:vAlign w:val="center"/>
          </w:tcPr>
          <w:p w:rsidR="004D2647" w:rsidRDefault="00C871CC" w14:paraId="3B8CB32B" w14:textId="77777777">
            <w:pPr>
              <w:spacing w:after="0" w:line="276" w:lineRule="auto"/>
            </w:pPr>
            <w:r>
              <w:rPr>
                <w:b/>
                <w:sz w:val="22"/>
              </w:rPr>
              <w:t>Student name</w:t>
            </w:r>
          </w:p>
        </w:tc>
        <w:tc>
          <w:tcPr>
            <w:tcW w:w="6660" w:type="dxa"/>
            <w:tcMar>
              <w:top w:w="100" w:type="dxa"/>
              <w:left w:w="120" w:type="dxa"/>
              <w:bottom w:w="100" w:type="dxa"/>
              <w:right w:w="120" w:type="dxa"/>
            </w:tcMar>
            <w:vAlign w:val="center"/>
          </w:tcPr>
          <w:p w:rsidR="004D2647" w:rsidRDefault="00C871CC" w14:paraId="1FC25D7A" w14:textId="017B1AF0">
            <w:pPr>
              <w:spacing w:after="0" w:line="276" w:lineRule="auto"/>
            </w:pPr>
            <w:r w:rsidRPr="16BC88C1" w:rsidR="551FD295">
              <w:rPr>
                <w:sz w:val="22"/>
                <w:szCs w:val="22"/>
              </w:rPr>
              <w:t>Florina Petre</w:t>
            </w:r>
          </w:p>
        </w:tc>
      </w:tr>
      <w:tr w:rsidR="004D2647" w:rsidTr="16BC88C1" w14:paraId="2542C647" w14:textId="77777777">
        <w:tc>
          <w:tcPr>
            <w:tcW w:w="2700" w:type="dxa"/>
            <w:shd w:val="clear" w:color="auto" w:fill="EAF0F6"/>
            <w:tcMar>
              <w:top w:w="100" w:type="dxa"/>
              <w:left w:w="120" w:type="dxa"/>
              <w:bottom w:w="100" w:type="dxa"/>
              <w:right w:w="120" w:type="dxa"/>
            </w:tcMar>
            <w:vAlign w:val="center"/>
          </w:tcPr>
          <w:p w:rsidR="004D2647" w:rsidRDefault="00C871CC" w14:paraId="62C13773" w14:textId="77777777">
            <w:pPr>
              <w:spacing w:after="0" w:line="276" w:lineRule="auto"/>
            </w:pPr>
            <w:r>
              <w:rPr>
                <w:b/>
                <w:sz w:val="22"/>
              </w:rPr>
              <w:t>Student ID</w:t>
            </w:r>
          </w:p>
        </w:tc>
        <w:tc>
          <w:tcPr>
            <w:tcW w:w="6660" w:type="dxa"/>
            <w:tcMar>
              <w:top w:w="100" w:type="dxa"/>
              <w:left w:w="120" w:type="dxa"/>
              <w:bottom w:w="100" w:type="dxa"/>
              <w:right w:w="120" w:type="dxa"/>
            </w:tcMar>
            <w:vAlign w:val="center"/>
          </w:tcPr>
          <w:p w:rsidR="004D2647" w:rsidRDefault="00C871CC" w14:paraId="297915B7" w14:textId="18E47545">
            <w:pPr>
              <w:spacing w:after="0" w:line="276" w:lineRule="auto"/>
            </w:pPr>
            <w:r w:rsidRPr="16BC88C1" w:rsidR="2B8A9DB6">
              <w:rPr>
                <w:sz w:val="22"/>
                <w:szCs w:val="22"/>
              </w:rPr>
              <w:t>2326724</w:t>
            </w:r>
          </w:p>
        </w:tc>
      </w:tr>
      <w:tr w:rsidR="004D2647" w:rsidTr="16BC88C1" w14:paraId="2753A6C9" w14:textId="77777777">
        <w:tc>
          <w:tcPr>
            <w:tcW w:w="2700" w:type="dxa"/>
            <w:shd w:val="clear" w:color="auto" w:fill="EAF0F6"/>
            <w:tcMar>
              <w:top w:w="100" w:type="dxa"/>
              <w:left w:w="120" w:type="dxa"/>
              <w:bottom w:w="100" w:type="dxa"/>
              <w:right w:w="120" w:type="dxa"/>
            </w:tcMar>
            <w:vAlign w:val="center"/>
          </w:tcPr>
          <w:p w:rsidR="004D2647" w:rsidRDefault="00C871CC" w14:paraId="0DBD5F7F" w14:textId="77777777">
            <w:pPr>
              <w:spacing w:after="0" w:line="276" w:lineRule="auto"/>
            </w:pPr>
            <w:r>
              <w:rPr>
                <w:b/>
                <w:sz w:val="22"/>
              </w:rPr>
              <w:t>Module</w:t>
            </w:r>
          </w:p>
        </w:tc>
        <w:tc>
          <w:tcPr>
            <w:tcW w:w="6660" w:type="dxa"/>
            <w:tcMar>
              <w:top w:w="100" w:type="dxa"/>
              <w:left w:w="120" w:type="dxa"/>
              <w:bottom w:w="100" w:type="dxa"/>
              <w:right w:w="120" w:type="dxa"/>
            </w:tcMar>
            <w:vAlign w:val="center"/>
          </w:tcPr>
          <w:p w:rsidR="004D2647" w:rsidRDefault="00C871CC" w14:paraId="35054C7A" w14:textId="77777777">
            <w:pPr>
              <w:spacing w:after="0" w:line="276" w:lineRule="auto"/>
            </w:pPr>
            <w:r>
              <w:rPr>
                <w:sz w:val="22"/>
              </w:rPr>
              <w:t>LCBB5014 Data Handling &amp; Business Intelligence</w:t>
            </w:r>
          </w:p>
        </w:tc>
      </w:tr>
      <w:tr w:rsidR="004D2647" w:rsidTr="16BC88C1" w14:paraId="2A293B24" w14:textId="77777777">
        <w:tc>
          <w:tcPr>
            <w:tcW w:w="2700" w:type="dxa"/>
            <w:shd w:val="clear" w:color="auto" w:fill="EAF0F6"/>
            <w:tcMar>
              <w:top w:w="100" w:type="dxa"/>
              <w:left w:w="120" w:type="dxa"/>
              <w:bottom w:w="100" w:type="dxa"/>
              <w:right w:w="120" w:type="dxa"/>
            </w:tcMar>
            <w:vAlign w:val="center"/>
          </w:tcPr>
          <w:p w:rsidR="004D2647" w:rsidRDefault="00C871CC" w14:paraId="4F3224EA" w14:textId="77777777">
            <w:pPr>
              <w:spacing w:after="0" w:line="276" w:lineRule="auto"/>
            </w:pPr>
            <w:r>
              <w:rPr>
                <w:b/>
                <w:sz w:val="22"/>
              </w:rPr>
              <w:t>Assessment</w:t>
            </w:r>
          </w:p>
        </w:tc>
        <w:tc>
          <w:tcPr>
            <w:tcW w:w="6660" w:type="dxa"/>
            <w:tcMar>
              <w:top w:w="100" w:type="dxa"/>
              <w:left w:w="120" w:type="dxa"/>
              <w:bottom w:w="100" w:type="dxa"/>
              <w:right w:w="120" w:type="dxa"/>
            </w:tcMar>
            <w:vAlign w:val="center"/>
          </w:tcPr>
          <w:p w:rsidR="004D2647" w:rsidRDefault="00C871CC" w14:paraId="51BF122D" w14:textId="77777777">
            <w:pPr>
              <w:spacing w:after="0" w:line="276" w:lineRule="auto"/>
            </w:pPr>
            <w:r>
              <w:rPr>
                <w:sz w:val="22"/>
              </w:rPr>
              <w:t>Individual Report</w:t>
            </w:r>
          </w:p>
        </w:tc>
      </w:tr>
    </w:tbl>
    <w:p w:rsidR="004D2647" w:rsidRDefault="00C871CC" w14:paraId="15E2ADC4" w14:textId="77777777">
      <w:r>
        <w:br w:type="page"/>
      </w:r>
    </w:p>
    <w:p w:rsidR="004D2647" w:rsidRDefault="00C871CC" w14:paraId="3430E34A" w14:textId="77777777">
      <w:pPr>
        <w:pStyle w:val="Heading1"/>
      </w:pPr>
      <w:r>
        <w:lastRenderedPageBreak/>
        <w:t>Executive Summary</w:t>
      </w:r>
    </w:p>
    <w:p w:rsidR="004D2647" w:rsidRDefault="00C871CC" w14:paraId="528C525E" w14:textId="77777777">
      <w:r>
        <w:t xml:space="preserve">This report evaluates how The Works.co.uk plc, a UK </w:t>
      </w:r>
      <w:r>
        <w:t>value retailer of arts, crafts, books, toys and stationery, can use business intelligence (BI), data warehousing (DW), data mining (DM) and predictive analytics to improve strategic decisions. Cloud warehousing and near-real-time reporting can create one g</w:t>
      </w:r>
      <w:r>
        <w:t>overned view of stores, e-commerce, loyalty, stock and suppliers. Association-rule mining can improve ranging and cross-selling, while demand models can reduce lost sales and markdowns. A phased Microsoft-centred solution is recommended: governed ingestion</w:t>
      </w:r>
      <w:r>
        <w:t>, a dimensional warehouse, Power BI dashboards and tested predictive models. Benefits depend on data quality, staff adoption and explicit controls for UK GDPR, security, bias and model monitoring.</w:t>
      </w:r>
    </w:p>
    <w:p w:rsidR="004D2647" w:rsidRDefault="00C871CC" w14:paraId="6C40BABC" w14:textId="77777777">
      <w:pPr>
        <w:pStyle w:val="Heading1"/>
      </w:pPr>
      <w:r>
        <w:t>1. Introduction</w:t>
      </w:r>
    </w:p>
    <w:p w:rsidR="004D2647" w:rsidRDefault="00C871CC" w14:paraId="0A48AF4B" w14:textId="77777777">
      <w:r>
        <w:t>The Works.co.uk plc is a UK multichannel va</w:t>
      </w:r>
      <w:r>
        <w:t>lue retailer whose commercial performance depends on selecting fast-moving products, allocating stock across stores and online channels, and reacting to seasonal demand. Its public reporting emphasises a customer proposition spanning books, arts and crafts</w:t>
      </w:r>
      <w:r>
        <w:t>, stationery, toys and gifts (The Works.co.uk plc, 2025). These categories create volatile, promotion-sensitive data and many low-value transactions, making managerial intuition alone insufficient.</w:t>
      </w:r>
    </w:p>
    <w:p w:rsidR="004D2647" w:rsidRDefault="00C871CC" w14:paraId="2179806D" w14:textId="77777777">
      <w:r>
        <w:t>The report explains how BI, DW and DM can support better d</w:t>
      </w:r>
      <w:r>
        <w:t>ecisions at The Works. It first evaluates current technology trends, then proposes a dimensional warehouse, two data-mining applications, predictive tools, governance safeguards and dashboard solutions. The analysis uses Kimball’s architecture and CRISP-DM</w:t>
      </w:r>
      <w:r>
        <w:t xml:space="preserve"> to connect technical choices to retail value rather than treating analytics as a software purchase.</w:t>
      </w:r>
    </w:p>
    <w:p w:rsidR="004D2647" w:rsidRDefault="00C871CC" w14:paraId="4D40A792" w14:textId="77777777">
      <w:pPr>
        <w:pStyle w:val="Heading1"/>
      </w:pPr>
      <w:r>
        <w:t>2. Current Trends in BI, Data Warehousing and Data Mining</w:t>
      </w:r>
    </w:p>
    <w:p w:rsidR="004D2647" w:rsidRDefault="00C871CC" w14:paraId="44695AF0" w14:textId="77777777">
      <w:r>
        <w:t>BI turns integrated data into reports, explanations and decisions; a data warehouse provides cura</w:t>
      </w:r>
      <w:r>
        <w:t xml:space="preserve">ted, time-variant data; and data mining identifies patterns or predictive relationships within it (Chen, Chiang and Storey, 2012; Han, Pei and Tong, 2022). The boundaries are increasingly blurred. Cloud platforms combine ingestion, warehousing, </w:t>
      </w:r>
      <w:r>
        <w:lastRenderedPageBreak/>
        <w:t>machine lea</w:t>
      </w:r>
      <w:r>
        <w:t>rning and visualisation, lowering infrastructure barriers but creating consumption-cost, vendor-lock-in and skills risks.</w:t>
      </w:r>
    </w:p>
    <w:p w:rsidR="004D2647" w:rsidRDefault="00C871CC" w14:paraId="18D28D4B" w14:textId="77777777">
      <w:r>
        <w:t>Three trends are strategically relevant. First, near-real-time BI streams sales and inventory events into operational dashboards. This</w:t>
      </w:r>
      <w:r>
        <w:t xml:space="preserve"> improves responsiveness, although ‘real time’ is only valuable when a decision and accountable owner exist. Second, cloud lakehouse architectures retain detailed semi-structured data while exposing governed analytical tables. They offer flexibility, yet w</w:t>
      </w:r>
      <w:r>
        <w:t>eak cataloguing can create a poorly controlled data swamp. Third, embedded AI automates forecasting, anomaly detection and natural-language querying. AI can broaden access, but opaque outputs and automation bias mean human review remains necessary (Dwivedi</w:t>
      </w:r>
      <w:r>
        <w:t xml:space="preserve"> et al., 2021).</w:t>
      </w:r>
    </w:p>
    <w:p w:rsidR="004D2647" w:rsidRDefault="00C871CC" w14:paraId="6083437F" w14:textId="77777777">
      <w:r>
        <w:t>Kimball’s dimensional model remains useful because conformed dimensions make measures comparable across processes (Kimball and Ross, 2013). CRISP-DM complements it by requiring business understanding, data preparation, modelling, evaluation</w:t>
      </w:r>
      <w:r>
        <w:t xml:space="preserve"> and deployment rather than beginning with an algorithm (Wirth and Hipp, 2000). Contemporary analytics capabilities create value when they are combined with organisational routines and managerial action; technology alone is not a sustained advantage (Mikal</w:t>
      </w:r>
      <w:r>
        <w:t>ef et al., 2020; Seddon et al., 2017).</w:t>
      </w:r>
    </w:p>
    <w:p w:rsidR="004D2647" w:rsidRDefault="00C871CC" w14:paraId="26C14365" w14:textId="77777777">
      <w:r>
        <w:t xml:space="preserve">Self-service BI is a fourth important trend. Business users can explore certified datasets without waiting for a central reporting queue, improving speed and local ownership. Yet self-service without a </w:t>
      </w:r>
      <w:r>
        <w:t>semantic layer creates competing calculations and uncontrolled spreadsheet extracts. The Works should distinguish governed self-service, where users build on certified measures, from unrestricted access to raw operational data. A hub-and-spoke operating mo</w:t>
      </w:r>
      <w:r>
        <w:t>del is preferable: a small central data team owns platforms, standards and sensitive data, while trained category and operations analysts create local analysis. This balances consistency with responsiveness and supports the wider organisational capabilitie</w:t>
      </w:r>
      <w:r>
        <w:t>s required for digital transformation (Hanelt et al., 2021; Verhoef et al., 2021).</w:t>
      </w:r>
    </w:p>
    <w:p w:rsidR="004D2647" w:rsidRDefault="00C871CC" w14:paraId="5F432E84" w14:textId="77777777">
      <w:pPr>
        <w:pStyle w:val="Heading1"/>
      </w:pPr>
      <w:r>
        <w:lastRenderedPageBreak/>
        <w:t>3. Data Warehousing Application at The Works</w:t>
      </w:r>
    </w:p>
    <w:p w:rsidR="004D2647" w:rsidRDefault="00C871CC" w14:paraId="2F5C59F7" w14:textId="77777777">
      <w:r>
        <w:t>The Works should create a cloud-based dimensional warehouse that integrates point-of-sale transactions, e-commerce orders, produ</w:t>
      </w:r>
      <w:r>
        <w:t>ct master data, loyalty interactions, promotions, store labour, stock movements, supplier deliveries and returns. Source systems would land data through scheduled and event-based pipelines. Validation rules would quarantine invalid product codes, duplicate</w:t>
      </w:r>
      <w:r>
        <w:t xml:space="preserve"> orders and impossible quantities before loading curated fact tables. A common product, store, customer, supplier and calendar vocabulary would prevent each department calculating sales, margin or availability differently.</w:t>
      </w:r>
    </w:p>
    <w:p w:rsidR="004D2647" w:rsidRDefault="00C871CC" w14:paraId="04F434AC" w14:textId="77777777">
      <w:r>
        <w:t xml:space="preserve">A Kimball-style bus architecture </w:t>
      </w:r>
      <w:r>
        <w:t>should begin with high-value processes. A Sales fact table would store units, gross sales, discounts, tax, cost and margin at transaction-line grain. Inventory Snapshot would record daily on-hand, available and in-transit stock by location and SKU. Purchas</w:t>
      </w:r>
      <w:r>
        <w:t>e Order and Promotion facts would connect supplier reliability and campaign mechanics to later demand. Slowly changing dimensions would preserve historical category, price-band and store-format changes, allowing like-for-like analysis rather than rewriting</w:t>
      </w:r>
      <w:r>
        <w:t xml:space="preserve"> history (Kimball and Ross, 2013).</w:t>
      </w:r>
    </w:p>
    <w:p w:rsidR="004D2647" w:rsidRDefault="00C871CC" w14:paraId="27955917" w14:textId="77777777">
      <w:r>
        <w:t>Operationally, planners could see one version of stock and sell-through, identify store-SKU gaps, rebalance inventory and reduce manual spreadsheet reconciliation. Strategically, management could compare category contribu</w:t>
      </w:r>
      <w:r>
        <w:t>tion, promotion incrementality, online-to-store substitution and supplier service. A semantic layer should publish certified measures such as gross margin return on inventory, stock cover, sell-through, forecast accuracy and on-time-in-full delivery. Role-</w:t>
      </w:r>
      <w:r>
        <w:t>based access would restrict customer-level data while still enabling aggregated insight.</w:t>
      </w:r>
    </w:p>
    <w:p w:rsidR="004D2647" w:rsidRDefault="00C871CC" w14:paraId="2787A072" w14:textId="77777777">
      <w:r>
        <w:t>The design has trade-offs. A central warehouse improves consistency, but poor master data will merely centralise errors. Daily loads are sufficient for finance and ran</w:t>
      </w:r>
      <w:r>
        <w:t>ging; availability and order exceptions may need fifteen-minute updates. The Works should therefore prioritise decision latency rather than pursue universal real-time processing. Data owners, quality thresholds, lineage and reconciliation to financial tota</w:t>
      </w:r>
      <w:r>
        <w:t>ls must be agreed before dashboards are treated as authoritative.</w:t>
      </w:r>
    </w:p>
    <w:p w:rsidR="004D2647" w:rsidRDefault="00C871CC" w14:paraId="19230E22" w14:textId="77777777">
      <w:r>
        <w:lastRenderedPageBreak/>
        <w:t>Implementation should separate ingestion, storage, transformation and consumption. Change-data capture can bring e-commerce orders and stock movements into a landing zone, while batch extrac</w:t>
      </w:r>
      <w:r>
        <w:t>ts remain proportionate for finance and supplier files. Automated tests should verify row counts, referential integrity, freshness, accepted value ranges and reconciliation to source totals. Failed loads must not silently publish partial dashboards. Metada</w:t>
      </w:r>
      <w:r>
        <w:t>ta should record business definitions, data owner, refresh time, source and permitted use. These controls make the warehouse an auditable decision asset rather than merely a larger database.</w:t>
      </w:r>
    </w:p>
    <w:p w:rsidR="004D2647" w:rsidRDefault="00C871CC" w14:paraId="70E1E439" w14:textId="77777777">
      <w:r>
        <w:t>A warehouse also enables historical experimentation that operatio</w:t>
      </w:r>
      <w:r>
        <w:t>nal systems cannot support safely. Analysts could measure whether a promotion created incremental units or shifted purchases from nearby products, compare forecast error before and after ranging changes, and test whether supplier delays caused later lost s</w:t>
      </w:r>
      <w:r>
        <w:t>ales. Nevertheless, causal claims require careful design: promotional products are selected because managers expect demand, so simple before-and-after comparisons are biased. Matched controls or randomised pilots should be used where feasible. This analyti</w:t>
      </w:r>
      <w:r>
        <w:t>cal discipline is important because supply-chain data volume does not automatically produce reliable inference (Kache and Seuring, 2017).</w:t>
      </w:r>
    </w:p>
    <w:tbl>
      <w:tblPr>
        <w:tblW w:w="9360" w:type="dxa"/>
        <w:tblInd w:w="120" w:type="dxa"/>
        <w:tblBorders>
          <w:top w:val="single" w:color="AAB7C4" w:sz="6" w:space="0"/>
          <w:left w:val="single" w:color="AAB7C4" w:sz="6" w:space="0"/>
          <w:bottom w:val="single" w:color="AAB7C4" w:sz="6" w:space="0"/>
          <w:right w:val="single" w:color="AAB7C4" w:sz="6" w:space="0"/>
          <w:insideH w:val="single" w:color="AAB7C4" w:sz="6" w:space="0"/>
          <w:insideV w:val="single" w:color="AAB7C4" w:sz="6" w:space="0"/>
        </w:tblBorders>
        <w:tblLayout w:type="fixed"/>
        <w:tblLook w:val="04A0" w:firstRow="1" w:lastRow="0" w:firstColumn="1" w:lastColumn="0" w:noHBand="0" w:noVBand="1"/>
      </w:tblPr>
      <w:tblGrid>
        <w:gridCol w:w="2100"/>
        <w:gridCol w:w="2850"/>
        <w:gridCol w:w="4410"/>
      </w:tblGrid>
      <w:tr w:rsidR="004D2647" w14:paraId="5FC1B85D" w14:textId="77777777">
        <w:tc>
          <w:tcPr>
            <w:tcW w:w="2100" w:type="dxa"/>
            <w:shd w:val="clear" w:color="auto" w:fill="EAF0F6"/>
            <w:tcMar>
              <w:top w:w="100" w:type="dxa"/>
              <w:left w:w="120" w:type="dxa"/>
              <w:bottom w:w="100" w:type="dxa"/>
              <w:right w:w="120" w:type="dxa"/>
            </w:tcMar>
            <w:vAlign w:val="center"/>
          </w:tcPr>
          <w:p w:rsidR="004D2647" w:rsidRDefault="00C871CC" w14:paraId="24FD4F8D" w14:textId="77777777">
            <w:pPr>
              <w:spacing w:after="0" w:line="264" w:lineRule="auto"/>
              <w:jc w:val="left"/>
            </w:pPr>
            <w:r>
              <w:rPr>
                <w:b/>
                <w:color w:val="1F4E79"/>
                <w:sz w:val="21"/>
              </w:rPr>
              <w:t>Data mart</w:t>
            </w:r>
          </w:p>
        </w:tc>
        <w:tc>
          <w:tcPr>
            <w:tcW w:w="2850" w:type="dxa"/>
            <w:shd w:val="clear" w:color="auto" w:fill="EAF0F6"/>
            <w:tcMar>
              <w:top w:w="100" w:type="dxa"/>
              <w:left w:w="120" w:type="dxa"/>
              <w:bottom w:w="100" w:type="dxa"/>
              <w:right w:w="120" w:type="dxa"/>
            </w:tcMar>
            <w:vAlign w:val="center"/>
          </w:tcPr>
          <w:p w:rsidR="004D2647" w:rsidRDefault="00C871CC" w14:paraId="24E19CFB" w14:textId="77777777">
            <w:pPr>
              <w:spacing w:after="0" w:line="264" w:lineRule="auto"/>
              <w:jc w:val="left"/>
            </w:pPr>
            <w:r>
              <w:rPr>
                <w:b/>
                <w:color w:val="1F4E79"/>
                <w:sz w:val="21"/>
              </w:rPr>
              <w:t>Primary grain</w:t>
            </w:r>
          </w:p>
        </w:tc>
        <w:tc>
          <w:tcPr>
            <w:tcW w:w="4410" w:type="dxa"/>
            <w:shd w:val="clear" w:color="auto" w:fill="EAF0F6"/>
            <w:tcMar>
              <w:top w:w="100" w:type="dxa"/>
              <w:left w:w="120" w:type="dxa"/>
              <w:bottom w:w="100" w:type="dxa"/>
              <w:right w:w="120" w:type="dxa"/>
            </w:tcMar>
            <w:vAlign w:val="center"/>
          </w:tcPr>
          <w:p w:rsidR="004D2647" w:rsidRDefault="00C871CC" w14:paraId="7E500AF8" w14:textId="77777777">
            <w:pPr>
              <w:spacing w:after="0" w:line="264" w:lineRule="auto"/>
              <w:jc w:val="left"/>
            </w:pPr>
            <w:r>
              <w:rPr>
                <w:b/>
                <w:color w:val="1F4E79"/>
                <w:sz w:val="21"/>
              </w:rPr>
              <w:t>Decision supported</w:t>
            </w:r>
          </w:p>
        </w:tc>
      </w:tr>
      <w:tr w:rsidR="004D2647" w14:paraId="366B34DF" w14:textId="77777777">
        <w:tc>
          <w:tcPr>
            <w:tcW w:w="2100" w:type="dxa"/>
            <w:tcMar>
              <w:top w:w="100" w:type="dxa"/>
              <w:left w:w="120" w:type="dxa"/>
              <w:bottom w:w="100" w:type="dxa"/>
              <w:right w:w="120" w:type="dxa"/>
            </w:tcMar>
            <w:vAlign w:val="center"/>
          </w:tcPr>
          <w:p w:rsidR="004D2647" w:rsidRDefault="00C871CC" w14:paraId="25CAB3C2" w14:textId="77777777">
            <w:pPr>
              <w:spacing w:after="0" w:line="264" w:lineRule="auto"/>
              <w:jc w:val="left"/>
            </w:pPr>
            <w:r>
              <w:rPr>
                <w:sz w:val="21"/>
              </w:rPr>
              <w:t>Sales</w:t>
            </w:r>
          </w:p>
        </w:tc>
        <w:tc>
          <w:tcPr>
            <w:tcW w:w="2850" w:type="dxa"/>
            <w:tcMar>
              <w:top w:w="100" w:type="dxa"/>
              <w:left w:w="120" w:type="dxa"/>
              <w:bottom w:w="100" w:type="dxa"/>
              <w:right w:w="120" w:type="dxa"/>
            </w:tcMar>
            <w:vAlign w:val="center"/>
          </w:tcPr>
          <w:p w:rsidR="004D2647" w:rsidRDefault="00C871CC" w14:paraId="6C5EE97F" w14:textId="77777777">
            <w:pPr>
              <w:spacing w:after="0" w:line="264" w:lineRule="auto"/>
              <w:jc w:val="left"/>
            </w:pPr>
            <w:r>
              <w:rPr>
                <w:sz w:val="21"/>
              </w:rPr>
              <w:t>Transaction line</w:t>
            </w:r>
          </w:p>
        </w:tc>
        <w:tc>
          <w:tcPr>
            <w:tcW w:w="4410" w:type="dxa"/>
            <w:tcMar>
              <w:top w:w="100" w:type="dxa"/>
              <w:left w:w="120" w:type="dxa"/>
              <w:bottom w:w="100" w:type="dxa"/>
              <w:right w:w="120" w:type="dxa"/>
            </w:tcMar>
            <w:vAlign w:val="center"/>
          </w:tcPr>
          <w:p w:rsidR="004D2647" w:rsidRDefault="00C871CC" w14:paraId="1030AD0B" w14:textId="77777777">
            <w:pPr>
              <w:spacing w:after="0" w:line="264" w:lineRule="auto"/>
              <w:jc w:val="left"/>
            </w:pPr>
            <w:r>
              <w:rPr>
                <w:sz w:val="21"/>
              </w:rPr>
              <w:t>Category performance, margin and promotion analysis</w:t>
            </w:r>
          </w:p>
        </w:tc>
      </w:tr>
      <w:tr w:rsidR="004D2647" w14:paraId="66E21E4B" w14:textId="77777777">
        <w:tc>
          <w:tcPr>
            <w:tcW w:w="2100" w:type="dxa"/>
            <w:tcMar>
              <w:top w:w="100" w:type="dxa"/>
              <w:left w:w="120" w:type="dxa"/>
              <w:bottom w:w="100" w:type="dxa"/>
              <w:right w:w="120" w:type="dxa"/>
            </w:tcMar>
            <w:vAlign w:val="center"/>
          </w:tcPr>
          <w:p w:rsidR="004D2647" w:rsidRDefault="00C871CC" w14:paraId="49D8197D" w14:textId="77777777">
            <w:pPr>
              <w:spacing w:after="0" w:line="264" w:lineRule="auto"/>
              <w:jc w:val="left"/>
            </w:pPr>
            <w:r>
              <w:rPr>
                <w:sz w:val="21"/>
              </w:rPr>
              <w:t>Inventory</w:t>
            </w:r>
          </w:p>
        </w:tc>
        <w:tc>
          <w:tcPr>
            <w:tcW w:w="2850" w:type="dxa"/>
            <w:tcMar>
              <w:top w:w="100" w:type="dxa"/>
              <w:left w:w="120" w:type="dxa"/>
              <w:bottom w:w="100" w:type="dxa"/>
              <w:right w:w="120" w:type="dxa"/>
            </w:tcMar>
            <w:vAlign w:val="center"/>
          </w:tcPr>
          <w:p w:rsidR="004D2647" w:rsidRDefault="00C871CC" w14:paraId="0256BF62" w14:textId="77777777">
            <w:pPr>
              <w:spacing w:after="0" w:line="264" w:lineRule="auto"/>
              <w:jc w:val="left"/>
            </w:pPr>
            <w:r>
              <w:rPr>
                <w:sz w:val="21"/>
              </w:rPr>
              <w:t>Daily location-SKU snapshot</w:t>
            </w:r>
          </w:p>
        </w:tc>
        <w:tc>
          <w:tcPr>
            <w:tcW w:w="4410" w:type="dxa"/>
            <w:tcMar>
              <w:top w:w="100" w:type="dxa"/>
              <w:left w:w="120" w:type="dxa"/>
              <w:bottom w:w="100" w:type="dxa"/>
              <w:right w:w="120" w:type="dxa"/>
            </w:tcMar>
            <w:vAlign w:val="center"/>
          </w:tcPr>
          <w:p w:rsidR="004D2647" w:rsidRDefault="00C871CC" w14:paraId="54F8C673" w14:textId="77777777">
            <w:pPr>
              <w:spacing w:after="0" w:line="264" w:lineRule="auto"/>
              <w:jc w:val="left"/>
            </w:pPr>
            <w:r>
              <w:rPr>
                <w:sz w:val="21"/>
              </w:rPr>
              <w:t>Availability, cover, allocation and markdown risk</w:t>
            </w:r>
          </w:p>
        </w:tc>
      </w:tr>
      <w:tr w:rsidR="004D2647" w14:paraId="4D3D824D" w14:textId="77777777">
        <w:tc>
          <w:tcPr>
            <w:tcW w:w="2100" w:type="dxa"/>
            <w:tcMar>
              <w:top w:w="100" w:type="dxa"/>
              <w:left w:w="120" w:type="dxa"/>
              <w:bottom w:w="100" w:type="dxa"/>
              <w:right w:w="120" w:type="dxa"/>
            </w:tcMar>
            <w:vAlign w:val="center"/>
          </w:tcPr>
          <w:p w:rsidR="004D2647" w:rsidRDefault="00C871CC" w14:paraId="0BB0FF09" w14:textId="77777777">
            <w:pPr>
              <w:spacing w:after="0" w:line="264" w:lineRule="auto"/>
              <w:jc w:val="left"/>
            </w:pPr>
            <w:r>
              <w:rPr>
                <w:sz w:val="21"/>
              </w:rPr>
              <w:t>Purchasing</w:t>
            </w:r>
          </w:p>
        </w:tc>
        <w:tc>
          <w:tcPr>
            <w:tcW w:w="2850" w:type="dxa"/>
            <w:tcMar>
              <w:top w:w="100" w:type="dxa"/>
              <w:left w:w="120" w:type="dxa"/>
              <w:bottom w:w="100" w:type="dxa"/>
              <w:right w:w="120" w:type="dxa"/>
            </w:tcMar>
            <w:vAlign w:val="center"/>
          </w:tcPr>
          <w:p w:rsidR="004D2647" w:rsidRDefault="00C871CC" w14:paraId="2034C34E" w14:textId="77777777">
            <w:pPr>
              <w:spacing w:after="0" w:line="264" w:lineRule="auto"/>
              <w:jc w:val="left"/>
            </w:pPr>
            <w:r>
              <w:rPr>
                <w:sz w:val="21"/>
              </w:rPr>
              <w:t>Purchase-order line/event</w:t>
            </w:r>
          </w:p>
        </w:tc>
        <w:tc>
          <w:tcPr>
            <w:tcW w:w="4410" w:type="dxa"/>
            <w:tcMar>
              <w:top w:w="100" w:type="dxa"/>
              <w:left w:w="120" w:type="dxa"/>
              <w:bottom w:w="100" w:type="dxa"/>
              <w:right w:w="120" w:type="dxa"/>
            </w:tcMar>
            <w:vAlign w:val="center"/>
          </w:tcPr>
          <w:p w:rsidR="004D2647" w:rsidRDefault="00C871CC" w14:paraId="2335424E" w14:textId="77777777">
            <w:pPr>
              <w:spacing w:after="0" w:line="264" w:lineRule="auto"/>
              <w:jc w:val="left"/>
            </w:pPr>
            <w:r>
              <w:rPr>
                <w:sz w:val="21"/>
              </w:rPr>
              <w:t>Supplier reliability and inbound planning</w:t>
            </w:r>
          </w:p>
        </w:tc>
      </w:tr>
    </w:tbl>
    <w:p w:rsidR="004D2647" w:rsidRDefault="004D2647" w14:paraId="4BBCA741" w14:textId="77777777">
      <w:pPr>
        <w:spacing w:after="0"/>
      </w:pPr>
    </w:p>
    <w:p w:rsidR="004D2647" w:rsidRDefault="00C871CC" w14:paraId="1F6935F1" w14:textId="77777777">
      <w:pPr>
        <w:pStyle w:val="Heading1"/>
      </w:pPr>
      <w:r>
        <w:t>4. Data Mining Techniques</w:t>
      </w:r>
    </w:p>
    <w:p w:rsidR="004D2647" w:rsidRDefault="00C871CC" w14:paraId="22472369" w14:textId="77777777">
      <w:r>
        <w:t xml:space="preserve">Association-rule mining is appropriate for basket </w:t>
      </w:r>
      <w:r>
        <w:t>data. It can identify product combinations using support, confidence and lift; for example, craft kits may be purchased disproportionately with specific pens or storage products. The Works could use high-lift rules to design cross-sell recommendations, adj</w:t>
      </w:r>
      <w:r>
        <w:t xml:space="preserve">acencies and bundled </w:t>
      </w:r>
      <w:r>
        <w:lastRenderedPageBreak/>
        <w:t>promotions. However, frequent items can produce misleading rules, and association does not establish causality. Rules should be tested through controlled promotions and segmented by channel, season and store type (Han, Pei and Tong, 20</w:t>
      </w:r>
      <w:r>
        <w:t>22).</w:t>
      </w:r>
    </w:p>
    <w:p w:rsidR="004D2647" w:rsidRDefault="00C871CC" w14:paraId="1E264A37" w14:textId="77777777">
      <w:r>
        <w:t>A second technique is supervised regression, using gradient-boosted trees to predict weekly store-SKU demand from lagged sales, price, promotion, season, local store attributes, web interest and stock availability. Tree ensembles capture nonlinear eff</w:t>
      </w:r>
      <w:r>
        <w:t>ects and interactions better than a single linear model, but can overfit and may be hard to explain. CRISP-DM should govern feature preparation, time-based validation and deployment. The key metric should be weighted absolute percentage error alongside com</w:t>
      </w:r>
      <w:r>
        <w:t>mercial outcomes such as availability and markdown, not model accuracy in isolation. Power BI can consume forecasts, while Azure Machine Learning or RapidMiner can train, register and monitor models.</w:t>
      </w:r>
    </w:p>
    <w:p w:rsidR="004D2647" w:rsidRDefault="00C871CC" w14:paraId="3DF9D601" w14:textId="77777777">
      <w:r>
        <w:t>Both techniques require deployment rules. Association ru</w:t>
      </w:r>
      <w:r>
        <w:t>les should be filtered for minimum transaction counts, positive lift and commercial plausibility, then refreshed as seasons change. Forecast models should use rolling-origin validation so future weeks never leak into training data. A simple seasonal baseli</w:t>
      </w:r>
      <w:r>
        <w:t>ne must be retained; a complex model is worthwhile only when it improves decisions after accounting for maintenance and explanation costs. Planners should see prediction intervals and key drivers, record overrides and review where human judgement consisten</w:t>
      </w:r>
      <w:r>
        <w:t>tly outperforms the model. That feedback becomes new training data and prevents analytics from becoming a one-way recommendation engine.</w:t>
      </w:r>
    </w:p>
    <w:p w:rsidR="004D2647" w:rsidRDefault="00C871CC" w14:paraId="3493BCC8" w14:textId="77777777">
      <w:pPr>
        <w:pStyle w:val="Heading1"/>
      </w:pPr>
      <w:r>
        <w:t>5. Predictive Analytics Tools and Implementation</w:t>
      </w:r>
    </w:p>
    <w:p w:rsidR="004D2647" w:rsidRDefault="00C871CC" w14:paraId="22BE0506" w14:textId="77777777">
      <w:r>
        <w:t>Excel is familiar and useful for prototypes, reconciliations and scena</w:t>
      </w:r>
      <w:r>
        <w:t>rio analysis, but workbook duplication and limited governance make it unsuitable as the production forecasting platform. IBM SPSS provides strong statistical procedures and accessible diagnostics, yet it is less naturally embedded in a Microsoft retail rep</w:t>
      </w:r>
      <w:r>
        <w:t>orting stack. RapidMiner offers visual workflows and rapid experimentation, although licensing and an additional platform increase complexity. Power BI integrates well with Microsoft data services and provides governed semantic models, scheduled refresh, a</w:t>
      </w:r>
      <w:r>
        <w:t xml:space="preserve">lerts and broad </w:t>
      </w:r>
      <w:r>
        <w:lastRenderedPageBreak/>
        <w:t>user access; its predictive depth is strongest when paired with Azure Machine Learning or Microsoft Fabric (Microsoft, 2025).</w:t>
      </w:r>
    </w:p>
    <w:p w:rsidR="004D2647" w:rsidRDefault="00C871CC" w14:paraId="6ED36BC7" w14:textId="77777777">
      <w:r>
        <w:t xml:space="preserve">A four-phase plan is recommended. During weeks 1-6, define decisions, owners, measures and </w:t>
      </w:r>
      <w:r>
        <w:t>data-quality baselines. During months 2-4, build Sales and Inventory marts and certify finance reconciliation. During months 4-6, pilot demand forecasting and basket analysis in selected categories, comparing against current planning. During months 6-9, sc</w:t>
      </w:r>
      <w:r>
        <w:t>ale only models that improve availability, margin or planner productivity, with monitoring for drift and overrides. Training, adoption measures and benefits tracking should run through every phase.</w:t>
      </w:r>
    </w:p>
    <w:p w:rsidR="004D2647" w:rsidRDefault="00C871CC" w14:paraId="3FDA9EC3" w14:textId="77777777">
      <w:r>
        <w:t>The pilot should include a benefits register with an agree</w:t>
      </w:r>
      <w:r>
        <w:t>d counterfactual. Forecast accuracy alone can improve while inventory investment rises or margin falls. Evaluation should therefore compare pilot and control categories on in-stock rate, markdown value, gross margin, planner hours and inventory turns. Tech</w:t>
      </w:r>
      <w:r>
        <w:t>nical acceptance also requires refresh reliability, model latency, documented ownership and a rollback procedure. This makes the scale decision evidence-based and prevents a visually impressive dashboard from being mistaken for realised value.</w:t>
      </w:r>
    </w:p>
    <w:tbl>
      <w:tblPr>
        <w:tblW w:w="9360" w:type="dxa"/>
        <w:tblInd w:w="120" w:type="dxa"/>
        <w:tblBorders>
          <w:top w:val="single" w:color="AAB7C4" w:sz="6" w:space="0"/>
          <w:left w:val="single" w:color="AAB7C4" w:sz="6" w:space="0"/>
          <w:bottom w:val="single" w:color="AAB7C4" w:sz="6" w:space="0"/>
          <w:right w:val="single" w:color="AAB7C4" w:sz="6" w:space="0"/>
          <w:insideH w:val="single" w:color="AAB7C4" w:sz="6" w:space="0"/>
          <w:insideV w:val="single" w:color="AAB7C4" w:sz="6" w:space="0"/>
        </w:tblBorders>
        <w:tblLayout w:type="fixed"/>
        <w:tblLook w:val="04A0" w:firstRow="1" w:lastRow="0" w:firstColumn="1" w:lastColumn="0" w:noHBand="0" w:noVBand="1"/>
      </w:tblPr>
      <w:tblGrid>
        <w:gridCol w:w="1600"/>
        <w:gridCol w:w="1600"/>
        <w:gridCol w:w="6160"/>
      </w:tblGrid>
      <w:tr w:rsidR="004D2647" w14:paraId="20E34E56" w14:textId="77777777">
        <w:tc>
          <w:tcPr>
            <w:tcW w:w="1600" w:type="dxa"/>
            <w:shd w:val="clear" w:color="auto" w:fill="EAF0F6"/>
            <w:tcMar>
              <w:top w:w="100" w:type="dxa"/>
              <w:left w:w="120" w:type="dxa"/>
              <w:bottom w:w="100" w:type="dxa"/>
              <w:right w:w="120" w:type="dxa"/>
            </w:tcMar>
            <w:vAlign w:val="center"/>
          </w:tcPr>
          <w:p w:rsidR="004D2647" w:rsidRDefault="00C871CC" w14:paraId="41098737" w14:textId="77777777">
            <w:pPr>
              <w:spacing w:after="0" w:line="264" w:lineRule="auto"/>
              <w:jc w:val="left"/>
            </w:pPr>
            <w:r>
              <w:rPr>
                <w:b/>
                <w:color w:val="1F4E79"/>
                <w:sz w:val="21"/>
              </w:rPr>
              <w:t>Phase</w:t>
            </w:r>
          </w:p>
        </w:tc>
        <w:tc>
          <w:tcPr>
            <w:tcW w:w="1600" w:type="dxa"/>
            <w:shd w:val="clear" w:color="auto" w:fill="EAF0F6"/>
            <w:tcMar>
              <w:top w:w="100" w:type="dxa"/>
              <w:left w:w="120" w:type="dxa"/>
              <w:bottom w:w="100" w:type="dxa"/>
              <w:right w:w="120" w:type="dxa"/>
            </w:tcMar>
            <w:vAlign w:val="center"/>
          </w:tcPr>
          <w:p w:rsidR="004D2647" w:rsidRDefault="00C871CC" w14:paraId="259523CC" w14:textId="77777777">
            <w:pPr>
              <w:spacing w:after="0" w:line="264" w:lineRule="auto"/>
              <w:jc w:val="left"/>
            </w:pPr>
            <w:r>
              <w:rPr>
                <w:b/>
                <w:color w:val="1F4E79"/>
                <w:sz w:val="21"/>
              </w:rPr>
              <w:t>Time</w:t>
            </w:r>
          </w:p>
        </w:tc>
        <w:tc>
          <w:tcPr>
            <w:tcW w:w="6160" w:type="dxa"/>
            <w:shd w:val="clear" w:color="auto" w:fill="EAF0F6"/>
            <w:tcMar>
              <w:top w:w="100" w:type="dxa"/>
              <w:left w:w="120" w:type="dxa"/>
              <w:bottom w:w="100" w:type="dxa"/>
              <w:right w:w="120" w:type="dxa"/>
            </w:tcMar>
            <w:vAlign w:val="center"/>
          </w:tcPr>
          <w:p w:rsidR="004D2647" w:rsidRDefault="00C871CC" w14:paraId="658B0247" w14:textId="77777777">
            <w:pPr>
              <w:spacing w:after="0" w:line="264" w:lineRule="auto"/>
              <w:jc w:val="left"/>
            </w:pPr>
            <w:r>
              <w:rPr>
                <w:b/>
                <w:color w:val="1F4E79"/>
                <w:sz w:val="21"/>
              </w:rPr>
              <w:t>D</w:t>
            </w:r>
            <w:r>
              <w:rPr>
                <w:b/>
                <w:color w:val="1F4E79"/>
                <w:sz w:val="21"/>
              </w:rPr>
              <w:t>eliverable / gate</w:t>
            </w:r>
          </w:p>
        </w:tc>
      </w:tr>
      <w:tr w:rsidR="004D2647" w14:paraId="32D5D0C3" w14:textId="77777777">
        <w:tc>
          <w:tcPr>
            <w:tcW w:w="1600" w:type="dxa"/>
            <w:tcMar>
              <w:top w:w="100" w:type="dxa"/>
              <w:left w:w="120" w:type="dxa"/>
              <w:bottom w:w="100" w:type="dxa"/>
              <w:right w:w="120" w:type="dxa"/>
            </w:tcMar>
            <w:vAlign w:val="center"/>
          </w:tcPr>
          <w:p w:rsidR="004D2647" w:rsidRDefault="00C871CC" w14:paraId="4B410C56" w14:textId="77777777">
            <w:pPr>
              <w:spacing w:after="0" w:line="264" w:lineRule="auto"/>
              <w:jc w:val="left"/>
            </w:pPr>
            <w:r>
              <w:rPr>
                <w:sz w:val="21"/>
              </w:rPr>
              <w:t>1. Govern</w:t>
            </w:r>
          </w:p>
        </w:tc>
        <w:tc>
          <w:tcPr>
            <w:tcW w:w="1600" w:type="dxa"/>
            <w:tcMar>
              <w:top w:w="100" w:type="dxa"/>
              <w:left w:w="120" w:type="dxa"/>
              <w:bottom w:w="100" w:type="dxa"/>
              <w:right w:w="120" w:type="dxa"/>
            </w:tcMar>
            <w:vAlign w:val="center"/>
          </w:tcPr>
          <w:p w:rsidR="004D2647" w:rsidRDefault="00C871CC" w14:paraId="198329F1" w14:textId="77777777">
            <w:pPr>
              <w:spacing w:after="0" w:line="264" w:lineRule="auto"/>
              <w:jc w:val="left"/>
            </w:pPr>
            <w:r>
              <w:rPr>
                <w:sz w:val="21"/>
              </w:rPr>
              <w:t>Weeks 1-6</w:t>
            </w:r>
          </w:p>
        </w:tc>
        <w:tc>
          <w:tcPr>
            <w:tcW w:w="6160" w:type="dxa"/>
            <w:tcMar>
              <w:top w:w="100" w:type="dxa"/>
              <w:left w:w="120" w:type="dxa"/>
              <w:bottom w:w="100" w:type="dxa"/>
              <w:right w:w="120" w:type="dxa"/>
            </w:tcMar>
            <w:vAlign w:val="center"/>
          </w:tcPr>
          <w:p w:rsidR="004D2647" w:rsidRDefault="00C871CC" w14:paraId="57ECCF34" w14:textId="77777777">
            <w:pPr>
              <w:spacing w:after="0" w:line="264" w:lineRule="auto"/>
              <w:jc w:val="left"/>
            </w:pPr>
            <w:r>
              <w:rPr>
                <w:sz w:val="21"/>
              </w:rPr>
              <w:t>Definitions, owners, quality baseline and benefits case</w:t>
            </w:r>
          </w:p>
        </w:tc>
      </w:tr>
      <w:tr w:rsidR="004D2647" w14:paraId="1F276E0D" w14:textId="77777777">
        <w:tc>
          <w:tcPr>
            <w:tcW w:w="1600" w:type="dxa"/>
            <w:tcMar>
              <w:top w:w="100" w:type="dxa"/>
              <w:left w:w="120" w:type="dxa"/>
              <w:bottom w:w="100" w:type="dxa"/>
              <w:right w:w="120" w:type="dxa"/>
            </w:tcMar>
            <w:vAlign w:val="center"/>
          </w:tcPr>
          <w:p w:rsidR="004D2647" w:rsidRDefault="00C871CC" w14:paraId="4FB69EA2" w14:textId="77777777">
            <w:pPr>
              <w:spacing w:after="0" w:line="264" w:lineRule="auto"/>
              <w:jc w:val="left"/>
            </w:pPr>
            <w:r>
              <w:rPr>
                <w:sz w:val="21"/>
              </w:rPr>
              <w:t>2. Integrate</w:t>
            </w:r>
          </w:p>
        </w:tc>
        <w:tc>
          <w:tcPr>
            <w:tcW w:w="1600" w:type="dxa"/>
            <w:tcMar>
              <w:top w:w="100" w:type="dxa"/>
              <w:left w:w="120" w:type="dxa"/>
              <w:bottom w:w="100" w:type="dxa"/>
              <w:right w:w="120" w:type="dxa"/>
            </w:tcMar>
            <w:vAlign w:val="center"/>
          </w:tcPr>
          <w:p w:rsidR="004D2647" w:rsidRDefault="00C871CC" w14:paraId="2BF085DE" w14:textId="77777777">
            <w:pPr>
              <w:spacing w:after="0" w:line="264" w:lineRule="auto"/>
              <w:jc w:val="left"/>
            </w:pPr>
            <w:r>
              <w:rPr>
                <w:sz w:val="21"/>
              </w:rPr>
              <w:t>Months 2-4</w:t>
            </w:r>
          </w:p>
        </w:tc>
        <w:tc>
          <w:tcPr>
            <w:tcW w:w="6160" w:type="dxa"/>
            <w:tcMar>
              <w:top w:w="100" w:type="dxa"/>
              <w:left w:w="120" w:type="dxa"/>
              <w:bottom w:w="100" w:type="dxa"/>
              <w:right w:w="120" w:type="dxa"/>
            </w:tcMar>
            <w:vAlign w:val="center"/>
          </w:tcPr>
          <w:p w:rsidR="004D2647" w:rsidRDefault="00C871CC" w14:paraId="454C6765" w14:textId="77777777">
            <w:pPr>
              <w:spacing w:after="0" w:line="264" w:lineRule="auto"/>
              <w:jc w:val="left"/>
            </w:pPr>
            <w:r>
              <w:rPr>
                <w:sz w:val="21"/>
              </w:rPr>
              <w:t>Certified Sales and Inventory marts reconciled to finance</w:t>
            </w:r>
          </w:p>
        </w:tc>
      </w:tr>
      <w:tr w:rsidR="004D2647" w14:paraId="1FD0BDD5" w14:textId="77777777">
        <w:tc>
          <w:tcPr>
            <w:tcW w:w="1600" w:type="dxa"/>
            <w:tcMar>
              <w:top w:w="100" w:type="dxa"/>
              <w:left w:w="120" w:type="dxa"/>
              <w:bottom w:w="100" w:type="dxa"/>
              <w:right w:w="120" w:type="dxa"/>
            </w:tcMar>
            <w:vAlign w:val="center"/>
          </w:tcPr>
          <w:p w:rsidR="004D2647" w:rsidRDefault="00C871CC" w14:paraId="46B5B2D4" w14:textId="77777777">
            <w:pPr>
              <w:spacing w:after="0" w:line="264" w:lineRule="auto"/>
              <w:jc w:val="left"/>
            </w:pPr>
            <w:r>
              <w:rPr>
                <w:sz w:val="21"/>
              </w:rPr>
              <w:t>3. Pilot</w:t>
            </w:r>
          </w:p>
        </w:tc>
        <w:tc>
          <w:tcPr>
            <w:tcW w:w="1600" w:type="dxa"/>
            <w:tcMar>
              <w:top w:w="100" w:type="dxa"/>
              <w:left w:w="120" w:type="dxa"/>
              <w:bottom w:w="100" w:type="dxa"/>
              <w:right w:w="120" w:type="dxa"/>
            </w:tcMar>
            <w:vAlign w:val="center"/>
          </w:tcPr>
          <w:p w:rsidR="004D2647" w:rsidRDefault="00C871CC" w14:paraId="439A3B25" w14:textId="77777777">
            <w:pPr>
              <w:spacing w:after="0" w:line="264" w:lineRule="auto"/>
              <w:jc w:val="left"/>
            </w:pPr>
            <w:r>
              <w:rPr>
                <w:sz w:val="21"/>
              </w:rPr>
              <w:t>Months 4-6</w:t>
            </w:r>
          </w:p>
        </w:tc>
        <w:tc>
          <w:tcPr>
            <w:tcW w:w="6160" w:type="dxa"/>
            <w:tcMar>
              <w:top w:w="100" w:type="dxa"/>
              <w:left w:w="120" w:type="dxa"/>
              <w:bottom w:w="100" w:type="dxa"/>
              <w:right w:w="120" w:type="dxa"/>
            </w:tcMar>
            <w:vAlign w:val="center"/>
          </w:tcPr>
          <w:p w:rsidR="004D2647" w:rsidRDefault="00C871CC" w14:paraId="0EDBC2E7" w14:textId="77777777">
            <w:pPr>
              <w:spacing w:after="0" w:line="264" w:lineRule="auto"/>
              <w:jc w:val="left"/>
            </w:pPr>
            <w:r>
              <w:rPr>
                <w:sz w:val="21"/>
              </w:rPr>
              <w:t xml:space="preserve">Forecast and basket pilots with controlled </w:t>
            </w:r>
            <w:r>
              <w:rPr>
                <w:sz w:val="21"/>
              </w:rPr>
              <w:t>evaluation</w:t>
            </w:r>
          </w:p>
        </w:tc>
      </w:tr>
      <w:tr w:rsidR="004D2647" w14:paraId="0307B95F" w14:textId="77777777">
        <w:tc>
          <w:tcPr>
            <w:tcW w:w="1600" w:type="dxa"/>
            <w:tcMar>
              <w:top w:w="100" w:type="dxa"/>
              <w:left w:w="120" w:type="dxa"/>
              <w:bottom w:w="100" w:type="dxa"/>
              <w:right w:w="120" w:type="dxa"/>
            </w:tcMar>
            <w:vAlign w:val="center"/>
          </w:tcPr>
          <w:p w:rsidR="004D2647" w:rsidRDefault="00C871CC" w14:paraId="260F6AC6" w14:textId="77777777">
            <w:pPr>
              <w:spacing w:after="0" w:line="264" w:lineRule="auto"/>
              <w:jc w:val="left"/>
            </w:pPr>
            <w:r>
              <w:rPr>
                <w:sz w:val="21"/>
              </w:rPr>
              <w:t>4. Scale</w:t>
            </w:r>
          </w:p>
        </w:tc>
        <w:tc>
          <w:tcPr>
            <w:tcW w:w="1600" w:type="dxa"/>
            <w:tcMar>
              <w:top w:w="100" w:type="dxa"/>
              <w:left w:w="120" w:type="dxa"/>
              <w:bottom w:w="100" w:type="dxa"/>
              <w:right w:w="120" w:type="dxa"/>
            </w:tcMar>
            <w:vAlign w:val="center"/>
          </w:tcPr>
          <w:p w:rsidR="004D2647" w:rsidRDefault="00C871CC" w14:paraId="387FF1F7" w14:textId="77777777">
            <w:pPr>
              <w:spacing w:after="0" w:line="264" w:lineRule="auto"/>
              <w:jc w:val="left"/>
            </w:pPr>
            <w:r>
              <w:rPr>
                <w:sz w:val="21"/>
              </w:rPr>
              <w:t>Months 6-9</w:t>
            </w:r>
          </w:p>
        </w:tc>
        <w:tc>
          <w:tcPr>
            <w:tcW w:w="6160" w:type="dxa"/>
            <w:tcMar>
              <w:top w:w="100" w:type="dxa"/>
              <w:left w:w="120" w:type="dxa"/>
              <w:bottom w:w="100" w:type="dxa"/>
              <w:right w:w="120" w:type="dxa"/>
            </w:tcMar>
            <w:vAlign w:val="center"/>
          </w:tcPr>
          <w:p w:rsidR="004D2647" w:rsidRDefault="00C871CC" w14:paraId="1F7267E0" w14:textId="77777777">
            <w:pPr>
              <w:spacing w:after="0" w:line="264" w:lineRule="auto"/>
              <w:jc w:val="left"/>
            </w:pPr>
            <w:r>
              <w:rPr>
                <w:sz w:val="21"/>
              </w:rPr>
              <w:t>Production monitoring, training and benefit tracking</w:t>
            </w:r>
          </w:p>
        </w:tc>
      </w:tr>
    </w:tbl>
    <w:p w:rsidR="004D2647" w:rsidRDefault="004D2647" w14:paraId="5A5F1F71" w14:textId="77777777">
      <w:pPr>
        <w:spacing w:after="0"/>
      </w:pPr>
    </w:p>
    <w:p w:rsidR="004D2647" w:rsidRDefault="00C871CC" w14:paraId="0E461928" w14:textId="77777777">
      <w:pPr>
        <w:pStyle w:val="Heading1"/>
      </w:pPr>
      <w:r>
        <w:t>6. Ethical and Data Security Considerations</w:t>
      </w:r>
    </w:p>
    <w:p w:rsidR="004D2647" w:rsidRDefault="00C871CC" w14:paraId="323FDB9D" w14:textId="77777777">
      <w:r>
        <w:t>Customer and employee analytics must comply with UK GDPR principles of lawfulness, purpose limitation, data minimisation, acc</w:t>
      </w:r>
      <w:r>
        <w:t>uracy, storage limitation and security (ICO, n.d.). Loyalty data should not be reused for materially different profiling without a valid lawful basis and clear privacy information. Pseudonymised customer keys, minimum aggregation thresholds and retention s</w:t>
      </w:r>
      <w:r>
        <w:t xml:space="preserve">chedules reduce exposure. Models must also be </w:t>
      </w:r>
      <w:r>
        <w:lastRenderedPageBreak/>
        <w:t>checked for proxy discrimination: location, device or purchasing patterns can indirectly disadvantage groups even when protected characteristics are absent.</w:t>
      </w:r>
    </w:p>
    <w:p w:rsidR="004D2647" w:rsidRDefault="00C871CC" w14:paraId="56D8E5D5" w14:textId="77777777">
      <w:r>
        <w:t>Security should follow defence in depth. Single sign-</w:t>
      </w:r>
      <w:r>
        <w:t>on, least privilege, multifactor authentication, encryption in transit and at rest, segregated development environments, logging and periodic access recertification are essential. Data-loss prevention should restrict exports from dashboards. Supplier acces</w:t>
      </w:r>
      <w:r>
        <w:t>s and cloud configurations require assurance, while incident response and tested backups address external attack. Internal misuse remains credible, so unusual query or download activity should be monitored. NIST’s Govern-Identify-Protect-Detect-Respond-Rec</w:t>
      </w:r>
      <w:r>
        <w:t>over functions provide a practical control structure (NIST, 2024).</w:t>
      </w:r>
    </w:p>
    <w:p w:rsidR="004D2647" w:rsidRDefault="00C871CC" w14:paraId="59F60760" w14:textId="77777777">
      <w:pPr>
        <w:pStyle w:val="Heading1"/>
      </w:pPr>
      <w:r>
        <w:t>7. Reporting and Dashboard Solutions</w:t>
      </w:r>
    </w:p>
    <w:p w:rsidR="004D2647" w:rsidRDefault="00C871CC" w14:paraId="4E85D666" w14:textId="77777777">
      <w:r>
        <w:t xml:space="preserve">Power BI is the preferred reporting layer because it can deliver role-specific dashboards from certified warehouse measures. Executives need </w:t>
      </w:r>
      <w:r>
        <w:t>weekly sales, gross margin, cash-relevant inventory, forecast accuracy and like-for-like trends. Category teams need sell-through, weeks of cover, promotion uplift and markdown risk. Store and operations teams need availability, replenishment exceptions, r</w:t>
      </w:r>
      <w:r>
        <w:t>eturns and supplier on-time-in-full performance. Each visual should show target, variance, trend and the action owner rather than maximise chart count.</w:t>
      </w:r>
    </w:p>
    <w:p w:rsidR="004D2647" w:rsidRDefault="00C871CC" w14:paraId="7F7EEFCD" w14:textId="77777777">
      <w:r>
        <w:t>Near-real-time pages should be reserved for online orders, stock-outs and pipeline failures; strategic m</w:t>
      </w:r>
      <w:r>
        <w:t>easures should refresh daily or weekly. Row-level security can limit store detail, while subscriptions and threshold alerts push exceptions to managers. A mobile summary supports field teams, but analysts should retain drill-through to product, store and t</w:t>
      </w:r>
      <w:r>
        <w:t>ransaction evidence. Adoption should be measured through active use and decision-cycle time, while reconciliation and data-quality indicators should remain visible so trust is earned rather than assumed.</w:t>
      </w:r>
    </w:p>
    <w:p w:rsidR="004D2647" w:rsidRDefault="00C871CC" w14:paraId="43C28921" w14:textId="77777777">
      <w:pPr>
        <w:pStyle w:val="Heading1"/>
      </w:pPr>
      <w:r>
        <w:t>8. Conclusion</w:t>
      </w:r>
    </w:p>
    <w:p w:rsidR="004D2647" w:rsidRDefault="00C871CC" w14:paraId="191381FF" w14:textId="77777777">
      <w:r>
        <w:t>The Works can use BI to replace fragme</w:t>
      </w:r>
      <w:r>
        <w:t xml:space="preserve">nted reporting with consistent evidence for ranging, allocation, promotion and supplier decisions. A dimensional warehouse is the </w:t>
      </w:r>
      <w:r>
        <w:lastRenderedPageBreak/>
        <w:t>foundation: without conformed definitions and reliable history, sophisticated models will amplify inconsistency. Association r</w:t>
      </w:r>
      <w:r>
        <w:t xml:space="preserve">ules and demand forecasting offer practical value when tested against commercial outcomes and embedded in planners’ workflows. Power BI, combined with a governed cloud data platform and machine-learning service, provides the strongest fit. The recommended </w:t>
      </w:r>
      <w:r>
        <w:t>phased approach limits risk by proving data quality and business benefit before scale. Sustainable advantage will depend on governance, security, transparent modelling and staff capability as much as software.</w:t>
      </w:r>
    </w:p>
    <w:p w:rsidR="004D2647" w:rsidRDefault="00C871CC" w14:paraId="1C6EC04C" w14:textId="77777777">
      <w:r>
        <w:br w:type="page"/>
      </w:r>
    </w:p>
    <w:p w:rsidR="004D2647" w:rsidRDefault="00C871CC" w14:paraId="5FD3E0F9" w14:textId="77777777">
      <w:pPr>
        <w:pStyle w:val="Heading1"/>
      </w:pPr>
      <w:r>
        <w:lastRenderedPageBreak/>
        <w:t>References</w:t>
      </w:r>
    </w:p>
    <w:p w:rsidR="004D2647" w:rsidRDefault="00C871CC" w14:paraId="5E6AA797" w14:textId="77777777">
      <w:pPr>
        <w:spacing w:line="276" w:lineRule="auto"/>
        <w:ind w:left="432" w:hanging="432"/>
      </w:pPr>
      <w:r>
        <w:rPr>
          <w:sz w:val="22"/>
        </w:rPr>
        <w:t>Chen, H., Chiang, R.H.L. and Stor</w:t>
      </w:r>
      <w:r>
        <w:rPr>
          <w:sz w:val="22"/>
        </w:rPr>
        <w:t>ey, V.C. (2012) ‘Business intelligence and analytics: From big data to big impact’, MIS Quarterly, 36(4), pp. 1165-1188. doi: 10.2307/41703503.</w:t>
      </w:r>
    </w:p>
    <w:p w:rsidR="004D2647" w:rsidRDefault="00C871CC" w14:paraId="3CAC44B7" w14:textId="77777777">
      <w:pPr>
        <w:spacing w:line="276" w:lineRule="auto"/>
        <w:ind w:left="432" w:hanging="432"/>
      </w:pPr>
      <w:r>
        <w:rPr>
          <w:sz w:val="22"/>
        </w:rPr>
        <w:t>Davenport, T.H. and Harris, J.G. (2017) Competing on Analytics: The New Science of Winning. Updated edn. Boston:</w:t>
      </w:r>
      <w:r>
        <w:rPr>
          <w:sz w:val="22"/>
        </w:rPr>
        <w:t xml:space="preserve"> Harvard Business Review Press.</w:t>
      </w:r>
    </w:p>
    <w:p w:rsidR="004D2647" w:rsidRDefault="00C871CC" w14:paraId="37D4F9CC" w14:textId="77777777">
      <w:pPr>
        <w:spacing w:line="276" w:lineRule="auto"/>
        <w:ind w:left="432" w:hanging="432"/>
      </w:pPr>
      <w:r>
        <w:rPr>
          <w:sz w:val="22"/>
        </w:rPr>
        <w:t>Dwivedi, Y.K. et al. (2021) ‘Artificial Intelligence (AI): Multidisciplinary perspectives on emerging challenges, opportunities, and agenda for research, practice and policy’, International Journal of Information Management,</w:t>
      </w:r>
      <w:r>
        <w:rPr>
          <w:sz w:val="22"/>
        </w:rPr>
        <w:t xml:space="preserve"> 57, 101994. doi: 10.1016/j.ijinfomgt.2019.08.002.</w:t>
      </w:r>
    </w:p>
    <w:p w:rsidR="004D2647" w:rsidRDefault="00C871CC" w14:paraId="007FCE5F" w14:textId="77777777">
      <w:pPr>
        <w:spacing w:line="276" w:lineRule="auto"/>
        <w:ind w:left="432" w:hanging="432"/>
      </w:pPr>
      <w:r>
        <w:rPr>
          <w:sz w:val="22"/>
        </w:rPr>
        <w:t>Han, J., Pei, J. and Tong, H. (2022) Data Mining: Concepts and Techniques. 4th edn. Cambridge, MA: Morgan Kaufmann.</w:t>
      </w:r>
    </w:p>
    <w:p w:rsidR="004D2647" w:rsidRDefault="00C871CC" w14:paraId="421CBC06" w14:textId="77777777">
      <w:pPr>
        <w:spacing w:line="276" w:lineRule="auto"/>
        <w:ind w:left="432" w:hanging="432"/>
      </w:pPr>
      <w:r>
        <w:rPr>
          <w:sz w:val="22"/>
        </w:rPr>
        <w:t>Hanelt, A., Bohnsack, R., Marz, D. and Antunes Marante, C. (2021) ‘A systematic review of</w:t>
      </w:r>
      <w:r>
        <w:rPr>
          <w:sz w:val="22"/>
        </w:rPr>
        <w:t xml:space="preserve"> the literature on digital transformation’, Journal of Management Studies, 58(5), pp. 1159-1197. doi: 10.1111/joms.12639.</w:t>
      </w:r>
    </w:p>
    <w:p w:rsidR="004D2647" w:rsidRDefault="00C871CC" w14:paraId="6365FDC8" w14:textId="77777777">
      <w:pPr>
        <w:spacing w:line="276" w:lineRule="auto"/>
        <w:ind w:left="432" w:hanging="432"/>
      </w:pPr>
      <w:r>
        <w:rPr>
          <w:sz w:val="22"/>
        </w:rPr>
        <w:t xml:space="preserve">Kache, F. and Seuring, S. (2017) ‘Challenges and opportunities of digital information at the intersection of Big Data </w:t>
      </w:r>
      <w:r>
        <w:rPr>
          <w:sz w:val="22"/>
        </w:rPr>
        <w:t>Analytics and supply chain management’, International Journal of Operations &amp; Production Management, 37(1), pp. 10-36. doi: 10.1108/IJOPM-02-2015-0078.</w:t>
      </w:r>
    </w:p>
    <w:p w:rsidR="004D2647" w:rsidRDefault="00C871CC" w14:paraId="5AC5D186" w14:textId="77777777">
      <w:pPr>
        <w:spacing w:line="276" w:lineRule="auto"/>
        <w:ind w:left="432" w:hanging="432"/>
      </w:pPr>
      <w:r>
        <w:rPr>
          <w:sz w:val="22"/>
        </w:rPr>
        <w:t>Kimball, R. and Ross, M. (2013) The Data Warehouse Toolkit: The Definitive Guide to Dimensional Modeling</w:t>
      </w:r>
      <w:r>
        <w:rPr>
          <w:sz w:val="22"/>
        </w:rPr>
        <w:t>. 3rd edn. Indianapolis: Wiley.</w:t>
      </w:r>
    </w:p>
    <w:p w:rsidR="004D2647" w:rsidRDefault="00C871CC" w14:paraId="7203E2C9" w14:textId="77777777">
      <w:pPr>
        <w:spacing w:line="276" w:lineRule="auto"/>
        <w:ind w:left="432" w:hanging="432"/>
      </w:pPr>
      <w:r>
        <w:rPr>
          <w:sz w:val="22"/>
        </w:rPr>
        <w:t>Mikalef, P., Krogstie, J., Pappas, I.O. and Pavlou, P. (2020) ‘Investigating the effects of big data analytics capabilities on firm performance’, Information &amp; Management, 57(2), 103169. doi: 10.1016/j.im.2019.103169.</w:t>
      </w:r>
    </w:p>
    <w:p w:rsidR="004D2647" w:rsidRDefault="00C871CC" w14:paraId="1A202272" w14:textId="77777777">
      <w:pPr>
        <w:spacing w:line="276" w:lineRule="auto"/>
        <w:ind w:left="432" w:hanging="432"/>
      </w:pPr>
      <w:r>
        <w:rPr>
          <w:sz w:val="22"/>
        </w:rPr>
        <w:t>NIST (</w:t>
      </w:r>
      <w:r>
        <w:rPr>
          <w:sz w:val="22"/>
        </w:rPr>
        <w:t>2024) The NIST Cybersecurity Framework (CSF) 2.0. Gaithersburg, MD: National Institute of Standards and Technology. doi: 10.6028/NIST.CSWP.29.</w:t>
      </w:r>
    </w:p>
    <w:p w:rsidR="004D2647" w:rsidRDefault="00C871CC" w14:paraId="5DD638C4" w14:textId="77777777">
      <w:pPr>
        <w:spacing w:line="276" w:lineRule="auto"/>
        <w:ind w:left="432" w:hanging="432"/>
      </w:pPr>
      <w:r>
        <w:rPr>
          <w:sz w:val="22"/>
        </w:rPr>
        <w:t>Seddon, P.B., Constantinidis, D., Tamm, T. and Dod, H. (2017) ‘How does business analytics contribute to business</w:t>
      </w:r>
      <w:r>
        <w:rPr>
          <w:sz w:val="22"/>
        </w:rPr>
        <w:t xml:space="preserve"> value?’, Information Systems Journal, 27(3), pp. 237-269. doi: 10.1111/isj.12101.</w:t>
      </w:r>
    </w:p>
    <w:p w:rsidR="004D2647" w:rsidRDefault="00C871CC" w14:paraId="7E4CB0BC" w14:textId="77777777">
      <w:pPr>
        <w:spacing w:line="276" w:lineRule="auto"/>
        <w:ind w:left="432" w:hanging="432"/>
      </w:pPr>
      <w:r>
        <w:rPr>
          <w:sz w:val="22"/>
        </w:rPr>
        <w:t>Sharda, R., Delen, D. and Turban, E. (2018) Business Intelligence, Analytics, and Data Science: A Managerial Perspective. 4th edn. Harlow: Pearson.</w:t>
      </w:r>
    </w:p>
    <w:p w:rsidR="004D2647" w:rsidRDefault="00C871CC" w14:paraId="5F250DF6" w14:textId="77777777">
      <w:pPr>
        <w:spacing w:line="276" w:lineRule="auto"/>
        <w:ind w:left="432" w:hanging="432"/>
      </w:pPr>
      <w:r>
        <w:rPr>
          <w:sz w:val="22"/>
        </w:rPr>
        <w:t>The Works.co.uk plc (2025</w:t>
      </w:r>
      <w:r>
        <w:rPr>
          <w:sz w:val="22"/>
        </w:rPr>
        <w:t>) Annual Report and Accounts 2025. Available at: https://corporate.theworks.co.uk/investors/results-reports-presentations/ (Accessed: 20 June 2026).</w:t>
      </w:r>
    </w:p>
    <w:p w:rsidR="004D2647" w:rsidRDefault="00C871CC" w14:paraId="2B958556" w14:textId="77777777">
      <w:pPr>
        <w:spacing w:line="276" w:lineRule="auto"/>
        <w:ind w:left="432" w:hanging="432"/>
      </w:pPr>
      <w:r>
        <w:rPr>
          <w:sz w:val="22"/>
        </w:rPr>
        <w:t>UK Information Commissioner’s Office (ICO) (n.d.) UK GDPR guidance and resources. Available at: https://ico</w:t>
      </w:r>
      <w:r>
        <w:rPr>
          <w:sz w:val="22"/>
        </w:rPr>
        <w:t>.org.uk/for-organisations/uk-gdpr-guidance-and-resources/ (Accessed: 20 June 2026).</w:t>
      </w:r>
    </w:p>
    <w:p w:rsidR="004D2647" w:rsidRDefault="00C871CC" w14:paraId="22290E75" w14:textId="77777777">
      <w:pPr>
        <w:spacing w:line="276" w:lineRule="auto"/>
        <w:ind w:left="432" w:hanging="432"/>
      </w:pPr>
      <w:r>
        <w:rPr>
          <w:sz w:val="22"/>
        </w:rPr>
        <w:t>Verhoef, P.C. et al. (2021) ‘Digital transformation: A multidisciplinary reflection and research agenda’, Journal of Business Research, 122, pp. 889-901. doi: 10.1016/j.jbu</w:t>
      </w:r>
      <w:r>
        <w:rPr>
          <w:sz w:val="22"/>
        </w:rPr>
        <w:t>sres.2019.09.022.</w:t>
      </w:r>
    </w:p>
    <w:p w:rsidR="004D2647" w:rsidRDefault="00C871CC" w14:paraId="1C1C6CA8" w14:textId="77777777">
      <w:pPr>
        <w:spacing w:line="276" w:lineRule="auto"/>
        <w:ind w:left="432" w:hanging="432"/>
      </w:pPr>
      <w:r>
        <w:rPr>
          <w:sz w:val="22"/>
        </w:rPr>
        <w:lastRenderedPageBreak/>
        <w:t>Wirth, R. and Hipp, J. (2000) ‘CRISP-DM: Towards a standard process model for data mining’, Proceedings of the 4th International Conference on the Practical Applications of Knowledge Discovery and Data Mining, pp. 29-39.</w:t>
      </w:r>
    </w:p>
    <w:p w:rsidR="004D2647" w:rsidRDefault="00C871CC" w14:paraId="09812DD2" w14:textId="77777777">
      <w:pPr>
        <w:spacing w:line="276" w:lineRule="auto"/>
        <w:ind w:left="432" w:hanging="432"/>
      </w:pPr>
      <w:r>
        <w:rPr>
          <w:sz w:val="22"/>
        </w:rPr>
        <w:t xml:space="preserve">Microsoft (2025) </w:t>
      </w:r>
      <w:r>
        <w:rPr>
          <w:sz w:val="22"/>
        </w:rPr>
        <w:t>Power BI documentation. Available at: https://learn.microsoft.com/power-bi/ (Accessed: 20 June 2026).</w:t>
      </w:r>
    </w:p>
    <w:sectPr w:rsidR="004D2647" w:rsidSect="00034616">
      <w:headerReference w:type="default" r:id="rId8"/>
      <w:footerReference w:type="default" r:id="rId9"/>
      <w:pgSz w:w="12240" w:h="15840" w:orient="portrait"/>
      <w:pgMar w:top="1440" w:right="1440" w:bottom="1440" w:left="1440" w:header="706" w:footer="7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71CC" w:rsidRDefault="00C871CC" w14:paraId="5B75C177" w14:textId="77777777">
      <w:pPr>
        <w:spacing w:after="0" w:line="240" w:lineRule="auto"/>
      </w:pPr>
      <w:r>
        <w:separator/>
      </w:r>
    </w:p>
  </w:endnote>
  <w:endnote w:type="continuationSeparator" w:id="0">
    <w:p w:rsidR="00C871CC" w:rsidRDefault="00C871CC" w14:paraId="45CC6A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D2647" w:rsidRDefault="00C871CC" w14:paraId="12F00582" w14:textId="77777777">
    <w:pPr>
      <w:pStyle w:val="Footer"/>
      <w:jc w:val="right"/>
    </w:pPr>
    <w:r>
      <w:rPr>
        <w:sz w:val="18"/>
      </w:rPr>
      <w:t xml:space="preserve">Page </w:t>
    </w:r>
    <w:r>
      <w:rPr>
        <w:sz w:val="18"/>
      </w:rPr>
      <w:fldChar w:fldCharType="begin"/>
    </w:r>
    <w:r>
      <w:rPr>
        <w:sz w:val="18"/>
      </w:rPr>
      <w:instrText xml:space="preserve"> PAGE </w:instrText>
    </w:r>
    <w:r w:rsidR="00765C66">
      <w:rPr>
        <w:sz w:val="18"/>
      </w:rPr>
      <w:fldChar w:fldCharType="separate"/>
    </w:r>
    <w:r w:rsidR="00765C66">
      <w:rPr>
        <w:noProof/>
        <w:sz w:val="18"/>
      </w:rPr>
      <w:t>2</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71CC" w:rsidRDefault="00C871CC" w14:paraId="63B25D00" w14:textId="77777777">
      <w:pPr>
        <w:spacing w:after="0" w:line="240" w:lineRule="auto"/>
      </w:pPr>
      <w:r>
        <w:separator/>
      </w:r>
    </w:p>
  </w:footnote>
  <w:footnote w:type="continuationSeparator" w:id="0">
    <w:p w:rsidR="00C871CC" w:rsidRDefault="00C871CC" w14:paraId="33487B2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D2647" w:rsidRDefault="00C871CC" w14:paraId="32890C40" w14:textId="77777777">
    <w:pPr>
      <w:pStyle w:val="Header"/>
      <w:jc w:val="left"/>
    </w:pPr>
    <w:r>
      <w:rPr>
        <w:color w:val="595959"/>
        <w:sz w:val="18"/>
      </w:rPr>
      <w:t>LCBB5014 | Component 1 | The Works.co.uk plc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D2647"/>
    <w:rsid w:val="00765C66"/>
    <w:rsid w:val="00AA1D8D"/>
    <w:rsid w:val="00B47730"/>
    <w:rsid w:val="00C871CC"/>
    <w:rsid w:val="00CB0664"/>
    <w:rsid w:val="00FC693F"/>
    <w:rsid w:val="16BC88C1"/>
    <w:rsid w:val="2B8A9DB6"/>
    <w:rsid w:val="505193FE"/>
    <w:rsid w:val="551FD295"/>
    <w:rsid w:val="7A835B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EBE995"/>
  <w14:defaultImageDpi w14:val="300"/>
  <w15:docId w15:val="{C491EB7F-E8DB-4327-91BA-717877AC2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FC693F"/>
    <w:pPr>
      <w:keepNext/>
      <w:keepLines/>
      <w:spacing w:before="320" w:after="160" w:line="276" w:lineRule="auto"/>
      <w:outlineLvl w:val="0"/>
    </w:pPr>
    <w:rPr>
      <w:rFonts w:asciiTheme="majorHAnsi" w:hAnsiTheme="majorHAnsi" w:eastAsiaTheme="majorEastAsia"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40" w:line="276" w:lineRule="auto"/>
      <w:outlineLvl w:val="1"/>
    </w:pPr>
    <w:rPr>
      <w:rFonts w:asciiTheme="majorHAnsi" w:hAnsiTheme="majorHAnsi" w:eastAsiaTheme="majorEastAsia"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160" w:after="80" w:line="276" w:lineRule="auto"/>
      <w:outlineLvl w:val="2"/>
    </w:pPr>
    <w:rPr>
      <w:rFonts w:asciiTheme="majorHAnsi" w:hAnsiTheme="majorHAnsi" w:eastAsiaTheme="majorEastAsia"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keepNext/>
      <w:pBdr>
        <w:bottom w:val="single" w:color="4F81BD" w:themeColor="accent1" w:sz="8" w:space="4"/>
      </w:pBdr>
      <w:spacing w:after="160" w:line="276" w:lineRule="auto"/>
      <w:contextualSpacing/>
    </w:pPr>
    <w:rPr>
      <w:rFonts w:asciiTheme="majorHAnsi" w:hAnsiTheme="majorHAnsi" w:eastAsiaTheme="majorEastAsia" w:cstheme="majorBidi"/>
      <w:b/>
      <w:color w:val="1F1F1F"/>
      <w:spacing w:val="5"/>
      <w:kern w:val="28"/>
      <w:sz w:val="50"/>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after="160" w:line="276" w:lineRule="auto"/>
    </w:pPr>
    <w:rPr>
      <w:rFonts w:asciiTheme="majorHAnsi" w:hAnsiTheme="majorHAnsi" w:eastAsiaTheme="majorEastAsia" w:cstheme="majorBidi"/>
      <w:i/>
      <w:iCs/>
      <w:color w:val="595959"/>
      <w:spacing w:val="15"/>
      <w:sz w:val="28"/>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ind w:left="720"/>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ind w:left="720"/>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Florina Petre (2326724)</lastModifiedBy>
  <revision>3</revision>
  <dcterms:created xsi:type="dcterms:W3CDTF">2013-12-23T23:15:00.0000000Z</dcterms:created>
  <dcterms:modified xsi:type="dcterms:W3CDTF">2026-06-21T14:50:24.3926698Z</dcterms:modified>
  <category/>
</coreProperties>
</file>