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C708FC" w14:textId="77777777" w:rsidR="00BA7F60" w:rsidRPr="00152530" w:rsidRDefault="00000000" w:rsidP="007A13CB">
      <w:pPr>
        <w:jc w:val="center"/>
        <w:rPr>
          <w:rFonts w:eastAsia="Calibri" w:cstheme="minorHAnsi"/>
          <w:sz w:val="40"/>
          <w:szCs w:val="40"/>
        </w:rPr>
      </w:pPr>
      <w:r w:rsidRPr="00152530">
        <w:rPr>
          <w:rFonts w:eastAsia="Calibri" w:cstheme="minorHAnsi"/>
          <w:b/>
          <w:sz w:val="40"/>
          <w:szCs w:val="40"/>
        </w:rPr>
        <w:t>Applying the Principles and Practices of Data Security, Governance and Compliance</w:t>
      </w:r>
    </w:p>
    <w:p w14:paraId="09B07F78" w14:textId="77777777" w:rsidR="00BA7F60" w:rsidRPr="00152530" w:rsidRDefault="00000000" w:rsidP="007A13CB">
      <w:pPr>
        <w:jc w:val="center"/>
        <w:rPr>
          <w:rFonts w:eastAsia="Calibri" w:cstheme="minorHAnsi"/>
          <w:sz w:val="28"/>
          <w:szCs w:val="28"/>
        </w:rPr>
      </w:pPr>
      <w:r w:rsidRPr="00152530">
        <w:rPr>
          <w:rFonts w:eastAsia="Calibri" w:cstheme="minorHAnsi"/>
          <w:sz w:val="28"/>
          <w:szCs w:val="28"/>
        </w:rPr>
        <w:t xml:space="preserve">A Framework Based Security, Governance and Compliance Design for </w:t>
      </w:r>
      <w:proofErr w:type="spellStart"/>
      <w:r w:rsidRPr="00152530">
        <w:rPr>
          <w:rFonts w:eastAsia="Calibri" w:cstheme="minorHAnsi"/>
          <w:sz w:val="28"/>
          <w:szCs w:val="28"/>
        </w:rPr>
        <w:t>AeroLink</w:t>
      </w:r>
      <w:proofErr w:type="spellEnd"/>
      <w:r w:rsidRPr="00152530">
        <w:rPr>
          <w:rFonts w:eastAsia="Calibri" w:cstheme="minorHAnsi"/>
          <w:sz w:val="28"/>
          <w:szCs w:val="28"/>
        </w:rPr>
        <w:t xml:space="preserve"> Logistics (ALL)</w:t>
      </w:r>
    </w:p>
    <w:p w14:paraId="4BF47CB4" w14:textId="77777777" w:rsidR="00975CFB" w:rsidRPr="00152530" w:rsidRDefault="00975CFB" w:rsidP="00152530">
      <w:pPr>
        <w:rPr>
          <w:rFonts w:eastAsia="Calibri" w:cstheme="minorHAnsi"/>
          <w:sz w:val="28"/>
          <w:szCs w:val="28"/>
        </w:rPr>
      </w:pPr>
    </w:p>
    <w:p w14:paraId="5316E2DA" w14:textId="77777777" w:rsidR="00BA7F60" w:rsidRPr="00E37DBD" w:rsidRDefault="00000000">
      <w:pPr>
        <w:numPr>
          <w:ilvl w:val="0"/>
          <w:numId w:val="1"/>
        </w:numPr>
        <w:tabs>
          <w:tab w:val="left" w:pos="720"/>
        </w:tabs>
        <w:ind w:left="720" w:hanging="360"/>
        <w:rPr>
          <w:rFonts w:eastAsia="Calibri" w:cstheme="minorHAnsi"/>
          <w:sz w:val="32"/>
          <w:szCs w:val="32"/>
        </w:rPr>
      </w:pPr>
      <w:r w:rsidRPr="00E37DBD">
        <w:rPr>
          <w:rFonts w:eastAsia="Calibri" w:cstheme="minorHAnsi"/>
          <w:b/>
          <w:sz w:val="32"/>
          <w:szCs w:val="32"/>
        </w:rPr>
        <w:t>Module:</w:t>
      </w:r>
      <w:r w:rsidRPr="00E37DBD">
        <w:rPr>
          <w:rFonts w:eastAsia="Calibri" w:cstheme="minorHAnsi"/>
          <w:sz w:val="32"/>
          <w:szCs w:val="32"/>
        </w:rPr>
        <w:t xml:space="preserve"> Data Security, Governance and Compliance (ACCA7028) </w:t>
      </w:r>
    </w:p>
    <w:p w14:paraId="3009B13E" w14:textId="77777777" w:rsidR="00BA7F60" w:rsidRPr="00E37DBD" w:rsidRDefault="00000000">
      <w:pPr>
        <w:numPr>
          <w:ilvl w:val="0"/>
          <w:numId w:val="1"/>
        </w:numPr>
        <w:tabs>
          <w:tab w:val="left" w:pos="720"/>
        </w:tabs>
        <w:ind w:left="720" w:hanging="360"/>
        <w:rPr>
          <w:rFonts w:eastAsia="Calibri" w:cstheme="minorHAnsi"/>
          <w:sz w:val="32"/>
          <w:szCs w:val="32"/>
        </w:rPr>
      </w:pPr>
      <w:r w:rsidRPr="00E37DBD">
        <w:rPr>
          <w:rFonts w:eastAsia="Calibri" w:cstheme="minorHAnsi"/>
          <w:b/>
          <w:sz w:val="32"/>
          <w:szCs w:val="32"/>
        </w:rPr>
        <w:t>Programme:</w:t>
      </w:r>
      <w:r w:rsidRPr="00E37DBD">
        <w:rPr>
          <w:rFonts w:eastAsia="Calibri" w:cstheme="minorHAnsi"/>
          <w:sz w:val="32"/>
          <w:szCs w:val="32"/>
        </w:rPr>
        <w:t xml:space="preserve"> MSc Cybersecurity and Digital Forensics (Level 7) </w:t>
      </w:r>
    </w:p>
    <w:p w14:paraId="7EE16E83" w14:textId="77777777" w:rsidR="00BA7F60" w:rsidRPr="00E37DBD" w:rsidRDefault="00000000">
      <w:pPr>
        <w:numPr>
          <w:ilvl w:val="0"/>
          <w:numId w:val="1"/>
        </w:numPr>
        <w:tabs>
          <w:tab w:val="left" w:pos="720"/>
        </w:tabs>
        <w:ind w:left="720" w:hanging="360"/>
        <w:rPr>
          <w:rFonts w:eastAsia="Calibri" w:cstheme="minorHAnsi"/>
          <w:sz w:val="32"/>
          <w:szCs w:val="32"/>
        </w:rPr>
      </w:pPr>
      <w:r w:rsidRPr="00E37DBD">
        <w:rPr>
          <w:rFonts w:eastAsia="Calibri" w:cstheme="minorHAnsi"/>
          <w:b/>
          <w:sz w:val="32"/>
          <w:szCs w:val="32"/>
        </w:rPr>
        <w:t>Student name:</w:t>
      </w:r>
      <w:r w:rsidRPr="00E37DBD">
        <w:rPr>
          <w:rFonts w:eastAsia="Calibri" w:cstheme="minorHAnsi"/>
          <w:sz w:val="32"/>
          <w:szCs w:val="32"/>
        </w:rPr>
        <w:t xml:space="preserve"> YASH RAJESHBHAI KACHHADIYA </w:t>
      </w:r>
    </w:p>
    <w:p w14:paraId="29599360" w14:textId="77777777" w:rsidR="00BA7F60" w:rsidRPr="00E37DBD" w:rsidRDefault="00000000">
      <w:pPr>
        <w:numPr>
          <w:ilvl w:val="0"/>
          <w:numId w:val="1"/>
        </w:numPr>
        <w:tabs>
          <w:tab w:val="left" w:pos="720"/>
        </w:tabs>
        <w:ind w:left="720" w:hanging="360"/>
        <w:rPr>
          <w:rFonts w:eastAsia="Calibri" w:cstheme="minorHAnsi"/>
          <w:sz w:val="32"/>
          <w:szCs w:val="32"/>
        </w:rPr>
      </w:pPr>
      <w:r w:rsidRPr="00E37DBD">
        <w:rPr>
          <w:rFonts w:eastAsia="Calibri" w:cstheme="minorHAnsi"/>
          <w:b/>
          <w:sz w:val="32"/>
          <w:szCs w:val="32"/>
        </w:rPr>
        <w:t>Student ID:</w:t>
      </w:r>
      <w:r w:rsidRPr="00E37DBD">
        <w:rPr>
          <w:rFonts w:eastAsia="Calibri" w:cstheme="minorHAnsi"/>
          <w:sz w:val="32"/>
          <w:szCs w:val="32"/>
        </w:rPr>
        <w:t xml:space="preserve"> 2543707 </w:t>
      </w:r>
    </w:p>
    <w:p w14:paraId="6C77800C" w14:textId="77777777" w:rsidR="00BA7F60" w:rsidRPr="00E37DBD" w:rsidRDefault="00000000">
      <w:pPr>
        <w:numPr>
          <w:ilvl w:val="0"/>
          <w:numId w:val="1"/>
        </w:numPr>
        <w:tabs>
          <w:tab w:val="left" w:pos="720"/>
        </w:tabs>
        <w:ind w:left="720" w:hanging="360"/>
        <w:rPr>
          <w:rFonts w:eastAsia="Calibri" w:cstheme="minorHAnsi"/>
          <w:sz w:val="32"/>
          <w:szCs w:val="32"/>
        </w:rPr>
      </w:pPr>
      <w:r w:rsidRPr="00E37DBD">
        <w:rPr>
          <w:rFonts w:eastAsia="Calibri" w:cstheme="minorHAnsi"/>
          <w:b/>
          <w:sz w:val="32"/>
          <w:szCs w:val="32"/>
        </w:rPr>
        <w:t>Lecturer:</w:t>
      </w:r>
      <w:r w:rsidRPr="00E37DBD">
        <w:rPr>
          <w:rFonts w:eastAsia="Calibri" w:cstheme="minorHAnsi"/>
          <w:sz w:val="32"/>
          <w:szCs w:val="32"/>
        </w:rPr>
        <w:t xml:space="preserve"> Dr Ayman El Hajjar </w:t>
      </w:r>
    </w:p>
    <w:p w14:paraId="5E9554A5" w14:textId="77777777" w:rsidR="00152530" w:rsidRPr="00152530" w:rsidRDefault="00152530" w:rsidP="001848BD">
      <w:pPr>
        <w:rPr>
          <w:rFonts w:eastAsia="Calibri" w:cstheme="minorHAnsi"/>
          <w:b/>
          <w:sz w:val="40"/>
          <w:szCs w:val="40"/>
        </w:rPr>
      </w:pPr>
    </w:p>
    <w:p w14:paraId="3C44AA0A" w14:textId="77777777" w:rsidR="00152530" w:rsidRPr="00152530" w:rsidRDefault="00152530" w:rsidP="001848BD">
      <w:pPr>
        <w:rPr>
          <w:rFonts w:eastAsia="Calibri" w:cstheme="minorHAnsi"/>
          <w:b/>
          <w:sz w:val="40"/>
          <w:szCs w:val="40"/>
        </w:rPr>
      </w:pPr>
    </w:p>
    <w:p w14:paraId="6BD10D4A" w14:textId="77777777" w:rsidR="00152530" w:rsidRPr="00152530" w:rsidRDefault="00152530" w:rsidP="001848BD">
      <w:pPr>
        <w:rPr>
          <w:rFonts w:eastAsia="Calibri" w:cstheme="minorHAnsi"/>
          <w:b/>
          <w:sz w:val="40"/>
          <w:szCs w:val="40"/>
        </w:rPr>
      </w:pPr>
    </w:p>
    <w:p w14:paraId="32BAFE92" w14:textId="77777777" w:rsidR="00152530" w:rsidRPr="00152530" w:rsidRDefault="00152530" w:rsidP="001848BD">
      <w:pPr>
        <w:rPr>
          <w:rFonts w:eastAsia="Calibri" w:cstheme="minorHAnsi"/>
          <w:b/>
          <w:sz w:val="40"/>
          <w:szCs w:val="40"/>
        </w:rPr>
      </w:pPr>
    </w:p>
    <w:p w14:paraId="01E2335F" w14:textId="77777777" w:rsidR="00152530" w:rsidRPr="00152530" w:rsidRDefault="00152530" w:rsidP="001848BD">
      <w:pPr>
        <w:rPr>
          <w:rFonts w:eastAsia="Calibri" w:cstheme="minorHAnsi"/>
          <w:b/>
          <w:sz w:val="40"/>
          <w:szCs w:val="40"/>
        </w:rPr>
      </w:pPr>
    </w:p>
    <w:p w14:paraId="7C34E861" w14:textId="77777777" w:rsidR="00152530" w:rsidRPr="00152530" w:rsidRDefault="00152530" w:rsidP="001848BD">
      <w:pPr>
        <w:rPr>
          <w:rFonts w:eastAsia="Calibri" w:cstheme="minorHAnsi"/>
          <w:b/>
          <w:sz w:val="40"/>
          <w:szCs w:val="40"/>
        </w:rPr>
      </w:pPr>
    </w:p>
    <w:p w14:paraId="390159E2" w14:textId="77777777" w:rsidR="00152530" w:rsidRPr="00152530" w:rsidRDefault="00152530" w:rsidP="001848BD">
      <w:pPr>
        <w:rPr>
          <w:rFonts w:eastAsia="Calibri" w:cstheme="minorHAnsi"/>
          <w:b/>
          <w:sz w:val="40"/>
          <w:szCs w:val="40"/>
        </w:rPr>
      </w:pPr>
    </w:p>
    <w:p w14:paraId="0FF243ED" w14:textId="77777777" w:rsidR="00152530" w:rsidRPr="00152530" w:rsidRDefault="00152530" w:rsidP="001848BD">
      <w:pPr>
        <w:rPr>
          <w:rFonts w:eastAsia="Calibri" w:cstheme="minorHAnsi"/>
          <w:b/>
          <w:sz w:val="40"/>
          <w:szCs w:val="40"/>
        </w:rPr>
      </w:pPr>
    </w:p>
    <w:p w14:paraId="0466ED95" w14:textId="77777777" w:rsidR="00152530" w:rsidRPr="00152530" w:rsidRDefault="00152530" w:rsidP="001848BD">
      <w:pPr>
        <w:rPr>
          <w:rFonts w:eastAsia="Calibri" w:cstheme="minorHAnsi"/>
          <w:b/>
          <w:sz w:val="40"/>
          <w:szCs w:val="40"/>
        </w:rPr>
      </w:pPr>
    </w:p>
    <w:p w14:paraId="513FA14D" w14:textId="77777777" w:rsidR="00992402" w:rsidRDefault="00992402" w:rsidP="001848BD">
      <w:pPr>
        <w:rPr>
          <w:rFonts w:eastAsia="Calibri" w:cstheme="minorHAnsi"/>
          <w:b/>
          <w:sz w:val="40"/>
          <w:szCs w:val="40"/>
        </w:rPr>
      </w:pPr>
    </w:p>
    <w:p w14:paraId="51B05342" w14:textId="2255D100" w:rsidR="007A13CB" w:rsidRPr="00152530" w:rsidRDefault="007A13CB" w:rsidP="001848BD">
      <w:pPr>
        <w:rPr>
          <w:rFonts w:eastAsia="Calibri" w:cstheme="minorHAnsi"/>
          <w:b/>
          <w:sz w:val="40"/>
          <w:szCs w:val="40"/>
        </w:rPr>
      </w:pPr>
      <w:r w:rsidRPr="00152530">
        <w:rPr>
          <w:rFonts w:eastAsia="Calibri" w:cstheme="minorHAnsi"/>
          <w:b/>
          <w:sz w:val="40"/>
          <w:szCs w:val="40"/>
        </w:rPr>
        <w:lastRenderedPageBreak/>
        <w:t>Table of Contents</w:t>
      </w:r>
    </w:p>
    <w:p w14:paraId="12D2B978" w14:textId="4220FBEC" w:rsidR="007A13CB" w:rsidRPr="00152530" w:rsidRDefault="001848BD" w:rsidP="001848BD">
      <w:pPr>
        <w:tabs>
          <w:tab w:val="left" w:pos="1440"/>
        </w:tabs>
        <w:rPr>
          <w:rFonts w:eastAsia="Calibri" w:cstheme="minorHAnsi"/>
          <w:sz w:val="28"/>
          <w:szCs w:val="28"/>
        </w:rPr>
      </w:pPr>
      <w:r w:rsidRPr="00152530">
        <w:rPr>
          <w:rFonts w:eastAsia="Calibri" w:cstheme="minorHAnsi"/>
          <w:sz w:val="28"/>
          <w:szCs w:val="28"/>
        </w:rPr>
        <w:t xml:space="preserve">1 </w:t>
      </w:r>
      <w:r w:rsidR="007A13CB" w:rsidRPr="00152530">
        <w:rPr>
          <w:rFonts w:eastAsia="Calibri" w:cstheme="minorHAnsi"/>
          <w:sz w:val="28"/>
          <w:szCs w:val="28"/>
        </w:rPr>
        <w:t xml:space="preserve">Introduction </w:t>
      </w:r>
    </w:p>
    <w:p w14:paraId="63FDDACC" w14:textId="408698AA" w:rsidR="007A13CB" w:rsidRPr="00152530" w:rsidRDefault="001848BD" w:rsidP="001848BD">
      <w:pPr>
        <w:tabs>
          <w:tab w:val="left" w:pos="1440"/>
        </w:tabs>
        <w:rPr>
          <w:rFonts w:eastAsia="Calibri" w:cstheme="minorHAnsi"/>
          <w:sz w:val="28"/>
          <w:szCs w:val="28"/>
        </w:rPr>
      </w:pPr>
      <w:r w:rsidRPr="00152530">
        <w:rPr>
          <w:rFonts w:eastAsia="Calibri" w:cstheme="minorHAnsi"/>
          <w:sz w:val="28"/>
          <w:szCs w:val="28"/>
        </w:rPr>
        <w:t xml:space="preserve">2 </w:t>
      </w:r>
      <w:r w:rsidR="007A13CB" w:rsidRPr="00152530">
        <w:rPr>
          <w:rFonts w:eastAsia="Calibri" w:cstheme="minorHAnsi"/>
          <w:sz w:val="28"/>
          <w:szCs w:val="28"/>
        </w:rPr>
        <w:t xml:space="preserve">Research into Security Frameworks and Models </w:t>
      </w:r>
    </w:p>
    <w:p w14:paraId="041DA302" w14:textId="77777777" w:rsidR="001848BD" w:rsidRPr="00152530" w:rsidRDefault="001848BD" w:rsidP="001848BD">
      <w:pPr>
        <w:rPr>
          <w:rFonts w:eastAsia="Calibri" w:cstheme="minorHAnsi"/>
          <w:sz w:val="28"/>
          <w:szCs w:val="28"/>
        </w:rPr>
      </w:pPr>
      <w:r w:rsidRPr="00152530">
        <w:rPr>
          <w:rFonts w:eastAsia="Calibri" w:cstheme="minorHAnsi"/>
          <w:sz w:val="28"/>
          <w:szCs w:val="28"/>
        </w:rPr>
        <w:tab/>
        <w:t>2.1 NIST Cybersecurity Framework (CSF) 2.0</w:t>
      </w:r>
    </w:p>
    <w:p w14:paraId="6C219891" w14:textId="77777777" w:rsidR="001848BD" w:rsidRPr="00152530" w:rsidRDefault="001848BD" w:rsidP="001848BD">
      <w:pPr>
        <w:ind w:firstLine="720"/>
        <w:rPr>
          <w:rFonts w:eastAsia="Calibri" w:cstheme="minorHAnsi"/>
          <w:sz w:val="28"/>
          <w:szCs w:val="28"/>
        </w:rPr>
      </w:pPr>
      <w:r w:rsidRPr="00152530">
        <w:rPr>
          <w:rFonts w:eastAsia="Calibri" w:cstheme="minorHAnsi"/>
          <w:sz w:val="28"/>
          <w:szCs w:val="28"/>
        </w:rPr>
        <w:t>2.2 ISO/IEC 27001:2022 and the 27000 Series</w:t>
      </w:r>
    </w:p>
    <w:p w14:paraId="393A1C7C" w14:textId="77777777" w:rsidR="001848BD" w:rsidRPr="00152530" w:rsidRDefault="001848BD" w:rsidP="001848BD">
      <w:pPr>
        <w:ind w:firstLine="720"/>
        <w:rPr>
          <w:rFonts w:eastAsia="Calibri" w:cstheme="minorHAnsi"/>
          <w:sz w:val="28"/>
          <w:szCs w:val="28"/>
        </w:rPr>
      </w:pPr>
      <w:r w:rsidRPr="00152530">
        <w:rPr>
          <w:rFonts w:eastAsia="Calibri" w:cstheme="minorHAnsi"/>
          <w:sz w:val="28"/>
          <w:szCs w:val="28"/>
        </w:rPr>
        <w:t>2.3 COBIT 2019</w:t>
      </w:r>
    </w:p>
    <w:p w14:paraId="57DDF7C9" w14:textId="77777777" w:rsidR="001848BD" w:rsidRPr="00152530" w:rsidRDefault="001848BD" w:rsidP="001848BD">
      <w:pPr>
        <w:ind w:firstLine="720"/>
        <w:rPr>
          <w:rFonts w:eastAsia="Calibri" w:cstheme="minorHAnsi"/>
          <w:sz w:val="28"/>
          <w:szCs w:val="28"/>
        </w:rPr>
      </w:pPr>
      <w:r w:rsidRPr="00152530">
        <w:rPr>
          <w:rFonts w:eastAsia="Calibri" w:cstheme="minorHAnsi"/>
          <w:sz w:val="28"/>
          <w:szCs w:val="28"/>
        </w:rPr>
        <w:t>2.4 ITIL 4</w:t>
      </w:r>
    </w:p>
    <w:p w14:paraId="5A3CD79B" w14:textId="7E153765" w:rsidR="001848BD" w:rsidRPr="00152530" w:rsidRDefault="001848BD" w:rsidP="001848BD">
      <w:pPr>
        <w:ind w:firstLine="720"/>
        <w:rPr>
          <w:rFonts w:eastAsia="Calibri" w:cstheme="minorHAnsi"/>
          <w:sz w:val="28"/>
          <w:szCs w:val="28"/>
        </w:rPr>
      </w:pPr>
      <w:r w:rsidRPr="00152530">
        <w:rPr>
          <w:rFonts w:eastAsia="Calibri" w:cstheme="minorHAnsi"/>
          <w:sz w:val="28"/>
          <w:szCs w:val="28"/>
        </w:rPr>
        <w:t>2.5 Positioning the Frameworks</w:t>
      </w:r>
    </w:p>
    <w:p w14:paraId="7EE47BE5" w14:textId="4956B0D3" w:rsidR="007A13CB" w:rsidRPr="00152530" w:rsidRDefault="001848BD" w:rsidP="001848BD">
      <w:pPr>
        <w:tabs>
          <w:tab w:val="left" w:pos="1440"/>
        </w:tabs>
        <w:rPr>
          <w:rFonts w:eastAsia="Calibri" w:cstheme="minorHAnsi"/>
          <w:sz w:val="28"/>
          <w:szCs w:val="28"/>
        </w:rPr>
      </w:pPr>
      <w:r w:rsidRPr="00152530">
        <w:rPr>
          <w:rFonts w:eastAsia="Calibri" w:cstheme="minorHAnsi"/>
          <w:sz w:val="28"/>
          <w:szCs w:val="28"/>
        </w:rPr>
        <w:t xml:space="preserve">3 </w:t>
      </w:r>
      <w:r w:rsidR="007A13CB" w:rsidRPr="00152530">
        <w:rPr>
          <w:rFonts w:eastAsia="Calibri" w:cstheme="minorHAnsi"/>
          <w:sz w:val="28"/>
          <w:szCs w:val="28"/>
        </w:rPr>
        <w:t xml:space="preserve">Comparative Evaluation and Framework Selection </w:t>
      </w:r>
    </w:p>
    <w:p w14:paraId="22B8C708" w14:textId="77777777" w:rsidR="001848BD" w:rsidRPr="00152530" w:rsidRDefault="001848BD" w:rsidP="001848BD">
      <w:pPr>
        <w:tabs>
          <w:tab w:val="left" w:pos="1440"/>
        </w:tabs>
        <w:rPr>
          <w:rFonts w:eastAsia="Calibri" w:cstheme="minorHAnsi"/>
          <w:sz w:val="28"/>
          <w:szCs w:val="28"/>
        </w:rPr>
      </w:pPr>
      <w:r w:rsidRPr="00152530">
        <w:rPr>
          <w:rFonts w:eastAsia="Calibri" w:cstheme="minorHAnsi"/>
          <w:sz w:val="28"/>
          <w:szCs w:val="28"/>
        </w:rPr>
        <w:t xml:space="preserve">4 </w:t>
      </w:r>
      <w:r w:rsidR="007A13CB" w:rsidRPr="00152530">
        <w:rPr>
          <w:rFonts w:eastAsia="Calibri" w:cstheme="minorHAnsi"/>
          <w:sz w:val="28"/>
          <w:szCs w:val="28"/>
        </w:rPr>
        <w:t xml:space="preserve">Proposed Security, Governance and Compliance Design for ALL </w:t>
      </w:r>
    </w:p>
    <w:p w14:paraId="7EE5A969" w14:textId="77777777" w:rsidR="001848BD" w:rsidRPr="00152530" w:rsidRDefault="001848BD" w:rsidP="001848BD">
      <w:pPr>
        <w:rPr>
          <w:rFonts w:eastAsia="Calibri" w:cstheme="minorHAnsi"/>
          <w:sz w:val="28"/>
          <w:szCs w:val="28"/>
        </w:rPr>
      </w:pPr>
      <w:r w:rsidRPr="00152530">
        <w:rPr>
          <w:rFonts w:eastAsia="Calibri" w:cstheme="minorHAnsi"/>
          <w:sz w:val="28"/>
          <w:szCs w:val="28"/>
        </w:rPr>
        <w:tab/>
        <w:t>4.1 Governance and Strategic Planning</w:t>
      </w:r>
    </w:p>
    <w:p w14:paraId="2D33AA21" w14:textId="77777777" w:rsidR="001848BD" w:rsidRPr="00152530" w:rsidRDefault="001848BD" w:rsidP="001848BD">
      <w:pPr>
        <w:rPr>
          <w:rFonts w:eastAsia="Calibri" w:cstheme="minorHAnsi"/>
          <w:sz w:val="28"/>
          <w:szCs w:val="28"/>
        </w:rPr>
      </w:pPr>
      <w:r w:rsidRPr="00152530">
        <w:rPr>
          <w:rFonts w:eastAsia="Calibri" w:cstheme="minorHAnsi"/>
          <w:sz w:val="28"/>
          <w:szCs w:val="28"/>
        </w:rPr>
        <w:tab/>
        <w:t>4.2 Compliance (Laws and Ethics)</w:t>
      </w:r>
    </w:p>
    <w:p w14:paraId="53400394" w14:textId="77777777" w:rsidR="001848BD" w:rsidRPr="00152530" w:rsidRDefault="001848BD" w:rsidP="001848BD">
      <w:pPr>
        <w:rPr>
          <w:rFonts w:eastAsia="Calibri" w:cstheme="minorHAnsi"/>
          <w:sz w:val="28"/>
          <w:szCs w:val="28"/>
        </w:rPr>
      </w:pPr>
      <w:r w:rsidRPr="00152530">
        <w:rPr>
          <w:rFonts w:eastAsia="Calibri" w:cstheme="minorHAnsi"/>
          <w:sz w:val="28"/>
          <w:szCs w:val="28"/>
        </w:rPr>
        <w:tab/>
        <w:t>4.3 Risk Management and Assessment</w:t>
      </w:r>
    </w:p>
    <w:p w14:paraId="2815B0B9" w14:textId="77777777" w:rsidR="001848BD" w:rsidRPr="00152530" w:rsidRDefault="001848BD" w:rsidP="001848BD">
      <w:pPr>
        <w:rPr>
          <w:rFonts w:eastAsia="Calibri" w:cstheme="minorHAnsi"/>
          <w:sz w:val="28"/>
          <w:szCs w:val="28"/>
        </w:rPr>
      </w:pPr>
      <w:r w:rsidRPr="00152530">
        <w:rPr>
          <w:rFonts w:eastAsia="Calibri" w:cstheme="minorHAnsi"/>
          <w:sz w:val="28"/>
          <w:szCs w:val="28"/>
        </w:rPr>
        <w:tab/>
        <w:t>4.4 Protection Mechanisms and Access Controls</w:t>
      </w:r>
    </w:p>
    <w:p w14:paraId="3737CAEC" w14:textId="77777777" w:rsidR="001848BD" w:rsidRPr="00152530" w:rsidRDefault="001848BD" w:rsidP="001848BD">
      <w:pPr>
        <w:rPr>
          <w:rFonts w:eastAsia="Calibri" w:cstheme="minorHAnsi"/>
          <w:sz w:val="28"/>
          <w:szCs w:val="28"/>
        </w:rPr>
      </w:pPr>
      <w:r w:rsidRPr="00152530">
        <w:rPr>
          <w:rFonts w:eastAsia="Calibri" w:cstheme="minorHAnsi"/>
          <w:sz w:val="28"/>
          <w:szCs w:val="28"/>
        </w:rPr>
        <w:tab/>
        <w:t>4.5 Vendor and SLA Management</w:t>
      </w:r>
    </w:p>
    <w:p w14:paraId="4D63AD20" w14:textId="77777777" w:rsidR="001848BD" w:rsidRPr="00152530" w:rsidRDefault="001848BD" w:rsidP="001848BD">
      <w:pPr>
        <w:ind w:firstLine="720"/>
        <w:rPr>
          <w:rFonts w:eastAsia="Calibri" w:cstheme="minorHAnsi"/>
          <w:sz w:val="28"/>
          <w:szCs w:val="28"/>
        </w:rPr>
      </w:pPr>
      <w:r w:rsidRPr="00152530">
        <w:rPr>
          <w:rFonts w:eastAsia="Calibri" w:cstheme="minorHAnsi"/>
          <w:sz w:val="28"/>
          <w:szCs w:val="28"/>
        </w:rPr>
        <w:t>4.6 Contingency and Business Continuity Planning</w:t>
      </w:r>
    </w:p>
    <w:p w14:paraId="514C7C3C" w14:textId="19C820EA" w:rsidR="001848BD" w:rsidRPr="00152530" w:rsidRDefault="001848BD" w:rsidP="001848BD">
      <w:pPr>
        <w:rPr>
          <w:rFonts w:eastAsia="Calibri" w:cstheme="minorHAnsi"/>
          <w:sz w:val="28"/>
          <w:szCs w:val="28"/>
        </w:rPr>
      </w:pPr>
      <w:r w:rsidRPr="00152530">
        <w:rPr>
          <w:rFonts w:eastAsia="Calibri" w:cstheme="minorHAnsi"/>
          <w:sz w:val="28"/>
          <w:szCs w:val="28"/>
        </w:rPr>
        <w:tab/>
        <w:t>4.7 Implementation Roadmap</w:t>
      </w:r>
    </w:p>
    <w:p w14:paraId="7B26584F" w14:textId="10A585DB" w:rsidR="007A13CB" w:rsidRPr="00152530" w:rsidRDefault="001848BD" w:rsidP="001848BD">
      <w:pPr>
        <w:tabs>
          <w:tab w:val="left" w:pos="1440"/>
        </w:tabs>
        <w:rPr>
          <w:rFonts w:eastAsia="Calibri" w:cstheme="minorHAnsi"/>
          <w:sz w:val="28"/>
          <w:szCs w:val="28"/>
        </w:rPr>
      </w:pPr>
      <w:r w:rsidRPr="00152530">
        <w:rPr>
          <w:rFonts w:eastAsia="Calibri" w:cstheme="minorHAnsi"/>
          <w:sz w:val="28"/>
          <w:szCs w:val="28"/>
        </w:rPr>
        <w:t xml:space="preserve">5 </w:t>
      </w:r>
      <w:r w:rsidR="007A13CB" w:rsidRPr="00152530">
        <w:rPr>
          <w:rFonts w:eastAsia="Calibri" w:cstheme="minorHAnsi"/>
          <w:sz w:val="28"/>
          <w:szCs w:val="28"/>
        </w:rPr>
        <w:t xml:space="preserve">Critical Analysis: The Case for Continuous Regulatory and Standards Updating </w:t>
      </w:r>
    </w:p>
    <w:p w14:paraId="7BB001B8" w14:textId="77777777" w:rsidR="001848BD" w:rsidRPr="00152530" w:rsidRDefault="001848BD" w:rsidP="001848BD">
      <w:pPr>
        <w:rPr>
          <w:rFonts w:eastAsia="Calibri" w:cstheme="minorHAnsi"/>
          <w:sz w:val="28"/>
          <w:szCs w:val="28"/>
        </w:rPr>
      </w:pPr>
      <w:r w:rsidRPr="00152530">
        <w:rPr>
          <w:rFonts w:eastAsia="Calibri" w:cstheme="minorHAnsi"/>
          <w:sz w:val="28"/>
          <w:szCs w:val="28"/>
        </w:rPr>
        <w:tab/>
        <w:t>5.1 Emerging Technologies Outpace Static Controls</w:t>
      </w:r>
    </w:p>
    <w:p w14:paraId="6830F139" w14:textId="77777777" w:rsidR="001848BD" w:rsidRPr="00152530" w:rsidRDefault="001848BD" w:rsidP="001848BD">
      <w:pPr>
        <w:rPr>
          <w:rFonts w:eastAsia="Calibri" w:cstheme="minorHAnsi"/>
          <w:sz w:val="28"/>
          <w:szCs w:val="28"/>
        </w:rPr>
      </w:pPr>
      <w:r w:rsidRPr="00152530">
        <w:rPr>
          <w:rFonts w:eastAsia="Calibri" w:cstheme="minorHAnsi"/>
          <w:sz w:val="28"/>
          <w:szCs w:val="28"/>
        </w:rPr>
        <w:tab/>
        <w:t>5.2 The Threat Landscape Is Adversarial and Adaptive</w:t>
      </w:r>
    </w:p>
    <w:p w14:paraId="6FB6561C" w14:textId="38A30AF3" w:rsidR="001848BD" w:rsidRPr="00152530" w:rsidRDefault="001848BD" w:rsidP="001848BD">
      <w:pPr>
        <w:rPr>
          <w:rFonts w:eastAsia="Calibri" w:cstheme="minorHAnsi"/>
          <w:sz w:val="28"/>
          <w:szCs w:val="28"/>
        </w:rPr>
      </w:pPr>
      <w:r w:rsidRPr="00152530">
        <w:rPr>
          <w:rFonts w:eastAsia="Calibri" w:cstheme="minorHAnsi"/>
          <w:sz w:val="28"/>
          <w:szCs w:val="28"/>
        </w:rPr>
        <w:tab/>
        <w:t>5.3 Fragmented and Shifting Global Compliance</w:t>
      </w:r>
    </w:p>
    <w:p w14:paraId="42838813" w14:textId="0D5D0870" w:rsidR="001848BD" w:rsidRPr="00152530" w:rsidRDefault="001848BD" w:rsidP="001848BD">
      <w:pPr>
        <w:ind w:firstLine="720"/>
        <w:rPr>
          <w:rFonts w:eastAsia="Calibri" w:cstheme="minorHAnsi"/>
          <w:sz w:val="28"/>
          <w:szCs w:val="28"/>
        </w:rPr>
      </w:pPr>
      <w:r w:rsidRPr="00152530">
        <w:rPr>
          <w:rFonts w:eastAsia="Calibri" w:cstheme="minorHAnsi"/>
          <w:sz w:val="28"/>
          <w:szCs w:val="28"/>
        </w:rPr>
        <w:t>5.4 Counter-Arguments and a Balanced Judgement</w:t>
      </w:r>
    </w:p>
    <w:p w14:paraId="48D04ADD" w14:textId="5D29FA4C" w:rsidR="007A13CB" w:rsidRPr="00152530" w:rsidRDefault="001848BD" w:rsidP="001848BD">
      <w:pPr>
        <w:tabs>
          <w:tab w:val="left" w:pos="1440"/>
        </w:tabs>
        <w:rPr>
          <w:rFonts w:eastAsia="Calibri" w:cstheme="minorHAnsi"/>
          <w:sz w:val="28"/>
          <w:szCs w:val="28"/>
        </w:rPr>
      </w:pPr>
      <w:r w:rsidRPr="00152530">
        <w:rPr>
          <w:rFonts w:eastAsia="Calibri" w:cstheme="minorHAnsi"/>
          <w:sz w:val="28"/>
          <w:szCs w:val="28"/>
        </w:rPr>
        <w:t xml:space="preserve">6 </w:t>
      </w:r>
      <w:r w:rsidR="007A13CB" w:rsidRPr="00152530">
        <w:rPr>
          <w:rFonts w:eastAsia="Calibri" w:cstheme="minorHAnsi"/>
          <w:sz w:val="28"/>
          <w:szCs w:val="28"/>
        </w:rPr>
        <w:t xml:space="preserve">Assumptions </w:t>
      </w:r>
    </w:p>
    <w:p w14:paraId="79D4E715" w14:textId="36C371F7" w:rsidR="007A13CB" w:rsidRPr="00152530" w:rsidRDefault="001848BD" w:rsidP="001848BD">
      <w:pPr>
        <w:tabs>
          <w:tab w:val="left" w:pos="1440"/>
        </w:tabs>
        <w:rPr>
          <w:rFonts w:eastAsia="Calibri" w:cstheme="minorHAnsi"/>
          <w:sz w:val="28"/>
          <w:szCs w:val="28"/>
        </w:rPr>
      </w:pPr>
      <w:r w:rsidRPr="00152530">
        <w:rPr>
          <w:rFonts w:eastAsia="Calibri" w:cstheme="minorHAnsi"/>
          <w:sz w:val="28"/>
          <w:szCs w:val="28"/>
        </w:rPr>
        <w:t xml:space="preserve">7 </w:t>
      </w:r>
      <w:r w:rsidR="007A13CB" w:rsidRPr="00152530">
        <w:rPr>
          <w:rFonts w:eastAsia="Calibri" w:cstheme="minorHAnsi"/>
          <w:sz w:val="28"/>
          <w:szCs w:val="28"/>
        </w:rPr>
        <w:t xml:space="preserve">Conclusion </w:t>
      </w:r>
    </w:p>
    <w:p w14:paraId="42A02037" w14:textId="77777777" w:rsidR="00992402" w:rsidRDefault="001848BD" w:rsidP="00975CFB">
      <w:pPr>
        <w:tabs>
          <w:tab w:val="left" w:pos="720"/>
        </w:tabs>
        <w:rPr>
          <w:rFonts w:eastAsia="Calibri" w:cstheme="minorHAnsi"/>
          <w:sz w:val="28"/>
          <w:szCs w:val="28"/>
        </w:rPr>
      </w:pPr>
      <w:r w:rsidRPr="00152530">
        <w:rPr>
          <w:rFonts w:eastAsia="Calibri" w:cstheme="minorHAnsi"/>
          <w:sz w:val="28"/>
          <w:szCs w:val="28"/>
        </w:rPr>
        <w:t xml:space="preserve">8 </w:t>
      </w:r>
      <w:r w:rsidR="007A13CB" w:rsidRPr="00152530">
        <w:rPr>
          <w:rFonts w:eastAsia="Calibri" w:cstheme="minorHAnsi"/>
          <w:sz w:val="28"/>
          <w:szCs w:val="28"/>
        </w:rPr>
        <w:t>References</w:t>
      </w:r>
    </w:p>
    <w:p w14:paraId="3F7832B6" w14:textId="74502B75" w:rsidR="00BA7F60" w:rsidRPr="00992402" w:rsidRDefault="00000000" w:rsidP="00975CFB">
      <w:pPr>
        <w:tabs>
          <w:tab w:val="left" w:pos="720"/>
        </w:tabs>
        <w:rPr>
          <w:rFonts w:eastAsia="Calibri" w:cstheme="minorHAnsi"/>
          <w:sz w:val="28"/>
          <w:szCs w:val="28"/>
        </w:rPr>
      </w:pPr>
      <w:r w:rsidRPr="00152530">
        <w:rPr>
          <w:rFonts w:eastAsia="Calibri" w:cstheme="minorHAnsi"/>
          <w:b/>
          <w:sz w:val="32"/>
          <w:szCs w:val="32"/>
        </w:rPr>
        <w:lastRenderedPageBreak/>
        <w:t>Abstract</w:t>
      </w:r>
    </w:p>
    <w:p w14:paraId="39055CFF" w14:textId="77777777" w:rsidR="00883375" w:rsidRPr="00883375" w:rsidRDefault="00883375" w:rsidP="00883375">
      <w:pPr>
        <w:rPr>
          <w:rFonts w:eastAsia="Calibri" w:cstheme="minorHAnsi"/>
          <w:lang w:val="en-IN"/>
        </w:rPr>
      </w:pPr>
      <w:r w:rsidRPr="00883375">
        <w:rPr>
          <w:rFonts w:eastAsia="Calibri" w:cstheme="minorHAnsi"/>
          <w:lang w:val="en-IN"/>
        </w:rPr>
        <w:t xml:space="preserve">Aero Link Logistics (ALL) is a global supply-chain firm whose business relies on a great deal of cloud services. Nonetheless, its cybersecurity and governance have not kept up the pace. About 88% of its infrastructure is outsourced, unmanaged remote-access devices are being used, and the company has suffered breaches involving customer shipping data and PII. The </w:t>
      </w:r>
      <w:proofErr w:type="gramStart"/>
      <w:r w:rsidRPr="00883375">
        <w:rPr>
          <w:rFonts w:eastAsia="Calibri" w:cstheme="minorHAnsi"/>
          <w:lang w:val="en-IN"/>
        </w:rPr>
        <w:t>ALL organisation’s</w:t>
      </w:r>
      <w:proofErr w:type="gramEnd"/>
      <w:r w:rsidRPr="00883375">
        <w:rPr>
          <w:rFonts w:eastAsia="Calibri" w:cstheme="minorHAnsi"/>
          <w:lang w:val="en-IN"/>
        </w:rPr>
        <w:t xml:space="preserve"> lack of a governance and security system means it has a high exposure level.</w:t>
      </w:r>
    </w:p>
    <w:p w14:paraId="1DCD633A" w14:textId="77777777" w:rsidR="00883375" w:rsidRPr="00883375" w:rsidRDefault="00883375" w:rsidP="00883375">
      <w:pPr>
        <w:rPr>
          <w:rFonts w:eastAsia="Calibri" w:cstheme="minorHAnsi"/>
          <w:lang w:val="en-IN"/>
        </w:rPr>
      </w:pPr>
      <w:r w:rsidRPr="00883375">
        <w:rPr>
          <w:rFonts w:eastAsia="Calibri" w:cstheme="minorHAnsi"/>
          <w:lang w:val="en-IN"/>
        </w:rPr>
        <w:t xml:space="preserve">This document Compare NIST CSF 2.0, ISO/IEC 27001:2022, COBIT 2019 and ITIL 4. NIST CSF 2.0, ISO/IEC 27001:2022, COBIT 2019 and ITIL 4 are examined for their strengths and suitability to ALL security and compliance needs. The author </w:t>
      </w:r>
      <w:proofErr w:type="gramStart"/>
      <w:r w:rsidRPr="00883375">
        <w:rPr>
          <w:rFonts w:eastAsia="Calibri" w:cstheme="minorHAnsi"/>
          <w:lang w:val="en-IN"/>
        </w:rPr>
        <w:t>suggest</w:t>
      </w:r>
      <w:proofErr w:type="gramEnd"/>
      <w:r w:rsidRPr="00883375">
        <w:rPr>
          <w:rFonts w:eastAsia="Calibri" w:cstheme="minorHAnsi"/>
          <w:lang w:val="en-IN"/>
        </w:rPr>
        <w:t xml:space="preserve"> an integrated approach that uses ISO/IEC 27001 certification and information security management standards, NIST for practical and real-world cybersecurity controls and COBIT to enhance governance between business and IT.  They also recommend the adoption of zero trust, supplier risk, and business continuity.</w:t>
      </w:r>
    </w:p>
    <w:p w14:paraId="787EE101" w14:textId="6B647193" w:rsidR="00B602CB" w:rsidRPr="00B602CB" w:rsidRDefault="00883375" w:rsidP="00883375">
      <w:pPr>
        <w:rPr>
          <w:rFonts w:eastAsia="Calibri" w:cstheme="minorHAnsi"/>
          <w:lang w:val="en-IN"/>
        </w:rPr>
      </w:pPr>
      <w:r w:rsidRPr="00883375">
        <w:rPr>
          <w:rFonts w:eastAsia="Calibri" w:cstheme="minorHAnsi"/>
          <w:lang w:val="en-IN"/>
        </w:rPr>
        <w:t>In conclusion, the research paper discusses the need for constant updates in cyber security controls as technology, cyber threats and laws constantly change. If you stick to the same security approach, it will age quickly. The recommended course of action would aid ALL in constructing a cybersecurity environment that is more secure, auditable and adaptable, while fulfilling GDPR and ISO/IEC 27001 compliance needs.</w:t>
      </w:r>
    </w:p>
    <w:p w14:paraId="6C6E9E97" w14:textId="77777777" w:rsidR="00E37DBD" w:rsidRPr="00152530" w:rsidRDefault="00E37DBD">
      <w:pPr>
        <w:rPr>
          <w:rFonts w:eastAsia="Calibri" w:cstheme="minorHAnsi"/>
          <w:sz w:val="32"/>
          <w:szCs w:val="32"/>
        </w:rPr>
      </w:pPr>
    </w:p>
    <w:p w14:paraId="3B586CDF" w14:textId="77777777" w:rsidR="00BA7F60" w:rsidRPr="00152530" w:rsidRDefault="00000000">
      <w:pPr>
        <w:rPr>
          <w:rFonts w:eastAsia="Calibri" w:cstheme="minorHAnsi"/>
          <w:b/>
          <w:sz w:val="32"/>
          <w:szCs w:val="32"/>
        </w:rPr>
      </w:pPr>
      <w:r w:rsidRPr="00152530">
        <w:rPr>
          <w:rFonts w:eastAsia="Calibri" w:cstheme="minorHAnsi"/>
          <w:b/>
          <w:sz w:val="32"/>
          <w:szCs w:val="32"/>
        </w:rPr>
        <w:t>1. Introduction</w:t>
      </w:r>
    </w:p>
    <w:p w14:paraId="38758C50" w14:textId="77777777" w:rsidR="00883375" w:rsidRPr="00883375" w:rsidRDefault="00883375" w:rsidP="00883375">
      <w:pPr>
        <w:rPr>
          <w:rFonts w:eastAsia="Calibri" w:cstheme="minorHAnsi"/>
          <w:lang w:val="en-IN"/>
        </w:rPr>
      </w:pPr>
      <w:r w:rsidRPr="00883375">
        <w:rPr>
          <w:rFonts w:eastAsia="Calibri" w:cstheme="minorHAnsi"/>
          <w:lang w:val="en-IN"/>
        </w:rPr>
        <w:t>The transport sector has transformed by digitalization, but cybersecurity risks still remain. The incorporation of Cloud Computing, IoT and AI enhances visibility and efficiency. However, it also gives rise to an increasing array of systems, data connections and access points that attackers can exploit1. The security and governance processes of Aero Link Logistics (ALL) are developing more slowly than its technologies. The organization currently does not have any single security framework, centralize risk-management process, or formal auditing of GDPR or ISO/IEC 27001 compliance. So far, this has resulted in customer shipping data and personal information data breaches.</w:t>
      </w:r>
    </w:p>
    <w:p w14:paraId="1094AB43" w14:textId="77777777" w:rsidR="00883375" w:rsidRPr="00883375" w:rsidRDefault="00883375" w:rsidP="00883375">
      <w:pPr>
        <w:rPr>
          <w:rFonts w:eastAsia="Calibri" w:cstheme="minorHAnsi"/>
          <w:lang w:val="en-IN"/>
        </w:rPr>
      </w:pPr>
      <w:r w:rsidRPr="00883375">
        <w:rPr>
          <w:rFonts w:eastAsia="Calibri" w:cstheme="minorHAnsi"/>
          <w:lang w:val="en-IN"/>
        </w:rPr>
        <w:t>According to ALL, almost 88% of its infrastructure is outsourced and the problem has become even more complex. Responsibility for security is shared between ALL and several external providers. Their involvement can make accountability more difficult to manage [3]. Employees, suppliers and logistics partners can access systems remotely using unmanaged devices with remote working. The traditional network boundary is less efficacious due to this. Thus, all strategic and business decisions must integrate cybersecurity into their processes.</w:t>
      </w:r>
    </w:p>
    <w:p w14:paraId="327AE6C8" w14:textId="77777777" w:rsidR="00883375" w:rsidRPr="00883375" w:rsidRDefault="00883375" w:rsidP="00883375">
      <w:pPr>
        <w:rPr>
          <w:rFonts w:eastAsia="Calibri" w:cstheme="minorHAnsi"/>
          <w:lang w:val="en-IN"/>
        </w:rPr>
      </w:pPr>
    </w:p>
    <w:p w14:paraId="0B1AC44E" w14:textId="2FF45E66" w:rsidR="00A0154C" w:rsidRPr="00A0154C" w:rsidRDefault="00883375" w:rsidP="00883375">
      <w:pPr>
        <w:rPr>
          <w:rFonts w:eastAsia="Calibri" w:cstheme="minorHAnsi"/>
          <w:lang w:val="en-IN"/>
        </w:rPr>
      </w:pPr>
      <w:r w:rsidRPr="00883375">
        <w:rPr>
          <w:rFonts w:eastAsia="Calibri" w:cstheme="minorHAnsi"/>
          <w:lang w:val="en-IN"/>
        </w:rPr>
        <w:t>The report tackles these issues in three specific areas. Initially, the paper will conduct an analysis of NIST CSF 2.0 compared to ISO/IEC 27001:2022, and COBIT 2019 and ITIL 4. It will focus on the strengths and contribution of each framework. Secondly, it utilises these results to outline a security and governance strategy that will be tailored to ALL’s weaknesses readings in compliance, risk management, access control, supplier management and business continuity. Ultimately, the report lays out the reasons why security standards and regulations need to be regularly updated due to evolving technology, cyber threats and global compliance requirements. Before concluding, the paper also explains the key assumptions used in the analysis.</w:t>
      </w:r>
    </w:p>
    <w:p w14:paraId="44C78BD2" w14:textId="77777777" w:rsidR="00BA7F60" w:rsidRPr="00152530" w:rsidRDefault="00000000">
      <w:pPr>
        <w:rPr>
          <w:rFonts w:eastAsia="Calibri" w:cstheme="minorHAnsi"/>
          <w:b/>
          <w:sz w:val="32"/>
          <w:szCs w:val="32"/>
        </w:rPr>
      </w:pPr>
      <w:r w:rsidRPr="00152530">
        <w:rPr>
          <w:rFonts w:eastAsia="Calibri" w:cstheme="minorHAnsi"/>
          <w:b/>
          <w:sz w:val="32"/>
          <w:szCs w:val="32"/>
        </w:rPr>
        <w:t>2. Research into Security Frameworks and Models</w:t>
      </w:r>
    </w:p>
    <w:p w14:paraId="1ABC92FE" w14:textId="1CDEEC2C" w:rsidR="00975CFB" w:rsidRDefault="00C77023">
      <w:pPr>
        <w:rPr>
          <w:rFonts w:eastAsia="Calibri" w:cstheme="minorHAnsi"/>
        </w:rPr>
      </w:pPr>
      <w:r w:rsidRPr="00C77023">
        <w:rPr>
          <w:rFonts w:eastAsia="Calibri" w:cstheme="minorHAnsi"/>
        </w:rPr>
        <w:t>A security framework provides organisations with guidelines, controls and processes to manage cybersecurity risks in a structured way. Instead of responding to threats only after they happen, frameworks help organisations identify and manage risks in advance. The frameworks discussed below have different purposes, ranging from overall business and IT governance to practical security controls and IT service management.</w:t>
      </w:r>
    </w:p>
    <w:p w14:paraId="01161F45" w14:textId="77777777" w:rsidR="00E1382B" w:rsidRPr="00152530" w:rsidRDefault="00E1382B">
      <w:pPr>
        <w:rPr>
          <w:rFonts w:eastAsia="Calibri" w:cstheme="minorHAnsi"/>
        </w:rPr>
      </w:pPr>
    </w:p>
    <w:p w14:paraId="16E1C24F" w14:textId="77777777" w:rsidR="00BA7F60" w:rsidRPr="00E37DBD" w:rsidRDefault="00000000">
      <w:pPr>
        <w:rPr>
          <w:rFonts w:eastAsia="Calibri" w:cstheme="minorHAnsi"/>
          <w:b/>
          <w:sz w:val="32"/>
          <w:szCs w:val="32"/>
        </w:rPr>
      </w:pPr>
      <w:r w:rsidRPr="00E37DBD">
        <w:rPr>
          <w:rFonts w:eastAsia="Calibri" w:cstheme="minorHAnsi"/>
          <w:b/>
          <w:sz w:val="32"/>
          <w:szCs w:val="32"/>
        </w:rPr>
        <w:t>2.1 NIST Cybersecurity Framework (CSF) 2.0</w:t>
      </w:r>
    </w:p>
    <w:p w14:paraId="65B7339B" w14:textId="667002BF" w:rsidR="00E1382B" w:rsidRPr="00C77023" w:rsidRDefault="00736990" w:rsidP="00736990">
      <w:pPr>
        <w:rPr>
          <w:rFonts w:eastAsia="Calibri" w:cstheme="minorHAnsi"/>
          <w:lang w:val="en-IN"/>
        </w:rPr>
      </w:pPr>
      <w:r w:rsidRPr="00736990">
        <w:rPr>
          <w:rFonts w:eastAsia="Calibri" w:cstheme="minorHAnsi"/>
          <w:lang w:val="en-IN"/>
        </w:rPr>
        <w:t>NIST Cybersecurity Framework was updated to version 2.0 in 2024. According to NIST risk management framework governs cyber security plan to help data breach mitigate [6</w:t>
      </w:r>
      <w:proofErr w:type="gramStart"/>
      <w:r w:rsidRPr="00736990">
        <w:rPr>
          <w:rFonts w:eastAsia="Calibri" w:cstheme="minorHAnsi"/>
          <w:lang w:val="en-IN"/>
        </w:rPr>
        <w:t>].It</w:t>
      </w:r>
      <w:proofErr w:type="gramEnd"/>
      <w:r w:rsidRPr="00736990">
        <w:rPr>
          <w:rFonts w:eastAsia="Calibri" w:cstheme="minorHAnsi"/>
          <w:lang w:val="en-IN"/>
        </w:rPr>
        <w:t xml:space="preserve"> is a flexible, risk-based framework that includes six functions: Govern, Identify, Protect, Detect, Respond and Recover [9]. Version 2.0 saw one of the major updates, which was the new governance function, which emphasizes the importance of leadership, policies, responsibilities and supply-chain security. NIST CSF 2.0’s strengths are flexible and a clear approach to all kinds of cyber risks. While it does give an idea of some possible control measures, it does not tell the organisation in detail how to implement each control. Therefore, organisations need to decide how to apply it to their own need.</w:t>
      </w:r>
    </w:p>
    <w:p w14:paraId="7953DFC0" w14:textId="77777777" w:rsidR="00BA7F60" w:rsidRPr="00E37DBD" w:rsidRDefault="00000000">
      <w:pPr>
        <w:rPr>
          <w:rFonts w:eastAsia="Calibri" w:cstheme="minorHAnsi"/>
          <w:b/>
          <w:sz w:val="32"/>
          <w:szCs w:val="32"/>
        </w:rPr>
      </w:pPr>
      <w:r w:rsidRPr="00152530">
        <w:rPr>
          <w:rFonts w:eastAsia="Calibri" w:cstheme="minorHAnsi"/>
          <w:b/>
          <w:sz w:val="28"/>
          <w:szCs w:val="28"/>
        </w:rPr>
        <w:t xml:space="preserve">2.2 </w:t>
      </w:r>
      <w:r w:rsidRPr="00E37DBD">
        <w:rPr>
          <w:rFonts w:eastAsia="Calibri" w:cstheme="minorHAnsi"/>
          <w:b/>
          <w:sz w:val="32"/>
          <w:szCs w:val="32"/>
        </w:rPr>
        <w:t>ISO/IEC 27001:2022 and the 27000 Series</w:t>
      </w:r>
    </w:p>
    <w:p w14:paraId="4DDC4ED7" w14:textId="116F0A4E" w:rsidR="00C77023" w:rsidRDefault="00736990">
      <w:pPr>
        <w:rPr>
          <w:rFonts w:eastAsia="Calibri" w:cstheme="minorHAnsi"/>
          <w:lang w:val="en-IN"/>
        </w:rPr>
      </w:pPr>
      <w:r w:rsidRPr="00736990">
        <w:rPr>
          <w:rFonts w:eastAsia="Calibri" w:cstheme="minorHAnsi"/>
          <w:lang w:val="en-IN"/>
        </w:rPr>
        <w:t>The standard ISO/IEC 27001:2022 introduces protocols for developing and operating information security management systems (ISMSs) that make use of 93 Annex A controls. The control measures are categorised into four areas; organisational, people, physical and technological. One of its key benefits is that organisations can independently certify themselves, providing recognised proof of their security practices to customers and regulators. Nevertheless, to get and maintain the certification necessitates regular documentation, audits and management involvement, which is difficult for an organisation like ALL with a low level of security maturity.</w:t>
      </w:r>
    </w:p>
    <w:p w14:paraId="23D969C5" w14:textId="77777777" w:rsidR="00C77023" w:rsidRDefault="00C77023">
      <w:pPr>
        <w:rPr>
          <w:rFonts w:eastAsia="Calibri" w:cstheme="minorHAnsi"/>
          <w:lang w:val="en-IN"/>
        </w:rPr>
      </w:pPr>
    </w:p>
    <w:p w14:paraId="409D14EE" w14:textId="77777777" w:rsidR="00C77023" w:rsidRPr="00C77023" w:rsidRDefault="00C77023">
      <w:pPr>
        <w:rPr>
          <w:rFonts w:eastAsia="Calibri" w:cstheme="minorHAnsi"/>
          <w:lang w:val="en-IN"/>
        </w:rPr>
      </w:pPr>
    </w:p>
    <w:p w14:paraId="38E8AF1E" w14:textId="77777777" w:rsidR="00BA7F60" w:rsidRPr="00E37DBD" w:rsidRDefault="00000000">
      <w:pPr>
        <w:rPr>
          <w:rFonts w:eastAsia="Calibri" w:cstheme="minorHAnsi"/>
          <w:b/>
          <w:sz w:val="32"/>
          <w:szCs w:val="32"/>
        </w:rPr>
      </w:pPr>
      <w:r w:rsidRPr="00E37DBD">
        <w:rPr>
          <w:rFonts w:eastAsia="Calibri" w:cstheme="minorHAnsi"/>
          <w:b/>
          <w:sz w:val="32"/>
          <w:szCs w:val="32"/>
        </w:rPr>
        <w:t>2.3 COBIT 2019</w:t>
      </w:r>
    </w:p>
    <w:p w14:paraId="5192DF60" w14:textId="46AD0B88" w:rsidR="00BA7F60" w:rsidRPr="00152530" w:rsidRDefault="00736990">
      <w:pPr>
        <w:rPr>
          <w:rFonts w:eastAsia="Calibri" w:cstheme="minorHAnsi"/>
        </w:rPr>
      </w:pPr>
      <w:r w:rsidRPr="00736990">
        <w:rPr>
          <w:rFonts w:eastAsia="Calibri" w:cstheme="minorHAnsi"/>
        </w:rPr>
        <w:t>COBIT 2019 is a framework designed by ISACA that manages and governs information for businesses. There are 40 objectives classified under five categories as it distinguishes governance from management.</w:t>
      </w:r>
      <w:r w:rsidRPr="00736990">
        <w:rPr>
          <w:rFonts w:eastAsia="Calibri" w:cstheme="minorHAnsi"/>
        </w:rPr>
        <w:t xml:space="preserve"> </w:t>
      </w:r>
      <w:r w:rsidR="00C77023" w:rsidRPr="00C77023">
        <w:rPr>
          <w:rFonts w:eastAsia="Calibri" w:cstheme="minorHAnsi"/>
        </w:rPr>
        <w:t>[6].</w:t>
      </w:r>
      <w:r w:rsidR="00C77023">
        <w:rPr>
          <w:rFonts w:eastAsia="Calibri" w:cstheme="minorHAnsi"/>
        </w:rPr>
        <w:t xml:space="preserve"> </w:t>
      </w:r>
      <w:r w:rsidR="00C77023" w:rsidRPr="00152530">
        <w:rPr>
          <w:rFonts w:eastAsia="Calibri" w:cstheme="minorHAnsi"/>
        </w:rPr>
        <w:t xml:space="preserve">Its strength lies in linking IT and security activity to business goals through a goals cascade and in offering design factors that tailor the governance system to an organisation's context, risk profile, and threat landscape. Because COBIT addresses accountability, decision rights, and value delivery rather than technical controls, it directly answers ALL's central deficiency: the absence of clear ownership and coordination of security responsibilities. </w:t>
      </w:r>
    </w:p>
    <w:p w14:paraId="521F7780" w14:textId="77777777" w:rsidR="00975CFB" w:rsidRPr="00152530" w:rsidRDefault="00975CFB">
      <w:pPr>
        <w:rPr>
          <w:rFonts w:eastAsia="Calibri" w:cstheme="minorHAnsi"/>
        </w:rPr>
      </w:pPr>
    </w:p>
    <w:p w14:paraId="0A9038AD" w14:textId="77777777" w:rsidR="00BA7F60" w:rsidRPr="00E37DBD" w:rsidRDefault="00000000">
      <w:pPr>
        <w:rPr>
          <w:rFonts w:eastAsia="Calibri" w:cstheme="minorHAnsi"/>
          <w:b/>
          <w:sz w:val="32"/>
          <w:szCs w:val="32"/>
        </w:rPr>
      </w:pPr>
      <w:r w:rsidRPr="00E37DBD">
        <w:rPr>
          <w:rFonts w:eastAsia="Calibri" w:cstheme="minorHAnsi"/>
          <w:b/>
          <w:sz w:val="32"/>
          <w:szCs w:val="32"/>
        </w:rPr>
        <w:t>2.4 ITIL 4</w:t>
      </w:r>
    </w:p>
    <w:p w14:paraId="59DAED4F" w14:textId="15330315" w:rsidR="00BA7F60" w:rsidRPr="00152530" w:rsidRDefault="00000000">
      <w:pPr>
        <w:rPr>
          <w:rFonts w:eastAsia="Calibri" w:cstheme="minorHAnsi"/>
        </w:rPr>
      </w:pPr>
      <w:r w:rsidRPr="00152530">
        <w:rPr>
          <w:rFonts w:eastAsia="Calibri" w:cstheme="minorHAnsi"/>
        </w:rPr>
        <w:t>ITIL 4 is a service-management framework built around a Service Value System and four dimensions of value co-creation. While not a security framework in itself, its practices—especially information security management, change enablement, incident management, and supplier management</w:t>
      </w:r>
      <w:r w:rsidR="00152530" w:rsidRPr="00152530">
        <w:rPr>
          <w:rFonts w:eastAsia="Calibri" w:cstheme="minorHAnsi"/>
        </w:rPr>
        <w:t xml:space="preserve"> </w:t>
      </w:r>
      <w:r w:rsidRPr="00152530">
        <w:rPr>
          <w:rFonts w:eastAsia="Calibri" w:cstheme="minorHAnsi"/>
        </w:rPr>
        <w:t xml:space="preserve">offer the operational discipline to make security policy a repeatable day-to-day practice [2]. For a heavily outsourced organisation, ITIL's supplier and service-level orientation is particularly valuable in translating vendor obligations into measurable service commitments. </w:t>
      </w:r>
    </w:p>
    <w:p w14:paraId="394D864F" w14:textId="77777777" w:rsidR="00975CFB" w:rsidRPr="00152530" w:rsidRDefault="00975CFB">
      <w:pPr>
        <w:rPr>
          <w:rFonts w:eastAsia="Calibri" w:cstheme="minorHAnsi"/>
        </w:rPr>
      </w:pPr>
    </w:p>
    <w:p w14:paraId="3ECECCD6" w14:textId="77777777" w:rsidR="00BA7F60" w:rsidRPr="00E37DBD" w:rsidRDefault="00000000">
      <w:pPr>
        <w:rPr>
          <w:rFonts w:eastAsia="Calibri" w:cstheme="minorHAnsi"/>
          <w:b/>
          <w:sz w:val="32"/>
          <w:szCs w:val="32"/>
        </w:rPr>
      </w:pPr>
      <w:r w:rsidRPr="00E37DBD">
        <w:rPr>
          <w:rFonts w:eastAsia="Calibri" w:cstheme="minorHAnsi"/>
          <w:b/>
          <w:sz w:val="32"/>
          <w:szCs w:val="32"/>
        </w:rPr>
        <w:t>2.5 Positioning the Frameworks</w:t>
      </w:r>
    </w:p>
    <w:p w14:paraId="0F20A357" w14:textId="77777777" w:rsidR="00E37DBD" w:rsidRDefault="00000000">
      <w:pPr>
        <w:rPr>
          <w:rFonts w:eastAsia="Calibri" w:cstheme="minorHAnsi"/>
        </w:rPr>
      </w:pPr>
      <w:r w:rsidRPr="00152530">
        <w:rPr>
          <w:rFonts w:eastAsia="Calibri" w:cstheme="minorHAnsi"/>
        </w:rPr>
        <w:t>The four frameworks are best understood as layers rather than alternatives. COBIT governs ISO/IEC 27001 assures and structures the management system; NIST CSF operationalise</w:t>
      </w:r>
      <w:r w:rsidR="00152530" w:rsidRPr="00152530">
        <w:rPr>
          <w:rFonts w:eastAsia="Calibri" w:cstheme="minorHAnsi"/>
        </w:rPr>
        <w:t xml:space="preserve"> </w:t>
      </w:r>
      <w:r w:rsidRPr="00152530">
        <w:rPr>
          <w:rFonts w:eastAsia="Calibri" w:cstheme="minorHAnsi"/>
        </w:rPr>
        <w:t xml:space="preserve">risk-based controls; and ITIL 4 delivers repeatable service execution. Table 1 summarises this layering. </w:t>
      </w:r>
    </w:p>
    <w:p w14:paraId="56A27EE0" w14:textId="77777777" w:rsidR="00E67ED0" w:rsidRDefault="00E67ED0">
      <w:pPr>
        <w:rPr>
          <w:rFonts w:eastAsia="Calibri" w:cstheme="minorHAnsi"/>
        </w:rPr>
      </w:pPr>
    </w:p>
    <w:p w14:paraId="550BDF6A" w14:textId="21532E36" w:rsidR="00BA7F60" w:rsidRPr="00152530" w:rsidRDefault="00000000">
      <w:pPr>
        <w:rPr>
          <w:rFonts w:eastAsia="Calibri" w:cstheme="minorHAnsi"/>
        </w:rPr>
      </w:pPr>
      <w:r w:rsidRPr="00152530">
        <w:rPr>
          <w:rFonts w:eastAsia="Calibri" w:cstheme="minorHAnsi"/>
          <w:b/>
        </w:rPr>
        <w:t>Table 1. Layered positioning of the reviewed frameworks (governance to execution)</w:t>
      </w:r>
    </w:p>
    <w:tbl>
      <w:tblPr>
        <w:tblW w:w="0" w:type="auto"/>
        <w:tblInd w:w="180" w:type="dxa"/>
        <w:tblCellMar>
          <w:left w:w="10" w:type="dxa"/>
          <w:right w:w="10" w:type="dxa"/>
        </w:tblCellMar>
        <w:tblLook w:val="04A0" w:firstRow="1" w:lastRow="0" w:firstColumn="1" w:lastColumn="0" w:noHBand="0" w:noVBand="1"/>
      </w:tblPr>
      <w:tblGrid>
        <w:gridCol w:w="1911"/>
        <w:gridCol w:w="2028"/>
        <w:gridCol w:w="4891"/>
      </w:tblGrid>
      <w:tr w:rsidR="00152530" w:rsidRPr="00152530" w14:paraId="2607DD85" w14:textId="77777777">
        <w:trPr>
          <w:trHeight w:val="1"/>
        </w:trPr>
        <w:tc>
          <w:tcPr>
            <w:tcW w:w="1928"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4386C438" w14:textId="77777777" w:rsidR="00BA7F60" w:rsidRPr="00152530" w:rsidRDefault="00000000">
            <w:pPr>
              <w:rPr>
                <w:rFonts w:eastAsia="Calibri" w:cstheme="minorHAnsi"/>
              </w:rPr>
            </w:pPr>
            <w:r w:rsidRPr="00152530">
              <w:rPr>
                <w:rFonts w:eastAsia="Calibri" w:cstheme="minorHAnsi"/>
                <w:b/>
              </w:rPr>
              <w:t>Layer DOCX</w:t>
            </w:r>
          </w:p>
        </w:tc>
        <w:tc>
          <w:tcPr>
            <w:tcW w:w="2051"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2422629A" w14:textId="77777777" w:rsidR="00BA7F60" w:rsidRPr="00152530" w:rsidRDefault="00000000">
            <w:pPr>
              <w:rPr>
                <w:rFonts w:eastAsia="Calibri" w:cstheme="minorHAnsi"/>
              </w:rPr>
            </w:pPr>
            <w:r w:rsidRPr="00152530">
              <w:rPr>
                <w:rFonts w:eastAsia="Calibri" w:cstheme="minorHAnsi"/>
                <w:b/>
              </w:rPr>
              <w:t>Framework DOCX</w:t>
            </w:r>
          </w:p>
        </w:tc>
        <w:tc>
          <w:tcPr>
            <w:tcW w:w="5031"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562D61A5" w14:textId="77777777" w:rsidR="00BA7F60" w:rsidRPr="00152530" w:rsidRDefault="00000000">
            <w:pPr>
              <w:rPr>
                <w:rFonts w:eastAsia="Calibri" w:cstheme="minorHAnsi"/>
              </w:rPr>
            </w:pPr>
            <w:r w:rsidRPr="00152530">
              <w:rPr>
                <w:rFonts w:eastAsia="Calibri" w:cstheme="minorHAnsi"/>
                <w:b/>
              </w:rPr>
              <w:t>Primary contribution for ALL DOCX</w:t>
            </w:r>
          </w:p>
        </w:tc>
      </w:tr>
      <w:tr w:rsidR="00152530" w:rsidRPr="00152530" w14:paraId="75853EB5" w14:textId="77777777">
        <w:trPr>
          <w:trHeight w:val="1"/>
        </w:trPr>
        <w:tc>
          <w:tcPr>
            <w:tcW w:w="1928"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16CA0458" w14:textId="77777777" w:rsidR="00BA7F60" w:rsidRPr="00152530" w:rsidRDefault="00000000">
            <w:pPr>
              <w:rPr>
                <w:rFonts w:eastAsia="Calibri" w:cstheme="minorHAnsi"/>
              </w:rPr>
            </w:pPr>
            <w:r w:rsidRPr="00152530">
              <w:rPr>
                <w:rFonts w:eastAsia="Calibri" w:cstheme="minorHAnsi"/>
              </w:rPr>
              <w:t xml:space="preserve">Governance </w:t>
            </w:r>
          </w:p>
        </w:tc>
        <w:tc>
          <w:tcPr>
            <w:tcW w:w="2051"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5F157351" w14:textId="77777777" w:rsidR="00BA7F60" w:rsidRPr="00152530" w:rsidRDefault="00000000">
            <w:pPr>
              <w:rPr>
                <w:rFonts w:eastAsia="Calibri" w:cstheme="minorHAnsi"/>
              </w:rPr>
            </w:pPr>
            <w:r w:rsidRPr="00152530">
              <w:rPr>
                <w:rFonts w:eastAsia="Calibri" w:cstheme="minorHAnsi"/>
              </w:rPr>
              <w:t xml:space="preserve">COBIT 2019 </w:t>
            </w:r>
          </w:p>
        </w:tc>
        <w:tc>
          <w:tcPr>
            <w:tcW w:w="5031"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54F5D1FA" w14:textId="77777777" w:rsidR="00BA7F60" w:rsidRPr="00152530" w:rsidRDefault="00000000">
            <w:pPr>
              <w:rPr>
                <w:rFonts w:eastAsia="Calibri" w:cstheme="minorHAnsi"/>
              </w:rPr>
            </w:pPr>
            <w:r w:rsidRPr="00152530">
              <w:rPr>
                <w:rFonts w:eastAsia="Calibri" w:cstheme="minorHAnsi"/>
              </w:rPr>
              <w:t xml:space="preserve">Accountability, decision rights, business-aligned security objectives </w:t>
            </w:r>
          </w:p>
        </w:tc>
      </w:tr>
      <w:tr w:rsidR="00152530" w:rsidRPr="00152530" w14:paraId="6C566BD6" w14:textId="77777777">
        <w:trPr>
          <w:trHeight w:val="1"/>
        </w:trPr>
        <w:tc>
          <w:tcPr>
            <w:tcW w:w="1928"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13C38C42" w14:textId="77777777" w:rsidR="00BA7F60" w:rsidRPr="00152530" w:rsidRDefault="00000000">
            <w:pPr>
              <w:rPr>
                <w:rFonts w:eastAsia="Calibri" w:cstheme="minorHAnsi"/>
              </w:rPr>
            </w:pPr>
            <w:r w:rsidRPr="00152530">
              <w:rPr>
                <w:rFonts w:eastAsia="Calibri" w:cstheme="minorHAnsi"/>
              </w:rPr>
              <w:lastRenderedPageBreak/>
              <w:t xml:space="preserve">Assurance / ISMS </w:t>
            </w:r>
          </w:p>
        </w:tc>
        <w:tc>
          <w:tcPr>
            <w:tcW w:w="2051"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4FE88609" w14:textId="77777777" w:rsidR="00BA7F60" w:rsidRPr="00152530" w:rsidRDefault="00000000">
            <w:pPr>
              <w:rPr>
                <w:rFonts w:eastAsia="Calibri" w:cstheme="minorHAnsi"/>
              </w:rPr>
            </w:pPr>
            <w:r w:rsidRPr="00152530">
              <w:rPr>
                <w:rFonts w:eastAsia="Calibri" w:cstheme="minorHAnsi"/>
              </w:rPr>
              <w:t xml:space="preserve">ISO/IEC 27001:2022 </w:t>
            </w:r>
          </w:p>
        </w:tc>
        <w:tc>
          <w:tcPr>
            <w:tcW w:w="5031"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266ADABE" w14:textId="77777777" w:rsidR="00BA7F60" w:rsidRPr="00152530" w:rsidRDefault="00000000">
            <w:pPr>
              <w:rPr>
                <w:rFonts w:eastAsia="Calibri" w:cstheme="minorHAnsi"/>
              </w:rPr>
            </w:pPr>
            <w:r w:rsidRPr="00152530">
              <w:rPr>
                <w:rFonts w:eastAsia="Calibri" w:cstheme="minorHAnsi"/>
              </w:rPr>
              <w:t xml:space="preserve">Certifiable management system; client and regulator credibility </w:t>
            </w:r>
          </w:p>
        </w:tc>
      </w:tr>
      <w:tr w:rsidR="00152530" w:rsidRPr="00152530" w14:paraId="7EB2B4E0" w14:textId="77777777">
        <w:trPr>
          <w:trHeight w:val="1"/>
        </w:trPr>
        <w:tc>
          <w:tcPr>
            <w:tcW w:w="1928"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4A73CF27" w14:textId="77777777" w:rsidR="00BA7F60" w:rsidRPr="00152530" w:rsidRDefault="00000000">
            <w:pPr>
              <w:rPr>
                <w:rFonts w:eastAsia="Calibri" w:cstheme="minorHAnsi"/>
              </w:rPr>
            </w:pPr>
            <w:r w:rsidRPr="00152530">
              <w:rPr>
                <w:rFonts w:eastAsia="Calibri" w:cstheme="minorHAnsi"/>
              </w:rPr>
              <w:t xml:space="preserve">Operational risk </w:t>
            </w:r>
          </w:p>
        </w:tc>
        <w:tc>
          <w:tcPr>
            <w:tcW w:w="2051"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57DEDFE9" w14:textId="77777777" w:rsidR="00BA7F60" w:rsidRPr="00152530" w:rsidRDefault="00000000">
            <w:pPr>
              <w:rPr>
                <w:rFonts w:eastAsia="Calibri" w:cstheme="minorHAnsi"/>
              </w:rPr>
            </w:pPr>
            <w:r w:rsidRPr="00152530">
              <w:rPr>
                <w:rFonts w:eastAsia="Calibri" w:cstheme="minorHAnsi"/>
              </w:rPr>
              <w:t xml:space="preserve">NIST CSF 2.0 </w:t>
            </w:r>
          </w:p>
        </w:tc>
        <w:tc>
          <w:tcPr>
            <w:tcW w:w="5031"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1C40D832" w14:textId="77777777" w:rsidR="00BA7F60" w:rsidRPr="00152530" w:rsidRDefault="00000000">
            <w:pPr>
              <w:rPr>
                <w:rFonts w:eastAsia="Calibri" w:cstheme="minorHAnsi"/>
              </w:rPr>
            </w:pPr>
            <w:r w:rsidRPr="00152530">
              <w:rPr>
                <w:rFonts w:eastAsia="Calibri" w:cstheme="minorHAnsi"/>
              </w:rPr>
              <w:t xml:space="preserve">Control objectives: Govern-Identify-Protect-Detect-Respond-Recover </w:t>
            </w:r>
          </w:p>
        </w:tc>
      </w:tr>
      <w:tr w:rsidR="00BA7F60" w:rsidRPr="00152530" w14:paraId="3B2FFAF0" w14:textId="77777777">
        <w:trPr>
          <w:trHeight w:val="1"/>
        </w:trPr>
        <w:tc>
          <w:tcPr>
            <w:tcW w:w="1928"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28D1F6DA" w14:textId="77777777" w:rsidR="00BA7F60" w:rsidRPr="00152530" w:rsidRDefault="00000000">
            <w:pPr>
              <w:rPr>
                <w:rFonts w:eastAsia="Calibri" w:cstheme="minorHAnsi"/>
              </w:rPr>
            </w:pPr>
            <w:r w:rsidRPr="00152530">
              <w:rPr>
                <w:rFonts w:eastAsia="Calibri" w:cstheme="minorHAnsi"/>
              </w:rPr>
              <w:t xml:space="preserve">Service execution </w:t>
            </w:r>
          </w:p>
        </w:tc>
        <w:tc>
          <w:tcPr>
            <w:tcW w:w="2051"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19F7DE3E" w14:textId="77777777" w:rsidR="00BA7F60" w:rsidRPr="00152530" w:rsidRDefault="00000000">
            <w:pPr>
              <w:rPr>
                <w:rFonts w:eastAsia="Calibri" w:cstheme="minorHAnsi"/>
              </w:rPr>
            </w:pPr>
            <w:r w:rsidRPr="00152530">
              <w:rPr>
                <w:rFonts w:eastAsia="Calibri" w:cstheme="minorHAnsi"/>
              </w:rPr>
              <w:t xml:space="preserve">ITIL 4 </w:t>
            </w:r>
          </w:p>
        </w:tc>
        <w:tc>
          <w:tcPr>
            <w:tcW w:w="5031"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5515AA38" w14:textId="77777777" w:rsidR="00BA7F60" w:rsidRPr="00152530" w:rsidRDefault="00000000">
            <w:pPr>
              <w:rPr>
                <w:rFonts w:eastAsia="Calibri" w:cstheme="minorHAnsi"/>
              </w:rPr>
            </w:pPr>
            <w:r w:rsidRPr="00152530">
              <w:rPr>
                <w:rFonts w:eastAsia="Calibri" w:cstheme="minorHAnsi"/>
              </w:rPr>
              <w:t xml:space="preserve">Repeatable incident, change and supplier management practices </w:t>
            </w:r>
          </w:p>
        </w:tc>
      </w:tr>
    </w:tbl>
    <w:p w14:paraId="66418AD5" w14:textId="77777777" w:rsidR="001848BD" w:rsidRDefault="001848BD">
      <w:pPr>
        <w:rPr>
          <w:rFonts w:eastAsia="Calibri" w:cstheme="minorHAnsi"/>
          <w:b/>
        </w:rPr>
      </w:pPr>
    </w:p>
    <w:p w14:paraId="5A43A8C0" w14:textId="77777777" w:rsidR="00E37DBD" w:rsidRPr="00152530" w:rsidRDefault="00E37DBD">
      <w:pPr>
        <w:rPr>
          <w:rFonts w:eastAsia="Calibri" w:cstheme="minorHAnsi"/>
          <w:b/>
        </w:rPr>
      </w:pPr>
    </w:p>
    <w:p w14:paraId="3ABAA5CD" w14:textId="1781B676" w:rsidR="00BA7F60" w:rsidRPr="00152530" w:rsidRDefault="00000000">
      <w:pPr>
        <w:rPr>
          <w:rFonts w:eastAsia="Calibri" w:cstheme="minorHAnsi"/>
          <w:b/>
          <w:sz w:val="32"/>
          <w:szCs w:val="32"/>
        </w:rPr>
      </w:pPr>
      <w:r w:rsidRPr="00152530">
        <w:rPr>
          <w:rFonts w:eastAsia="Calibri" w:cstheme="minorHAnsi"/>
          <w:b/>
          <w:sz w:val="32"/>
          <w:szCs w:val="32"/>
        </w:rPr>
        <w:t>3. Comparative Evaluation and Framework Selection</w:t>
      </w:r>
    </w:p>
    <w:p w14:paraId="3E35E3A6" w14:textId="346B218F" w:rsidR="00167F0C" w:rsidRDefault="00167F0C">
      <w:pPr>
        <w:rPr>
          <w:rFonts w:eastAsia="Calibri" w:cstheme="minorHAnsi"/>
          <w:bCs/>
          <w:lang w:val="en-IN"/>
        </w:rPr>
      </w:pPr>
      <w:r w:rsidRPr="00167F0C">
        <w:rPr>
          <w:rFonts w:eastAsia="Calibri" w:cstheme="minorHAnsi"/>
          <w:bCs/>
          <w:lang w:val="en-IN"/>
        </w:rPr>
        <w:t>No single framework can address all of ALL’s security problems. NIST CSF can improve operational security but does not fully address governance. ISO/IEC 27001 can provide certification, but there is a risk of focusing too much on documentation. COBIT can improve accountability and governance, but provides less practical technical guidance. Therefore, combining the frameworks is a better approach than choosing just one. Table 2 compares the frameworks based on ALL’s main weaknesses.</w:t>
      </w:r>
    </w:p>
    <w:p w14:paraId="6BAB6AAA" w14:textId="77777777" w:rsidR="00167F0C" w:rsidRPr="00167F0C" w:rsidRDefault="00167F0C">
      <w:pPr>
        <w:rPr>
          <w:rFonts w:eastAsia="Calibri" w:cstheme="minorHAnsi"/>
          <w:bCs/>
          <w:lang w:val="en-IN"/>
        </w:rPr>
      </w:pPr>
    </w:p>
    <w:p w14:paraId="6A440F1D" w14:textId="147DFAE2" w:rsidR="001848BD" w:rsidRPr="00152530" w:rsidRDefault="00000000">
      <w:pPr>
        <w:rPr>
          <w:rFonts w:eastAsia="Calibri" w:cstheme="minorHAnsi"/>
          <w:b/>
        </w:rPr>
      </w:pPr>
      <w:r w:rsidRPr="00152530">
        <w:rPr>
          <w:rFonts w:eastAsia="Calibri" w:cstheme="minorHAnsi"/>
          <w:b/>
        </w:rPr>
        <w:t>Table 2. Comparative evaluation against ALL's requirements (H = high fit, M = moderate, L = low</w:t>
      </w:r>
    </w:p>
    <w:tbl>
      <w:tblPr>
        <w:tblW w:w="0" w:type="auto"/>
        <w:tblInd w:w="180" w:type="dxa"/>
        <w:tblCellMar>
          <w:left w:w="10" w:type="dxa"/>
          <w:right w:w="10" w:type="dxa"/>
        </w:tblCellMar>
        <w:tblLook w:val="04A0" w:firstRow="1" w:lastRow="0" w:firstColumn="1" w:lastColumn="0" w:noHBand="0" w:noVBand="1"/>
      </w:tblPr>
      <w:tblGrid>
        <w:gridCol w:w="2671"/>
        <w:gridCol w:w="1514"/>
        <w:gridCol w:w="1614"/>
        <w:gridCol w:w="1694"/>
        <w:gridCol w:w="1337"/>
      </w:tblGrid>
      <w:tr w:rsidR="00152530" w:rsidRPr="00152530" w14:paraId="6CC291EA" w14:textId="77777777">
        <w:trPr>
          <w:trHeight w:val="1"/>
        </w:trPr>
        <w:tc>
          <w:tcPr>
            <w:tcW w:w="2722"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77FC7A3C" w14:textId="77777777" w:rsidR="00BA7F60" w:rsidRPr="00152530" w:rsidRDefault="00000000">
            <w:pPr>
              <w:rPr>
                <w:rFonts w:eastAsia="Calibri" w:cstheme="minorHAnsi"/>
              </w:rPr>
            </w:pPr>
            <w:r w:rsidRPr="00152530">
              <w:rPr>
                <w:rFonts w:eastAsia="Calibri" w:cstheme="minorHAnsi"/>
                <w:b/>
              </w:rPr>
              <w:t>Requirement DOCX</w:t>
            </w:r>
          </w:p>
        </w:tc>
        <w:tc>
          <w:tcPr>
            <w:tcW w:w="1546"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2BEA5924" w14:textId="77777777" w:rsidR="00BA7F60" w:rsidRPr="00152530" w:rsidRDefault="00000000">
            <w:pPr>
              <w:rPr>
                <w:rFonts w:eastAsia="Calibri" w:cstheme="minorHAnsi"/>
              </w:rPr>
            </w:pPr>
            <w:r w:rsidRPr="00152530">
              <w:rPr>
                <w:rFonts w:eastAsia="Calibri" w:cstheme="minorHAnsi"/>
                <w:b/>
              </w:rPr>
              <w:t>NIST CSF DOCX</w:t>
            </w:r>
          </w:p>
        </w:tc>
        <w:tc>
          <w:tcPr>
            <w:tcW w:w="1649"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586A91F8" w14:textId="77777777" w:rsidR="00BA7F60" w:rsidRPr="00152530" w:rsidRDefault="00000000">
            <w:pPr>
              <w:rPr>
                <w:rFonts w:eastAsia="Calibri" w:cstheme="minorHAnsi"/>
              </w:rPr>
            </w:pPr>
            <w:r w:rsidRPr="00152530">
              <w:rPr>
                <w:rFonts w:eastAsia="Calibri" w:cstheme="minorHAnsi"/>
                <w:b/>
              </w:rPr>
              <w:t>ISO 27001 DOCX</w:t>
            </w:r>
          </w:p>
        </w:tc>
        <w:tc>
          <w:tcPr>
            <w:tcW w:w="1734"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0B6EB369" w14:textId="77777777" w:rsidR="00BA7F60" w:rsidRPr="00152530" w:rsidRDefault="00000000">
            <w:pPr>
              <w:rPr>
                <w:rFonts w:eastAsia="Calibri" w:cstheme="minorHAnsi"/>
              </w:rPr>
            </w:pPr>
            <w:r w:rsidRPr="00152530">
              <w:rPr>
                <w:rFonts w:eastAsia="Calibri" w:cstheme="minorHAnsi"/>
                <w:b/>
              </w:rPr>
              <w:t>COBIT 2019 DOCX</w:t>
            </w:r>
          </w:p>
        </w:tc>
        <w:tc>
          <w:tcPr>
            <w:tcW w:w="1359"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30E56E3B" w14:textId="77777777" w:rsidR="00BA7F60" w:rsidRPr="00152530" w:rsidRDefault="00000000">
            <w:pPr>
              <w:rPr>
                <w:rFonts w:eastAsia="Calibri" w:cstheme="minorHAnsi"/>
              </w:rPr>
            </w:pPr>
            <w:r w:rsidRPr="00152530">
              <w:rPr>
                <w:rFonts w:eastAsia="Calibri" w:cstheme="minorHAnsi"/>
                <w:b/>
              </w:rPr>
              <w:t>ITIL 4 DOCX</w:t>
            </w:r>
          </w:p>
        </w:tc>
      </w:tr>
      <w:tr w:rsidR="00152530" w:rsidRPr="00152530" w14:paraId="25EF79A3" w14:textId="77777777">
        <w:trPr>
          <w:trHeight w:val="1"/>
        </w:trPr>
        <w:tc>
          <w:tcPr>
            <w:tcW w:w="2722"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7F64BEF5" w14:textId="77777777" w:rsidR="00BA7F60" w:rsidRPr="00152530" w:rsidRDefault="00000000">
            <w:pPr>
              <w:rPr>
                <w:rFonts w:eastAsia="Calibri" w:cstheme="minorHAnsi"/>
              </w:rPr>
            </w:pPr>
            <w:r w:rsidRPr="00152530">
              <w:rPr>
                <w:rFonts w:eastAsia="Calibri" w:cstheme="minorHAnsi"/>
              </w:rPr>
              <w:t xml:space="preserve">Clear security accountability </w:t>
            </w:r>
          </w:p>
        </w:tc>
        <w:tc>
          <w:tcPr>
            <w:tcW w:w="1546"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56FEAE12" w14:textId="77777777" w:rsidR="00BA7F60" w:rsidRPr="00152530" w:rsidRDefault="00000000">
            <w:pPr>
              <w:rPr>
                <w:rFonts w:eastAsia="Calibri" w:cstheme="minorHAnsi"/>
              </w:rPr>
            </w:pPr>
            <w:r w:rsidRPr="00152530">
              <w:rPr>
                <w:rFonts w:eastAsia="Calibri" w:cstheme="minorHAnsi"/>
              </w:rPr>
              <w:t xml:space="preserve">M </w:t>
            </w:r>
          </w:p>
        </w:tc>
        <w:tc>
          <w:tcPr>
            <w:tcW w:w="1649"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0368C621" w14:textId="77777777" w:rsidR="00BA7F60" w:rsidRPr="00152530" w:rsidRDefault="00000000">
            <w:pPr>
              <w:rPr>
                <w:rFonts w:eastAsia="Calibri" w:cstheme="minorHAnsi"/>
              </w:rPr>
            </w:pPr>
            <w:r w:rsidRPr="00152530">
              <w:rPr>
                <w:rFonts w:eastAsia="Calibri" w:cstheme="minorHAnsi"/>
              </w:rPr>
              <w:t xml:space="preserve">M </w:t>
            </w:r>
          </w:p>
        </w:tc>
        <w:tc>
          <w:tcPr>
            <w:tcW w:w="1734"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65858E71" w14:textId="77777777" w:rsidR="00BA7F60" w:rsidRPr="00152530" w:rsidRDefault="00000000">
            <w:pPr>
              <w:rPr>
                <w:rFonts w:eastAsia="Calibri" w:cstheme="minorHAnsi"/>
              </w:rPr>
            </w:pPr>
            <w:r w:rsidRPr="00152530">
              <w:rPr>
                <w:rFonts w:eastAsia="Calibri" w:cstheme="minorHAnsi"/>
              </w:rPr>
              <w:t xml:space="preserve">H </w:t>
            </w:r>
          </w:p>
        </w:tc>
        <w:tc>
          <w:tcPr>
            <w:tcW w:w="1359"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4FB67691" w14:textId="77777777" w:rsidR="00BA7F60" w:rsidRPr="00152530" w:rsidRDefault="00000000">
            <w:pPr>
              <w:rPr>
                <w:rFonts w:eastAsia="Calibri" w:cstheme="minorHAnsi"/>
              </w:rPr>
            </w:pPr>
            <w:r w:rsidRPr="00152530">
              <w:rPr>
                <w:rFonts w:eastAsia="Calibri" w:cstheme="minorHAnsi"/>
              </w:rPr>
              <w:t xml:space="preserve">M </w:t>
            </w:r>
          </w:p>
        </w:tc>
      </w:tr>
      <w:tr w:rsidR="00152530" w:rsidRPr="00152530" w14:paraId="488D858D" w14:textId="77777777">
        <w:trPr>
          <w:trHeight w:val="1"/>
        </w:trPr>
        <w:tc>
          <w:tcPr>
            <w:tcW w:w="2722"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6F1A1756" w14:textId="77777777" w:rsidR="00BA7F60" w:rsidRPr="00152530" w:rsidRDefault="00000000">
            <w:pPr>
              <w:rPr>
                <w:rFonts w:eastAsia="Calibri" w:cstheme="minorHAnsi"/>
              </w:rPr>
            </w:pPr>
            <w:r w:rsidRPr="00152530">
              <w:rPr>
                <w:rFonts w:eastAsia="Calibri" w:cstheme="minorHAnsi"/>
              </w:rPr>
              <w:t xml:space="preserve">Certifiable external assurance </w:t>
            </w:r>
          </w:p>
        </w:tc>
        <w:tc>
          <w:tcPr>
            <w:tcW w:w="1546"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56FE3620" w14:textId="77777777" w:rsidR="00BA7F60" w:rsidRPr="00152530" w:rsidRDefault="00000000">
            <w:pPr>
              <w:rPr>
                <w:rFonts w:eastAsia="Calibri" w:cstheme="minorHAnsi"/>
              </w:rPr>
            </w:pPr>
            <w:r w:rsidRPr="00152530">
              <w:rPr>
                <w:rFonts w:eastAsia="Calibri" w:cstheme="minorHAnsi"/>
              </w:rPr>
              <w:t xml:space="preserve">L </w:t>
            </w:r>
          </w:p>
        </w:tc>
        <w:tc>
          <w:tcPr>
            <w:tcW w:w="1649"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716F5B70" w14:textId="77777777" w:rsidR="00BA7F60" w:rsidRPr="00152530" w:rsidRDefault="00000000">
            <w:pPr>
              <w:rPr>
                <w:rFonts w:eastAsia="Calibri" w:cstheme="minorHAnsi"/>
              </w:rPr>
            </w:pPr>
            <w:r w:rsidRPr="00152530">
              <w:rPr>
                <w:rFonts w:eastAsia="Calibri" w:cstheme="minorHAnsi"/>
              </w:rPr>
              <w:t xml:space="preserve">H </w:t>
            </w:r>
          </w:p>
        </w:tc>
        <w:tc>
          <w:tcPr>
            <w:tcW w:w="1734"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5813D484" w14:textId="77777777" w:rsidR="00BA7F60" w:rsidRPr="00152530" w:rsidRDefault="00000000">
            <w:pPr>
              <w:rPr>
                <w:rFonts w:eastAsia="Calibri" w:cstheme="minorHAnsi"/>
              </w:rPr>
            </w:pPr>
            <w:r w:rsidRPr="00152530">
              <w:rPr>
                <w:rFonts w:eastAsia="Calibri" w:cstheme="minorHAnsi"/>
              </w:rPr>
              <w:t xml:space="preserve">L </w:t>
            </w:r>
          </w:p>
        </w:tc>
        <w:tc>
          <w:tcPr>
            <w:tcW w:w="1359"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0BCCBD79" w14:textId="77777777" w:rsidR="00BA7F60" w:rsidRPr="00152530" w:rsidRDefault="00000000">
            <w:pPr>
              <w:rPr>
                <w:rFonts w:eastAsia="Calibri" w:cstheme="minorHAnsi"/>
              </w:rPr>
            </w:pPr>
            <w:r w:rsidRPr="00152530">
              <w:rPr>
                <w:rFonts w:eastAsia="Calibri" w:cstheme="minorHAnsi"/>
              </w:rPr>
              <w:t xml:space="preserve">L </w:t>
            </w:r>
          </w:p>
        </w:tc>
      </w:tr>
      <w:tr w:rsidR="00152530" w:rsidRPr="00152530" w14:paraId="08C29F81" w14:textId="77777777">
        <w:trPr>
          <w:trHeight w:val="1"/>
        </w:trPr>
        <w:tc>
          <w:tcPr>
            <w:tcW w:w="2722"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78494DB5" w14:textId="77777777" w:rsidR="00BA7F60" w:rsidRPr="00152530" w:rsidRDefault="00000000">
            <w:pPr>
              <w:rPr>
                <w:rFonts w:eastAsia="Calibri" w:cstheme="minorHAnsi"/>
              </w:rPr>
            </w:pPr>
            <w:r w:rsidRPr="00152530">
              <w:rPr>
                <w:rFonts w:eastAsia="Calibri" w:cstheme="minorHAnsi"/>
              </w:rPr>
              <w:t xml:space="preserve">Risk-based control outcomes </w:t>
            </w:r>
          </w:p>
        </w:tc>
        <w:tc>
          <w:tcPr>
            <w:tcW w:w="1546"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2F3710A4" w14:textId="77777777" w:rsidR="00BA7F60" w:rsidRPr="00152530" w:rsidRDefault="00000000">
            <w:pPr>
              <w:rPr>
                <w:rFonts w:eastAsia="Calibri" w:cstheme="minorHAnsi"/>
              </w:rPr>
            </w:pPr>
            <w:r w:rsidRPr="00152530">
              <w:rPr>
                <w:rFonts w:eastAsia="Calibri" w:cstheme="minorHAnsi"/>
              </w:rPr>
              <w:t xml:space="preserve">H </w:t>
            </w:r>
          </w:p>
        </w:tc>
        <w:tc>
          <w:tcPr>
            <w:tcW w:w="1649"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6E862F07" w14:textId="77777777" w:rsidR="00BA7F60" w:rsidRPr="00152530" w:rsidRDefault="00000000">
            <w:pPr>
              <w:rPr>
                <w:rFonts w:eastAsia="Calibri" w:cstheme="minorHAnsi"/>
              </w:rPr>
            </w:pPr>
            <w:r w:rsidRPr="00152530">
              <w:rPr>
                <w:rFonts w:eastAsia="Calibri" w:cstheme="minorHAnsi"/>
              </w:rPr>
              <w:t xml:space="preserve">H </w:t>
            </w:r>
          </w:p>
        </w:tc>
        <w:tc>
          <w:tcPr>
            <w:tcW w:w="1734"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2CC71C60" w14:textId="77777777" w:rsidR="00BA7F60" w:rsidRPr="00152530" w:rsidRDefault="00000000">
            <w:pPr>
              <w:rPr>
                <w:rFonts w:eastAsia="Calibri" w:cstheme="minorHAnsi"/>
              </w:rPr>
            </w:pPr>
            <w:r w:rsidRPr="00152530">
              <w:rPr>
                <w:rFonts w:eastAsia="Calibri" w:cstheme="minorHAnsi"/>
              </w:rPr>
              <w:t xml:space="preserve">M </w:t>
            </w:r>
          </w:p>
        </w:tc>
        <w:tc>
          <w:tcPr>
            <w:tcW w:w="1359"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6D985A07" w14:textId="77777777" w:rsidR="00BA7F60" w:rsidRPr="00152530" w:rsidRDefault="00000000">
            <w:pPr>
              <w:rPr>
                <w:rFonts w:eastAsia="Calibri" w:cstheme="minorHAnsi"/>
              </w:rPr>
            </w:pPr>
            <w:r w:rsidRPr="00152530">
              <w:rPr>
                <w:rFonts w:eastAsia="Calibri" w:cstheme="minorHAnsi"/>
              </w:rPr>
              <w:t xml:space="preserve">L </w:t>
            </w:r>
          </w:p>
        </w:tc>
      </w:tr>
      <w:tr w:rsidR="00152530" w:rsidRPr="00152530" w14:paraId="230D5E61" w14:textId="77777777">
        <w:trPr>
          <w:trHeight w:val="1"/>
        </w:trPr>
        <w:tc>
          <w:tcPr>
            <w:tcW w:w="2722"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2D6DCD24" w14:textId="77777777" w:rsidR="00BA7F60" w:rsidRPr="00152530" w:rsidRDefault="00000000">
            <w:pPr>
              <w:rPr>
                <w:rFonts w:eastAsia="Calibri" w:cstheme="minorHAnsi"/>
              </w:rPr>
            </w:pPr>
            <w:r w:rsidRPr="00152530">
              <w:rPr>
                <w:rFonts w:eastAsia="Calibri" w:cstheme="minorHAnsi"/>
              </w:rPr>
              <w:t xml:space="preserve">Vendor / SLA governance </w:t>
            </w:r>
          </w:p>
        </w:tc>
        <w:tc>
          <w:tcPr>
            <w:tcW w:w="1546"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6863972C" w14:textId="77777777" w:rsidR="00BA7F60" w:rsidRPr="00152530" w:rsidRDefault="00000000">
            <w:pPr>
              <w:rPr>
                <w:rFonts w:eastAsia="Calibri" w:cstheme="minorHAnsi"/>
              </w:rPr>
            </w:pPr>
            <w:r w:rsidRPr="00152530">
              <w:rPr>
                <w:rFonts w:eastAsia="Calibri" w:cstheme="minorHAnsi"/>
              </w:rPr>
              <w:t xml:space="preserve">M </w:t>
            </w:r>
          </w:p>
        </w:tc>
        <w:tc>
          <w:tcPr>
            <w:tcW w:w="1649"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4FAB5C8F" w14:textId="77777777" w:rsidR="00BA7F60" w:rsidRPr="00152530" w:rsidRDefault="00000000">
            <w:pPr>
              <w:rPr>
                <w:rFonts w:eastAsia="Calibri" w:cstheme="minorHAnsi"/>
              </w:rPr>
            </w:pPr>
            <w:r w:rsidRPr="00152530">
              <w:rPr>
                <w:rFonts w:eastAsia="Calibri" w:cstheme="minorHAnsi"/>
              </w:rPr>
              <w:t xml:space="preserve">M </w:t>
            </w:r>
          </w:p>
        </w:tc>
        <w:tc>
          <w:tcPr>
            <w:tcW w:w="1734"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7C0AB12A" w14:textId="77777777" w:rsidR="00BA7F60" w:rsidRPr="00152530" w:rsidRDefault="00000000">
            <w:pPr>
              <w:rPr>
                <w:rFonts w:eastAsia="Calibri" w:cstheme="minorHAnsi"/>
              </w:rPr>
            </w:pPr>
            <w:r w:rsidRPr="00152530">
              <w:rPr>
                <w:rFonts w:eastAsia="Calibri" w:cstheme="minorHAnsi"/>
              </w:rPr>
              <w:t xml:space="preserve">H </w:t>
            </w:r>
          </w:p>
        </w:tc>
        <w:tc>
          <w:tcPr>
            <w:tcW w:w="1359"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413B8295" w14:textId="77777777" w:rsidR="00BA7F60" w:rsidRPr="00152530" w:rsidRDefault="00000000">
            <w:pPr>
              <w:rPr>
                <w:rFonts w:eastAsia="Calibri" w:cstheme="minorHAnsi"/>
              </w:rPr>
            </w:pPr>
            <w:r w:rsidRPr="00152530">
              <w:rPr>
                <w:rFonts w:eastAsia="Calibri" w:cstheme="minorHAnsi"/>
              </w:rPr>
              <w:t xml:space="preserve">H </w:t>
            </w:r>
          </w:p>
        </w:tc>
      </w:tr>
      <w:tr w:rsidR="00152530" w:rsidRPr="00152530" w14:paraId="16139BB2" w14:textId="77777777">
        <w:trPr>
          <w:trHeight w:val="1"/>
        </w:trPr>
        <w:tc>
          <w:tcPr>
            <w:tcW w:w="2722"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52EA7752" w14:textId="77777777" w:rsidR="00BA7F60" w:rsidRPr="00152530" w:rsidRDefault="00000000">
            <w:pPr>
              <w:rPr>
                <w:rFonts w:eastAsia="Calibri" w:cstheme="minorHAnsi"/>
              </w:rPr>
            </w:pPr>
            <w:r w:rsidRPr="00152530">
              <w:rPr>
                <w:rFonts w:eastAsia="Calibri" w:cstheme="minorHAnsi"/>
              </w:rPr>
              <w:t xml:space="preserve">Incident &amp; continuity practice </w:t>
            </w:r>
          </w:p>
        </w:tc>
        <w:tc>
          <w:tcPr>
            <w:tcW w:w="1546"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07F05497" w14:textId="77777777" w:rsidR="00BA7F60" w:rsidRPr="00152530" w:rsidRDefault="00000000">
            <w:pPr>
              <w:rPr>
                <w:rFonts w:eastAsia="Calibri" w:cstheme="minorHAnsi"/>
              </w:rPr>
            </w:pPr>
            <w:r w:rsidRPr="00152530">
              <w:rPr>
                <w:rFonts w:eastAsia="Calibri" w:cstheme="minorHAnsi"/>
              </w:rPr>
              <w:t xml:space="preserve">H </w:t>
            </w:r>
          </w:p>
        </w:tc>
        <w:tc>
          <w:tcPr>
            <w:tcW w:w="1649"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29E9E97E" w14:textId="77777777" w:rsidR="00BA7F60" w:rsidRPr="00152530" w:rsidRDefault="00000000">
            <w:pPr>
              <w:rPr>
                <w:rFonts w:eastAsia="Calibri" w:cstheme="minorHAnsi"/>
              </w:rPr>
            </w:pPr>
            <w:r w:rsidRPr="00152530">
              <w:rPr>
                <w:rFonts w:eastAsia="Calibri" w:cstheme="minorHAnsi"/>
              </w:rPr>
              <w:t xml:space="preserve">M </w:t>
            </w:r>
          </w:p>
        </w:tc>
        <w:tc>
          <w:tcPr>
            <w:tcW w:w="1734"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0DAF48F0" w14:textId="77777777" w:rsidR="00BA7F60" w:rsidRPr="00152530" w:rsidRDefault="00000000">
            <w:pPr>
              <w:rPr>
                <w:rFonts w:eastAsia="Calibri" w:cstheme="minorHAnsi"/>
              </w:rPr>
            </w:pPr>
            <w:r w:rsidRPr="00152530">
              <w:rPr>
                <w:rFonts w:eastAsia="Calibri" w:cstheme="minorHAnsi"/>
              </w:rPr>
              <w:t xml:space="preserve">M </w:t>
            </w:r>
          </w:p>
        </w:tc>
        <w:tc>
          <w:tcPr>
            <w:tcW w:w="1359"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188DE194" w14:textId="77777777" w:rsidR="00BA7F60" w:rsidRPr="00152530" w:rsidRDefault="00000000">
            <w:pPr>
              <w:rPr>
                <w:rFonts w:eastAsia="Calibri" w:cstheme="minorHAnsi"/>
              </w:rPr>
            </w:pPr>
            <w:r w:rsidRPr="00152530">
              <w:rPr>
                <w:rFonts w:eastAsia="Calibri" w:cstheme="minorHAnsi"/>
              </w:rPr>
              <w:t xml:space="preserve">H </w:t>
            </w:r>
          </w:p>
        </w:tc>
      </w:tr>
      <w:tr w:rsidR="00BA7F60" w:rsidRPr="00152530" w14:paraId="09C736EC" w14:textId="77777777">
        <w:trPr>
          <w:trHeight w:val="1"/>
        </w:trPr>
        <w:tc>
          <w:tcPr>
            <w:tcW w:w="2722"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0948C699" w14:textId="77777777" w:rsidR="00BA7F60" w:rsidRPr="00152530" w:rsidRDefault="00000000">
            <w:pPr>
              <w:rPr>
                <w:rFonts w:eastAsia="Calibri" w:cstheme="minorHAnsi"/>
              </w:rPr>
            </w:pPr>
            <w:r w:rsidRPr="00152530">
              <w:rPr>
                <w:rFonts w:eastAsia="Calibri" w:cstheme="minorHAnsi"/>
              </w:rPr>
              <w:t xml:space="preserve">Speed / low cost to adopt </w:t>
            </w:r>
          </w:p>
        </w:tc>
        <w:tc>
          <w:tcPr>
            <w:tcW w:w="1546"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47F78145" w14:textId="77777777" w:rsidR="00BA7F60" w:rsidRPr="00152530" w:rsidRDefault="00000000">
            <w:pPr>
              <w:rPr>
                <w:rFonts w:eastAsia="Calibri" w:cstheme="minorHAnsi"/>
              </w:rPr>
            </w:pPr>
            <w:r w:rsidRPr="00152530">
              <w:rPr>
                <w:rFonts w:eastAsia="Calibri" w:cstheme="minorHAnsi"/>
              </w:rPr>
              <w:t xml:space="preserve">H </w:t>
            </w:r>
          </w:p>
        </w:tc>
        <w:tc>
          <w:tcPr>
            <w:tcW w:w="1649"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7D271BEA" w14:textId="77777777" w:rsidR="00BA7F60" w:rsidRPr="00152530" w:rsidRDefault="00000000">
            <w:pPr>
              <w:rPr>
                <w:rFonts w:eastAsia="Calibri" w:cstheme="minorHAnsi"/>
              </w:rPr>
            </w:pPr>
            <w:r w:rsidRPr="00152530">
              <w:rPr>
                <w:rFonts w:eastAsia="Calibri" w:cstheme="minorHAnsi"/>
              </w:rPr>
              <w:t xml:space="preserve">L </w:t>
            </w:r>
          </w:p>
        </w:tc>
        <w:tc>
          <w:tcPr>
            <w:tcW w:w="1734"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6066D6C4" w14:textId="77777777" w:rsidR="00BA7F60" w:rsidRPr="00152530" w:rsidRDefault="00000000">
            <w:pPr>
              <w:rPr>
                <w:rFonts w:eastAsia="Calibri" w:cstheme="minorHAnsi"/>
              </w:rPr>
            </w:pPr>
            <w:r w:rsidRPr="00152530">
              <w:rPr>
                <w:rFonts w:eastAsia="Calibri" w:cstheme="minorHAnsi"/>
              </w:rPr>
              <w:t xml:space="preserve">M </w:t>
            </w:r>
          </w:p>
        </w:tc>
        <w:tc>
          <w:tcPr>
            <w:tcW w:w="1359"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644A19A8" w14:textId="77777777" w:rsidR="00BA7F60" w:rsidRPr="00152530" w:rsidRDefault="00000000">
            <w:pPr>
              <w:rPr>
                <w:rFonts w:eastAsia="Calibri" w:cstheme="minorHAnsi"/>
              </w:rPr>
            </w:pPr>
            <w:r w:rsidRPr="00152530">
              <w:rPr>
                <w:rFonts w:eastAsia="Calibri" w:cstheme="minorHAnsi"/>
              </w:rPr>
              <w:t xml:space="preserve">M </w:t>
            </w:r>
          </w:p>
        </w:tc>
      </w:tr>
    </w:tbl>
    <w:p w14:paraId="62A727BA" w14:textId="77777777" w:rsidR="001848BD" w:rsidRPr="00152530" w:rsidRDefault="001848BD">
      <w:pPr>
        <w:rPr>
          <w:rFonts w:eastAsia="Calibri" w:cstheme="minorHAnsi"/>
        </w:rPr>
      </w:pPr>
    </w:p>
    <w:p w14:paraId="3E9CBBCF" w14:textId="77777777" w:rsidR="00167F0C" w:rsidRPr="00167F0C" w:rsidRDefault="00167F0C" w:rsidP="00167F0C">
      <w:pPr>
        <w:rPr>
          <w:rFonts w:eastAsia="Calibri" w:cstheme="minorHAnsi"/>
          <w:lang w:val="en-IN"/>
        </w:rPr>
      </w:pPr>
      <w:r w:rsidRPr="00167F0C">
        <w:rPr>
          <w:rFonts w:eastAsia="Calibri" w:cstheme="minorHAnsi"/>
          <w:lang w:val="en-IN"/>
        </w:rPr>
        <w:t>The evaluation supports a combined approach rather than relying on one framework. COBIT 2019 can provide the main governance structure, while NIST CSF 2.0 can guide risk management and security controls. ISO/IEC 27001:2022 can provide certification for customers and regulators, and ITIL 4 can support incident, change and supplier management. This combined approach is developed further in the next section.</w:t>
      </w:r>
    </w:p>
    <w:p w14:paraId="6B88894E" w14:textId="77777777" w:rsidR="00975CFB" w:rsidRPr="00152530" w:rsidRDefault="00975CFB">
      <w:pPr>
        <w:rPr>
          <w:rFonts w:eastAsia="Calibri" w:cstheme="minorHAnsi"/>
        </w:rPr>
      </w:pPr>
    </w:p>
    <w:p w14:paraId="2A69647F" w14:textId="77777777" w:rsidR="00BA7F60" w:rsidRPr="00152530" w:rsidRDefault="00000000">
      <w:pPr>
        <w:rPr>
          <w:rFonts w:eastAsia="Calibri" w:cstheme="minorHAnsi"/>
          <w:b/>
          <w:sz w:val="32"/>
          <w:szCs w:val="32"/>
        </w:rPr>
      </w:pPr>
      <w:r w:rsidRPr="00152530">
        <w:rPr>
          <w:rFonts w:eastAsia="Calibri" w:cstheme="minorHAnsi"/>
          <w:b/>
          <w:sz w:val="32"/>
          <w:szCs w:val="32"/>
        </w:rPr>
        <w:t>4. Proposed Security, Governance and Compliance Design for ALL</w:t>
      </w:r>
    </w:p>
    <w:p w14:paraId="17357A7D" w14:textId="75C74822" w:rsidR="00975CFB" w:rsidRPr="00152530" w:rsidRDefault="00736990">
      <w:pPr>
        <w:rPr>
          <w:rFonts w:eastAsia="Calibri" w:cstheme="minorHAnsi"/>
        </w:rPr>
      </w:pPr>
      <w:r w:rsidRPr="00736990">
        <w:rPr>
          <w:rFonts w:eastAsia="Calibri" w:cstheme="minorHAnsi"/>
          <w:lang w:val="en-IN"/>
        </w:rPr>
        <w:t>The architecture proposed uses five main areas, with each one addressing a particular weakness in ALL.  It adopts a risk-based approach, directing resources first toward the most important assets including customer PII and shipment data. A data breach here has the potential to cause serious business and regulatory harm.</w:t>
      </w:r>
    </w:p>
    <w:p w14:paraId="64487CF6" w14:textId="77777777" w:rsidR="00BA7F60" w:rsidRPr="00E37DBD" w:rsidRDefault="00000000">
      <w:pPr>
        <w:rPr>
          <w:rFonts w:eastAsia="Calibri" w:cstheme="minorHAnsi"/>
          <w:b/>
          <w:sz w:val="32"/>
          <w:szCs w:val="32"/>
        </w:rPr>
      </w:pPr>
      <w:r w:rsidRPr="00E37DBD">
        <w:rPr>
          <w:rFonts w:eastAsia="Calibri" w:cstheme="minorHAnsi"/>
          <w:b/>
          <w:sz w:val="32"/>
          <w:szCs w:val="32"/>
        </w:rPr>
        <w:t>4.1 Governance and Strategic Planning</w:t>
      </w:r>
    </w:p>
    <w:p w14:paraId="1BE63644" w14:textId="24B30CFD" w:rsidR="00167F0C" w:rsidRPr="00167F0C" w:rsidRDefault="00736990">
      <w:pPr>
        <w:rPr>
          <w:rFonts w:eastAsia="Calibri" w:cstheme="minorHAnsi"/>
          <w:lang w:val="en-IN"/>
        </w:rPr>
      </w:pPr>
      <w:r w:rsidRPr="00736990">
        <w:rPr>
          <w:rFonts w:eastAsia="Calibri" w:cstheme="minorHAnsi"/>
          <w:lang w:val="en-IN"/>
        </w:rPr>
        <w:t xml:space="preserve">A Security Governance Board, comprising senior management, will oversee the security strategy of ALL through an evaluate-direct-monitor approach based on COBIT. </w:t>
      </w:r>
      <w:r>
        <w:rPr>
          <w:rFonts w:eastAsia="Calibri" w:cstheme="minorHAnsi"/>
          <w:lang w:val="en-IN"/>
        </w:rPr>
        <w:t>[9]</w:t>
      </w:r>
      <w:r w:rsidRPr="00736990">
        <w:rPr>
          <w:rFonts w:eastAsia="Calibri" w:cstheme="minorHAnsi"/>
          <w:lang w:val="en-IN"/>
        </w:rPr>
        <w:t>A clear CISO will also be appointed and a RACI matrix will establish who is responsible for what security area. Objectives in cybersecurity will align with business objectives so that any investment will support significant logistics’ operations rather than considered as optional types of costs.</w:t>
      </w:r>
    </w:p>
    <w:p w14:paraId="2607E8C9" w14:textId="77777777" w:rsidR="00BA7F60" w:rsidRPr="00E37DBD" w:rsidRDefault="00000000">
      <w:pPr>
        <w:rPr>
          <w:rFonts w:eastAsia="Calibri" w:cstheme="minorHAnsi"/>
          <w:b/>
          <w:sz w:val="32"/>
          <w:szCs w:val="32"/>
        </w:rPr>
      </w:pPr>
      <w:r w:rsidRPr="00E37DBD">
        <w:rPr>
          <w:rFonts w:eastAsia="Calibri" w:cstheme="minorHAnsi"/>
          <w:b/>
          <w:sz w:val="32"/>
          <w:szCs w:val="32"/>
        </w:rPr>
        <w:t>4.2 Compliance (Laws and Ethics)</w:t>
      </w:r>
    </w:p>
    <w:p w14:paraId="187976D2" w14:textId="28DB176B" w:rsidR="00975CFB" w:rsidRPr="00152530" w:rsidRDefault="00736990">
      <w:pPr>
        <w:rPr>
          <w:rFonts w:eastAsia="Calibri" w:cstheme="minorHAnsi"/>
        </w:rPr>
      </w:pPr>
      <w:r w:rsidRPr="00736990">
        <w:rPr>
          <w:rFonts w:eastAsia="Calibri" w:cstheme="minorHAnsi"/>
          <w:lang w:val="en-IN"/>
        </w:rPr>
        <w:t>GDPR requirements apply to ALL’s any activity involving the personal data of EU residents. The appointment of a Data Protection Officer, as well as a Record of Processing Activities (ROPA) and procedures for lawful processing, data-subject rights and breach notification inside 72 hours [5]. Standard Contractual Clauses govern cross-border transfers. The design is ethically largely based on privacy-by-design and data-minimisation principle by default, where AI analytics function only on the minimum PII essential. Obtaining the ISO/IEC 27001 certification will demonstrate proof of compliance to all external parties.</w:t>
      </w:r>
    </w:p>
    <w:p w14:paraId="204E80B0" w14:textId="77777777" w:rsidR="00BA7F60" w:rsidRPr="00E37DBD" w:rsidRDefault="00000000">
      <w:pPr>
        <w:rPr>
          <w:rFonts w:eastAsia="Calibri" w:cstheme="minorHAnsi"/>
          <w:b/>
          <w:sz w:val="32"/>
          <w:szCs w:val="32"/>
        </w:rPr>
      </w:pPr>
      <w:r w:rsidRPr="00E37DBD">
        <w:rPr>
          <w:rFonts w:eastAsia="Calibri" w:cstheme="minorHAnsi"/>
          <w:b/>
          <w:sz w:val="32"/>
          <w:szCs w:val="32"/>
        </w:rPr>
        <w:t>4.3 Risk Management and Assessment</w:t>
      </w:r>
    </w:p>
    <w:p w14:paraId="7EABB02F" w14:textId="05D62E0B" w:rsidR="00BA7F60" w:rsidRPr="00152530" w:rsidRDefault="00000000">
      <w:pPr>
        <w:rPr>
          <w:rFonts w:eastAsia="Calibri" w:cstheme="minorHAnsi"/>
        </w:rPr>
      </w:pPr>
      <w:r w:rsidRPr="00152530">
        <w:rPr>
          <w:rFonts w:eastAsia="Calibri" w:cstheme="minorHAnsi"/>
        </w:rPr>
        <w:t xml:space="preserve">A centralised, continuous risk-management process replaces the current ad-hoc approach. Assets are inventoried and classified threats and vulnerabilities are assessed using a repeatable methodology aligned with ISO/IEC 27005, and hazards are rated in a likelihood-impact matrix which guides prioritised treatment options (accept, ameliorate, transfer, or avoid). A living risk register, reviewed by the Governance Board, ties each significant risk to an owner and a treatment plan. Table 3 illustrates the treatment of ALL's most pressing risks. </w:t>
      </w:r>
    </w:p>
    <w:p w14:paraId="1B92E985" w14:textId="77777777" w:rsidR="00BA7F60" w:rsidRPr="00152530" w:rsidRDefault="00000000">
      <w:pPr>
        <w:rPr>
          <w:rFonts w:eastAsia="Calibri" w:cstheme="minorHAnsi"/>
        </w:rPr>
      </w:pPr>
      <w:r w:rsidRPr="00152530">
        <w:rPr>
          <w:rFonts w:eastAsia="Calibri" w:cstheme="minorHAnsi"/>
          <w:b/>
        </w:rPr>
        <w:lastRenderedPageBreak/>
        <w:t>Table 3. Illustrative risk register extract for ALL</w:t>
      </w:r>
    </w:p>
    <w:tbl>
      <w:tblPr>
        <w:tblW w:w="0" w:type="auto"/>
        <w:tblInd w:w="180" w:type="dxa"/>
        <w:tblCellMar>
          <w:left w:w="10" w:type="dxa"/>
          <w:right w:w="10" w:type="dxa"/>
        </w:tblCellMar>
        <w:tblLook w:val="04A0" w:firstRow="1" w:lastRow="0" w:firstColumn="1" w:lastColumn="0" w:noHBand="0" w:noVBand="1"/>
      </w:tblPr>
      <w:tblGrid>
        <w:gridCol w:w="3388"/>
        <w:gridCol w:w="1439"/>
        <w:gridCol w:w="4003"/>
      </w:tblGrid>
      <w:tr w:rsidR="00152530" w:rsidRPr="00152530" w14:paraId="5E84025B" w14:textId="77777777">
        <w:trPr>
          <w:trHeight w:val="1"/>
        </w:trPr>
        <w:tc>
          <w:tcPr>
            <w:tcW w:w="3458"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6E156343" w14:textId="77777777" w:rsidR="00BA7F60" w:rsidRPr="00152530" w:rsidRDefault="00000000">
            <w:pPr>
              <w:rPr>
                <w:rFonts w:eastAsia="Calibri" w:cstheme="minorHAnsi"/>
              </w:rPr>
            </w:pPr>
            <w:r w:rsidRPr="00152530">
              <w:rPr>
                <w:rFonts w:eastAsia="Calibri" w:cstheme="minorHAnsi"/>
                <w:b/>
              </w:rPr>
              <w:t>Risk DOCX</w:t>
            </w:r>
          </w:p>
        </w:tc>
        <w:tc>
          <w:tcPr>
            <w:tcW w:w="1450"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458DFA46" w14:textId="77777777" w:rsidR="00BA7F60" w:rsidRPr="00152530" w:rsidRDefault="00000000">
            <w:pPr>
              <w:rPr>
                <w:rFonts w:eastAsia="Calibri" w:cstheme="minorHAnsi"/>
              </w:rPr>
            </w:pPr>
            <w:r w:rsidRPr="00152530">
              <w:rPr>
                <w:rFonts w:eastAsia="Calibri" w:cstheme="minorHAnsi"/>
                <w:b/>
              </w:rPr>
              <w:t>Rating DOCX</w:t>
            </w:r>
          </w:p>
        </w:tc>
        <w:tc>
          <w:tcPr>
            <w:tcW w:w="4102"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72C72FDC" w14:textId="77777777" w:rsidR="00BA7F60" w:rsidRPr="00152530" w:rsidRDefault="00000000">
            <w:pPr>
              <w:rPr>
                <w:rFonts w:eastAsia="Calibri" w:cstheme="minorHAnsi"/>
              </w:rPr>
            </w:pPr>
            <w:r w:rsidRPr="00152530">
              <w:rPr>
                <w:rFonts w:eastAsia="Calibri" w:cstheme="minorHAnsi"/>
                <w:b/>
              </w:rPr>
              <w:t>Primary treatment DOCX</w:t>
            </w:r>
          </w:p>
        </w:tc>
      </w:tr>
      <w:tr w:rsidR="00152530" w:rsidRPr="00152530" w14:paraId="5DB1760E" w14:textId="77777777">
        <w:trPr>
          <w:trHeight w:val="1"/>
        </w:trPr>
        <w:tc>
          <w:tcPr>
            <w:tcW w:w="3458"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095B4B95" w14:textId="77777777" w:rsidR="00BA7F60" w:rsidRPr="00152530" w:rsidRDefault="00000000">
            <w:pPr>
              <w:rPr>
                <w:rFonts w:eastAsia="Calibri" w:cstheme="minorHAnsi"/>
              </w:rPr>
            </w:pPr>
            <w:r w:rsidRPr="00152530">
              <w:rPr>
                <w:rFonts w:eastAsia="Calibri" w:cstheme="minorHAnsi"/>
              </w:rPr>
              <w:t xml:space="preserve">Unauthorised access to PII via unmanaged devices </w:t>
            </w:r>
          </w:p>
        </w:tc>
        <w:tc>
          <w:tcPr>
            <w:tcW w:w="1450"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0E6F4389" w14:textId="77777777" w:rsidR="00BA7F60" w:rsidRPr="00152530" w:rsidRDefault="00000000">
            <w:pPr>
              <w:rPr>
                <w:rFonts w:eastAsia="Calibri" w:cstheme="minorHAnsi"/>
              </w:rPr>
            </w:pPr>
            <w:r w:rsidRPr="00152530">
              <w:rPr>
                <w:rFonts w:eastAsia="Calibri" w:cstheme="minorHAnsi"/>
              </w:rPr>
              <w:t xml:space="preserve">High </w:t>
            </w:r>
          </w:p>
        </w:tc>
        <w:tc>
          <w:tcPr>
            <w:tcW w:w="4102"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5D7E9F48" w14:textId="77777777" w:rsidR="00BA7F60" w:rsidRPr="00152530" w:rsidRDefault="00000000">
            <w:pPr>
              <w:rPr>
                <w:rFonts w:eastAsia="Calibri" w:cstheme="minorHAnsi"/>
              </w:rPr>
            </w:pPr>
            <w:r w:rsidRPr="00152530">
              <w:rPr>
                <w:rFonts w:eastAsia="Calibri" w:cstheme="minorHAnsi"/>
              </w:rPr>
              <w:t xml:space="preserve">Zero Trust access, MFA, device posture checks, conditional access </w:t>
            </w:r>
          </w:p>
        </w:tc>
      </w:tr>
      <w:tr w:rsidR="00152530" w:rsidRPr="00152530" w14:paraId="7A48D6CA" w14:textId="77777777">
        <w:trPr>
          <w:trHeight w:val="1"/>
        </w:trPr>
        <w:tc>
          <w:tcPr>
            <w:tcW w:w="3458"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7C0ADC50" w14:textId="77777777" w:rsidR="00BA7F60" w:rsidRPr="00152530" w:rsidRDefault="00000000">
            <w:pPr>
              <w:rPr>
                <w:rFonts w:eastAsia="Calibri" w:cstheme="minorHAnsi"/>
              </w:rPr>
            </w:pPr>
            <w:r w:rsidRPr="00152530">
              <w:rPr>
                <w:rFonts w:eastAsia="Calibri" w:cstheme="minorHAnsi"/>
              </w:rPr>
              <w:t xml:space="preserve">Weak vendor accountability (88% outsourced) </w:t>
            </w:r>
          </w:p>
        </w:tc>
        <w:tc>
          <w:tcPr>
            <w:tcW w:w="1450"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47B2D21D" w14:textId="77777777" w:rsidR="00BA7F60" w:rsidRPr="00152530" w:rsidRDefault="00000000">
            <w:pPr>
              <w:rPr>
                <w:rFonts w:eastAsia="Calibri" w:cstheme="minorHAnsi"/>
              </w:rPr>
            </w:pPr>
            <w:r w:rsidRPr="00152530">
              <w:rPr>
                <w:rFonts w:eastAsia="Calibri" w:cstheme="minorHAnsi"/>
              </w:rPr>
              <w:t xml:space="preserve">High </w:t>
            </w:r>
          </w:p>
        </w:tc>
        <w:tc>
          <w:tcPr>
            <w:tcW w:w="4102"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32336F7D" w14:textId="77777777" w:rsidR="00BA7F60" w:rsidRPr="00152530" w:rsidRDefault="00000000">
            <w:pPr>
              <w:rPr>
                <w:rFonts w:eastAsia="Calibri" w:cstheme="minorHAnsi"/>
              </w:rPr>
            </w:pPr>
            <w:r w:rsidRPr="00152530">
              <w:rPr>
                <w:rFonts w:eastAsia="Calibri" w:cstheme="minorHAnsi"/>
              </w:rPr>
              <w:t xml:space="preserve">Tiered vendor assurance, security SLAs, right-to-audit clauses </w:t>
            </w:r>
          </w:p>
        </w:tc>
      </w:tr>
      <w:tr w:rsidR="00152530" w:rsidRPr="00152530" w14:paraId="592E0FDC" w14:textId="77777777">
        <w:trPr>
          <w:trHeight w:val="1"/>
        </w:trPr>
        <w:tc>
          <w:tcPr>
            <w:tcW w:w="3458"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5764EF0E" w14:textId="77777777" w:rsidR="00BA7F60" w:rsidRPr="00152530" w:rsidRDefault="00000000">
            <w:pPr>
              <w:rPr>
                <w:rFonts w:eastAsia="Calibri" w:cstheme="minorHAnsi"/>
              </w:rPr>
            </w:pPr>
            <w:r w:rsidRPr="00152530">
              <w:rPr>
                <w:rFonts w:eastAsia="Calibri" w:cstheme="minorHAnsi"/>
              </w:rPr>
              <w:t xml:space="preserve">Unencrypted client shipment data </w:t>
            </w:r>
          </w:p>
        </w:tc>
        <w:tc>
          <w:tcPr>
            <w:tcW w:w="1450"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5633C6AC" w14:textId="77777777" w:rsidR="00BA7F60" w:rsidRPr="00152530" w:rsidRDefault="00000000">
            <w:pPr>
              <w:rPr>
                <w:rFonts w:eastAsia="Calibri" w:cstheme="minorHAnsi"/>
              </w:rPr>
            </w:pPr>
            <w:r w:rsidRPr="00152530">
              <w:rPr>
                <w:rFonts w:eastAsia="Calibri" w:cstheme="minorHAnsi"/>
              </w:rPr>
              <w:t xml:space="preserve">High </w:t>
            </w:r>
          </w:p>
        </w:tc>
        <w:tc>
          <w:tcPr>
            <w:tcW w:w="4102"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1B59A57B" w14:textId="77777777" w:rsidR="00BA7F60" w:rsidRPr="00152530" w:rsidRDefault="00000000">
            <w:pPr>
              <w:rPr>
                <w:rFonts w:eastAsia="Calibri" w:cstheme="minorHAnsi"/>
              </w:rPr>
            </w:pPr>
            <w:r w:rsidRPr="00152530">
              <w:rPr>
                <w:rFonts w:eastAsia="Calibri" w:cstheme="minorHAnsi"/>
              </w:rPr>
              <w:t xml:space="preserve">Encryption in transit and at rest; centralised key management </w:t>
            </w:r>
          </w:p>
        </w:tc>
      </w:tr>
      <w:tr w:rsidR="00152530" w:rsidRPr="00152530" w14:paraId="26A26DF0" w14:textId="77777777">
        <w:trPr>
          <w:trHeight w:val="1"/>
        </w:trPr>
        <w:tc>
          <w:tcPr>
            <w:tcW w:w="3458"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57236341" w14:textId="77777777" w:rsidR="00BA7F60" w:rsidRPr="00152530" w:rsidRDefault="00000000">
            <w:pPr>
              <w:rPr>
                <w:rFonts w:eastAsia="Calibri" w:cstheme="minorHAnsi"/>
              </w:rPr>
            </w:pPr>
            <w:r w:rsidRPr="00152530">
              <w:rPr>
                <w:rFonts w:eastAsia="Calibri" w:cstheme="minorHAnsi"/>
              </w:rPr>
              <w:t xml:space="preserve">Inadequate incident response </w:t>
            </w:r>
          </w:p>
        </w:tc>
        <w:tc>
          <w:tcPr>
            <w:tcW w:w="1450"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03A3A9E1" w14:textId="77777777" w:rsidR="00BA7F60" w:rsidRPr="00152530" w:rsidRDefault="00000000">
            <w:pPr>
              <w:rPr>
                <w:rFonts w:eastAsia="Calibri" w:cstheme="minorHAnsi"/>
              </w:rPr>
            </w:pPr>
            <w:r w:rsidRPr="00152530">
              <w:rPr>
                <w:rFonts w:eastAsia="Calibri" w:cstheme="minorHAnsi"/>
              </w:rPr>
              <w:t xml:space="preserve">Medium </w:t>
            </w:r>
          </w:p>
        </w:tc>
        <w:tc>
          <w:tcPr>
            <w:tcW w:w="4102"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38B8DA7B" w14:textId="77777777" w:rsidR="00BA7F60" w:rsidRPr="00152530" w:rsidRDefault="00000000">
            <w:pPr>
              <w:rPr>
                <w:rFonts w:eastAsia="Calibri" w:cstheme="minorHAnsi"/>
              </w:rPr>
            </w:pPr>
            <w:r w:rsidRPr="00152530">
              <w:rPr>
                <w:rFonts w:eastAsia="Calibri" w:cstheme="minorHAnsi"/>
              </w:rPr>
              <w:t xml:space="preserve">ITIL-based IR plan, SIEM monitoring, tested playbooks </w:t>
            </w:r>
          </w:p>
        </w:tc>
      </w:tr>
      <w:tr w:rsidR="00BA7F60" w:rsidRPr="00152530" w14:paraId="5478EA1B" w14:textId="77777777">
        <w:trPr>
          <w:trHeight w:val="1"/>
        </w:trPr>
        <w:tc>
          <w:tcPr>
            <w:tcW w:w="3458"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40604E14" w14:textId="77777777" w:rsidR="00BA7F60" w:rsidRPr="00152530" w:rsidRDefault="00000000">
            <w:pPr>
              <w:rPr>
                <w:rFonts w:eastAsia="Calibri" w:cstheme="minorHAnsi"/>
              </w:rPr>
            </w:pPr>
            <w:r w:rsidRPr="00152530">
              <w:rPr>
                <w:rFonts w:eastAsia="Calibri" w:cstheme="minorHAnsi"/>
              </w:rPr>
              <w:t xml:space="preserve">Business disruption from cloud outage </w:t>
            </w:r>
          </w:p>
        </w:tc>
        <w:tc>
          <w:tcPr>
            <w:tcW w:w="1450"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49A03074" w14:textId="77777777" w:rsidR="00BA7F60" w:rsidRPr="00152530" w:rsidRDefault="00000000">
            <w:pPr>
              <w:rPr>
                <w:rFonts w:eastAsia="Calibri" w:cstheme="minorHAnsi"/>
              </w:rPr>
            </w:pPr>
            <w:r w:rsidRPr="00152530">
              <w:rPr>
                <w:rFonts w:eastAsia="Calibri" w:cstheme="minorHAnsi"/>
              </w:rPr>
              <w:t xml:space="preserve">Medium </w:t>
            </w:r>
          </w:p>
        </w:tc>
        <w:tc>
          <w:tcPr>
            <w:tcW w:w="4102"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216FAE28" w14:textId="77777777" w:rsidR="00BA7F60" w:rsidRPr="00152530" w:rsidRDefault="00000000">
            <w:pPr>
              <w:rPr>
                <w:rFonts w:eastAsia="Calibri" w:cstheme="minorHAnsi"/>
              </w:rPr>
            </w:pPr>
            <w:r w:rsidRPr="00152530">
              <w:rPr>
                <w:rFonts w:eastAsia="Calibri" w:cstheme="minorHAnsi"/>
              </w:rPr>
              <w:t xml:space="preserve">BCP/DR with defined RTO/RPO and multi-region resilience </w:t>
            </w:r>
          </w:p>
        </w:tc>
      </w:tr>
    </w:tbl>
    <w:p w14:paraId="25685CF7" w14:textId="77777777" w:rsidR="001848BD" w:rsidRPr="00152530" w:rsidRDefault="001848BD">
      <w:pPr>
        <w:rPr>
          <w:rFonts w:eastAsia="Calibri" w:cstheme="minorHAnsi"/>
          <w:b/>
        </w:rPr>
      </w:pPr>
    </w:p>
    <w:p w14:paraId="3DB9E2C7" w14:textId="756100CB" w:rsidR="00BA7F60" w:rsidRPr="00E37DBD" w:rsidRDefault="00000000">
      <w:pPr>
        <w:rPr>
          <w:rFonts w:eastAsia="Calibri" w:cstheme="minorHAnsi"/>
          <w:b/>
          <w:sz w:val="32"/>
          <w:szCs w:val="32"/>
        </w:rPr>
      </w:pPr>
      <w:r w:rsidRPr="00E37DBD">
        <w:rPr>
          <w:rFonts w:eastAsia="Calibri" w:cstheme="minorHAnsi"/>
          <w:b/>
          <w:sz w:val="32"/>
          <w:szCs w:val="32"/>
        </w:rPr>
        <w:t>4.4 Protection Mechanisms and Access Controls</w:t>
      </w:r>
    </w:p>
    <w:p w14:paraId="1F3DC563" w14:textId="77777777" w:rsidR="00BA7F60" w:rsidRDefault="00000000">
      <w:pPr>
        <w:rPr>
          <w:rFonts w:eastAsia="Calibri" w:cstheme="minorHAnsi"/>
        </w:rPr>
      </w:pPr>
      <w:r w:rsidRPr="00152530">
        <w:rPr>
          <w:rFonts w:eastAsia="Calibri" w:cstheme="minorHAnsi"/>
        </w:rPr>
        <w:t xml:space="preserve">Given the dissolved perimeter and unmanaged devices, a Zero Trust Architecture is at the heart of the architecture, where the idea of ‘never trust, always verify’ is applied to every access request regardless of origin [10]. This translates in practice to enforced multi-factor authentication, least-privilege role-based access management, micro-segmentation of workloads, and continuous device-posture and identity verification through conditional access. Client shipping data and PII are encrypted in-transit (TLS 1.3) and at-rest (AES-256) with cryptographic keys stored in a centralized, organisation-controlled key-management service, rather than entrusted to individual vendors. Table 4 displays the tiered defence-in-depth model. </w:t>
      </w:r>
    </w:p>
    <w:p w14:paraId="46750BC0" w14:textId="77777777" w:rsidR="00E67ED0" w:rsidRDefault="00E67ED0">
      <w:pPr>
        <w:rPr>
          <w:rFonts w:eastAsia="Calibri" w:cstheme="minorHAnsi"/>
        </w:rPr>
      </w:pPr>
    </w:p>
    <w:p w14:paraId="6EB87562" w14:textId="77777777" w:rsidR="00167F0C" w:rsidRDefault="00167F0C">
      <w:pPr>
        <w:rPr>
          <w:rFonts w:eastAsia="Calibri" w:cstheme="minorHAnsi"/>
        </w:rPr>
      </w:pPr>
    </w:p>
    <w:p w14:paraId="74C00ABD" w14:textId="77777777" w:rsidR="00167F0C" w:rsidRDefault="00167F0C">
      <w:pPr>
        <w:rPr>
          <w:rFonts w:eastAsia="Calibri" w:cstheme="minorHAnsi"/>
        </w:rPr>
      </w:pPr>
    </w:p>
    <w:p w14:paraId="049D676B" w14:textId="77777777" w:rsidR="00167F0C" w:rsidRDefault="00167F0C">
      <w:pPr>
        <w:rPr>
          <w:rFonts w:eastAsia="Calibri" w:cstheme="minorHAnsi"/>
        </w:rPr>
      </w:pPr>
    </w:p>
    <w:p w14:paraId="63980F95" w14:textId="77777777" w:rsidR="00167F0C" w:rsidRDefault="00167F0C">
      <w:pPr>
        <w:rPr>
          <w:rFonts w:eastAsia="Calibri" w:cstheme="minorHAnsi"/>
        </w:rPr>
      </w:pPr>
    </w:p>
    <w:p w14:paraId="190B9F92" w14:textId="77777777" w:rsidR="00E67ED0" w:rsidRPr="00152530" w:rsidRDefault="00E67ED0">
      <w:pPr>
        <w:rPr>
          <w:rFonts w:eastAsia="Calibri" w:cstheme="minorHAnsi"/>
        </w:rPr>
      </w:pPr>
    </w:p>
    <w:p w14:paraId="1FCA1952" w14:textId="77777777" w:rsidR="00BA7F60" w:rsidRPr="00152530" w:rsidRDefault="00000000">
      <w:pPr>
        <w:rPr>
          <w:rFonts w:eastAsia="Calibri" w:cstheme="minorHAnsi"/>
        </w:rPr>
      </w:pPr>
      <w:r w:rsidRPr="00152530">
        <w:rPr>
          <w:rFonts w:eastAsia="Calibri" w:cstheme="minorHAnsi"/>
          <w:b/>
        </w:rPr>
        <w:t>Table 4. Defence-in-depth layers protecting ALL's critical data</w:t>
      </w:r>
    </w:p>
    <w:tbl>
      <w:tblPr>
        <w:tblW w:w="0" w:type="auto"/>
        <w:tblInd w:w="180" w:type="dxa"/>
        <w:tblCellMar>
          <w:left w:w="10" w:type="dxa"/>
          <w:right w:w="10" w:type="dxa"/>
        </w:tblCellMar>
        <w:tblLook w:val="04A0" w:firstRow="1" w:lastRow="0" w:firstColumn="1" w:lastColumn="0" w:noHBand="0" w:noVBand="1"/>
      </w:tblPr>
      <w:tblGrid>
        <w:gridCol w:w="1588"/>
        <w:gridCol w:w="7242"/>
      </w:tblGrid>
      <w:tr w:rsidR="00152530" w:rsidRPr="00152530" w14:paraId="3F7254C4" w14:textId="77777777">
        <w:trPr>
          <w:trHeight w:val="1"/>
        </w:trPr>
        <w:tc>
          <w:tcPr>
            <w:tcW w:w="1592"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273A14AA" w14:textId="77777777" w:rsidR="00BA7F60" w:rsidRPr="00152530" w:rsidRDefault="00000000">
            <w:pPr>
              <w:rPr>
                <w:rFonts w:eastAsia="Calibri" w:cstheme="minorHAnsi"/>
              </w:rPr>
            </w:pPr>
            <w:r w:rsidRPr="00152530">
              <w:rPr>
                <w:rFonts w:eastAsia="Calibri" w:cstheme="minorHAnsi"/>
                <w:b/>
              </w:rPr>
              <w:lastRenderedPageBreak/>
              <w:t>Layer DOCX</w:t>
            </w:r>
          </w:p>
        </w:tc>
        <w:tc>
          <w:tcPr>
            <w:tcW w:w="7418"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7A37883C" w14:textId="77777777" w:rsidR="00BA7F60" w:rsidRPr="00152530" w:rsidRDefault="00000000">
            <w:pPr>
              <w:rPr>
                <w:rFonts w:eastAsia="Calibri" w:cstheme="minorHAnsi"/>
              </w:rPr>
            </w:pPr>
            <w:r w:rsidRPr="00152530">
              <w:rPr>
                <w:rFonts w:eastAsia="Calibri" w:cstheme="minorHAnsi"/>
                <w:b/>
              </w:rPr>
              <w:t>Representative controls DOCX</w:t>
            </w:r>
          </w:p>
        </w:tc>
      </w:tr>
      <w:tr w:rsidR="00152530" w:rsidRPr="00152530" w14:paraId="7CCF94DA" w14:textId="77777777">
        <w:trPr>
          <w:trHeight w:val="1"/>
        </w:trPr>
        <w:tc>
          <w:tcPr>
            <w:tcW w:w="1592"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202ABD7E" w14:textId="77777777" w:rsidR="00BA7F60" w:rsidRPr="00152530" w:rsidRDefault="00000000">
            <w:pPr>
              <w:rPr>
                <w:rFonts w:eastAsia="Calibri" w:cstheme="minorHAnsi"/>
              </w:rPr>
            </w:pPr>
            <w:r w:rsidRPr="00152530">
              <w:rPr>
                <w:rFonts w:eastAsia="Calibri" w:cstheme="minorHAnsi"/>
              </w:rPr>
              <w:t xml:space="preserve">Identity </w:t>
            </w:r>
          </w:p>
        </w:tc>
        <w:tc>
          <w:tcPr>
            <w:tcW w:w="7418"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22B45FE5" w14:textId="77777777" w:rsidR="00BA7F60" w:rsidRPr="00152530" w:rsidRDefault="00000000">
            <w:pPr>
              <w:rPr>
                <w:rFonts w:eastAsia="Calibri" w:cstheme="minorHAnsi"/>
              </w:rPr>
            </w:pPr>
            <w:r w:rsidRPr="00152530">
              <w:rPr>
                <w:rFonts w:eastAsia="Calibri" w:cstheme="minorHAnsi"/>
              </w:rPr>
              <w:t xml:space="preserve">MFA, single sign on, restricted access, privileged access management </w:t>
            </w:r>
          </w:p>
        </w:tc>
      </w:tr>
      <w:tr w:rsidR="00152530" w:rsidRPr="00152530" w14:paraId="02A65D5F" w14:textId="77777777">
        <w:trPr>
          <w:trHeight w:val="1"/>
        </w:trPr>
        <w:tc>
          <w:tcPr>
            <w:tcW w:w="1592"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428E6608" w14:textId="77777777" w:rsidR="00BA7F60" w:rsidRPr="00152530" w:rsidRDefault="00000000">
            <w:pPr>
              <w:rPr>
                <w:rFonts w:eastAsia="Calibri" w:cstheme="minorHAnsi"/>
              </w:rPr>
            </w:pPr>
            <w:r w:rsidRPr="00152530">
              <w:rPr>
                <w:rFonts w:eastAsia="Calibri" w:cstheme="minorHAnsi"/>
              </w:rPr>
              <w:t xml:space="preserve">Device </w:t>
            </w:r>
          </w:p>
        </w:tc>
        <w:tc>
          <w:tcPr>
            <w:tcW w:w="7418"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6BED1E0A" w14:textId="77777777" w:rsidR="00BA7F60" w:rsidRPr="00152530" w:rsidRDefault="00000000">
            <w:pPr>
              <w:rPr>
                <w:rFonts w:eastAsia="Calibri" w:cstheme="minorHAnsi"/>
              </w:rPr>
            </w:pPr>
            <w:r w:rsidRPr="00152530">
              <w:rPr>
                <w:rFonts w:eastAsia="Calibri" w:cstheme="minorHAnsi"/>
              </w:rPr>
              <w:t xml:space="preserve">Posture assessment, endpoint detection and response, patch enforcement </w:t>
            </w:r>
          </w:p>
        </w:tc>
      </w:tr>
      <w:tr w:rsidR="00152530" w:rsidRPr="00152530" w14:paraId="423BECA7" w14:textId="77777777">
        <w:trPr>
          <w:trHeight w:val="1"/>
        </w:trPr>
        <w:tc>
          <w:tcPr>
            <w:tcW w:w="1592"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4358C32E" w14:textId="77777777" w:rsidR="00BA7F60" w:rsidRPr="00152530" w:rsidRDefault="00000000">
            <w:pPr>
              <w:rPr>
                <w:rFonts w:eastAsia="Calibri" w:cstheme="minorHAnsi"/>
              </w:rPr>
            </w:pPr>
            <w:r w:rsidRPr="00152530">
              <w:rPr>
                <w:rFonts w:eastAsia="Calibri" w:cstheme="minorHAnsi"/>
              </w:rPr>
              <w:t xml:space="preserve">Network </w:t>
            </w:r>
          </w:p>
        </w:tc>
        <w:tc>
          <w:tcPr>
            <w:tcW w:w="7418"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3F4481FF" w14:textId="77777777" w:rsidR="00BA7F60" w:rsidRPr="00152530" w:rsidRDefault="00000000">
            <w:pPr>
              <w:rPr>
                <w:rFonts w:eastAsia="Calibri" w:cstheme="minorHAnsi"/>
              </w:rPr>
            </w:pPr>
            <w:r w:rsidRPr="00152530">
              <w:rPr>
                <w:rFonts w:eastAsia="Calibri" w:cstheme="minorHAnsi"/>
              </w:rPr>
              <w:t xml:space="preserve">Micro-segmentation, secure web gateway, encrypted tunnels </w:t>
            </w:r>
          </w:p>
        </w:tc>
      </w:tr>
      <w:tr w:rsidR="00152530" w:rsidRPr="00152530" w14:paraId="4226BCC1" w14:textId="77777777">
        <w:trPr>
          <w:trHeight w:val="1"/>
        </w:trPr>
        <w:tc>
          <w:tcPr>
            <w:tcW w:w="1592"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0FF2946B" w14:textId="77777777" w:rsidR="00BA7F60" w:rsidRPr="00152530" w:rsidRDefault="00000000">
            <w:pPr>
              <w:rPr>
                <w:rFonts w:eastAsia="Calibri" w:cstheme="minorHAnsi"/>
              </w:rPr>
            </w:pPr>
            <w:r w:rsidRPr="00152530">
              <w:rPr>
                <w:rFonts w:eastAsia="Calibri" w:cstheme="minorHAnsi"/>
              </w:rPr>
              <w:t xml:space="preserve">Application </w:t>
            </w:r>
          </w:p>
        </w:tc>
        <w:tc>
          <w:tcPr>
            <w:tcW w:w="7418"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683486DD" w14:textId="77777777" w:rsidR="00BA7F60" w:rsidRPr="00152530" w:rsidRDefault="00000000">
            <w:pPr>
              <w:rPr>
                <w:rFonts w:eastAsia="Calibri" w:cstheme="minorHAnsi"/>
              </w:rPr>
            </w:pPr>
            <w:r w:rsidRPr="00152530">
              <w:rPr>
                <w:rFonts w:eastAsia="Calibri" w:cstheme="minorHAnsi"/>
              </w:rPr>
              <w:t xml:space="preserve">Least-privilege RBAC, secure development, API security </w:t>
            </w:r>
          </w:p>
        </w:tc>
      </w:tr>
      <w:tr w:rsidR="00152530" w:rsidRPr="00152530" w14:paraId="231E1776" w14:textId="77777777">
        <w:trPr>
          <w:trHeight w:val="1"/>
        </w:trPr>
        <w:tc>
          <w:tcPr>
            <w:tcW w:w="1592"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6324043D" w14:textId="77777777" w:rsidR="00BA7F60" w:rsidRPr="00152530" w:rsidRDefault="00000000">
            <w:pPr>
              <w:rPr>
                <w:rFonts w:eastAsia="Calibri" w:cstheme="minorHAnsi"/>
              </w:rPr>
            </w:pPr>
            <w:r w:rsidRPr="00152530">
              <w:rPr>
                <w:rFonts w:eastAsia="Calibri" w:cstheme="minorHAnsi"/>
              </w:rPr>
              <w:t xml:space="preserve">Data </w:t>
            </w:r>
          </w:p>
        </w:tc>
        <w:tc>
          <w:tcPr>
            <w:tcW w:w="7418"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77C386FA" w14:textId="77777777" w:rsidR="00BA7F60" w:rsidRPr="00152530" w:rsidRDefault="00000000">
            <w:pPr>
              <w:rPr>
                <w:rFonts w:eastAsia="Calibri" w:cstheme="minorHAnsi"/>
              </w:rPr>
            </w:pPr>
            <w:r w:rsidRPr="00152530">
              <w:rPr>
                <w:rFonts w:eastAsia="Calibri" w:cstheme="minorHAnsi"/>
              </w:rPr>
              <w:t xml:space="preserve">AES-256 encryption, classification, DLP, centralised key management </w:t>
            </w:r>
          </w:p>
        </w:tc>
      </w:tr>
      <w:tr w:rsidR="00BA7F60" w:rsidRPr="00152530" w14:paraId="663AC3CC" w14:textId="77777777">
        <w:trPr>
          <w:trHeight w:val="1"/>
        </w:trPr>
        <w:tc>
          <w:tcPr>
            <w:tcW w:w="1592"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5476E069" w14:textId="77777777" w:rsidR="00BA7F60" w:rsidRPr="00152530" w:rsidRDefault="00000000">
            <w:pPr>
              <w:rPr>
                <w:rFonts w:eastAsia="Calibri" w:cstheme="minorHAnsi"/>
              </w:rPr>
            </w:pPr>
            <w:r w:rsidRPr="00152530">
              <w:rPr>
                <w:rFonts w:eastAsia="Calibri" w:cstheme="minorHAnsi"/>
              </w:rPr>
              <w:t xml:space="preserve">Monitoring </w:t>
            </w:r>
          </w:p>
        </w:tc>
        <w:tc>
          <w:tcPr>
            <w:tcW w:w="7418" w:type="dxa"/>
            <w:tcBorders>
              <w:top w:val="single" w:sz="6" w:space="0" w:color="C4C7C5"/>
              <w:left w:val="single" w:sz="6" w:space="0" w:color="C4C7C5"/>
              <w:bottom w:val="single" w:sz="6" w:space="0" w:color="C4C7C5"/>
              <w:right w:val="single" w:sz="6" w:space="0" w:color="C4C7C5"/>
            </w:tcBorders>
            <w:shd w:val="clear" w:color="000000" w:fill="FFFFFF"/>
            <w:tcMar>
              <w:left w:w="180" w:type="dxa"/>
              <w:right w:w="180" w:type="dxa"/>
            </w:tcMar>
            <w:vAlign w:val="center"/>
          </w:tcPr>
          <w:p w14:paraId="6F8BEE1D" w14:textId="77777777" w:rsidR="00BA7F60" w:rsidRPr="00152530" w:rsidRDefault="00000000">
            <w:pPr>
              <w:rPr>
                <w:rFonts w:eastAsia="Calibri" w:cstheme="minorHAnsi"/>
              </w:rPr>
            </w:pPr>
            <w:r w:rsidRPr="00152530">
              <w:rPr>
                <w:rFonts w:eastAsia="Calibri" w:cstheme="minorHAnsi"/>
              </w:rPr>
              <w:t xml:space="preserve">SIEM, continuous logging, anomaly detection over AI pipelines </w:t>
            </w:r>
          </w:p>
        </w:tc>
      </w:tr>
    </w:tbl>
    <w:p w14:paraId="6ED0DB67" w14:textId="77777777" w:rsidR="001848BD" w:rsidRPr="00152530" w:rsidRDefault="001848BD">
      <w:pPr>
        <w:rPr>
          <w:rFonts w:eastAsia="Calibri" w:cstheme="minorHAnsi"/>
          <w:b/>
        </w:rPr>
      </w:pPr>
    </w:p>
    <w:p w14:paraId="77764D49" w14:textId="2FC334E4" w:rsidR="00BA7F60" w:rsidRPr="00E37DBD" w:rsidRDefault="00000000">
      <w:pPr>
        <w:rPr>
          <w:rFonts w:eastAsia="Calibri" w:cstheme="minorHAnsi"/>
          <w:b/>
          <w:sz w:val="32"/>
          <w:szCs w:val="32"/>
        </w:rPr>
      </w:pPr>
      <w:r w:rsidRPr="00E37DBD">
        <w:rPr>
          <w:rFonts w:eastAsia="Calibri" w:cstheme="minorHAnsi"/>
          <w:b/>
          <w:sz w:val="32"/>
          <w:szCs w:val="32"/>
        </w:rPr>
        <w:t>4.5 Vendor and SLA Management</w:t>
      </w:r>
    </w:p>
    <w:p w14:paraId="107FE41B" w14:textId="4B012430" w:rsidR="00BA7F60" w:rsidRPr="00152530" w:rsidRDefault="00000000">
      <w:pPr>
        <w:rPr>
          <w:rFonts w:eastAsia="Calibri" w:cstheme="minorHAnsi"/>
        </w:rPr>
      </w:pPr>
      <w:r w:rsidRPr="00152530">
        <w:rPr>
          <w:rFonts w:eastAsia="Calibri" w:cstheme="minorHAnsi"/>
        </w:rPr>
        <w:t xml:space="preserve">Because outsourcing dominates ALL's estate, vendor governance is treated as a first-order control rather than a procurement detail. Vendors are tiered by the sensitivity of the data they touch. High-tier providers are subject to security due diligence, contractual security SLAs with measurable targets, right-to-audit and breach-notification clauses, and mapping of the shared-responsibility model so that no control falls into the gap between ALL and its providers [3]. ITIL 4 supplier-management practices operationalise ongoing performance review, closing the current </w:t>
      </w:r>
      <w:proofErr w:type="spellStart"/>
      <w:r w:rsidRPr="00152530">
        <w:rPr>
          <w:rFonts w:eastAsia="Calibri" w:cstheme="minorHAnsi"/>
        </w:rPr>
        <w:t>accuntability</w:t>
      </w:r>
      <w:proofErr w:type="spellEnd"/>
      <w:r w:rsidRPr="00152530">
        <w:rPr>
          <w:rFonts w:eastAsia="Calibri" w:cstheme="minorHAnsi"/>
        </w:rPr>
        <w:t xml:space="preserve"> gap. </w:t>
      </w:r>
    </w:p>
    <w:p w14:paraId="7721A9B7" w14:textId="77777777" w:rsidR="00975CFB" w:rsidRPr="00152530" w:rsidRDefault="00975CFB">
      <w:pPr>
        <w:rPr>
          <w:rFonts w:eastAsia="Calibri" w:cstheme="minorHAnsi"/>
        </w:rPr>
      </w:pPr>
    </w:p>
    <w:p w14:paraId="155E9995" w14:textId="77777777" w:rsidR="00BA7F60" w:rsidRPr="00E37DBD" w:rsidRDefault="00000000">
      <w:pPr>
        <w:rPr>
          <w:rFonts w:eastAsia="Calibri" w:cstheme="minorHAnsi"/>
          <w:b/>
          <w:sz w:val="32"/>
          <w:szCs w:val="32"/>
        </w:rPr>
      </w:pPr>
      <w:r w:rsidRPr="00E37DBD">
        <w:rPr>
          <w:rFonts w:eastAsia="Calibri" w:cstheme="minorHAnsi"/>
          <w:b/>
          <w:sz w:val="32"/>
          <w:szCs w:val="32"/>
        </w:rPr>
        <w:t>4.6 Contingency and Business Continuity Planning</w:t>
      </w:r>
    </w:p>
    <w:p w14:paraId="5946EAE7" w14:textId="77777777" w:rsidR="00167F0C" w:rsidRPr="00167F0C" w:rsidRDefault="00000000" w:rsidP="00167F0C">
      <w:pPr>
        <w:rPr>
          <w:rFonts w:eastAsia="Calibri" w:cstheme="minorHAnsi"/>
          <w:lang w:val="en-IN"/>
        </w:rPr>
      </w:pPr>
      <w:r w:rsidRPr="00152530">
        <w:rPr>
          <w:rFonts w:eastAsia="Calibri" w:cstheme="minorHAnsi"/>
        </w:rPr>
        <w:t>The organisation will set up a formal Business Continuity Plan (BCP) and Disaster Recovery (DR) capacity according to the principles of ISO 22301</w:t>
      </w:r>
      <w:r w:rsidR="00167F0C" w:rsidRPr="00167F0C">
        <w:rPr>
          <w:rFonts w:eastAsia="Calibri" w:cstheme="minorHAnsi"/>
          <w:lang w:val="en-IN"/>
        </w:rPr>
        <w:t>A Business Impact Analysis (BIA) will identify Recovery Time Objectives (RTOs) and Recovery Point Objectives (RPOs) for critical logistics services. Multi-region cloud systems and tested backups will help reduce disruption, while incident-response and business-continuity plans will be tested at least once a year. Key security policies, including acceptable use, access control, incident response and data classification, will be approved by the Governance Board, communicated through staff training and reviewed regularly.</w:t>
      </w:r>
    </w:p>
    <w:p w14:paraId="69369E53" w14:textId="10AE77AA" w:rsidR="00BA7F60" w:rsidRDefault="00BA7F60">
      <w:pPr>
        <w:rPr>
          <w:rFonts w:eastAsia="Calibri" w:cstheme="minorHAnsi"/>
        </w:rPr>
      </w:pPr>
    </w:p>
    <w:p w14:paraId="51F492AA" w14:textId="77777777" w:rsidR="00E37DBD" w:rsidRDefault="00E37DBD">
      <w:pPr>
        <w:rPr>
          <w:rFonts w:eastAsia="Calibri" w:cstheme="minorHAnsi"/>
        </w:rPr>
      </w:pPr>
    </w:p>
    <w:p w14:paraId="60CAD1DF" w14:textId="77777777" w:rsidR="00E67ED0" w:rsidRDefault="00E67ED0">
      <w:pPr>
        <w:rPr>
          <w:rFonts w:eastAsia="Calibri" w:cstheme="minorHAnsi"/>
        </w:rPr>
      </w:pPr>
    </w:p>
    <w:p w14:paraId="045FF836" w14:textId="77777777" w:rsidR="00E67ED0" w:rsidRPr="00152530" w:rsidRDefault="00E67ED0">
      <w:pPr>
        <w:rPr>
          <w:rFonts w:eastAsia="Calibri" w:cstheme="minorHAnsi"/>
        </w:rPr>
      </w:pPr>
    </w:p>
    <w:p w14:paraId="6F64D501" w14:textId="77777777" w:rsidR="00BA7F60" w:rsidRPr="00E37DBD" w:rsidRDefault="00000000">
      <w:pPr>
        <w:rPr>
          <w:rFonts w:eastAsia="Calibri" w:cstheme="minorHAnsi"/>
          <w:b/>
          <w:sz w:val="32"/>
          <w:szCs w:val="32"/>
        </w:rPr>
      </w:pPr>
      <w:r w:rsidRPr="00E37DBD">
        <w:rPr>
          <w:rFonts w:eastAsia="Calibri" w:cstheme="minorHAnsi"/>
          <w:b/>
          <w:sz w:val="32"/>
          <w:szCs w:val="32"/>
        </w:rPr>
        <w:lastRenderedPageBreak/>
        <w:t>4.7 Implementation Roadmap</w:t>
      </w:r>
    </w:p>
    <w:p w14:paraId="5E5564CF" w14:textId="425CE2EA" w:rsidR="00167F0C" w:rsidRPr="00167F0C" w:rsidRDefault="00167F0C" w:rsidP="00167F0C">
      <w:pPr>
        <w:tabs>
          <w:tab w:val="left" w:pos="720"/>
        </w:tabs>
        <w:rPr>
          <w:rFonts w:eastAsia="Calibri" w:cstheme="minorHAnsi"/>
          <w:lang w:val="en-IN"/>
        </w:rPr>
      </w:pPr>
      <w:r w:rsidRPr="00167F0C">
        <w:rPr>
          <w:rFonts w:eastAsia="Calibri" w:cstheme="minorHAnsi"/>
          <w:lang w:val="en-IN"/>
        </w:rPr>
        <w:t>Because ALL currently has a low level of security maturity, the plan is divided into three phases. This allows the organisation to deal with the most serious risks first while gradually improving its overall security capabilities.</w:t>
      </w:r>
    </w:p>
    <w:p w14:paraId="2241DDD8" w14:textId="77777777" w:rsidR="00167F0C" w:rsidRDefault="00000000" w:rsidP="00167F0C">
      <w:pPr>
        <w:numPr>
          <w:ilvl w:val="0"/>
          <w:numId w:val="3"/>
        </w:numPr>
        <w:tabs>
          <w:tab w:val="left" w:pos="720"/>
        </w:tabs>
        <w:ind w:left="720" w:hanging="360"/>
        <w:rPr>
          <w:rFonts w:eastAsia="Calibri" w:cstheme="minorHAnsi"/>
        </w:rPr>
      </w:pPr>
      <w:r w:rsidRPr="00152530">
        <w:rPr>
          <w:rFonts w:eastAsia="Calibri" w:cstheme="minorHAnsi"/>
          <w:b/>
        </w:rPr>
        <w:t>Phase 1 (0–3 months):</w:t>
      </w:r>
      <w:r w:rsidRPr="00152530">
        <w:rPr>
          <w:rFonts w:eastAsia="Calibri" w:cstheme="minorHAnsi"/>
        </w:rPr>
        <w:t xml:space="preserve"> Establish governance board and CISO; appoint DPO; inventory and classify assets; enforce MFA and encryption on PII and shipment data. </w:t>
      </w:r>
    </w:p>
    <w:p w14:paraId="58E1BE42" w14:textId="50FD58BB" w:rsidR="00167F0C" w:rsidRPr="00167F0C" w:rsidRDefault="00167F0C" w:rsidP="00167F0C">
      <w:pPr>
        <w:numPr>
          <w:ilvl w:val="0"/>
          <w:numId w:val="3"/>
        </w:numPr>
        <w:tabs>
          <w:tab w:val="left" w:pos="720"/>
        </w:tabs>
        <w:ind w:left="720" w:hanging="360"/>
        <w:rPr>
          <w:rFonts w:eastAsia="Calibri" w:cstheme="minorHAnsi"/>
        </w:rPr>
      </w:pPr>
      <w:r w:rsidRPr="00167F0C">
        <w:rPr>
          <w:rFonts w:ascii="Times New Roman" w:eastAsia="Times New Roman" w:hAnsi="Times New Roman" w:cs="Times New Roman"/>
          <w:b/>
          <w:bCs/>
          <w:kern w:val="0"/>
          <w:lang w:val="en-IN"/>
          <w14:ligatures w14:val="none"/>
        </w:rPr>
        <w:t>Phase 2 (3–9 months):</w:t>
      </w:r>
      <w:r w:rsidRPr="00167F0C">
        <w:rPr>
          <w:rFonts w:ascii="Times New Roman" w:eastAsia="Times New Roman" w:hAnsi="Times New Roman" w:cs="Times New Roman"/>
          <w:kern w:val="0"/>
          <w:lang w:val="en-IN"/>
          <w14:ligatures w14:val="none"/>
        </w:rPr>
        <w:t xml:space="preserve"> Introduce Zero Trust access, SIEM monitoring and a centralised risk register. Review and classify suppliers, add security requirements to contracts, and formalise security policies and business continuity and disaster recovery plans.</w:t>
      </w:r>
    </w:p>
    <w:p w14:paraId="2D76C75A" w14:textId="77777777" w:rsidR="00BA7F60" w:rsidRPr="00152530" w:rsidRDefault="00000000">
      <w:pPr>
        <w:numPr>
          <w:ilvl w:val="0"/>
          <w:numId w:val="3"/>
        </w:numPr>
        <w:tabs>
          <w:tab w:val="left" w:pos="720"/>
        </w:tabs>
        <w:ind w:left="720" w:hanging="360"/>
        <w:rPr>
          <w:rFonts w:eastAsia="Calibri" w:cstheme="minorHAnsi"/>
        </w:rPr>
      </w:pPr>
      <w:r w:rsidRPr="00152530">
        <w:rPr>
          <w:rFonts w:eastAsia="Calibri" w:cstheme="minorHAnsi"/>
          <w:b/>
        </w:rPr>
        <w:t>Phase 3 (9–18 months):</w:t>
      </w:r>
      <w:r w:rsidRPr="00152530">
        <w:rPr>
          <w:rFonts w:eastAsia="Calibri" w:cstheme="minorHAnsi"/>
        </w:rPr>
        <w:t xml:space="preserve"> Mature the ISMS and pursue ISO/IEC 27001 certification; embed ITIL incident and supplier practices; run continuous improvement and audit cycles. </w:t>
      </w:r>
    </w:p>
    <w:p w14:paraId="059EA182" w14:textId="77777777" w:rsidR="001848BD" w:rsidRPr="00152530" w:rsidRDefault="001848BD">
      <w:pPr>
        <w:rPr>
          <w:rFonts w:eastAsia="Calibri" w:cstheme="minorHAnsi"/>
          <w:b/>
        </w:rPr>
      </w:pPr>
    </w:p>
    <w:p w14:paraId="40CA86F0" w14:textId="5EC34E45" w:rsidR="00BA7F60" w:rsidRPr="00152530" w:rsidRDefault="00000000">
      <w:pPr>
        <w:rPr>
          <w:rFonts w:eastAsia="Calibri" w:cstheme="minorHAnsi"/>
          <w:b/>
          <w:sz w:val="32"/>
          <w:szCs w:val="32"/>
        </w:rPr>
      </w:pPr>
      <w:r w:rsidRPr="00152530">
        <w:rPr>
          <w:rFonts w:eastAsia="Calibri" w:cstheme="minorHAnsi"/>
          <w:b/>
          <w:sz w:val="32"/>
          <w:szCs w:val="32"/>
        </w:rPr>
        <w:t>5. Critical Analysis: The Case for Continuous Regulatory and Standards Updating</w:t>
      </w:r>
    </w:p>
    <w:p w14:paraId="726FFF8F" w14:textId="2640E9D8" w:rsidR="00975CFB" w:rsidRDefault="00167F0C">
      <w:pPr>
        <w:rPr>
          <w:rFonts w:eastAsia="Calibri" w:cstheme="minorHAnsi"/>
          <w:lang w:val="en-IN"/>
        </w:rPr>
      </w:pPr>
      <w:r w:rsidRPr="00167F0C">
        <w:rPr>
          <w:rFonts w:eastAsia="Calibri" w:cstheme="minorHAnsi"/>
          <w:lang w:val="en-IN"/>
        </w:rPr>
        <w:t>A security design can become outdated as technology, threats and regulations change. Therefore, regularly updating security standards and regulations is essential for organisations like ALL, rather than simply being a maintenance task. This section looks at three main factors: new technologies, changing cyber threats and global compliance requirements. It also considers some of the arguments against continuous updates.</w:t>
      </w:r>
    </w:p>
    <w:p w14:paraId="3E18ABDF" w14:textId="77777777" w:rsidR="00E1382B" w:rsidRPr="00167F0C" w:rsidRDefault="00E1382B">
      <w:pPr>
        <w:rPr>
          <w:rFonts w:eastAsia="Calibri" w:cstheme="minorHAnsi"/>
          <w:lang w:val="en-IN"/>
        </w:rPr>
      </w:pPr>
    </w:p>
    <w:p w14:paraId="16E9966D" w14:textId="77777777" w:rsidR="00BA7F60" w:rsidRPr="00E37DBD" w:rsidRDefault="00000000">
      <w:pPr>
        <w:rPr>
          <w:rFonts w:eastAsia="Calibri" w:cstheme="minorHAnsi"/>
          <w:b/>
          <w:sz w:val="32"/>
          <w:szCs w:val="32"/>
        </w:rPr>
      </w:pPr>
      <w:r w:rsidRPr="00E37DBD">
        <w:rPr>
          <w:rFonts w:eastAsia="Calibri" w:cstheme="minorHAnsi"/>
          <w:b/>
          <w:sz w:val="32"/>
          <w:szCs w:val="32"/>
        </w:rPr>
        <w:t>5.1 Emerging Technologies Outpace Static Controls</w:t>
      </w:r>
    </w:p>
    <w:p w14:paraId="1A3C9E4E" w14:textId="40A2C743" w:rsidR="00BA7F60" w:rsidRPr="00152530" w:rsidRDefault="00000000">
      <w:pPr>
        <w:rPr>
          <w:rFonts w:eastAsia="Calibri" w:cstheme="minorHAnsi"/>
        </w:rPr>
      </w:pPr>
      <w:r w:rsidRPr="00152530">
        <w:rPr>
          <w:rFonts w:eastAsia="Calibri" w:cstheme="minorHAnsi"/>
        </w:rPr>
        <w:t>The very technologies that create ALL's competitive advantage also erode the assumptions behind fixed controls. AI analytics introduce risks—such as data poisoning, model inversion, and inference attacks on PII—not foreseen by standard control catalogues, resulting in new instruments such as the EU AI Act and NIST’s AI Risk Management Framework [8]. IoT sensors multiply weakly secured endpoints, and the maturing threat of quantum computing already drives standards bodies toward post-quantum cryptography.</w:t>
      </w:r>
    </w:p>
    <w:p w14:paraId="54F3A068" w14:textId="77777777" w:rsidR="00975CFB" w:rsidRDefault="00975CFB">
      <w:pPr>
        <w:rPr>
          <w:rFonts w:eastAsia="Calibri" w:cstheme="minorHAnsi"/>
        </w:rPr>
      </w:pPr>
    </w:p>
    <w:p w14:paraId="7F048A52" w14:textId="77777777" w:rsidR="00E37DBD" w:rsidRDefault="00E37DBD">
      <w:pPr>
        <w:rPr>
          <w:rFonts w:eastAsia="Calibri" w:cstheme="minorHAnsi"/>
        </w:rPr>
      </w:pPr>
    </w:p>
    <w:p w14:paraId="3CFB946B" w14:textId="77777777" w:rsidR="00E37DBD" w:rsidRDefault="00E37DBD">
      <w:pPr>
        <w:rPr>
          <w:rFonts w:eastAsia="Calibri" w:cstheme="minorHAnsi"/>
        </w:rPr>
      </w:pPr>
    </w:p>
    <w:p w14:paraId="49A112E8" w14:textId="77777777" w:rsidR="00E37DBD" w:rsidRDefault="00E37DBD">
      <w:pPr>
        <w:rPr>
          <w:rFonts w:eastAsia="Calibri" w:cstheme="minorHAnsi"/>
        </w:rPr>
      </w:pPr>
    </w:p>
    <w:p w14:paraId="36536AC2" w14:textId="77777777" w:rsidR="00E37DBD" w:rsidRPr="00152530" w:rsidRDefault="00E37DBD">
      <w:pPr>
        <w:rPr>
          <w:rFonts w:eastAsia="Calibri" w:cstheme="minorHAnsi"/>
        </w:rPr>
      </w:pPr>
    </w:p>
    <w:p w14:paraId="2291CD7C" w14:textId="77777777" w:rsidR="00BA7F60" w:rsidRPr="00E37DBD" w:rsidRDefault="00000000">
      <w:pPr>
        <w:rPr>
          <w:rFonts w:eastAsia="Calibri" w:cstheme="minorHAnsi"/>
          <w:b/>
          <w:sz w:val="32"/>
          <w:szCs w:val="32"/>
        </w:rPr>
      </w:pPr>
      <w:r w:rsidRPr="00E37DBD">
        <w:rPr>
          <w:rFonts w:eastAsia="Calibri" w:cstheme="minorHAnsi"/>
          <w:b/>
          <w:sz w:val="32"/>
          <w:szCs w:val="32"/>
        </w:rPr>
        <w:t>5.2 The Threat Landscape Is Adversarial and Adaptive</w:t>
      </w:r>
    </w:p>
    <w:p w14:paraId="4E84DBE6" w14:textId="4BBE5C91" w:rsidR="00BA7F60" w:rsidRPr="00152530" w:rsidRDefault="00000000">
      <w:pPr>
        <w:rPr>
          <w:rFonts w:eastAsia="Calibri" w:cstheme="minorHAnsi"/>
        </w:rPr>
      </w:pPr>
      <w:r w:rsidRPr="00152530">
        <w:rPr>
          <w:rFonts w:eastAsia="Calibri" w:cstheme="minorHAnsi"/>
        </w:rPr>
        <w:t xml:space="preserve">Unlike natural hazards, cyber threats are the product of intelligent, financially motivated, and continuously innovating adversaries. Attackers </w:t>
      </w:r>
      <w:proofErr w:type="spellStart"/>
      <w:r w:rsidRPr="00152530">
        <w:rPr>
          <w:rFonts w:eastAsia="Calibri" w:cstheme="minorHAnsi"/>
        </w:rPr>
        <w:t>weaponise</w:t>
      </w:r>
      <w:proofErr w:type="spellEnd"/>
      <w:r w:rsidRPr="00152530">
        <w:rPr>
          <w:rFonts w:eastAsia="Calibri" w:cstheme="minorHAnsi"/>
        </w:rPr>
        <w:t xml:space="preserve"> new techniques—such as supply-chain compromise, ransomware-as-a-service, and living-off-the-land intrusions—faster than static defences can be redesigned [4]. This creates a co-evolutionary dynamic in which any defence eventually invites a countermeasure </w:t>
      </w:r>
    </w:p>
    <w:p w14:paraId="1CF6FCF6" w14:textId="77777777" w:rsidR="00975CFB" w:rsidRDefault="00975CFB">
      <w:pPr>
        <w:rPr>
          <w:rFonts w:eastAsia="Calibri" w:cstheme="minorHAnsi"/>
        </w:rPr>
      </w:pPr>
    </w:p>
    <w:p w14:paraId="1C8AE2A6" w14:textId="77777777" w:rsidR="00E37DBD" w:rsidRPr="00152530" w:rsidRDefault="00E37DBD">
      <w:pPr>
        <w:rPr>
          <w:rFonts w:eastAsia="Calibri" w:cstheme="minorHAnsi"/>
        </w:rPr>
      </w:pPr>
    </w:p>
    <w:p w14:paraId="59F4D5D4" w14:textId="77777777" w:rsidR="00BA7F60" w:rsidRPr="00E37DBD" w:rsidRDefault="00000000">
      <w:pPr>
        <w:rPr>
          <w:rFonts w:eastAsia="Calibri" w:cstheme="minorHAnsi"/>
          <w:b/>
          <w:sz w:val="32"/>
          <w:szCs w:val="32"/>
        </w:rPr>
      </w:pPr>
      <w:r w:rsidRPr="00E37DBD">
        <w:rPr>
          <w:rFonts w:eastAsia="Calibri" w:cstheme="minorHAnsi"/>
          <w:b/>
          <w:sz w:val="32"/>
          <w:szCs w:val="32"/>
        </w:rPr>
        <w:t>5.3 Fragmented and Shifting Global Compliance</w:t>
      </w:r>
    </w:p>
    <w:p w14:paraId="2D71CAA7" w14:textId="38C53BA0" w:rsidR="00167F0C" w:rsidRPr="00167F0C" w:rsidRDefault="00000000" w:rsidP="00167F0C">
      <w:pPr>
        <w:rPr>
          <w:rFonts w:eastAsia="Calibri" w:cstheme="minorHAnsi"/>
          <w:lang w:val="en-IN"/>
        </w:rPr>
      </w:pPr>
      <w:r w:rsidRPr="00152530">
        <w:rPr>
          <w:rFonts w:eastAsia="Calibri" w:cstheme="minorHAnsi"/>
        </w:rPr>
        <w:t>As a multinational, ALL is exposed simultaneously to GDPR in Europe, sectoral and state laws in the United States, and an expanding patchwork of national data-protection and data-localisation regimes. These regimes not only differ but move</w:t>
      </w:r>
      <w:r w:rsidR="00167F0C">
        <w:rPr>
          <w:rFonts w:eastAsia="Calibri" w:cstheme="minorHAnsi"/>
        </w:rPr>
        <w:t xml:space="preserve">. </w:t>
      </w:r>
      <w:r w:rsidR="00167F0C" w:rsidRPr="00167F0C">
        <w:rPr>
          <w:rFonts w:eastAsia="Calibri" w:cstheme="minorHAnsi"/>
          <w:lang w:val="en-IN"/>
        </w:rPr>
        <w:t>GDPR requirements continue to develop through new regulatory guidance and court decisions. Rules for international data transfers have also changed several times, meaning organisations like ALL need to regularly review and update their compliance practices.</w:t>
      </w:r>
    </w:p>
    <w:p w14:paraId="3AF12D02" w14:textId="0178234E" w:rsidR="00E37DBD" w:rsidRPr="00152530" w:rsidRDefault="00E37DBD">
      <w:pPr>
        <w:rPr>
          <w:rFonts w:eastAsia="Calibri" w:cstheme="minorHAnsi"/>
        </w:rPr>
      </w:pPr>
    </w:p>
    <w:p w14:paraId="6855FA97" w14:textId="77777777" w:rsidR="00BA7F60" w:rsidRPr="00E37DBD" w:rsidRDefault="00000000">
      <w:pPr>
        <w:rPr>
          <w:rFonts w:eastAsia="Calibri" w:cstheme="minorHAnsi"/>
          <w:b/>
          <w:sz w:val="32"/>
          <w:szCs w:val="32"/>
        </w:rPr>
      </w:pPr>
      <w:r w:rsidRPr="00E37DBD">
        <w:rPr>
          <w:rFonts w:eastAsia="Calibri" w:cstheme="minorHAnsi"/>
          <w:b/>
          <w:sz w:val="32"/>
          <w:szCs w:val="32"/>
        </w:rPr>
        <w:t>5.4 Counter-Arguments and a Balanced Judgement</w:t>
      </w:r>
    </w:p>
    <w:p w14:paraId="751BFFA6" w14:textId="5A4917BC" w:rsidR="00975CFB" w:rsidRDefault="00167F0C">
      <w:pPr>
        <w:rPr>
          <w:rFonts w:eastAsia="Calibri" w:cstheme="minorHAnsi"/>
          <w:lang w:val="en-IN"/>
        </w:rPr>
      </w:pPr>
      <w:r w:rsidRPr="00167F0C">
        <w:rPr>
          <w:rFonts w:eastAsia="Calibri" w:cstheme="minorHAnsi"/>
          <w:lang w:val="en-IN"/>
        </w:rPr>
        <w:t>Continuous updating can be costly. Too many changes can create extra work, audit fatigue and confusion for staff, while smaller organisations may not have enough resources to monitor every update. Therefore, updates should be continuous but based on risk. ALL can use regulatory alerts, information-sharing groups and a clear change-management process to identify which changes are most important. Although this requires ongoing effort, it is still better than leaving security controls outdated and facing the much higher cost of a data breach or regulatory penalty.</w:t>
      </w:r>
    </w:p>
    <w:p w14:paraId="1243ED00" w14:textId="77777777" w:rsidR="00167F0C" w:rsidRPr="00167F0C" w:rsidRDefault="00167F0C">
      <w:pPr>
        <w:rPr>
          <w:rFonts w:eastAsia="Calibri" w:cstheme="minorHAnsi"/>
          <w:lang w:val="en-IN"/>
        </w:rPr>
      </w:pPr>
    </w:p>
    <w:p w14:paraId="28118521" w14:textId="77777777" w:rsidR="00BA7F60" w:rsidRPr="00E37DBD" w:rsidRDefault="00000000">
      <w:pPr>
        <w:rPr>
          <w:rFonts w:eastAsia="Calibri" w:cstheme="minorHAnsi"/>
          <w:b/>
          <w:sz w:val="32"/>
          <w:szCs w:val="32"/>
        </w:rPr>
      </w:pPr>
      <w:r w:rsidRPr="00E37DBD">
        <w:rPr>
          <w:rFonts w:eastAsia="Calibri" w:cstheme="minorHAnsi"/>
          <w:b/>
          <w:sz w:val="32"/>
          <w:szCs w:val="32"/>
        </w:rPr>
        <w:t>6. Assumptions</w:t>
      </w:r>
    </w:p>
    <w:p w14:paraId="451CE41F" w14:textId="77777777" w:rsidR="00167F0C" w:rsidRPr="00167F0C" w:rsidRDefault="00167F0C" w:rsidP="00167F0C">
      <w:pPr>
        <w:spacing w:before="100" w:beforeAutospacing="1" w:after="100" w:afterAutospacing="1" w:line="240" w:lineRule="auto"/>
        <w:rPr>
          <w:rFonts w:ascii="Times New Roman" w:eastAsia="Times New Roman" w:hAnsi="Times New Roman" w:cs="Times New Roman"/>
          <w:kern w:val="0"/>
          <w:lang w:val="en-IN"/>
          <w14:ligatures w14:val="none"/>
        </w:rPr>
      </w:pPr>
      <w:r w:rsidRPr="00167F0C">
        <w:rPr>
          <w:rFonts w:ascii="Times New Roman" w:eastAsia="Times New Roman" w:hAnsi="Times New Roman" w:cs="Times New Roman"/>
          <w:kern w:val="0"/>
          <w:lang w:val="en-IN"/>
          <w14:ligatures w14:val="none"/>
        </w:rPr>
        <w:t>The recommendations above are based on the following assumptions:</w:t>
      </w:r>
    </w:p>
    <w:p w14:paraId="311A2C55" w14:textId="77777777" w:rsidR="00BA7F60" w:rsidRPr="00152530" w:rsidRDefault="00000000">
      <w:pPr>
        <w:numPr>
          <w:ilvl w:val="0"/>
          <w:numId w:val="4"/>
        </w:numPr>
        <w:tabs>
          <w:tab w:val="left" w:pos="720"/>
        </w:tabs>
        <w:ind w:left="720" w:hanging="360"/>
        <w:rPr>
          <w:rFonts w:eastAsia="Calibri" w:cstheme="minorHAnsi"/>
        </w:rPr>
      </w:pPr>
      <w:r w:rsidRPr="00152530">
        <w:rPr>
          <w:rFonts w:eastAsia="Calibri" w:cstheme="minorHAnsi"/>
          <w:b/>
        </w:rPr>
        <w:t>Size and reach:</w:t>
      </w:r>
      <w:r w:rsidRPr="00152530">
        <w:rPr>
          <w:rFonts w:eastAsia="Calibri" w:cstheme="minorHAnsi"/>
        </w:rPr>
        <w:t xml:space="preserve"> ALL is a large multinational enterprise with sufficient client volume to justify ISO/IEC 27001 certification and a dedicated CISO and DPO. </w:t>
      </w:r>
    </w:p>
    <w:p w14:paraId="54238288" w14:textId="77777777" w:rsidR="00BA7F60" w:rsidRPr="00152530" w:rsidRDefault="00000000">
      <w:pPr>
        <w:numPr>
          <w:ilvl w:val="0"/>
          <w:numId w:val="4"/>
        </w:numPr>
        <w:tabs>
          <w:tab w:val="left" w:pos="720"/>
        </w:tabs>
        <w:ind w:left="720" w:hanging="360"/>
        <w:rPr>
          <w:rFonts w:eastAsia="Calibri" w:cstheme="minorHAnsi"/>
        </w:rPr>
      </w:pPr>
      <w:r w:rsidRPr="00152530">
        <w:rPr>
          <w:rFonts w:eastAsia="Calibri" w:cstheme="minorHAnsi"/>
          <w:b/>
        </w:rPr>
        <w:t>Budget:</w:t>
      </w:r>
      <w:r w:rsidRPr="00152530">
        <w:rPr>
          <w:rFonts w:eastAsia="Calibri" w:cstheme="minorHAnsi"/>
        </w:rPr>
        <w:t xml:space="preserve"> A moderate but not unlimited security budget exists, requiring risk-based prioritisation rather than simultaneous implementation of all controls. </w:t>
      </w:r>
    </w:p>
    <w:p w14:paraId="71538A73" w14:textId="77777777" w:rsidR="00BA7F60" w:rsidRPr="00152530" w:rsidRDefault="00000000">
      <w:pPr>
        <w:numPr>
          <w:ilvl w:val="0"/>
          <w:numId w:val="4"/>
        </w:numPr>
        <w:tabs>
          <w:tab w:val="left" w:pos="720"/>
        </w:tabs>
        <w:ind w:left="720" w:hanging="360"/>
        <w:rPr>
          <w:rFonts w:eastAsia="Calibri" w:cstheme="minorHAnsi"/>
        </w:rPr>
      </w:pPr>
      <w:r w:rsidRPr="00152530">
        <w:rPr>
          <w:rFonts w:eastAsia="Calibri" w:cstheme="minorHAnsi"/>
          <w:b/>
        </w:rPr>
        <w:lastRenderedPageBreak/>
        <w:t>Existing technology:</w:t>
      </w:r>
      <w:r w:rsidRPr="00152530">
        <w:rPr>
          <w:rFonts w:eastAsia="Calibri" w:cstheme="minorHAnsi"/>
        </w:rPr>
        <w:t xml:space="preserve"> ALL already operates the described cloud, IoT, and AI estate, so the design augments rather than replaces this environment. </w:t>
      </w:r>
    </w:p>
    <w:p w14:paraId="2CF33EF6" w14:textId="77777777" w:rsidR="00BA7F60" w:rsidRPr="00152530" w:rsidRDefault="00000000">
      <w:pPr>
        <w:numPr>
          <w:ilvl w:val="0"/>
          <w:numId w:val="4"/>
        </w:numPr>
        <w:tabs>
          <w:tab w:val="left" w:pos="720"/>
        </w:tabs>
        <w:ind w:left="720" w:hanging="360"/>
        <w:rPr>
          <w:rFonts w:eastAsia="Calibri" w:cstheme="minorHAnsi"/>
        </w:rPr>
      </w:pPr>
      <w:r w:rsidRPr="00152530">
        <w:rPr>
          <w:rFonts w:eastAsia="Calibri" w:cstheme="minorHAnsi"/>
          <w:b/>
        </w:rPr>
        <w:t>Regulatory environment:</w:t>
      </w:r>
      <w:r w:rsidRPr="00152530">
        <w:rPr>
          <w:rFonts w:eastAsia="Calibri" w:cstheme="minorHAnsi"/>
        </w:rPr>
        <w:t xml:space="preserve"> ALL processes EU-resident PII, making GDPR applicable, alongside other regional regimes typical of a global operator. </w:t>
      </w:r>
    </w:p>
    <w:p w14:paraId="0AC32D7A" w14:textId="77777777" w:rsidR="00BA7F60" w:rsidRPr="00152530" w:rsidRDefault="00000000">
      <w:pPr>
        <w:numPr>
          <w:ilvl w:val="0"/>
          <w:numId w:val="4"/>
        </w:numPr>
        <w:tabs>
          <w:tab w:val="left" w:pos="720"/>
        </w:tabs>
        <w:ind w:left="720" w:hanging="360"/>
        <w:rPr>
          <w:rFonts w:eastAsia="Calibri" w:cstheme="minorHAnsi"/>
        </w:rPr>
      </w:pPr>
      <w:r w:rsidRPr="00152530">
        <w:rPr>
          <w:rFonts w:eastAsia="Calibri" w:cstheme="minorHAnsi"/>
          <w:b/>
        </w:rPr>
        <w:t>Security maturity:</w:t>
      </w:r>
      <w:r w:rsidRPr="00152530">
        <w:rPr>
          <w:rFonts w:eastAsia="Calibri" w:cstheme="minorHAnsi"/>
        </w:rPr>
        <w:t xml:space="preserve"> The organisation is at a low initial maturity level, justifying the phased roadmap and the emphasis on governance and accountability first. </w:t>
      </w:r>
    </w:p>
    <w:p w14:paraId="57C878D3" w14:textId="4742B188" w:rsidR="00152530" w:rsidRDefault="00000000" w:rsidP="00152530">
      <w:pPr>
        <w:numPr>
          <w:ilvl w:val="0"/>
          <w:numId w:val="4"/>
        </w:numPr>
        <w:tabs>
          <w:tab w:val="left" w:pos="720"/>
        </w:tabs>
        <w:ind w:left="720" w:hanging="360"/>
        <w:rPr>
          <w:rFonts w:eastAsia="Calibri" w:cstheme="minorHAnsi"/>
        </w:rPr>
      </w:pPr>
      <w:r w:rsidRPr="00152530">
        <w:rPr>
          <w:rFonts w:eastAsia="Calibri" w:cstheme="minorHAnsi"/>
          <w:b/>
        </w:rPr>
        <w:t>Vendor cooperation:</w:t>
      </w:r>
      <w:r w:rsidRPr="00152530">
        <w:rPr>
          <w:rFonts w:eastAsia="Calibri" w:cstheme="minorHAnsi"/>
        </w:rPr>
        <w:t xml:space="preserve"> Major IaaS/SaaS providers will accept security SLAs and right-to-audit terms at contract renewal. </w:t>
      </w:r>
    </w:p>
    <w:p w14:paraId="066F1BD7" w14:textId="77777777" w:rsidR="00E37DBD" w:rsidRPr="00152530" w:rsidRDefault="00E37DBD" w:rsidP="00E37DBD">
      <w:pPr>
        <w:tabs>
          <w:tab w:val="left" w:pos="720"/>
        </w:tabs>
        <w:ind w:left="720"/>
        <w:rPr>
          <w:rFonts w:eastAsia="Calibri" w:cstheme="minorHAnsi"/>
        </w:rPr>
      </w:pPr>
    </w:p>
    <w:p w14:paraId="2B17DF73" w14:textId="77777777" w:rsidR="00BA7F60" w:rsidRPr="00152530" w:rsidRDefault="00000000">
      <w:pPr>
        <w:rPr>
          <w:rFonts w:eastAsia="Calibri" w:cstheme="minorHAnsi"/>
          <w:b/>
          <w:sz w:val="32"/>
          <w:szCs w:val="32"/>
        </w:rPr>
      </w:pPr>
      <w:r w:rsidRPr="00152530">
        <w:rPr>
          <w:rFonts w:eastAsia="Calibri" w:cstheme="minorHAnsi"/>
          <w:b/>
          <w:sz w:val="32"/>
          <w:szCs w:val="32"/>
        </w:rPr>
        <w:t>7. Conclusion</w:t>
      </w:r>
    </w:p>
    <w:p w14:paraId="16712C02" w14:textId="77777777" w:rsidR="00883375" w:rsidRPr="00883375" w:rsidRDefault="00883375" w:rsidP="00883375">
      <w:pPr>
        <w:rPr>
          <w:rFonts w:eastAsia="Calibri" w:cstheme="minorHAnsi"/>
          <w:lang w:val="en-IN"/>
        </w:rPr>
      </w:pPr>
      <w:proofErr w:type="spellStart"/>
      <w:r w:rsidRPr="00883375">
        <w:rPr>
          <w:rFonts w:eastAsia="Calibri" w:cstheme="minorHAnsi"/>
          <w:lang w:val="en-IN"/>
        </w:rPr>
        <w:t>AeroLink</w:t>
      </w:r>
      <w:proofErr w:type="spellEnd"/>
      <w:r w:rsidRPr="00883375">
        <w:rPr>
          <w:rFonts w:eastAsia="Calibri" w:cstheme="minorHAnsi"/>
          <w:lang w:val="en-IN"/>
        </w:rPr>
        <w:t xml:space="preserve"> Logistics' increasing dependence on digital technology is creating a growing gap with its digital cybersecurity and governance capabilities. This gap has already caused breaches of shipping data and customer’s PII.</w:t>
      </w:r>
    </w:p>
    <w:p w14:paraId="0EB1FDA1" w14:textId="77777777" w:rsidR="00883375" w:rsidRPr="00883375" w:rsidRDefault="00883375" w:rsidP="00883375">
      <w:pPr>
        <w:rPr>
          <w:rFonts w:eastAsia="Calibri" w:cstheme="minorHAnsi"/>
          <w:lang w:val="en-IN"/>
        </w:rPr>
      </w:pPr>
      <w:r w:rsidRPr="00883375">
        <w:rPr>
          <w:rFonts w:eastAsia="Calibri" w:cstheme="minorHAnsi"/>
          <w:lang w:val="en-IN"/>
        </w:rPr>
        <w:t xml:space="preserve"> The findings of this report suggest that no one framework can fix all of these issues. An alternative stronger approach would actually be to combine COBIT 2019 for governance with NIST CSF 2.0 for security controls, ISO/IEC 27001:2022 for certification and ITIL 4 for service management.</w:t>
      </w:r>
    </w:p>
    <w:p w14:paraId="5D5BC61B" w14:textId="77777777" w:rsidR="00883375" w:rsidRPr="00883375" w:rsidRDefault="00883375" w:rsidP="00883375">
      <w:pPr>
        <w:rPr>
          <w:rFonts w:eastAsia="Calibri" w:cstheme="minorHAnsi"/>
          <w:lang w:val="en-IN"/>
        </w:rPr>
      </w:pPr>
      <w:r w:rsidRPr="00883375">
        <w:rPr>
          <w:rFonts w:eastAsia="Calibri" w:cstheme="minorHAnsi"/>
          <w:lang w:val="en-IN"/>
        </w:rPr>
        <w:t>The new design helps with accountability via Governance Board and CISO, protects important data with Zero Trust and encryption, improves supplier security using risk-based assessments and security SLAs, and enhances recovery through tested business-continuity plans. Implementing the measures in phases will enable ALL to enhance its security progressively while concentrating on the most significant risks first.</w:t>
      </w:r>
    </w:p>
    <w:p w14:paraId="5A72158B" w14:textId="24CBD1A0" w:rsidR="001848BD" w:rsidRPr="00152530" w:rsidRDefault="00883375" w:rsidP="00883375">
      <w:pPr>
        <w:rPr>
          <w:rFonts w:eastAsia="Calibri" w:cstheme="minorHAnsi"/>
        </w:rPr>
      </w:pPr>
      <w:r w:rsidRPr="00883375">
        <w:rPr>
          <w:rFonts w:eastAsia="Calibri" w:cstheme="minorHAnsi"/>
          <w:lang w:val="en-IN"/>
        </w:rPr>
        <w:t>The also analysis indicates that the security approach of the ALL is regularly updated. Organisations need to ensure the implementation of their controls remains up with the pace of change in their environment. Consequently, ALL should review and modify its security standards based on risk AS REQUIRED. If this approach is implemented correctly, it can help ALL move from a reactive security position to a more mature, auditable and adaptable system that meets expectations of customers and regulators.</w:t>
      </w:r>
    </w:p>
    <w:p w14:paraId="2468FF9C" w14:textId="77777777" w:rsidR="00152530" w:rsidRPr="00152530" w:rsidRDefault="00152530">
      <w:pPr>
        <w:rPr>
          <w:rFonts w:eastAsia="Calibri" w:cstheme="minorHAnsi"/>
        </w:rPr>
      </w:pPr>
    </w:p>
    <w:p w14:paraId="3100BA23" w14:textId="77777777" w:rsidR="00152530" w:rsidRPr="00152530" w:rsidRDefault="00152530">
      <w:pPr>
        <w:rPr>
          <w:rFonts w:eastAsia="Calibri" w:cstheme="minorHAnsi"/>
        </w:rPr>
      </w:pPr>
    </w:p>
    <w:p w14:paraId="68096830" w14:textId="77777777" w:rsidR="00152530" w:rsidRPr="00152530" w:rsidRDefault="00152530">
      <w:pPr>
        <w:rPr>
          <w:rFonts w:eastAsia="Calibri" w:cstheme="minorHAnsi"/>
        </w:rPr>
      </w:pPr>
    </w:p>
    <w:p w14:paraId="285F2C19" w14:textId="77777777" w:rsidR="00152530" w:rsidRPr="00152530" w:rsidRDefault="00152530">
      <w:pPr>
        <w:rPr>
          <w:rFonts w:eastAsia="Calibri" w:cstheme="minorHAnsi"/>
        </w:rPr>
      </w:pPr>
    </w:p>
    <w:p w14:paraId="2FE8FFD3" w14:textId="77777777" w:rsidR="00152530" w:rsidRDefault="00152530">
      <w:pPr>
        <w:rPr>
          <w:rFonts w:eastAsia="Calibri" w:cstheme="minorHAnsi"/>
        </w:rPr>
      </w:pPr>
    </w:p>
    <w:p w14:paraId="5AE6C49A" w14:textId="77777777" w:rsidR="00E67ED0" w:rsidRPr="00152530" w:rsidRDefault="00E67ED0">
      <w:pPr>
        <w:rPr>
          <w:rFonts w:eastAsia="Calibri" w:cstheme="minorHAnsi"/>
        </w:rPr>
      </w:pPr>
    </w:p>
    <w:p w14:paraId="604DA31B" w14:textId="77777777" w:rsidR="00E37DBD" w:rsidRDefault="00E37DBD">
      <w:pPr>
        <w:rPr>
          <w:rFonts w:eastAsia="Calibri" w:cstheme="minorHAnsi"/>
        </w:rPr>
      </w:pPr>
    </w:p>
    <w:p w14:paraId="4E78129C" w14:textId="6F8BC691" w:rsidR="00BA7F60" w:rsidRPr="00152530" w:rsidRDefault="00B714B4">
      <w:pPr>
        <w:rPr>
          <w:rFonts w:eastAsia="Calibri" w:cstheme="minorHAnsi"/>
          <w:b/>
          <w:sz w:val="32"/>
          <w:szCs w:val="32"/>
        </w:rPr>
      </w:pPr>
      <w:r w:rsidRPr="00152530">
        <w:rPr>
          <w:rFonts w:eastAsia="Calibri" w:cstheme="minorHAnsi"/>
          <w:b/>
          <w:sz w:val="32"/>
          <w:szCs w:val="32"/>
        </w:rPr>
        <w:t>8. References</w:t>
      </w:r>
    </w:p>
    <w:p w14:paraId="6F6EC230" w14:textId="77777777" w:rsidR="00BA7F60" w:rsidRPr="00152530" w:rsidRDefault="00000000">
      <w:pPr>
        <w:numPr>
          <w:ilvl w:val="0"/>
          <w:numId w:val="5"/>
        </w:numPr>
        <w:tabs>
          <w:tab w:val="left" w:pos="720"/>
        </w:tabs>
        <w:ind w:left="720" w:hanging="360"/>
        <w:rPr>
          <w:rFonts w:eastAsia="Calibri" w:cstheme="minorHAnsi"/>
        </w:rPr>
      </w:pPr>
      <w:r w:rsidRPr="00152530">
        <w:rPr>
          <w:rFonts w:eastAsia="Calibri" w:cstheme="minorHAnsi"/>
        </w:rPr>
        <w:t xml:space="preserve">A. </w:t>
      </w:r>
      <w:proofErr w:type="spellStart"/>
      <w:r w:rsidRPr="00152530">
        <w:rPr>
          <w:rFonts w:eastAsia="Calibri" w:cstheme="minorHAnsi"/>
        </w:rPr>
        <w:t>Alshamrani</w:t>
      </w:r>
      <w:proofErr w:type="spellEnd"/>
      <w:r w:rsidRPr="00152530">
        <w:rPr>
          <w:rFonts w:eastAsia="Calibri" w:cstheme="minorHAnsi"/>
        </w:rPr>
        <w:t xml:space="preserve">, S. Myneni, A. Chowdhary, and D. Huang, "A survey on advanced persistent threats: techniques, solutions, challenges, and research opportunities," IEEE Communications Surveys &amp; Tutorials, vol. 21, no. 2, pp. 1851–1877, 2019. </w:t>
      </w:r>
    </w:p>
    <w:p w14:paraId="071C8B46" w14:textId="77777777" w:rsidR="00BA7F60" w:rsidRPr="00152530" w:rsidRDefault="00000000">
      <w:pPr>
        <w:numPr>
          <w:ilvl w:val="0"/>
          <w:numId w:val="5"/>
        </w:numPr>
        <w:tabs>
          <w:tab w:val="left" w:pos="720"/>
        </w:tabs>
        <w:ind w:left="720" w:hanging="360"/>
        <w:rPr>
          <w:rFonts w:eastAsia="Calibri" w:cstheme="minorHAnsi"/>
        </w:rPr>
      </w:pPr>
      <w:r w:rsidRPr="00152530">
        <w:rPr>
          <w:rFonts w:eastAsia="Calibri" w:cstheme="minorHAnsi"/>
        </w:rPr>
        <w:t xml:space="preserve">AXELOS, ITIL Foundation: ITIL 4 Edition. London, U.K.: TSO (The Stationery Office), 2019. </w:t>
      </w:r>
    </w:p>
    <w:p w14:paraId="6D17BC31" w14:textId="77777777" w:rsidR="00BA7F60" w:rsidRPr="00152530" w:rsidRDefault="00000000">
      <w:pPr>
        <w:numPr>
          <w:ilvl w:val="0"/>
          <w:numId w:val="5"/>
        </w:numPr>
        <w:tabs>
          <w:tab w:val="left" w:pos="720"/>
        </w:tabs>
        <w:ind w:left="720" w:hanging="360"/>
        <w:rPr>
          <w:rFonts w:eastAsia="Calibri" w:cstheme="minorHAnsi"/>
        </w:rPr>
      </w:pPr>
      <w:r w:rsidRPr="00152530">
        <w:rPr>
          <w:rFonts w:eastAsia="Calibri" w:cstheme="minorHAnsi"/>
        </w:rPr>
        <w:t xml:space="preserve">Cloud Security Alliance, Security Guidance for Critical Areas of Focus in Cloud Computing v4.0. Seattle, WA, USA: Cloud Security Alliance, 2021. </w:t>
      </w:r>
    </w:p>
    <w:p w14:paraId="429B93BE" w14:textId="77777777" w:rsidR="00BA7F60" w:rsidRPr="00152530" w:rsidRDefault="00000000">
      <w:pPr>
        <w:numPr>
          <w:ilvl w:val="0"/>
          <w:numId w:val="5"/>
        </w:numPr>
        <w:tabs>
          <w:tab w:val="left" w:pos="720"/>
        </w:tabs>
        <w:ind w:left="720" w:hanging="360"/>
        <w:rPr>
          <w:rFonts w:eastAsia="Calibri" w:cstheme="minorHAnsi"/>
        </w:rPr>
      </w:pPr>
      <w:r w:rsidRPr="00152530">
        <w:rPr>
          <w:rFonts w:eastAsia="Calibri" w:cstheme="minorHAnsi"/>
        </w:rPr>
        <w:t xml:space="preserve">European Union Agency for Cybersecurity (ENISA), ENISA Threat Landscape 2023. Heraklion, Greece: ENISA, 2023. </w:t>
      </w:r>
    </w:p>
    <w:p w14:paraId="657FC83F" w14:textId="77777777" w:rsidR="00BA7F60" w:rsidRPr="00152530" w:rsidRDefault="00000000">
      <w:pPr>
        <w:numPr>
          <w:ilvl w:val="0"/>
          <w:numId w:val="5"/>
        </w:numPr>
        <w:tabs>
          <w:tab w:val="left" w:pos="720"/>
        </w:tabs>
        <w:ind w:left="720" w:hanging="360"/>
        <w:rPr>
          <w:rFonts w:eastAsia="Calibri" w:cstheme="minorHAnsi"/>
        </w:rPr>
      </w:pPr>
      <w:r w:rsidRPr="00152530">
        <w:rPr>
          <w:rFonts w:eastAsia="Calibri" w:cstheme="minorHAnsi"/>
        </w:rPr>
        <w:t xml:space="preserve">European Union, "Regulation (EU) 2016/679 (General Data Protection Regulation)," Official Journal of the European Union, L119, pp. 1–88, 2016. </w:t>
      </w:r>
    </w:p>
    <w:p w14:paraId="72320C20" w14:textId="77777777" w:rsidR="00BA7F60" w:rsidRPr="00152530" w:rsidRDefault="00000000">
      <w:pPr>
        <w:numPr>
          <w:ilvl w:val="0"/>
          <w:numId w:val="5"/>
        </w:numPr>
        <w:tabs>
          <w:tab w:val="left" w:pos="720"/>
        </w:tabs>
        <w:ind w:left="720" w:hanging="360"/>
        <w:rPr>
          <w:rFonts w:eastAsia="Calibri" w:cstheme="minorHAnsi"/>
        </w:rPr>
      </w:pPr>
      <w:r w:rsidRPr="00152530">
        <w:rPr>
          <w:rFonts w:eastAsia="Calibri" w:cstheme="minorHAnsi"/>
        </w:rPr>
        <w:t xml:space="preserve">ISACA, COBIT 2019 Framework: Introduction and Methodology. Schaumburg, IL, USA: ISACA, 2018. </w:t>
      </w:r>
    </w:p>
    <w:p w14:paraId="05080F68" w14:textId="77777777" w:rsidR="00BA7F60" w:rsidRPr="00152530" w:rsidRDefault="00000000">
      <w:pPr>
        <w:numPr>
          <w:ilvl w:val="0"/>
          <w:numId w:val="5"/>
        </w:numPr>
        <w:tabs>
          <w:tab w:val="left" w:pos="720"/>
        </w:tabs>
        <w:ind w:left="720" w:hanging="360"/>
        <w:rPr>
          <w:rFonts w:eastAsia="Calibri" w:cstheme="minorHAnsi"/>
        </w:rPr>
      </w:pPr>
      <w:r w:rsidRPr="00152530">
        <w:rPr>
          <w:rFonts w:eastAsia="Calibri" w:cstheme="minorHAnsi"/>
        </w:rPr>
        <w:t xml:space="preserve">ISO/IEC, ISO/IEC 27001:2022 Information security, cybersecurity and privacy protection — Information security management systems — Requirements. Geneva, Switzerland: International Organization for Standardization, 2022. </w:t>
      </w:r>
    </w:p>
    <w:p w14:paraId="2143ABED" w14:textId="77777777" w:rsidR="00BA7F60" w:rsidRPr="00152530" w:rsidRDefault="00000000">
      <w:pPr>
        <w:numPr>
          <w:ilvl w:val="0"/>
          <w:numId w:val="5"/>
        </w:numPr>
        <w:tabs>
          <w:tab w:val="left" w:pos="720"/>
        </w:tabs>
        <w:ind w:left="720" w:hanging="360"/>
        <w:rPr>
          <w:rFonts w:eastAsia="Calibri" w:cstheme="minorHAnsi"/>
        </w:rPr>
      </w:pPr>
      <w:r w:rsidRPr="00152530">
        <w:rPr>
          <w:rFonts w:eastAsia="Calibri" w:cstheme="minorHAnsi"/>
        </w:rPr>
        <w:t xml:space="preserve">National Institute of Standards and Technology (NIST), Artificial Intelligence Risk Management Framework (AI RMF 1.0). Gaithersburg, MD, USA: NIST, 2023. </w:t>
      </w:r>
    </w:p>
    <w:p w14:paraId="3C275DD8" w14:textId="77777777" w:rsidR="00BA7F60" w:rsidRPr="00152530" w:rsidRDefault="00000000">
      <w:pPr>
        <w:numPr>
          <w:ilvl w:val="0"/>
          <w:numId w:val="5"/>
        </w:numPr>
        <w:tabs>
          <w:tab w:val="left" w:pos="720"/>
        </w:tabs>
        <w:ind w:left="720" w:hanging="360"/>
        <w:rPr>
          <w:rFonts w:eastAsia="Calibri" w:cstheme="minorHAnsi"/>
        </w:rPr>
      </w:pPr>
      <w:r w:rsidRPr="00152530">
        <w:rPr>
          <w:rFonts w:eastAsia="Calibri" w:cstheme="minorHAnsi"/>
        </w:rPr>
        <w:t xml:space="preserve">National Institute of Standards and Technology (NIST), The NIST Cybersecurity Framework (CSF) 2.0, NIST CSWP 29. Gaithersburg, MD, USA: NIST, 2024. </w:t>
      </w:r>
    </w:p>
    <w:p w14:paraId="4D47EA87" w14:textId="77777777" w:rsidR="00BA7F60" w:rsidRPr="00152530" w:rsidRDefault="00000000">
      <w:pPr>
        <w:numPr>
          <w:ilvl w:val="0"/>
          <w:numId w:val="5"/>
        </w:numPr>
        <w:tabs>
          <w:tab w:val="left" w:pos="720"/>
        </w:tabs>
        <w:ind w:left="720" w:hanging="360"/>
        <w:rPr>
          <w:rFonts w:eastAsia="Calibri" w:cstheme="minorHAnsi"/>
        </w:rPr>
      </w:pPr>
      <w:r w:rsidRPr="00152530">
        <w:rPr>
          <w:rFonts w:eastAsia="Calibri" w:cstheme="minorHAnsi"/>
        </w:rPr>
        <w:t>S. Rose, O. Borchert, S. Mitchell, and S. Connelly, Zero Trust Architecture, NIST Special Publication 800-207. Gaithersburg, MD, USA: NIST, 2020</w:t>
      </w:r>
    </w:p>
    <w:p w14:paraId="5AFD2CAF" w14:textId="77777777" w:rsidR="00BA7F60" w:rsidRPr="00152530" w:rsidRDefault="00BA7F60">
      <w:pPr>
        <w:rPr>
          <w:rFonts w:eastAsia="Calibri" w:cstheme="minorHAnsi"/>
        </w:rPr>
      </w:pPr>
    </w:p>
    <w:sectPr w:rsidR="00BA7F60" w:rsidRPr="001525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hruti">
    <w:panose1 w:val="02000500000000000000"/>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81E04"/>
    <w:multiLevelType w:val="multilevel"/>
    <w:tmpl w:val="79FC307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0A0388F"/>
    <w:multiLevelType w:val="multilevel"/>
    <w:tmpl w:val="14F8C53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83D1CCF"/>
    <w:multiLevelType w:val="multilevel"/>
    <w:tmpl w:val="3F68009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13F2FE1"/>
    <w:multiLevelType w:val="multilevel"/>
    <w:tmpl w:val="FFE82C54"/>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538F66C6"/>
    <w:multiLevelType w:val="multilevel"/>
    <w:tmpl w:val="2FB45B4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452355303">
    <w:abstractNumId w:val="0"/>
  </w:num>
  <w:num w:numId="2" w16cid:durableId="146285888">
    <w:abstractNumId w:val="1"/>
  </w:num>
  <w:num w:numId="3" w16cid:durableId="516044986">
    <w:abstractNumId w:val="4"/>
  </w:num>
  <w:num w:numId="4" w16cid:durableId="1915509026">
    <w:abstractNumId w:val="2"/>
  </w:num>
  <w:num w:numId="5" w16cid:durableId="14022142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7F60"/>
    <w:rsid w:val="000967E6"/>
    <w:rsid w:val="00152530"/>
    <w:rsid w:val="00167F0C"/>
    <w:rsid w:val="001848BD"/>
    <w:rsid w:val="00202D1E"/>
    <w:rsid w:val="00240A01"/>
    <w:rsid w:val="003520A1"/>
    <w:rsid w:val="003B6A02"/>
    <w:rsid w:val="005C46B8"/>
    <w:rsid w:val="00607CEC"/>
    <w:rsid w:val="006207D9"/>
    <w:rsid w:val="00736990"/>
    <w:rsid w:val="007A13CB"/>
    <w:rsid w:val="00883375"/>
    <w:rsid w:val="00931108"/>
    <w:rsid w:val="00975CFB"/>
    <w:rsid w:val="00992402"/>
    <w:rsid w:val="00A0154C"/>
    <w:rsid w:val="00B602CB"/>
    <w:rsid w:val="00B714B4"/>
    <w:rsid w:val="00BA7F60"/>
    <w:rsid w:val="00C77023"/>
    <w:rsid w:val="00E1382B"/>
    <w:rsid w:val="00E37DBD"/>
    <w:rsid w:val="00E44EA1"/>
    <w:rsid w:val="00E67ED0"/>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DBBA9"/>
  <w15:docId w15:val="{27D44B8D-20F0-4186-9B94-79D10966A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IN" w:eastAsia="en-I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67F0C"/>
    <w:rPr>
      <w:rFonts w:ascii="Times New Roman" w:hAnsi="Times New Roman" w:cs="Times New Roman"/>
    </w:rPr>
  </w:style>
  <w:style w:type="paragraph" w:styleId="ListParagraph">
    <w:name w:val="List Paragraph"/>
    <w:basedOn w:val="Normal"/>
    <w:uiPriority w:val="34"/>
    <w:qFormat/>
    <w:rsid w:val="00167F0C"/>
    <w:pPr>
      <w:ind w:left="720"/>
      <w:contextualSpacing/>
    </w:pPr>
  </w:style>
  <w:style w:type="character" w:styleId="Strong">
    <w:name w:val="Strong"/>
    <w:basedOn w:val="DefaultParagraphFont"/>
    <w:uiPriority w:val="22"/>
    <w:qFormat/>
    <w:rsid w:val="00167F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TotalTime>
  <Pages>13</Pages>
  <Words>3453</Words>
  <Characters>19684</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Yash</dc:creator>
  <cp:lastModifiedBy>dip patel</cp:lastModifiedBy>
  <cp:revision>11</cp:revision>
  <dcterms:created xsi:type="dcterms:W3CDTF">2026-07-29T21:22:00Z</dcterms:created>
  <dcterms:modified xsi:type="dcterms:W3CDTF">2026-08-10T16:03:00Z</dcterms:modified>
</cp:coreProperties>
</file>