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130F7" w14:textId="74A31063" w:rsidR="00A57476" w:rsidRDefault="00A57476" w:rsidP="00714F36">
      <w:pPr>
        <w:spacing w:after="0"/>
      </w:pPr>
    </w:p>
    <w:p w14:paraId="2EB8A5DE" w14:textId="7CC011E2" w:rsidR="005373EB" w:rsidRDefault="005373EB" w:rsidP="00714F36">
      <w:pPr>
        <w:spacing w:after="0"/>
      </w:pPr>
    </w:p>
    <w:p w14:paraId="6F7AFBF1" w14:textId="77777777" w:rsidR="005373EB" w:rsidRDefault="005373EB" w:rsidP="00714F36">
      <w:pPr>
        <w:spacing w:after="0"/>
      </w:pPr>
    </w:p>
    <w:p w14:paraId="52B27135" w14:textId="4CD3282B" w:rsidR="00D40E93" w:rsidRDefault="00D40E93" w:rsidP="00714F36">
      <w:pPr>
        <w:spacing w:after="0"/>
      </w:pPr>
    </w:p>
    <w:p w14:paraId="07BCF024" w14:textId="68BD1DEB" w:rsidR="002B0F9B" w:rsidRDefault="002B0F9B" w:rsidP="00714F36">
      <w:pPr>
        <w:spacing w:after="0"/>
        <w:jc w:val="center"/>
        <w:rPr>
          <w:b/>
          <w:i/>
          <w:sz w:val="48"/>
          <w:szCs w:val="48"/>
        </w:rPr>
      </w:pPr>
      <w:r>
        <w:rPr>
          <w:noProof/>
        </w:rPr>
        <w:drawing>
          <wp:inline distT="0" distB="0" distL="0" distR="0" wp14:anchorId="3A31A0E1" wp14:editId="67F02533">
            <wp:extent cx="4158343" cy="1948180"/>
            <wp:effectExtent l="0" t="0" r="0" b="0"/>
            <wp:docPr id="2"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 Discover Dylan Thoma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11168" cy="2019779"/>
                    </a:xfrm>
                    <a:prstGeom prst="rect">
                      <a:avLst/>
                    </a:prstGeom>
                    <a:noFill/>
                    <a:ln>
                      <a:noFill/>
                    </a:ln>
                  </pic:spPr>
                </pic:pic>
              </a:graphicData>
            </a:graphic>
          </wp:inline>
        </w:drawing>
      </w:r>
    </w:p>
    <w:p w14:paraId="4020C905" w14:textId="77777777" w:rsidR="002B0F9B" w:rsidRDefault="002B0F9B" w:rsidP="00714F36">
      <w:pPr>
        <w:spacing w:after="0"/>
        <w:jc w:val="center"/>
        <w:rPr>
          <w:b/>
          <w:i/>
          <w:sz w:val="48"/>
          <w:szCs w:val="48"/>
        </w:rPr>
      </w:pPr>
    </w:p>
    <w:p w14:paraId="19A37C87" w14:textId="7655440E" w:rsidR="002B0F9B" w:rsidRPr="002B0F9B" w:rsidRDefault="00D40E93" w:rsidP="00714F36">
      <w:pPr>
        <w:spacing w:after="0"/>
        <w:jc w:val="center"/>
        <w:rPr>
          <w:b/>
          <w:sz w:val="48"/>
          <w:szCs w:val="48"/>
          <w:u w:val="single"/>
        </w:rPr>
      </w:pPr>
      <w:r>
        <w:rPr>
          <w:b/>
          <w:sz w:val="48"/>
          <w:szCs w:val="48"/>
          <w:u w:val="single"/>
        </w:rPr>
        <w:t>MSC Cybersecurity and Digital Forensics</w:t>
      </w:r>
    </w:p>
    <w:p w14:paraId="352AA5C3" w14:textId="77777777" w:rsidR="002B0F9B" w:rsidRDefault="002B0F9B" w:rsidP="00714F36">
      <w:pPr>
        <w:spacing w:after="0"/>
        <w:jc w:val="center"/>
        <w:rPr>
          <w:b/>
          <w:color w:val="000000" w:themeColor="text1"/>
          <w:sz w:val="36"/>
          <w:szCs w:val="36"/>
          <w:u w:val="single"/>
        </w:rPr>
      </w:pPr>
    </w:p>
    <w:p w14:paraId="17104586" w14:textId="4025E6E8" w:rsidR="002B0F9B" w:rsidRPr="002B0F9B" w:rsidRDefault="00825907" w:rsidP="00714F36">
      <w:pPr>
        <w:spacing w:after="0"/>
        <w:jc w:val="center"/>
        <w:rPr>
          <w:b/>
          <w:color w:val="000000" w:themeColor="text1"/>
          <w:sz w:val="36"/>
          <w:szCs w:val="36"/>
        </w:rPr>
      </w:pPr>
      <w:r>
        <w:rPr>
          <w:b/>
          <w:color w:val="000000" w:themeColor="text1"/>
          <w:sz w:val="36"/>
          <w:szCs w:val="36"/>
        </w:rPr>
        <w:t xml:space="preserve">Module: </w:t>
      </w:r>
      <w:r>
        <w:rPr>
          <w:b/>
          <w:color w:val="000000" w:themeColor="text1"/>
          <w:sz w:val="36"/>
          <w:szCs w:val="36"/>
          <w:u w:val="single"/>
        </w:rPr>
        <w:t>Data Security, Governance and Compliance</w:t>
      </w:r>
    </w:p>
    <w:p w14:paraId="6F28D0C4" w14:textId="77777777" w:rsidR="002B0F9B" w:rsidRDefault="002B0F9B" w:rsidP="00714F36">
      <w:pPr>
        <w:spacing w:after="0"/>
        <w:jc w:val="center"/>
        <w:rPr>
          <w:b/>
          <w:sz w:val="36"/>
          <w:szCs w:val="36"/>
        </w:rPr>
      </w:pPr>
    </w:p>
    <w:p w14:paraId="6F50B4A9" w14:textId="0BDDF002" w:rsidR="002B0F9B" w:rsidRDefault="00825907" w:rsidP="00BE02C1">
      <w:pPr>
        <w:spacing w:after="0"/>
        <w:rPr>
          <w:b/>
          <w:sz w:val="36"/>
          <w:szCs w:val="36"/>
        </w:rPr>
      </w:pPr>
      <w:r>
        <w:rPr>
          <w:b/>
          <w:sz w:val="36"/>
          <w:szCs w:val="36"/>
        </w:rPr>
        <w:t xml:space="preserve">Module code: </w:t>
      </w:r>
      <w:r>
        <w:rPr>
          <w:sz w:val="36"/>
          <w:szCs w:val="36"/>
        </w:rPr>
        <w:t>ACCA7028</w:t>
      </w:r>
    </w:p>
    <w:p w14:paraId="37493CF4" w14:textId="77777777" w:rsidR="002B0F9B" w:rsidRDefault="002B0F9B" w:rsidP="00BE02C1">
      <w:pPr>
        <w:spacing w:after="0"/>
        <w:rPr>
          <w:b/>
          <w:sz w:val="36"/>
          <w:szCs w:val="36"/>
        </w:rPr>
      </w:pPr>
    </w:p>
    <w:p w14:paraId="679C5F30" w14:textId="2AFBF5DB" w:rsidR="00825907" w:rsidRDefault="00825907" w:rsidP="00BE02C1">
      <w:pPr>
        <w:spacing w:after="0"/>
        <w:rPr>
          <w:b/>
          <w:sz w:val="36"/>
          <w:szCs w:val="36"/>
        </w:rPr>
      </w:pPr>
      <w:r>
        <w:rPr>
          <w:b/>
          <w:sz w:val="36"/>
          <w:szCs w:val="36"/>
        </w:rPr>
        <w:t xml:space="preserve">Lecturer: </w:t>
      </w:r>
      <w:r>
        <w:rPr>
          <w:sz w:val="36"/>
          <w:szCs w:val="36"/>
        </w:rPr>
        <w:t>Dr. Ayman Al Hajjar</w:t>
      </w:r>
    </w:p>
    <w:p w14:paraId="1DF2408A" w14:textId="77777777" w:rsidR="002B0F9B" w:rsidRDefault="002B0F9B" w:rsidP="00BE02C1">
      <w:pPr>
        <w:spacing w:after="0"/>
        <w:rPr>
          <w:b/>
          <w:sz w:val="36"/>
          <w:szCs w:val="36"/>
        </w:rPr>
      </w:pPr>
    </w:p>
    <w:p w14:paraId="6BDA406A" w14:textId="38B48260" w:rsidR="002B0F9B" w:rsidRDefault="002B0F9B" w:rsidP="00BE02C1">
      <w:pPr>
        <w:spacing w:after="0"/>
        <w:rPr>
          <w:b/>
          <w:sz w:val="36"/>
          <w:szCs w:val="36"/>
        </w:rPr>
      </w:pPr>
      <w:r>
        <w:rPr>
          <w:b/>
          <w:sz w:val="36"/>
          <w:szCs w:val="36"/>
        </w:rPr>
        <w:t xml:space="preserve">Student name: </w:t>
      </w:r>
      <w:r>
        <w:rPr>
          <w:sz w:val="36"/>
          <w:szCs w:val="36"/>
        </w:rPr>
        <w:t>Acharya Dhrumil Samikkumar</w:t>
      </w:r>
    </w:p>
    <w:p w14:paraId="574CD539" w14:textId="4CAAA630" w:rsidR="002B0F9B" w:rsidRDefault="002B0F9B" w:rsidP="00BE02C1">
      <w:pPr>
        <w:spacing w:after="0"/>
        <w:rPr>
          <w:b/>
          <w:sz w:val="36"/>
          <w:szCs w:val="36"/>
        </w:rPr>
      </w:pPr>
    </w:p>
    <w:p w14:paraId="3CBFD1E9" w14:textId="49B66916" w:rsidR="002B0F9B" w:rsidRDefault="002B0F9B" w:rsidP="00BE02C1">
      <w:pPr>
        <w:spacing w:after="0"/>
        <w:rPr>
          <w:b/>
          <w:sz w:val="36"/>
          <w:szCs w:val="36"/>
        </w:rPr>
      </w:pPr>
      <w:r>
        <w:rPr>
          <w:b/>
          <w:sz w:val="36"/>
          <w:szCs w:val="36"/>
        </w:rPr>
        <w:t xml:space="preserve">Student ID: </w:t>
      </w:r>
      <w:r>
        <w:rPr>
          <w:sz w:val="36"/>
          <w:szCs w:val="36"/>
        </w:rPr>
        <w:t>2529430</w:t>
      </w:r>
    </w:p>
    <w:p w14:paraId="5AE90E8A" w14:textId="77777777" w:rsidR="002B0F9B" w:rsidRDefault="002B0F9B" w:rsidP="00BE02C1">
      <w:pPr>
        <w:spacing w:after="0"/>
        <w:rPr>
          <w:b/>
          <w:sz w:val="36"/>
          <w:szCs w:val="36"/>
        </w:rPr>
      </w:pPr>
    </w:p>
    <w:p w14:paraId="0CF694C4" w14:textId="38EC578D" w:rsidR="002B0F9B" w:rsidRPr="004E3E24" w:rsidRDefault="002B0F9B" w:rsidP="00BE02C1">
      <w:pPr>
        <w:spacing w:after="0"/>
        <w:rPr>
          <w:sz w:val="36"/>
          <w:szCs w:val="36"/>
        </w:rPr>
      </w:pPr>
      <w:r>
        <w:rPr>
          <w:b/>
          <w:sz w:val="36"/>
          <w:szCs w:val="36"/>
        </w:rPr>
        <w:t xml:space="preserve">Word Count: </w:t>
      </w:r>
      <w:r>
        <w:rPr>
          <w:sz w:val="36"/>
          <w:szCs w:val="36"/>
        </w:rPr>
        <w:t>3000</w:t>
      </w:r>
    </w:p>
    <w:p w14:paraId="48D26464" w14:textId="7133B2FB" w:rsidR="002B0F9B" w:rsidRDefault="002B0F9B" w:rsidP="00053405">
      <w:pPr>
        <w:spacing w:after="0"/>
        <w:rPr>
          <w:sz w:val="36"/>
          <w:szCs w:val="36"/>
        </w:rPr>
      </w:pPr>
      <w:r>
        <w:rPr>
          <w:sz w:val="36"/>
          <w:szCs w:val="36"/>
        </w:rPr>
        <w:br w:type="page"/>
      </w:r>
    </w:p>
    <w:sdt>
      <w:sdtPr>
        <w:id w:val="-1759978154"/>
        <w:docPartObj>
          <w:docPartGallery w:val="Table of Contents"/>
          <w:docPartUnique/>
        </w:docPartObj>
      </w:sdtPr>
      <w:sdtEndPr>
        <w:rPr>
          <w:rFonts w:asciiTheme="minorHAnsi" w:eastAsiaTheme="minorEastAsia" w:hAnsiTheme="minorHAnsi" w:cstheme="minorBidi"/>
          <w:b/>
          <w:bCs/>
          <w:noProof/>
          <w:color w:val="auto"/>
          <w:u w:val="none"/>
        </w:rPr>
      </w:sdtEndPr>
      <w:sdtContent>
        <w:p w14:paraId="07EC886F" w14:textId="60A59687" w:rsidR="00CD22AB" w:rsidRDefault="00CD22AB">
          <w:pPr>
            <w:pStyle w:val="TOCHeading"/>
          </w:pPr>
          <w:r>
            <w:t>Contents</w:t>
          </w:r>
        </w:p>
        <w:p w14:paraId="6BD580CF" w14:textId="22753965" w:rsidR="008706C6" w:rsidRDefault="00CD22AB">
          <w:pPr>
            <w:pStyle w:val="TOC1"/>
            <w:rPr>
              <w:rFonts w:cstheme="minorBidi"/>
              <w:noProof/>
              <w:lang w:val="en-IN" w:eastAsia="en-IN"/>
            </w:rPr>
          </w:pPr>
          <w:r>
            <w:fldChar w:fldCharType="begin"/>
          </w:r>
          <w:r>
            <w:instrText xml:space="preserve"> TOC \o "1-3" \h \z \u </w:instrText>
          </w:r>
          <w:r>
            <w:fldChar w:fldCharType="separate"/>
          </w:r>
          <w:hyperlink w:anchor="_Toc227765942" w:history="1">
            <w:r w:rsidR="008706C6" w:rsidRPr="00684762">
              <w:rPr>
                <w:rStyle w:val="Hyperlink"/>
                <w:noProof/>
              </w:rPr>
              <w:t>Introduction</w:t>
            </w:r>
            <w:r w:rsidR="008706C6">
              <w:rPr>
                <w:noProof/>
                <w:webHidden/>
              </w:rPr>
              <w:tab/>
            </w:r>
            <w:r w:rsidR="008706C6">
              <w:rPr>
                <w:noProof/>
                <w:webHidden/>
              </w:rPr>
              <w:fldChar w:fldCharType="begin"/>
            </w:r>
            <w:r w:rsidR="008706C6">
              <w:rPr>
                <w:noProof/>
                <w:webHidden/>
              </w:rPr>
              <w:instrText xml:space="preserve"> PAGEREF _Toc227765942 \h </w:instrText>
            </w:r>
            <w:r w:rsidR="008706C6">
              <w:rPr>
                <w:noProof/>
                <w:webHidden/>
              </w:rPr>
            </w:r>
            <w:r w:rsidR="008706C6">
              <w:rPr>
                <w:noProof/>
                <w:webHidden/>
              </w:rPr>
              <w:fldChar w:fldCharType="separate"/>
            </w:r>
            <w:r w:rsidR="008706C6">
              <w:rPr>
                <w:noProof/>
                <w:webHidden/>
              </w:rPr>
              <w:t>4</w:t>
            </w:r>
            <w:r w:rsidR="008706C6">
              <w:rPr>
                <w:noProof/>
                <w:webHidden/>
              </w:rPr>
              <w:fldChar w:fldCharType="end"/>
            </w:r>
          </w:hyperlink>
        </w:p>
        <w:p w14:paraId="78BB779D" w14:textId="210F4AC0" w:rsidR="008706C6" w:rsidRDefault="008706C6">
          <w:pPr>
            <w:pStyle w:val="TOC1"/>
            <w:rPr>
              <w:rFonts w:cstheme="minorBidi"/>
              <w:noProof/>
              <w:lang w:val="en-IN" w:eastAsia="en-IN"/>
            </w:rPr>
          </w:pPr>
          <w:hyperlink w:anchor="_Toc227765943" w:history="1">
            <w:r w:rsidRPr="00684762">
              <w:rPr>
                <w:rStyle w:val="Hyperlink"/>
                <w:noProof/>
              </w:rPr>
              <w:t>1. An Analysis of Typical Security Frameworks and Models</w:t>
            </w:r>
            <w:r>
              <w:rPr>
                <w:noProof/>
                <w:webHidden/>
              </w:rPr>
              <w:tab/>
            </w:r>
            <w:r>
              <w:rPr>
                <w:noProof/>
                <w:webHidden/>
              </w:rPr>
              <w:fldChar w:fldCharType="begin"/>
            </w:r>
            <w:r>
              <w:rPr>
                <w:noProof/>
                <w:webHidden/>
              </w:rPr>
              <w:instrText xml:space="preserve"> PAGEREF _Toc227765943 \h </w:instrText>
            </w:r>
            <w:r>
              <w:rPr>
                <w:noProof/>
                <w:webHidden/>
              </w:rPr>
            </w:r>
            <w:r>
              <w:rPr>
                <w:noProof/>
                <w:webHidden/>
              </w:rPr>
              <w:fldChar w:fldCharType="separate"/>
            </w:r>
            <w:r>
              <w:rPr>
                <w:noProof/>
                <w:webHidden/>
              </w:rPr>
              <w:t>4</w:t>
            </w:r>
            <w:r>
              <w:rPr>
                <w:noProof/>
                <w:webHidden/>
              </w:rPr>
              <w:fldChar w:fldCharType="end"/>
            </w:r>
          </w:hyperlink>
        </w:p>
        <w:p w14:paraId="4AE8A9F6" w14:textId="3F446458" w:rsidR="008706C6" w:rsidRDefault="008706C6">
          <w:pPr>
            <w:pStyle w:val="TOC2"/>
            <w:tabs>
              <w:tab w:val="left" w:pos="880"/>
              <w:tab w:val="right" w:leader="dot" w:pos="9016"/>
            </w:tabs>
            <w:rPr>
              <w:rFonts w:cstheme="minorBidi"/>
              <w:noProof/>
              <w:lang w:val="en-IN" w:eastAsia="en-IN"/>
            </w:rPr>
          </w:pPr>
          <w:hyperlink w:anchor="_Toc227765944" w:history="1">
            <w:r w:rsidRPr="00684762">
              <w:rPr>
                <w:rStyle w:val="Hyperlink"/>
                <w:noProof/>
              </w:rPr>
              <w:t>1.1</w:t>
            </w:r>
            <w:r>
              <w:rPr>
                <w:rFonts w:cstheme="minorBidi"/>
                <w:noProof/>
                <w:lang w:val="en-IN" w:eastAsia="en-IN"/>
              </w:rPr>
              <w:tab/>
            </w:r>
            <w:r w:rsidRPr="00684762">
              <w:rPr>
                <w:rStyle w:val="Hyperlink"/>
                <w:noProof/>
              </w:rPr>
              <w:t>ISO/IEC 27000 Series</w:t>
            </w:r>
            <w:r>
              <w:rPr>
                <w:noProof/>
                <w:webHidden/>
              </w:rPr>
              <w:tab/>
            </w:r>
            <w:r>
              <w:rPr>
                <w:noProof/>
                <w:webHidden/>
              </w:rPr>
              <w:fldChar w:fldCharType="begin"/>
            </w:r>
            <w:r>
              <w:rPr>
                <w:noProof/>
                <w:webHidden/>
              </w:rPr>
              <w:instrText xml:space="preserve"> PAGEREF _Toc227765944 \h </w:instrText>
            </w:r>
            <w:r>
              <w:rPr>
                <w:noProof/>
                <w:webHidden/>
              </w:rPr>
            </w:r>
            <w:r>
              <w:rPr>
                <w:noProof/>
                <w:webHidden/>
              </w:rPr>
              <w:fldChar w:fldCharType="separate"/>
            </w:r>
            <w:r>
              <w:rPr>
                <w:noProof/>
                <w:webHidden/>
              </w:rPr>
              <w:t>4</w:t>
            </w:r>
            <w:r>
              <w:rPr>
                <w:noProof/>
                <w:webHidden/>
              </w:rPr>
              <w:fldChar w:fldCharType="end"/>
            </w:r>
          </w:hyperlink>
        </w:p>
        <w:p w14:paraId="5ACD19CF" w14:textId="4BAF2D2B" w:rsidR="008706C6" w:rsidRDefault="008706C6">
          <w:pPr>
            <w:pStyle w:val="TOC2"/>
            <w:tabs>
              <w:tab w:val="right" w:leader="dot" w:pos="9016"/>
            </w:tabs>
            <w:rPr>
              <w:rFonts w:cstheme="minorBidi"/>
              <w:noProof/>
              <w:lang w:val="en-IN" w:eastAsia="en-IN"/>
            </w:rPr>
          </w:pPr>
          <w:hyperlink w:anchor="_Toc227765945" w:history="1">
            <w:r w:rsidRPr="00684762">
              <w:rPr>
                <w:rStyle w:val="Hyperlink"/>
                <w:noProof/>
              </w:rPr>
              <w:t>1.2Information Technology Infrastructure Library (ITIL)</w:t>
            </w:r>
            <w:r>
              <w:rPr>
                <w:noProof/>
                <w:webHidden/>
              </w:rPr>
              <w:tab/>
            </w:r>
            <w:r>
              <w:rPr>
                <w:noProof/>
                <w:webHidden/>
              </w:rPr>
              <w:fldChar w:fldCharType="begin"/>
            </w:r>
            <w:r>
              <w:rPr>
                <w:noProof/>
                <w:webHidden/>
              </w:rPr>
              <w:instrText xml:space="preserve"> PAGEREF _Toc227765945 \h </w:instrText>
            </w:r>
            <w:r>
              <w:rPr>
                <w:noProof/>
                <w:webHidden/>
              </w:rPr>
            </w:r>
            <w:r>
              <w:rPr>
                <w:noProof/>
                <w:webHidden/>
              </w:rPr>
              <w:fldChar w:fldCharType="separate"/>
            </w:r>
            <w:r>
              <w:rPr>
                <w:noProof/>
                <w:webHidden/>
              </w:rPr>
              <w:t>5</w:t>
            </w:r>
            <w:r>
              <w:rPr>
                <w:noProof/>
                <w:webHidden/>
              </w:rPr>
              <w:fldChar w:fldCharType="end"/>
            </w:r>
          </w:hyperlink>
        </w:p>
        <w:p w14:paraId="0963F311" w14:textId="0C395198" w:rsidR="008706C6" w:rsidRDefault="008706C6">
          <w:pPr>
            <w:pStyle w:val="TOC2"/>
            <w:tabs>
              <w:tab w:val="left" w:pos="880"/>
              <w:tab w:val="right" w:leader="dot" w:pos="9016"/>
            </w:tabs>
            <w:rPr>
              <w:rFonts w:cstheme="minorBidi"/>
              <w:noProof/>
              <w:lang w:val="en-IN" w:eastAsia="en-IN"/>
            </w:rPr>
          </w:pPr>
          <w:hyperlink w:anchor="_Toc227765946" w:history="1">
            <w:r w:rsidRPr="00684762">
              <w:rPr>
                <w:rStyle w:val="Hyperlink"/>
                <w:noProof/>
              </w:rPr>
              <w:t>1.3</w:t>
            </w:r>
            <w:r>
              <w:rPr>
                <w:rFonts w:cstheme="minorBidi"/>
                <w:noProof/>
                <w:lang w:val="en-IN" w:eastAsia="en-IN"/>
              </w:rPr>
              <w:tab/>
            </w:r>
            <w:r w:rsidRPr="00684762">
              <w:rPr>
                <w:rStyle w:val="Hyperlink"/>
                <w:noProof/>
              </w:rPr>
              <w:t>NIST Cybersecurity Framework (CSF)</w:t>
            </w:r>
            <w:r>
              <w:rPr>
                <w:noProof/>
                <w:webHidden/>
              </w:rPr>
              <w:tab/>
            </w:r>
            <w:r>
              <w:rPr>
                <w:noProof/>
                <w:webHidden/>
              </w:rPr>
              <w:fldChar w:fldCharType="begin"/>
            </w:r>
            <w:r>
              <w:rPr>
                <w:noProof/>
                <w:webHidden/>
              </w:rPr>
              <w:instrText xml:space="preserve"> PAGEREF _Toc227765946 \h </w:instrText>
            </w:r>
            <w:r>
              <w:rPr>
                <w:noProof/>
                <w:webHidden/>
              </w:rPr>
            </w:r>
            <w:r>
              <w:rPr>
                <w:noProof/>
                <w:webHidden/>
              </w:rPr>
              <w:fldChar w:fldCharType="separate"/>
            </w:r>
            <w:r>
              <w:rPr>
                <w:noProof/>
                <w:webHidden/>
              </w:rPr>
              <w:t>6</w:t>
            </w:r>
            <w:r>
              <w:rPr>
                <w:noProof/>
                <w:webHidden/>
              </w:rPr>
              <w:fldChar w:fldCharType="end"/>
            </w:r>
          </w:hyperlink>
        </w:p>
        <w:p w14:paraId="5A7096FC" w14:textId="3D6DAA97" w:rsidR="008706C6" w:rsidRDefault="008706C6">
          <w:pPr>
            <w:pStyle w:val="TOC2"/>
            <w:tabs>
              <w:tab w:val="right" w:leader="dot" w:pos="9016"/>
            </w:tabs>
            <w:rPr>
              <w:rFonts w:cstheme="minorBidi"/>
              <w:noProof/>
              <w:lang w:val="en-IN" w:eastAsia="en-IN"/>
            </w:rPr>
          </w:pPr>
          <w:hyperlink w:anchor="_Toc227765947" w:history="1">
            <w:r w:rsidRPr="00684762">
              <w:rPr>
                <w:rStyle w:val="Hyperlink"/>
                <w:noProof/>
              </w:rPr>
              <w:t>1.4 COBIT 2019</w:t>
            </w:r>
            <w:r>
              <w:rPr>
                <w:noProof/>
                <w:webHidden/>
              </w:rPr>
              <w:tab/>
            </w:r>
            <w:r>
              <w:rPr>
                <w:noProof/>
                <w:webHidden/>
              </w:rPr>
              <w:fldChar w:fldCharType="begin"/>
            </w:r>
            <w:r>
              <w:rPr>
                <w:noProof/>
                <w:webHidden/>
              </w:rPr>
              <w:instrText xml:space="preserve"> PAGEREF _Toc227765947 \h </w:instrText>
            </w:r>
            <w:r>
              <w:rPr>
                <w:noProof/>
                <w:webHidden/>
              </w:rPr>
            </w:r>
            <w:r>
              <w:rPr>
                <w:noProof/>
                <w:webHidden/>
              </w:rPr>
              <w:fldChar w:fldCharType="separate"/>
            </w:r>
            <w:r>
              <w:rPr>
                <w:noProof/>
                <w:webHidden/>
              </w:rPr>
              <w:t>7</w:t>
            </w:r>
            <w:r>
              <w:rPr>
                <w:noProof/>
                <w:webHidden/>
              </w:rPr>
              <w:fldChar w:fldCharType="end"/>
            </w:r>
          </w:hyperlink>
        </w:p>
        <w:p w14:paraId="2C5D2A26" w14:textId="0FFA33FD" w:rsidR="008706C6" w:rsidRDefault="008706C6">
          <w:pPr>
            <w:pStyle w:val="TOC1"/>
            <w:rPr>
              <w:rFonts w:cstheme="minorBidi"/>
              <w:noProof/>
              <w:lang w:val="en-IN" w:eastAsia="en-IN"/>
            </w:rPr>
          </w:pPr>
          <w:hyperlink w:anchor="_Toc227765948" w:history="1">
            <w:r w:rsidRPr="00684762">
              <w:rPr>
                <w:rStyle w:val="Hyperlink"/>
                <w:noProof/>
              </w:rPr>
              <w:t>1.5 Framework Comparison and Selection Rationale</w:t>
            </w:r>
            <w:r>
              <w:rPr>
                <w:noProof/>
                <w:webHidden/>
              </w:rPr>
              <w:tab/>
            </w:r>
            <w:r>
              <w:rPr>
                <w:noProof/>
                <w:webHidden/>
              </w:rPr>
              <w:fldChar w:fldCharType="begin"/>
            </w:r>
            <w:r>
              <w:rPr>
                <w:noProof/>
                <w:webHidden/>
              </w:rPr>
              <w:instrText xml:space="preserve"> PAGEREF _Toc227765948 \h </w:instrText>
            </w:r>
            <w:r>
              <w:rPr>
                <w:noProof/>
                <w:webHidden/>
              </w:rPr>
            </w:r>
            <w:r>
              <w:rPr>
                <w:noProof/>
                <w:webHidden/>
              </w:rPr>
              <w:fldChar w:fldCharType="separate"/>
            </w:r>
            <w:r>
              <w:rPr>
                <w:noProof/>
                <w:webHidden/>
              </w:rPr>
              <w:t>8</w:t>
            </w:r>
            <w:r>
              <w:rPr>
                <w:noProof/>
                <w:webHidden/>
              </w:rPr>
              <w:fldChar w:fldCharType="end"/>
            </w:r>
          </w:hyperlink>
        </w:p>
        <w:p w14:paraId="0D26BD2A" w14:textId="7FEB9AF5" w:rsidR="008706C6" w:rsidRDefault="008706C6">
          <w:pPr>
            <w:pStyle w:val="TOC1"/>
            <w:rPr>
              <w:rFonts w:cstheme="minorBidi"/>
              <w:noProof/>
              <w:lang w:val="en-IN" w:eastAsia="en-IN"/>
            </w:rPr>
          </w:pPr>
          <w:hyperlink w:anchor="_Toc227765949" w:history="1">
            <w:r w:rsidRPr="00684762">
              <w:rPr>
                <w:rStyle w:val="Hyperlink"/>
                <w:noProof/>
              </w:rPr>
              <w:t>2. Designed Security Governance and Compliance Framework for FSB</w:t>
            </w:r>
            <w:r>
              <w:rPr>
                <w:noProof/>
                <w:webHidden/>
              </w:rPr>
              <w:tab/>
            </w:r>
            <w:r>
              <w:rPr>
                <w:noProof/>
                <w:webHidden/>
              </w:rPr>
              <w:fldChar w:fldCharType="begin"/>
            </w:r>
            <w:r>
              <w:rPr>
                <w:noProof/>
                <w:webHidden/>
              </w:rPr>
              <w:instrText xml:space="preserve"> PAGEREF _Toc227765949 \h </w:instrText>
            </w:r>
            <w:r>
              <w:rPr>
                <w:noProof/>
                <w:webHidden/>
              </w:rPr>
            </w:r>
            <w:r>
              <w:rPr>
                <w:noProof/>
                <w:webHidden/>
              </w:rPr>
              <w:fldChar w:fldCharType="separate"/>
            </w:r>
            <w:r>
              <w:rPr>
                <w:noProof/>
                <w:webHidden/>
              </w:rPr>
              <w:t>8</w:t>
            </w:r>
            <w:r>
              <w:rPr>
                <w:noProof/>
                <w:webHidden/>
              </w:rPr>
              <w:fldChar w:fldCharType="end"/>
            </w:r>
          </w:hyperlink>
        </w:p>
        <w:p w14:paraId="2233A111" w14:textId="5C78E741" w:rsidR="008706C6" w:rsidRDefault="008706C6">
          <w:pPr>
            <w:pStyle w:val="TOC2"/>
            <w:tabs>
              <w:tab w:val="right" w:leader="dot" w:pos="9016"/>
            </w:tabs>
            <w:rPr>
              <w:rFonts w:cstheme="minorBidi"/>
              <w:noProof/>
              <w:lang w:val="en-IN" w:eastAsia="en-IN"/>
            </w:rPr>
          </w:pPr>
          <w:hyperlink w:anchor="_Toc227765950" w:history="1">
            <w:r w:rsidRPr="00684762">
              <w:rPr>
                <w:rStyle w:val="Hyperlink"/>
                <w:noProof/>
              </w:rPr>
              <w:t>2.1 Governance and Strategic Planning for Security</w:t>
            </w:r>
            <w:r>
              <w:rPr>
                <w:noProof/>
                <w:webHidden/>
              </w:rPr>
              <w:tab/>
            </w:r>
            <w:r>
              <w:rPr>
                <w:noProof/>
                <w:webHidden/>
              </w:rPr>
              <w:fldChar w:fldCharType="begin"/>
            </w:r>
            <w:r>
              <w:rPr>
                <w:noProof/>
                <w:webHidden/>
              </w:rPr>
              <w:instrText xml:space="preserve"> PAGEREF _Toc227765950 \h </w:instrText>
            </w:r>
            <w:r>
              <w:rPr>
                <w:noProof/>
                <w:webHidden/>
              </w:rPr>
            </w:r>
            <w:r>
              <w:rPr>
                <w:noProof/>
                <w:webHidden/>
              </w:rPr>
              <w:fldChar w:fldCharType="separate"/>
            </w:r>
            <w:r>
              <w:rPr>
                <w:noProof/>
                <w:webHidden/>
              </w:rPr>
              <w:t>9</w:t>
            </w:r>
            <w:r>
              <w:rPr>
                <w:noProof/>
                <w:webHidden/>
              </w:rPr>
              <w:fldChar w:fldCharType="end"/>
            </w:r>
          </w:hyperlink>
        </w:p>
        <w:p w14:paraId="31B6D47B" w14:textId="3F2C2FDB" w:rsidR="008706C6" w:rsidRDefault="008706C6">
          <w:pPr>
            <w:pStyle w:val="TOC2"/>
            <w:tabs>
              <w:tab w:val="right" w:leader="dot" w:pos="9016"/>
            </w:tabs>
            <w:rPr>
              <w:rFonts w:cstheme="minorBidi"/>
              <w:noProof/>
              <w:lang w:val="en-IN" w:eastAsia="en-IN"/>
            </w:rPr>
          </w:pPr>
          <w:hyperlink w:anchor="_Toc227765951" w:history="1">
            <w:r w:rsidRPr="00684762">
              <w:rPr>
                <w:rStyle w:val="Hyperlink"/>
                <w:rFonts w:cs="Arial"/>
                <w:noProof/>
              </w:rPr>
              <w:t xml:space="preserve">2.2 </w:t>
            </w:r>
            <w:r w:rsidRPr="00684762">
              <w:rPr>
                <w:rStyle w:val="Hyperlink"/>
                <w:rFonts w:eastAsia="Arial"/>
                <w:noProof/>
              </w:rPr>
              <w:t>Compliance: Laws and Ethics</w:t>
            </w:r>
            <w:r>
              <w:rPr>
                <w:noProof/>
                <w:webHidden/>
              </w:rPr>
              <w:tab/>
            </w:r>
            <w:r>
              <w:rPr>
                <w:noProof/>
                <w:webHidden/>
              </w:rPr>
              <w:fldChar w:fldCharType="begin"/>
            </w:r>
            <w:r>
              <w:rPr>
                <w:noProof/>
                <w:webHidden/>
              </w:rPr>
              <w:instrText xml:space="preserve"> PAGEREF _Toc227765951 \h </w:instrText>
            </w:r>
            <w:r>
              <w:rPr>
                <w:noProof/>
                <w:webHidden/>
              </w:rPr>
            </w:r>
            <w:r>
              <w:rPr>
                <w:noProof/>
                <w:webHidden/>
              </w:rPr>
              <w:fldChar w:fldCharType="separate"/>
            </w:r>
            <w:r>
              <w:rPr>
                <w:noProof/>
                <w:webHidden/>
              </w:rPr>
              <w:t>10</w:t>
            </w:r>
            <w:r>
              <w:rPr>
                <w:noProof/>
                <w:webHidden/>
              </w:rPr>
              <w:fldChar w:fldCharType="end"/>
            </w:r>
          </w:hyperlink>
        </w:p>
        <w:p w14:paraId="4E023B37" w14:textId="7BF590E3" w:rsidR="008706C6" w:rsidRDefault="008706C6">
          <w:pPr>
            <w:pStyle w:val="TOC2"/>
            <w:tabs>
              <w:tab w:val="right" w:leader="dot" w:pos="9016"/>
            </w:tabs>
            <w:rPr>
              <w:rFonts w:cstheme="minorBidi"/>
              <w:noProof/>
              <w:lang w:val="en-IN" w:eastAsia="en-IN"/>
            </w:rPr>
          </w:pPr>
          <w:hyperlink w:anchor="_Toc227765952" w:history="1">
            <w:r w:rsidRPr="00684762">
              <w:rPr>
                <w:rStyle w:val="Hyperlink"/>
                <w:noProof/>
              </w:rPr>
              <w:t>2.3 Security Policies</w:t>
            </w:r>
            <w:r>
              <w:rPr>
                <w:noProof/>
                <w:webHidden/>
              </w:rPr>
              <w:tab/>
            </w:r>
            <w:r>
              <w:rPr>
                <w:noProof/>
                <w:webHidden/>
              </w:rPr>
              <w:fldChar w:fldCharType="begin"/>
            </w:r>
            <w:r>
              <w:rPr>
                <w:noProof/>
                <w:webHidden/>
              </w:rPr>
              <w:instrText xml:space="preserve"> PAGEREF _Toc227765952 \h </w:instrText>
            </w:r>
            <w:r>
              <w:rPr>
                <w:noProof/>
                <w:webHidden/>
              </w:rPr>
            </w:r>
            <w:r>
              <w:rPr>
                <w:noProof/>
                <w:webHidden/>
              </w:rPr>
              <w:fldChar w:fldCharType="separate"/>
            </w:r>
            <w:r>
              <w:rPr>
                <w:noProof/>
                <w:webHidden/>
              </w:rPr>
              <w:t>10</w:t>
            </w:r>
            <w:r>
              <w:rPr>
                <w:noProof/>
                <w:webHidden/>
              </w:rPr>
              <w:fldChar w:fldCharType="end"/>
            </w:r>
          </w:hyperlink>
        </w:p>
        <w:p w14:paraId="46A6803A" w14:textId="19080964" w:rsidR="008706C6" w:rsidRDefault="008706C6">
          <w:pPr>
            <w:pStyle w:val="TOC2"/>
            <w:tabs>
              <w:tab w:val="right" w:leader="dot" w:pos="9016"/>
            </w:tabs>
            <w:rPr>
              <w:rFonts w:cstheme="minorBidi"/>
              <w:noProof/>
              <w:lang w:val="en-IN" w:eastAsia="en-IN"/>
            </w:rPr>
          </w:pPr>
          <w:hyperlink w:anchor="_Toc227765953" w:history="1">
            <w:r w:rsidRPr="00684762">
              <w:rPr>
                <w:rStyle w:val="Hyperlink"/>
                <w:noProof/>
              </w:rPr>
              <w:t>2.4 Risk Management</w:t>
            </w:r>
            <w:r>
              <w:rPr>
                <w:noProof/>
                <w:webHidden/>
              </w:rPr>
              <w:tab/>
            </w:r>
            <w:r>
              <w:rPr>
                <w:noProof/>
                <w:webHidden/>
              </w:rPr>
              <w:fldChar w:fldCharType="begin"/>
            </w:r>
            <w:r>
              <w:rPr>
                <w:noProof/>
                <w:webHidden/>
              </w:rPr>
              <w:instrText xml:space="preserve"> PAGEREF _Toc227765953 \h </w:instrText>
            </w:r>
            <w:r>
              <w:rPr>
                <w:noProof/>
                <w:webHidden/>
              </w:rPr>
            </w:r>
            <w:r>
              <w:rPr>
                <w:noProof/>
                <w:webHidden/>
              </w:rPr>
              <w:fldChar w:fldCharType="separate"/>
            </w:r>
            <w:r>
              <w:rPr>
                <w:noProof/>
                <w:webHidden/>
              </w:rPr>
              <w:t>10</w:t>
            </w:r>
            <w:r>
              <w:rPr>
                <w:noProof/>
                <w:webHidden/>
              </w:rPr>
              <w:fldChar w:fldCharType="end"/>
            </w:r>
          </w:hyperlink>
        </w:p>
        <w:p w14:paraId="7C920357" w14:textId="18538783" w:rsidR="008706C6" w:rsidRDefault="008706C6">
          <w:pPr>
            <w:pStyle w:val="TOC3"/>
            <w:tabs>
              <w:tab w:val="right" w:leader="dot" w:pos="9016"/>
            </w:tabs>
            <w:rPr>
              <w:rFonts w:cstheme="minorBidi"/>
              <w:noProof/>
              <w:lang w:val="en-IN" w:eastAsia="en-IN"/>
            </w:rPr>
          </w:pPr>
          <w:hyperlink w:anchor="_Toc227765954" w:history="1">
            <w:r w:rsidRPr="00684762">
              <w:rPr>
                <w:rStyle w:val="Hyperlink"/>
                <w:noProof/>
              </w:rPr>
              <w:t>2.4.1 Categorize System</w:t>
            </w:r>
            <w:r>
              <w:rPr>
                <w:noProof/>
                <w:webHidden/>
              </w:rPr>
              <w:tab/>
            </w:r>
            <w:r>
              <w:rPr>
                <w:noProof/>
                <w:webHidden/>
              </w:rPr>
              <w:fldChar w:fldCharType="begin"/>
            </w:r>
            <w:r>
              <w:rPr>
                <w:noProof/>
                <w:webHidden/>
              </w:rPr>
              <w:instrText xml:space="preserve"> PAGEREF _Toc227765954 \h </w:instrText>
            </w:r>
            <w:r>
              <w:rPr>
                <w:noProof/>
                <w:webHidden/>
              </w:rPr>
            </w:r>
            <w:r>
              <w:rPr>
                <w:noProof/>
                <w:webHidden/>
              </w:rPr>
              <w:fldChar w:fldCharType="separate"/>
            </w:r>
            <w:r>
              <w:rPr>
                <w:noProof/>
                <w:webHidden/>
              </w:rPr>
              <w:t>10</w:t>
            </w:r>
            <w:r>
              <w:rPr>
                <w:noProof/>
                <w:webHidden/>
              </w:rPr>
              <w:fldChar w:fldCharType="end"/>
            </w:r>
          </w:hyperlink>
        </w:p>
        <w:p w14:paraId="08970B62" w14:textId="6BE8BDB0" w:rsidR="008706C6" w:rsidRDefault="008706C6">
          <w:pPr>
            <w:pStyle w:val="TOC3"/>
            <w:tabs>
              <w:tab w:val="right" w:leader="dot" w:pos="9016"/>
            </w:tabs>
            <w:rPr>
              <w:rFonts w:cstheme="minorBidi"/>
              <w:noProof/>
              <w:lang w:val="en-IN" w:eastAsia="en-IN"/>
            </w:rPr>
          </w:pPr>
          <w:hyperlink w:anchor="_Toc227765955" w:history="1">
            <w:r w:rsidRPr="00684762">
              <w:rPr>
                <w:rStyle w:val="Hyperlink"/>
                <w:noProof/>
              </w:rPr>
              <w:t>2.4.2 Select Controls</w:t>
            </w:r>
            <w:r>
              <w:rPr>
                <w:noProof/>
                <w:webHidden/>
              </w:rPr>
              <w:tab/>
            </w:r>
            <w:r>
              <w:rPr>
                <w:noProof/>
                <w:webHidden/>
              </w:rPr>
              <w:fldChar w:fldCharType="begin"/>
            </w:r>
            <w:r>
              <w:rPr>
                <w:noProof/>
                <w:webHidden/>
              </w:rPr>
              <w:instrText xml:space="preserve"> PAGEREF _Toc227765955 \h </w:instrText>
            </w:r>
            <w:r>
              <w:rPr>
                <w:noProof/>
                <w:webHidden/>
              </w:rPr>
            </w:r>
            <w:r>
              <w:rPr>
                <w:noProof/>
                <w:webHidden/>
              </w:rPr>
              <w:fldChar w:fldCharType="separate"/>
            </w:r>
            <w:r>
              <w:rPr>
                <w:noProof/>
                <w:webHidden/>
              </w:rPr>
              <w:t>11</w:t>
            </w:r>
            <w:r>
              <w:rPr>
                <w:noProof/>
                <w:webHidden/>
              </w:rPr>
              <w:fldChar w:fldCharType="end"/>
            </w:r>
          </w:hyperlink>
        </w:p>
        <w:p w14:paraId="259C5BEF" w14:textId="1A48C469" w:rsidR="008706C6" w:rsidRDefault="008706C6">
          <w:pPr>
            <w:pStyle w:val="TOC3"/>
            <w:tabs>
              <w:tab w:val="right" w:leader="dot" w:pos="9016"/>
            </w:tabs>
            <w:rPr>
              <w:rFonts w:cstheme="minorBidi"/>
              <w:noProof/>
              <w:lang w:val="en-IN" w:eastAsia="en-IN"/>
            </w:rPr>
          </w:pPr>
          <w:hyperlink w:anchor="_Toc227765956" w:history="1">
            <w:r w:rsidRPr="00684762">
              <w:rPr>
                <w:rStyle w:val="Hyperlink"/>
                <w:noProof/>
              </w:rPr>
              <w:t>2.4.3 Implement Controls</w:t>
            </w:r>
            <w:r>
              <w:rPr>
                <w:noProof/>
                <w:webHidden/>
              </w:rPr>
              <w:tab/>
            </w:r>
            <w:r>
              <w:rPr>
                <w:noProof/>
                <w:webHidden/>
              </w:rPr>
              <w:fldChar w:fldCharType="begin"/>
            </w:r>
            <w:r>
              <w:rPr>
                <w:noProof/>
                <w:webHidden/>
              </w:rPr>
              <w:instrText xml:space="preserve"> PAGEREF _Toc227765956 \h </w:instrText>
            </w:r>
            <w:r>
              <w:rPr>
                <w:noProof/>
                <w:webHidden/>
              </w:rPr>
            </w:r>
            <w:r>
              <w:rPr>
                <w:noProof/>
                <w:webHidden/>
              </w:rPr>
              <w:fldChar w:fldCharType="separate"/>
            </w:r>
            <w:r>
              <w:rPr>
                <w:noProof/>
                <w:webHidden/>
              </w:rPr>
              <w:t>11</w:t>
            </w:r>
            <w:r>
              <w:rPr>
                <w:noProof/>
                <w:webHidden/>
              </w:rPr>
              <w:fldChar w:fldCharType="end"/>
            </w:r>
          </w:hyperlink>
        </w:p>
        <w:p w14:paraId="7A7FB58A" w14:textId="5A67A58E" w:rsidR="008706C6" w:rsidRDefault="008706C6">
          <w:pPr>
            <w:pStyle w:val="TOC3"/>
            <w:tabs>
              <w:tab w:val="right" w:leader="dot" w:pos="9016"/>
            </w:tabs>
            <w:rPr>
              <w:rFonts w:cstheme="minorBidi"/>
              <w:noProof/>
              <w:lang w:val="en-IN" w:eastAsia="en-IN"/>
            </w:rPr>
          </w:pPr>
          <w:hyperlink w:anchor="_Toc227765957" w:history="1">
            <w:r w:rsidRPr="00684762">
              <w:rPr>
                <w:rStyle w:val="Hyperlink"/>
                <w:noProof/>
              </w:rPr>
              <w:t>2.4.4 Assess Controls</w:t>
            </w:r>
            <w:r>
              <w:rPr>
                <w:noProof/>
                <w:webHidden/>
              </w:rPr>
              <w:tab/>
            </w:r>
            <w:r>
              <w:rPr>
                <w:noProof/>
                <w:webHidden/>
              </w:rPr>
              <w:fldChar w:fldCharType="begin"/>
            </w:r>
            <w:r>
              <w:rPr>
                <w:noProof/>
                <w:webHidden/>
              </w:rPr>
              <w:instrText xml:space="preserve"> PAGEREF _Toc227765957 \h </w:instrText>
            </w:r>
            <w:r>
              <w:rPr>
                <w:noProof/>
                <w:webHidden/>
              </w:rPr>
            </w:r>
            <w:r>
              <w:rPr>
                <w:noProof/>
                <w:webHidden/>
              </w:rPr>
              <w:fldChar w:fldCharType="separate"/>
            </w:r>
            <w:r>
              <w:rPr>
                <w:noProof/>
                <w:webHidden/>
              </w:rPr>
              <w:t>11</w:t>
            </w:r>
            <w:r>
              <w:rPr>
                <w:noProof/>
                <w:webHidden/>
              </w:rPr>
              <w:fldChar w:fldCharType="end"/>
            </w:r>
          </w:hyperlink>
        </w:p>
        <w:p w14:paraId="1064678C" w14:textId="22C51C03" w:rsidR="008706C6" w:rsidRDefault="008706C6">
          <w:pPr>
            <w:pStyle w:val="TOC3"/>
            <w:tabs>
              <w:tab w:val="right" w:leader="dot" w:pos="9016"/>
            </w:tabs>
            <w:rPr>
              <w:rFonts w:cstheme="minorBidi"/>
              <w:noProof/>
              <w:lang w:val="en-IN" w:eastAsia="en-IN"/>
            </w:rPr>
          </w:pPr>
          <w:hyperlink w:anchor="_Toc227765958" w:history="1">
            <w:r w:rsidRPr="00684762">
              <w:rPr>
                <w:rStyle w:val="Hyperlink"/>
                <w:noProof/>
              </w:rPr>
              <w:t>2.4.5 Authorize System</w:t>
            </w:r>
            <w:r>
              <w:rPr>
                <w:noProof/>
                <w:webHidden/>
              </w:rPr>
              <w:tab/>
            </w:r>
            <w:r>
              <w:rPr>
                <w:noProof/>
                <w:webHidden/>
              </w:rPr>
              <w:fldChar w:fldCharType="begin"/>
            </w:r>
            <w:r>
              <w:rPr>
                <w:noProof/>
                <w:webHidden/>
              </w:rPr>
              <w:instrText xml:space="preserve"> PAGEREF _Toc227765958 \h </w:instrText>
            </w:r>
            <w:r>
              <w:rPr>
                <w:noProof/>
                <w:webHidden/>
              </w:rPr>
            </w:r>
            <w:r>
              <w:rPr>
                <w:noProof/>
                <w:webHidden/>
              </w:rPr>
              <w:fldChar w:fldCharType="separate"/>
            </w:r>
            <w:r>
              <w:rPr>
                <w:noProof/>
                <w:webHidden/>
              </w:rPr>
              <w:t>11</w:t>
            </w:r>
            <w:r>
              <w:rPr>
                <w:noProof/>
                <w:webHidden/>
              </w:rPr>
              <w:fldChar w:fldCharType="end"/>
            </w:r>
          </w:hyperlink>
        </w:p>
        <w:p w14:paraId="76E51570" w14:textId="4159F82D" w:rsidR="008706C6" w:rsidRDefault="008706C6">
          <w:pPr>
            <w:pStyle w:val="TOC2"/>
            <w:tabs>
              <w:tab w:val="right" w:leader="dot" w:pos="9016"/>
            </w:tabs>
            <w:rPr>
              <w:rFonts w:cstheme="minorBidi"/>
              <w:noProof/>
              <w:lang w:val="en-IN" w:eastAsia="en-IN"/>
            </w:rPr>
          </w:pPr>
          <w:hyperlink w:anchor="_Toc227765959" w:history="1">
            <w:r w:rsidRPr="00684762">
              <w:rPr>
                <w:rStyle w:val="Hyperlink"/>
                <w:noProof/>
              </w:rPr>
              <w:t>2.5 Security Management Models and Practices: -</w:t>
            </w:r>
            <w:r>
              <w:rPr>
                <w:noProof/>
                <w:webHidden/>
              </w:rPr>
              <w:tab/>
            </w:r>
            <w:r>
              <w:rPr>
                <w:noProof/>
                <w:webHidden/>
              </w:rPr>
              <w:fldChar w:fldCharType="begin"/>
            </w:r>
            <w:r>
              <w:rPr>
                <w:noProof/>
                <w:webHidden/>
              </w:rPr>
              <w:instrText xml:space="preserve"> PAGEREF _Toc227765959 \h </w:instrText>
            </w:r>
            <w:r>
              <w:rPr>
                <w:noProof/>
                <w:webHidden/>
              </w:rPr>
            </w:r>
            <w:r>
              <w:rPr>
                <w:noProof/>
                <w:webHidden/>
              </w:rPr>
              <w:fldChar w:fldCharType="separate"/>
            </w:r>
            <w:r>
              <w:rPr>
                <w:noProof/>
                <w:webHidden/>
              </w:rPr>
              <w:t>11</w:t>
            </w:r>
            <w:r>
              <w:rPr>
                <w:noProof/>
                <w:webHidden/>
              </w:rPr>
              <w:fldChar w:fldCharType="end"/>
            </w:r>
          </w:hyperlink>
        </w:p>
        <w:p w14:paraId="4D7450A3" w14:textId="57A574E6" w:rsidR="008706C6" w:rsidRDefault="008706C6">
          <w:pPr>
            <w:pStyle w:val="TOC2"/>
            <w:tabs>
              <w:tab w:val="right" w:leader="dot" w:pos="9016"/>
            </w:tabs>
            <w:rPr>
              <w:rFonts w:cstheme="minorBidi"/>
              <w:noProof/>
              <w:lang w:val="en-IN" w:eastAsia="en-IN"/>
            </w:rPr>
          </w:pPr>
          <w:hyperlink w:anchor="_Toc227765960" w:history="1">
            <w:r w:rsidRPr="00684762">
              <w:rPr>
                <w:rStyle w:val="Hyperlink"/>
                <w:noProof/>
              </w:rPr>
              <w:t>2.6 Contingency Planning</w:t>
            </w:r>
            <w:r>
              <w:rPr>
                <w:noProof/>
                <w:webHidden/>
              </w:rPr>
              <w:tab/>
            </w:r>
            <w:r>
              <w:rPr>
                <w:noProof/>
                <w:webHidden/>
              </w:rPr>
              <w:fldChar w:fldCharType="begin"/>
            </w:r>
            <w:r>
              <w:rPr>
                <w:noProof/>
                <w:webHidden/>
              </w:rPr>
              <w:instrText xml:space="preserve"> PAGEREF _Toc227765960 \h </w:instrText>
            </w:r>
            <w:r>
              <w:rPr>
                <w:noProof/>
                <w:webHidden/>
              </w:rPr>
            </w:r>
            <w:r>
              <w:rPr>
                <w:noProof/>
                <w:webHidden/>
              </w:rPr>
              <w:fldChar w:fldCharType="separate"/>
            </w:r>
            <w:r>
              <w:rPr>
                <w:noProof/>
                <w:webHidden/>
              </w:rPr>
              <w:t>11</w:t>
            </w:r>
            <w:r>
              <w:rPr>
                <w:noProof/>
                <w:webHidden/>
              </w:rPr>
              <w:fldChar w:fldCharType="end"/>
            </w:r>
          </w:hyperlink>
        </w:p>
        <w:p w14:paraId="02466D3D" w14:textId="10C6A27E" w:rsidR="008706C6" w:rsidRDefault="008706C6">
          <w:pPr>
            <w:pStyle w:val="TOC3"/>
            <w:tabs>
              <w:tab w:val="right" w:leader="dot" w:pos="9016"/>
            </w:tabs>
            <w:rPr>
              <w:rFonts w:cstheme="minorBidi"/>
              <w:noProof/>
              <w:lang w:val="en-IN" w:eastAsia="en-IN"/>
            </w:rPr>
          </w:pPr>
          <w:hyperlink w:anchor="_Toc227765961" w:history="1">
            <w:r w:rsidRPr="00684762">
              <w:rPr>
                <w:rStyle w:val="Hyperlink"/>
                <w:rFonts w:eastAsia="Times New Roman"/>
                <w:noProof/>
                <w:lang w:eastAsia="en-IN"/>
              </w:rPr>
              <w:t>2.6.1 Business Continuity Plan (BCP)</w:t>
            </w:r>
            <w:r>
              <w:rPr>
                <w:noProof/>
                <w:webHidden/>
              </w:rPr>
              <w:tab/>
            </w:r>
            <w:r>
              <w:rPr>
                <w:noProof/>
                <w:webHidden/>
              </w:rPr>
              <w:fldChar w:fldCharType="begin"/>
            </w:r>
            <w:r>
              <w:rPr>
                <w:noProof/>
                <w:webHidden/>
              </w:rPr>
              <w:instrText xml:space="preserve"> PAGEREF _Toc227765961 \h </w:instrText>
            </w:r>
            <w:r>
              <w:rPr>
                <w:noProof/>
                <w:webHidden/>
              </w:rPr>
            </w:r>
            <w:r>
              <w:rPr>
                <w:noProof/>
                <w:webHidden/>
              </w:rPr>
              <w:fldChar w:fldCharType="separate"/>
            </w:r>
            <w:r>
              <w:rPr>
                <w:noProof/>
                <w:webHidden/>
              </w:rPr>
              <w:t>12</w:t>
            </w:r>
            <w:r>
              <w:rPr>
                <w:noProof/>
                <w:webHidden/>
              </w:rPr>
              <w:fldChar w:fldCharType="end"/>
            </w:r>
          </w:hyperlink>
        </w:p>
        <w:p w14:paraId="62D95F7A" w14:textId="0D31813A" w:rsidR="008706C6" w:rsidRDefault="008706C6">
          <w:pPr>
            <w:pStyle w:val="TOC3"/>
            <w:tabs>
              <w:tab w:val="right" w:leader="dot" w:pos="9016"/>
            </w:tabs>
            <w:rPr>
              <w:rFonts w:cstheme="minorBidi"/>
              <w:noProof/>
              <w:lang w:val="en-IN" w:eastAsia="en-IN"/>
            </w:rPr>
          </w:pPr>
          <w:hyperlink w:anchor="_Toc227765962" w:history="1">
            <w:r w:rsidRPr="00684762">
              <w:rPr>
                <w:rStyle w:val="Hyperlink"/>
                <w:rFonts w:eastAsia="Times New Roman"/>
                <w:noProof/>
                <w:lang w:eastAsia="en-IN"/>
              </w:rPr>
              <w:t>2.6.2 Disaster Recovery Plan (DRP)</w:t>
            </w:r>
            <w:r>
              <w:rPr>
                <w:noProof/>
                <w:webHidden/>
              </w:rPr>
              <w:tab/>
            </w:r>
            <w:r>
              <w:rPr>
                <w:noProof/>
                <w:webHidden/>
              </w:rPr>
              <w:fldChar w:fldCharType="begin"/>
            </w:r>
            <w:r>
              <w:rPr>
                <w:noProof/>
                <w:webHidden/>
              </w:rPr>
              <w:instrText xml:space="preserve"> PAGEREF _Toc227765962 \h </w:instrText>
            </w:r>
            <w:r>
              <w:rPr>
                <w:noProof/>
                <w:webHidden/>
              </w:rPr>
            </w:r>
            <w:r>
              <w:rPr>
                <w:noProof/>
                <w:webHidden/>
              </w:rPr>
              <w:fldChar w:fldCharType="separate"/>
            </w:r>
            <w:r>
              <w:rPr>
                <w:noProof/>
                <w:webHidden/>
              </w:rPr>
              <w:t>12</w:t>
            </w:r>
            <w:r>
              <w:rPr>
                <w:noProof/>
                <w:webHidden/>
              </w:rPr>
              <w:fldChar w:fldCharType="end"/>
            </w:r>
          </w:hyperlink>
        </w:p>
        <w:p w14:paraId="4830AC81" w14:textId="774D97FB" w:rsidR="008706C6" w:rsidRDefault="008706C6">
          <w:pPr>
            <w:pStyle w:val="TOC3"/>
            <w:tabs>
              <w:tab w:val="right" w:leader="dot" w:pos="9016"/>
            </w:tabs>
            <w:rPr>
              <w:rFonts w:cstheme="minorBidi"/>
              <w:noProof/>
              <w:lang w:val="en-IN" w:eastAsia="en-IN"/>
            </w:rPr>
          </w:pPr>
          <w:hyperlink w:anchor="_Toc227765963" w:history="1">
            <w:r w:rsidRPr="00684762">
              <w:rPr>
                <w:rStyle w:val="Hyperlink"/>
                <w:noProof/>
              </w:rPr>
              <w:t>2.6.3 Incident Response Plan (IRP)</w:t>
            </w:r>
            <w:r>
              <w:rPr>
                <w:noProof/>
                <w:webHidden/>
              </w:rPr>
              <w:tab/>
            </w:r>
            <w:r>
              <w:rPr>
                <w:noProof/>
                <w:webHidden/>
              </w:rPr>
              <w:fldChar w:fldCharType="begin"/>
            </w:r>
            <w:r>
              <w:rPr>
                <w:noProof/>
                <w:webHidden/>
              </w:rPr>
              <w:instrText xml:space="preserve"> PAGEREF _Toc227765963 \h </w:instrText>
            </w:r>
            <w:r>
              <w:rPr>
                <w:noProof/>
                <w:webHidden/>
              </w:rPr>
            </w:r>
            <w:r>
              <w:rPr>
                <w:noProof/>
                <w:webHidden/>
              </w:rPr>
              <w:fldChar w:fldCharType="separate"/>
            </w:r>
            <w:r>
              <w:rPr>
                <w:noProof/>
                <w:webHidden/>
              </w:rPr>
              <w:t>12</w:t>
            </w:r>
            <w:r>
              <w:rPr>
                <w:noProof/>
                <w:webHidden/>
              </w:rPr>
              <w:fldChar w:fldCharType="end"/>
            </w:r>
          </w:hyperlink>
        </w:p>
        <w:p w14:paraId="0E56B1E6" w14:textId="255AB7E1" w:rsidR="008706C6" w:rsidRDefault="008706C6">
          <w:pPr>
            <w:pStyle w:val="TOC2"/>
            <w:tabs>
              <w:tab w:val="right" w:leader="dot" w:pos="9016"/>
            </w:tabs>
            <w:rPr>
              <w:rFonts w:cstheme="minorBidi"/>
              <w:noProof/>
              <w:lang w:val="en-IN" w:eastAsia="en-IN"/>
            </w:rPr>
          </w:pPr>
          <w:hyperlink w:anchor="_Toc227765964" w:history="1">
            <w:r w:rsidRPr="00684762">
              <w:rPr>
                <w:rStyle w:val="Hyperlink"/>
                <w:rFonts w:eastAsia="Times New Roman"/>
                <w:noProof/>
                <w:lang w:eastAsia="en-IN"/>
              </w:rPr>
              <w:t>2.7 Service Level Agreement</w:t>
            </w:r>
            <w:r>
              <w:rPr>
                <w:noProof/>
                <w:webHidden/>
              </w:rPr>
              <w:tab/>
            </w:r>
            <w:r>
              <w:rPr>
                <w:noProof/>
                <w:webHidden/>
              </w:rPr>
              <w:fldChar w:fldCharType="begin"/>
            </w:r>
            <w:r>
              <w:rPr>
                <w:noProof/>
                <w:webHidden/>
              </w:rPr>
              <w:instrText xml:space="preserve"> PAGEREF _Toc227765964 \h </w:instrText>
            </w:r>
            <w:r>
              <w:rPr>
                <w:noProof/>
                <w:webHidden/>
              </w:rPr>
            </w:r>
            <w:r>
              <w:rPr>
                <w:noProof/>
                <w:webHidden/>
              </w:rPr>
              <w:fldChar w:fldCharType="separate"/>
            </w:r>
            <w:r>
              <w:rPr>
                <w:noProof/>
                <w:webHidden/>
              </w:rPr>
              <w:t>12</w:t>
            </w:r>
            <w:r>
              <w:rPr>
                <w:noProof/>
                <w:webHidden/>
              </w:rPr>
              <w:fldChar w:fldCharType="end"/>
            </w:r>
          </w:hyperlink>
        </w:p>
        <w:p w14:paraId="2EF380A6" w14:textId="1F2C26C4" w:rsidR="008706C6" w:rsidRDefault="008706C6">
          <w:pPr>
            <w:pStyle w:val="TOC2"/>
            <w:tabs>
              <w:tab w:val="left" w:pos="880"/>
              <w:tab w:val="right" w:leader="dot" w:pos="9016"/>
            </w:tabs>
            <w:rPr>
              <w:rFonts w:cstheme="minorBidi"/>
              <w:noProof/>
              <w:lang w:val="en-IN" w:eastAsia="en-IN"/>
            </w:rPr>
          </w:pPr>
          <w:hyperlink w:anchor="_Toc227765965" w:history="1">
            <w:r w:rsidRPr="00684762">
              <w:rPr>
                <w:rStyle w:val="Hyperlink"/>
                <w:noProof/>
              </w:rPr>
              <w:t>2.8</w:t>
            </w:r>
            <w:r>
              <w:rPr>
                <w:rFonts w:cstheme="minorBidi"/>
                <w:noProof/>
                <w:lang w:val="en-IN" w:eastAsia="en-IN"/>
              </w:rPr>
              <w:tab/>
            </w:r>
            <w:r w:rsidRPr="00684762">
              <w:rPr>
                <w:rStyle w:val="Hyperlink"/>
                <w:noProof/>
              </w:rPr>
              <w:t>Protection Mechanisms</w:t>
            </w:r>
            <w:r>
              <w:rPr>
                <w:noProof/>
                <w:webHidden/>
              </w:rPr>
              <w:tab/>
            </w:r>
            <w:r>
              <w:rPr>
                <w:noProof/>
                <w:webHidden/>
              </w:rPr>
              <w:fldChar w:fldCharType="begin"/>
            </w:r>
            <w:r>
              <w:rPr>
                <w:noProof/>
                <w:webHidden/>
              </w:rPr>
              <w:instrText xml:space="preserve"> PAGEREF _Toc227765965 \h </w:instrText>
            </w:r>
            <w:r>
              <w:rPr>
                <w:noProof/>
                <w:webHidden/>
              </w:rPr>
            </w:r>
            <w:r>
              <w:rPr>
                <w:noProof/>
                <w:webHidden/>
              </w:rPr>
              <w:fldChar w:fldCharType="separate"/>
            </w:r>
            <w:r>
              <w:rPr>
                <w:noProof/>
                <w:webHidden/>
              </w:rPr>
              <w:t>13</w:t>
            </w:r>
            <w:r>
              <w:rPr>
                <w:noProof/>
                <w:webHidden/>
              </w:rPr>
              <w:fldChar w:fldCharType="end"/>
            </w:r>
          </w:hyperlink>
        </w:p>
        <w:p w14:paraId="4E9B2DB4" w14:textId="2537DCCE" w:rsidR="008706C6" w:rsidRDefault="008706C6">
          <w:pPr>
            <w:pStyle w:val="TOC1"/>
            <w:rPr>
              <w:rFonts w:cstheme="minorBidi"/>
              <w:noProof/>
              <w:lang w:val="en-IN" w:eastAsia="en-IN"/>
            </w:rPr>
          </w:pPr>
          <w:hyperlink w:anchor="_Toc227765966" w:history="1">
            <w:r w:rsidRPr="00684762">
              <w:rPr>
                <w:rStyle w:val="Hyperlink"/>
                <w:noProof/>
              </w:rPr>
              <w:t>3. Critique, Analysis, and Discussion of the Benefits of Continually Having New or Updated Rules and Regulation</w:t>
            </w:r>
            <w:r>
              <w:rPr>
                <w:noProof/>
                <w:webHidden/>
              </w:rPr>
              <w:tab/>
            </w:r>
            <w:r>
              <w:rPr>
                <w:noProof/>
                <w:webHidden/>
              </w:rPr>
              <w:fldChar w:fldCharType="begin"/>
            </w:r>
            <w:r>
              <w:rPr>
                <w:noProof/>
                <w:webHidden/>
              </w:rPr>
              <w:instrText xml:space="preserve"> PAGEREF _Toc227765966 \h </w:instrText>
            </w:r>
            <w:r>
              <w:rPr>
                <w:noProof/>
                <w:webHidden/>
              </w:rPr>
            </w:r>
            <w:r>
              <w:rPr>
                <w:noProof/>
                <w:webHidden/>
              </w:rPr>
              <w:fldChar w:fldCharType="separate"/>
            </w:r>
            <w:r>
              <w:rPr>
                <w:noProof/>
                <w:webHidden/>
              </w:rPr>
              <w:t>14</w:t>
            </w:r>
            <w:r>
              <w:rPr>
                <w:noProof/>
                <w:webHidden/>
              </w:rPr>
              <w:fldChar w:fldCharType="end"/>
            </w:r>
          </w:hyperlink>
        </w:p>
        <w:p w14:paraId="32354495" w14:textId="2FEE93C5" w:rsidR="008706C6" w:rsidRDefault="008706C6">
          <w:pPr>
            <w:pStyle w:val="TOC2"/>
            <w:tabs>
              <w:tab w:val="right" w:leader="dot" w:pos="9016"/>
            </w:tabs>
            <w:rPr>
              <w:rFonts w:cstheme="minorBidi"/>
              <w:noProof/>
              <w:lang w:val="en-IN" w:eastAsia="en-IN"/>
            </w:rPr>
          </w:pPr>
          <w:hyperlink w:anchor="_Toc227765967" w:history="1">
            <w:r w:rsidRPr="00684762">
              <w:rPr>
                <w:rStyle w:val="Hyperlink"/>
                <w:noProof/>
              </w:rPr>
              <w:t>1 The Evolving Threat Landscape</w:t>
            </w:r>
            <w:r>
              <w:rPr>
                <w:noProof/>
                <w:webHidden/>
              </w:rPr>
              <w:tab/>
            </w:r>
            <w:r>
              <w:rPr>
                <w:noProof/>
                <w:webHidden/>
              </w:rPr>
              <w:fldChar w:fldCharType="begin"/>
            </w:r>
            <w:r>
              <w:rPr>
                <w:noProof/>
                <w:webHidden/>
              </w:rPr>
              <w:instrText xml:space="preserve"> PAGEREF _Toc227765967 \h </w:instrText>
            </w:r>
            <w:r>
              <w:rPr>
                <w:noProof/>
                <w:webHidden/>
              </w:rPr>
            </w:r>
            <w:r>
              <w:rPr>
                <w:noProof/>
                <w:webHidden/>
              </w:rPr>
              <w:fldChar w:fldCharType="separate"/>
            </w:r>
            <w:r>
              <w:rPr>
                <w:noProof/>
                <w:webHidden/>
              </w:rPr>
              <w:t>14</w:t>
            </w:r>
            <w:r>
              <w:rPr>
                <w:noProof/>
                <w:webHidden/>
              </w:rPr>
              <w:fldChar w:fldCharType="end"/>
            </w:r>
          </w:hyperlink>
        </w:p>
        <w:p w14:paraId="4094DB13" w14:textId="404BB062" w:rsidR="008706C6" w:rsidRDefault="008706C6">
          <w:pPr>
            <w:pStyle w:val="TOC2"/>
            <w:tabs>
              <w:tab w:val="right" w:leader="dot" w:pos="9016"/>
            </w:tabs>
            <w:rPr>
              <w:rFonts w:cstheme="minorBidi"/>
              <w:noProof/>
              <w:lang w:val="en-IN" w:eastAsia="en-IN"/>
            </w:rPr>
          </w:pPr>
          <w:hyperlink w:anchor="_Toc227765968" w:history="1">
            <w:r w:rsidRPr="00684762">
              <w:rPr>
                <w:rStyle w:val="Hyperlink"/>
                <w:noProof/>
              </w:rPr>
              <w:t>2.Legal, Ethical and Privacy Obligations</w:t>
            </w:r>
            <w:r>
              <w:rPr>
                <w:noProof/>
                <w:webHidden/>
              </w:rPr>
              <w:tab/>
            </w:r>
            <w:r>
              <w:rPr>
                <w:noProof/>
                <w:webHidden/>
              </w:rPr>
              <w:fldChar w:fldCharType="begin"/>
            </w:r>
            <w:r>
              <w:rPr>
                <w:noProof/>
                <w:webHidden/>
              </w:rPr>
              <w:instrText xml:space="preserve"> PAGEREF _Toc227765968 \h </w:instrText>
            </w:r>
            <w:r>
              <w:rPr>
                <w:noProof/>
                <w:webHidden/>
              </w:rPr>
            </w:r>
            <w:r>
              <w:rPr>
                <w:noProof/>
                <w:webHidden/>
              </w:rPr>
              <w:fldChar w:fldCharType="separate"/>
            </w:r>
            <w:r>
              <w:rPr>
                <w:noProof/>
                <w:webHidden/>
              </w:rPr>
              <w:t>14</w:t>
            </w:r>
            <w:r>
              <w:rPr>
                <w:noProof/>
                <w:webHidden/>
              </w:rPr>
              <w:fldChar w:fldCharType="end"/>
            </w:r>
          </w:hyperlink>
        </w:p>
        <w:p w14:paraId="29A544AA" w14:textId="73EB54E3" w:rsidR="008706C6" w:rsidRDefault="008706C6">
          <w:pPr>
            <w:pStyle w:val="TOC2"/>
            <w:tabs>
              <w:tab w:val="right" w:leader="dot" w:pos="9016"/>
            </w:tabs>
            <w:rPr>
              <w:rFonts w:cstheme="minorBidi"/>
              <w:noProof/>
              <w:lang w:val="en-IN" w:eastAsia="en-IN"/>
            </w:rPr>
          </w:pPr>
          <w:hyperlink w:anchor="_Toc227765969" w:history="1">
            <w:r w:rsidRPr="00684762">
              <w:rPr>
                <w:rStyle w:val="Hyperlink"/>
                <w:noProof/>
              </w:rPr>
              <w:t>3.Technological Change and Digital Transformation</w:t>
            </w:r>
            <w:r>
              <w:rPr>
                <w:noProof/>
                <w:webHidden/>
              </w:rPr>
              <w:tab/>
            </w:r>
            <w:r>
              <w:rPr>
                <w:noProof/>
                <w:webHidden/>
              </w:rPr>
              <w:fldChar w:fldCharType="begin"/>
            </w:r>
            <w:r>
              <w:rPr>
                <w:noProof/>
                <w:webHidden/>
              </w:rPr>
              <w:instrText xml:space="preserve"> PAGEREF _Toc227765969 \h </w:instrText>
            </w:r>
            <w:r>
              <w:rPr>
                <w:noProof/>
                <w:webHidden/>
              </w:rPr>
            </w:r>
            <w:r>
              <w:rPr>
                <w:noProof/>
                <w:webHidden/>
              </w:rPr>
              <w:fldChar w:fldCharType="separate"/>
            </w:r>
            <w:r>
              <w:rPr>
                <w:noProof/>
                <w:webHidden/>
              </w:rPr>
              <w:t>14</w:t>
            </w:r>
            <w:r>
              <w:rPr>
                <w:noProof/>
                <w:webHidden/>
              </w:rPr>
              <w:fldChar w:fldCharType="end"/>
            </w:r>
          </w:hyperlink>
        </w:p>
        <w:p w14:paraId="444802A7" w14:textId="5DDB57C2" w:rsidR="008706C6" w:rsidRDefault="008706C6">
          <w:pPr>
            <w:pStyle w:val="TOC2"/>
            <w:tabs>
              <w:tab w:val="right" w:leader="dot" w:pos="9016"/>
            </w:tabs>
            <w:rPr>
              <w:rFonts w:cstheme="minorBidi"/>
              <w:noProof/>
              <w:lang w:val="en-IN" w:eastAsia="en-IN"/>
            </w:rPr>
          </w:pPr>
          <w:hyperlink w:anchor="_Toc227765970" w:history="1">
            <w:r w:rsidRPr="00684762">
              <w:rPr>
                <w:rStyle w:val="Hyperlink"/>
                <w:noProof/>
              </w:rPr>
              <w:t>4.Regulatory critique and Analysis: key Factors</w:t>
            </w:r>
            <w:r>
              <w:rPr>
                <w:noProof/>
                <w:webHidden/>
              </w:rPr>
              <w:tab/>
            </w:r>
            <w:r>
              <w:rPr>
                <w:noProof/>
                <w:webHidden/>
              </w:rPr>
              <w:fldChar w:fldCharType="begin"/>
            </w:r>
            <w:r>
              <w:rPr>
                <w:noProof/>
                <w:webHidden/>
              </w:rPr>
              <w:instrText xml:space="preserve"> PAGEREF _Toc227765970 \h </w:instrText>
            </w:r>
            <w:r>
              <w:rPr>
                <w:noProof/>
                <w:webHidden/>
              </w:rPr>
            </w:r>
            <w:r>
              <w:rPr>
                <w:noProof/>
                <w:webHidden/>
              </w:rPr>
              <w:fldChar w:fldCharType="separate"/>
            </w:r>
            <w:r>
              <w:rPr>
                <w:noProof/>
                <w:webHidden/>
              </w:rPr>
              <w:t>14</w:t>
            </w:r>
            <w:r>
              <w:rPr>
                <w:noProof/>
                <w:webHidden/>
              </w:rPr>
              <w:fldChar w:fldCharType="end"/>
            </w:r>
          </w:hyperlink>
        </w:p>
        <w:p w14:paraId="199A92CB" w14:textId="235B4327" w:rsidR="008706C6" w:rsidRDefault="008706C6">
          <w:pPr>
            <w:pStyle w:val="TOC2"/>
            <w:tabs>
              <w:tab w:val="right" w:leader="dot" w:pos="9016"/>
            </w:tabs>
            <w:rPr>
              <w:rFonts w:cstheme="minorBidi"/>
              <w:noProof/>
              <w:lang w:val="en-IN" w:eastAsia="en-IN"/>
            </w:rPr>
          </w:pPr>
          <w:hyperlink w:anchor="_Toc227765971" w:history="1">
            <w:r w:rsidRPr="00684762">
              <w:rPr>
                <w:rStyle w:val="Hyperlink"/>
                <w:noProof/>
              </w:rPr>
              <w:t>5.The Risk of Regulatory Stagnation</w:t>
            </w:r>
            <w:r>
              <w:rPr>
                <w:noProof/>
                <w:webHidden/>
              </w:rPr>
              <w:tab/>
            </w:r>
            <w:r>
              <w:rPr>
                <w:noProof/>
                <w:webHidden/>
              </w:rPr>
              <w:fldChar w:fldCharType="begin"/>
            </w:r>
            <w:r>
              <w:rPr>
                <w:noProof/>
                <w:webHidden/>
              </w:rPr>
              <w:instrText xml:space="preserve"> PAGEREF _Toc227765971 \h </w:instrText>
            </w:r>
            <w:r>
              <w:rPr>
                <w:noProof/>
                <w:webHidden/>
              </w:rPr>
            </w:r>
            <w:r>
              <w:rPr>
                <w:noProof/>
                <w:webHidden/>
              </w:rPr>
              <w:fldChar w:fldCharType="separate"/>
            </w:r>
            <w:r>
              <w:rPr>
                <w:noProof/>
                <w:webHidden/>
              </w:rPr>
              <w:t>15</w:t>
            </w:r>
            <w:r>
              <w:rPr>
                <w:noProof/>
                <w:webHidden/>
              </w:rPr>
              <w:fldChar w:fldCharType="end"/>
            </w:r>
          </w:hyperlink>
        </w:p>
        <w:p w14:paraId="59FE2C38" w14:textId="7523B78E" w:rsidR="008706C6" w:rsidRDefault="008706C6">
          <w:pPr>
            <w:pStyle w:val="TOC2"/>
            <w:tabs>
              <w:tab w:val="right" w:leader="dot" w:pos="9016"/>
            </w:tabs>
            <w:rPr>
              <w:rFonts w:cstheme="minorBidi"/>
              <w:noProof/>
              <w:lang w:val="en-IN" w:eastAsia="en-IN"/>
            </w:rPr>
          </w:pPr>
          <w:hyperlink w:anchor="_Toc227765972" w:history="1">
            <w:r w:rsidRPr="00684762">
              <w:rPr>
                <w:rStyle w:val="Hyperlink"/>
                <w:noProof/>
              </w:rPr>
              <w:t>6.Good Practice Continuous Improvement and the PDCA Cycle</w:t>
            </w:r>
            <w:r>
              <w:rPr>
                <w:noProof/>
                <w:webHidden/>
              </w:rPr>
              <w:tab/>
            </w:r>
            <w:r>
              <w:rPr>
                <w:noProof/>
                <w:webHidden/>
              </w:rPr>
              <w:fldChar w:fldCharType="begin"/>
            </w:r>
            <w:r>
              <w:rPr>
                <w:noProof/>
                <w:webHidden/>
              </w:rPr>
              <w:instrText xml:space="preserve"> PAGEREF _Toc227765972 \h </w:instrText>
            </w:r>
            <w:r>
              <w:rPr>
                <w:noProof/>
                <w:webHidden/>
              </w:rPr>
            </w:r>
            <w:r>
              <w:rPr>
                <w:noProof/>
                <w:webHidden/>
              </w:rPr>
              <w:fldChar w:fldCharType="separate"/>
            </w:r>
            <w:r>
              <w:rPr>
                <w:noProof/>
                <w:webHidden/>
              </w:rPr>
              <w:t>15</w:t>
            </w:r>
            <w:r>
              <w:rPr>
                <w:noProof/>
                <w:webHidden/>
              </w:rPr>
              <w:fldChar w:fldCharType="end"/>
            </w:r>
          </w:hyperlink>
        </w:p>
        <w:p w14:paraId="06F33C36" w14:textId="24C7C43B" w:rsidR="008706C6" w:rsidRDefault="008706C6">
          <w:pPr>
            <w:pStyle w:val="TOC1"/>
            <w:rPr>
              <w:rFonts w:cstheme="minorBidi"/>
              <w:noProof/>
              <w:lang w:val="en-IN" w:eastAsia="en-IN"/>
            </w:rPr>
          </w:pPr>
          <w:hyperlink w:anchor="_Toc227765973" w:history="1">
            <w:r w:rsidRPr="00684762">
              <w:rPr>
                <w:rStyle w:val="Hyperlink"/>
                <w:noProof/>
              </w:rPr>
              <w:t>Conclusion</w:t>
            </w:r>
            <w:r>
              <w:rPr>
                <w:noProof/>
                <w:webHidden/>
              </w:rPr>
              <w:tab/>
            </w:r>
            <w:r>
              <w:rPr>
                <w:noProof/>
                <w:webHidden/>
              </w:rPr>
              <w:fldChar w:fldCharType="begin"/>
            </w:r>
            <w:r>
              <w:rPr>
                <w:noProof/>
                <w:webHidden/>
              </w:rPr>
              <w:instrText xml:space="preserve"> PAGEREF _Toc227765973 \h </w:instrText>
            </w:r>
            <w:r>
              <w:rPr>
                <w:noProof/>
                <w:webHidden/>
              </w:rPr>
            </w:r>
            <w:r>
              <w:rPr>
                <w:noProof/>
                <w:webHidden/>
              </w:rPr>
              <w:fldChar w:fldCharType="separate"/>
            </w:r>
            <w:r>
              <w:rPr>
                <w:noProof/>
                <w:webHidden/>
              </w:rPr>
              <w:t>15</w:t>
            </w:r>
            <w:r>
              <w:rPr>
                <w:noProof/>
                <w:webHidden/>
              </w:rPr>
              <w:fldChar w:fldCharType="end"/>
            </w:r>
          </w:hyperlink>
        </w:p>
        <w:p w14:paraId="3C598B41" w14:textId="3B359CE5" w:rsidR="008706C6" w:rsidRDefault="008706C6">
          <w:pPr>
            <w:pStyle w:val="TOC1"/>
            <w:rPr>
              <w:rFonts w:cstheme="minorBidi"/>
              <w:noProof/>
              <w:lang w:val="en-IN" w:eastAsia="en-IN"/>
            </w:rPr>
          </w:pPr>
          <w:hyperlink w:anchor="_Toc227765974" w:history="1">
            <w:r w:rsidRPr="00684762">
              <w:rPr>
                <w:rStyle w:val="Hyperlink"/>
                <w:noProof/>
              </w:rPr>
              <w:t>References</w:t>
            </w:r>
            <w:r>
              <w:rPr>
                <w:noProof/>
                <w:webHidden/>
              </w:rPr>
              <w:tab/>
            </w:r>
            <w:r>
              <w:rPr>
                <w:noProof/>
                <w:webHidden/>
              </w:rPr>
              <w:fldChar w:fldCharType="begin"/>
            </w:r>
            <w:r>
              <w:rPr>
                <w:noProof/>
                <w:webHidden/>
              </w:rPr>
              <w:instrText xml:space="preserve"> PAGEREF _Toc227765974 \h </w:instrText>
            </w:r>
            <w:r>
              <w:rPr>
                <w:noProof/>
                <w:webHidden/>
              </w:rPr>
            </w:r>
            <w:r>
              <w:rPr>
                <w:noProof/>
                <w:webHidden/>
              </w:rPr>
              <w:fldChar w:fldCharType="separate"/>
            </w:r>
            <w:r>
              <w:rPr>
                <w:noProof/>
                <w:webHidden/>
              </w:rPr>
              <w:t>16</w:t>
            </w:r>
            <w:r>
              <w:rPr>
                <w:noProof/>
                <w:webHidden/>
              </w:rPr>
              <w:fldChar w:fldCharType="end"/>
            </w:r>
          </w:hyperlink>
        </w:p>
        <w:p w14:paraId="7331E417" w14:textId="12D0D469" w:rsidR="00CD22AB" w:rsidRPr="008706C6" w:rsidRDefault="00CD22AB" w:rsidP="008706C6">
          <w:r>
            <w:rPr>
              <w:b/>
              <w:bCs/>
              <w:noProof/>
            </w:rPr>
            <w:fldChar w:fldCharType="end"/>
          </w:r>
        </w:p>
      </w:sdtContent>
    </w:sdt>
    <w:p w14:paraId="02ABF00F" w14:textId="6D8A537D" w:rsidR="00A93C33" w:rsidRPr="00A93C33" w:rsidRDefault="007B0EAD" w:rsidP="008706C6">
      <w:pPr>
        <w:pStyle w:val="Heading1"/>
      </w:pPr>
      <w:bookmarkStart w:id="0" w:name="_Toc227765942"/>
      <w:r>
        <w:lastRenderedPageBreak/>
        <w:t>Introduction</w:t>
      </w:r>
      <w:bookmarkEnd w:id="0"/>
      <w:r>
        <w:t xml:space="preserve"> </w:t>
      </w:r>
    </w:p>
    <w:p w14:paraId="4ACABB24" w14:textId="6620CE03" w:rsidR="0011345A" w:rsidRPr="00A93C33" w:rsidRDefault="00DE7CAD" w:rsidP="00A93C33">
      <w:pPr>
        <w:jc w:val="both"/>
        <w:rPr>
          <w:sz w:val="24"/>
          <w:szCs w:val="24"/>
        </w:rPr>
      </w:pPr>
      <w:r w:rsidRPr="00A93C33">
        <w:rPr>
          <w:sz w:val="24"/>
          <w:szCs w:val="24"/>
        </w:rPr>
        <w:t>The rapid digitization of the financial service industry has significantly changed the way banks face risks. Digital-only banks, such as Fin Sure Bank (FSB), now operate in a world of constant cyber threats, strict regulations, and huge amounts of new technology (e.g., mobile banking and third parties). The current security posture of FSB is decentralized, disarray of governance, and an incomplete compliance structure meaning that FSB is taking on a lot of risk in their ability to support customers, shareholders, and the continuity of business. This paper serves two purposes, to review high-level security frameworks and models, including ITIL v4, ISO/IEC 27000, NIST Cybersecurity Framework 2.0, and COBIT 2019 and how these contribute to the overall security posture of a business; secondly, to develop an Integrated Security Governance Framework (ISGF) that uses these models and can be implemented at FSB.</w:t>
      </w:r>
      <w:r w:rsidR="00A93C33" w:rsidRPr="00A93C33">
        <w:rPr>
          <w:sz w:val="24"/>
          <w:szCs w:val="24"/>
        </w:rPr>
        <w:t xml:space="preserve"> </w:t>
      </w:r>
      <w:r w:rsidR="00356D71" w:rsidRPr="00A93C33">
        <w:rPr>
          <w:sz w:val="24"/>
          <w:szCs w:val="24"/>
        </w:rPr>
        <w:t>The paper also critiques the necessity of evolving regulations and standards in the context of modern financial cybersecurity.</w:t>
      </w:r>
    </w:p>
    <w:p w14:paraId="1C13CD0B" w14:textId="2CAED915" w:rsidR="00134F15" w:rsidRPr="00BD6B96" w:rsidRDefault="00887D32" w:rsidP="008900F9">
      <w:pPr>
        <w:pStyle w:val="Heading1"/>
      </w:pPr>
      <w:bookmarkStart w:id="1" w:name="_Toc227765943"/>
      <w:r w:rsidRPr="00BD6B96">
        <w:t>1. An Analysis of Typical Security Frameworks and Models</w:t>
      </w:r>
      <w:bookmarkEnd w:id="1"/>
    </w:p>
    <w:p w14:paraId="72D29FA1" w14:textId="77777777" w:rsidR="00D8436A" w:rsidRDefault="00D8436A" w:rsidP="00CD22AB">
      <w:pPr>
        <w:rPr>
          <w:b/>
        </w:rPr>
      </w:pPr>
      <w:r w:rsidRPr="00D8436A">
        <w:t>Security frameworks provide an organisation with a structured and repeatable method for managing risk, protecting assets, and maintaining operations when disrupted. The four most applicable frameworks to FSB’s circumstances will be addressed in this section: ISO 27000, ITIL, NIST CSF, and COBIT 2019, outlining the intended purposes of each framework and comparing the different frameworks.</w:t>
      </w:r>
    </w:p>
    <w:p w14:paraId="7CC1D46C" w14:textId="77777777" w:rsidR="00CD22AB" w:rsidRDefault="00887D32" w:rsidP="00CD22AB">
      <w:pPr>
        <w:pStyle w:val="Heading2"/>
        <w:numPr>
          <w:ilvl w:val="1"/>
          <w:numId w:val="14"/>
        </w:numPr>
        <w:rPr>
          <w:rFonts w:cstheme="minorHAnsi"/>
          <w:sz w:val="24"/>
          <w:szCs w:val="24"/>
        </w:rPr>
      </w:pPr>
      <w:bookmarkStart w:id="2" w:name="_Toc227765944"/>
      <w:r>
        <w:t>ISO/IEC 27000 Series</w:t>
      </w:r>
      <w:bookmarkEnd w:id="2"/>
    </w:p>
    <w:p w14:paraId="44D60062" w14:textId="78D117F1" w:rsidR="005E34FD" w:rsidRDefault="00705A04" w:rsidP="00CD22AB">
      <w:pPr>
        <w:jc w:val="both"/>
        <w:rPr>
          <w:rFonts w:ascii="Georgia" w:hAnsi="Georgia"/>
        </w:rPr>
      </w:pPr>
      <w:r w:rsidRPr="00CD22AB">
        <w:t>The ISO/IEC 27000 family especially ISO/IEC 27001:2022 establishes requirements related to the creation, application, maintenance and continuous improvement of an Information Security Management System (ISMS) [3]. It is based on asset-driven, risk-driven framework that is designed around Plan-Do-Check-Act (PDCA) cycle. There are 93 controls in ISO 27001 organized around four themes, namely: Organisational (policies, roles, responsibilities), People (awareness, training, background checks), Physical (physical access controls, environmental protection), and Technological (logical access, cryptography, network security) [3].In the case of FSB, ISO 27001 certification would offer an established governance base, less regulatory pressure and guarantee third-party partners and clients their security is mature. Its compartment with GDPR, specifically the ISO 27701 (Private Information Management), is quite useful to the transnational operations of FSB.</w:t>
      </w:r>
      <w:r w:rsidR="00A34993" w:rsidRPr="00CD22AB">
        <w:rPr>
          <w:rFonts w:ascii="Georgia" w:hAnsi="Georgia"/>
        </w:rPr>
        <w:t xml:space="preserve"> </w:t>
      </w:r>
    </w:p>
    <w:p w14:paraId="04569693" w14:textId="37ECB984" w:rsidR="00CD22AB" w:rsidRDefault="00CD22AB" w:rsidP="00CD22AB"/>
    <w:p w14:paraId="6A465601" w14:textId="1F7EC900" w:rsidR="00705A04" w:rsidRDefault="00CD22AB" w:rsidP="008706C6">
      <w:r>
        <w:rPr>
          <w:rFonts w:cs="Arial"/>
          <w:noProof/>
          <w:sz w:val="36"/>
          <w:szCs w:val="36"/>
        </w:rPr>
        <w:drawing>
          <wp:anchor distT="0" distB="0" distL="114300" distR="114300" simplePos="0" relativeHeight="251658240" behindDoc="1" locked="0" layoutInCell="1" allowOverlap="1" wp14:anchorId="2A07AFDC" wp14:editId="2096E262">
            <wp:simplePos x="0" y="0"/>
            <wp:positionH relativeFrom="margin">
              <wp:posOffset>-154247</wp:posOffset>
            </wp:positionH>
            <wp:positionV relativeFrom="paragraph">
              <wp:posOffset>115</wp:posOffset>
            </wp:positionV>
            <wp:extent cx="5873750" cy="2045970"/>
            <wp:effectExtent l="0" t="0" r="0" b="0"/>
            <wp:wrapTight wrapText="bothSides">
              <wp:wrapPolygon edited="0">
                <wp:start x="6688" y="282"/>
                <wp:lineTo x="1770" y="1694"/>
                <wp:lineTo x="983" y="2541"/>
                <wp:lineTo x="983" y="9318"/>
                <wp:lineTo x="1770" y="10447"/>
                <wp:lineTo x="983" y="10729"/>
                <wp:lineTo x="983" y="16659"/>
                <wp:lineTo x="1574" y="18918"/>
                <wp:lineTo x="2065" y="19482"/>
                <wp:lineTo x="3147" y="20612"/>
                <wp:lineTo x="3540" y="21176"/>
                <wp:lineTo x="17997" y="21176"/>
                <wp:lineTo x="19276" y="20047"/>
                <wp:lineTo x="18784" y="18918"/>
                <wp:lineTo x="16522" y="18918"/>
                <wp:lineTo x="20653" y="17788"/>
                <wp:lineTo x="20751" y="11012"/>
                <wp:lineTo x="19571" y="9882"/>
                <wp:lineTo x="20751" y="8753"/>
                <wp:lineTo x="20751" y="2541"/>
                <wp:lineTo x="19571" y="1694"/>
                <wp:lineTo x="14752" y="282"/>
                <wp:lineTo x="6688" y="28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73750" cy="2045970"/>
                    </a:xfrm>
                    <a:prstGeom prst="rect">
                      <a:avLst/>
                    </a:prstGeom>
                    <a:noFill/>
                  </pic:spPr>
                </pic:pic>
              </a:graphicData>
            </a:graphic>
            <wp14:sizeRelH relativeFrom="margin">
              <wp14:pctWidth>0</wp14:pctWidth>
            </wp14:sizeRelH>
            <wp14:sizeRelV relativeFrom="margin">
              <wp14:pctHeight>0</wp14:pctHeight>
            </wp14:sizeRelV>
          </wp:anchor>
        </w:drawing>
      </w:r>
      <w:bookmarkStart w:id="3" w:name="_GoBack"/>
      <w:bookmarkEnd w:id="3"/>
    </w:p>
    <w:p w14:paraId="347385C0" w14:textId="2CAFAB2B" w:rsidR="00D41323" w:rsidRDefault="00BD6B96" w:rsidP="00CB2E9D">
      <w:pPr>
        <w:pStyle w:val="Heading2"/>
      </w:pPr>
      <w:bookmarkStart w:id="4" w:name="_Toc227765945"/>
      <w:r>
        <w:lastRenderedPageBreak/>
        <w:t>1.2</w:t>
      </w:r>
      <w:r w:rsidR="00CB2E9D">
        <w:t>Information Technology Infrastructure Library (ITIL)</w:t>
      </w:r>
      <w:bookmarkEnd w:id="4"/>
    </w:p>
    <w:p w14:paraId="0D65DD75" w14:textId="4B9262AF" w:rsidR="002343FB" w:rsidRPr="000700DB" w:rsidRDefault="00E672D0" w:rsidP="00BD6B96">
      <w:pPr>
        <w:jc w:val="both"/>
        <w:rPr>
          <w:rFonts w:cstheme="minorHAnsi"/>
          <w:sz w:val="24"/>
          <w:szCs w:val="24"/>
        </w:rPr>
      </w:pPr>
      <w:r w:rsidRPr="000700DB">
        <w:rPr>
          <w:rFonts w:cstheme="minorHAnsi"/>
          <w:b/>
          <w:sz w:val="24"/>
          <w:szCs w:val="24"/>
        </w:rPr>
        <w:t>ITIL (Version 5)</w:t>
      </w:r>
      <w:r w:rsidRPr="000700DB">
        <w:rPr>
          <w:rFonts w:cstheme="minorHAnsi"/>
          <w:sz w:val="24"/>
          <w:szCs w:val="24"/>
        </w:rPr>
        <w:t xml:space="preserve"> is the current iteration of the ITIL framework, with Foundation certification released in </w:t>
      </w:r>
      <w:r w:rsidRPr="000700DB">
        <w:rPr>
          <w:rFonts w:cstheme="minorHAnsi"/>
          <w:b/>
          <w:sz w:val="24"/>
          <w:szCs w:val="24"/>
        </w:rPr>
        <w:t>12th February 2026</w:t>
      </w:r>
      <w:r w:rsidRPr="000700DB">
        <w:rPr>
          <w:rFonts w:cstheme="minorHAnsi"/>
          <w:sz w:val="24"/>
          <w:szCs w:val="24"/>
        </w:rPr>
        <w:t xml:space="preserve">. It broadens scope beyond traditional IT service management to cover digital product management, AI adoption, and sustainable service delivery, with advanced modules following in </w:t>
      </w:r>
      <w:r w:rsidRPr="000700DB">
        <w:rPr>
          <w:rFonts w:cstheme="minorHAnsi"/>
          <w:b/>
          <w:sz w:val="24"/>
          <w:szCs w:val="24"/>
        </w:rPr>
        <w:t>March 2026</w:t>
      </w:r>
      <w:r w:rsidRPr="000700DB">
        <w:rPr>
          <w:rFonts w:cstheme="minorHAnsi"/>
          <w:sz w:val="24"/>
          <w:szCs w:val="24"/>
        </w:rPr>
        <w:t>.</w:t>
      </w:r>
      <w:r w:rsidR="00875856">
        <w:rPr>
          <w:rFonts w:cstheme="minorHAnsi"/>
          <w:sz w:val="24"/>
          <w:szCs w:val="24"/>
        </w:rPr>
        <w:t xml:space="preserve"> </w:t>
      </w:r>
      <w:r w:rsidR="00624FA0" w:rsidRPr="00624FA0">
        <w:rPr>
          <w:rFonts w:cs="Arial"/>
          <w:sz w:val="24"/>
          <w:szCs w:val="24"/>
        </w:rPr>
        <w:t>The combined model includes all products &amp; services as one combined framework. All ITIL teams are able to communicate using the same terminology, and all teams will have the same processes for managing their work as they pertain to products &amp;/or services. These two areas within an IT organization will be aligned based upon their mutual support with respect to product strategy, delivery, &amp; operation. The topics of AI, Automation, and their related impact on the IT organization are fundamental components of the ITIL 5 initiative, rather than just alternative methods/ideas.</w:t>
      </w:r>
      <w:r w:rsidR="00624FA0">
        <w:rPr>
          <w:rFonts w:cs="Arial"/>
          <w:b/>
          <w:sz w:val="24"/>
          <w:szCs w:val="24"/>
        </w:rPr>
        <w:t xml:space="preserve"> </w:t>
      </w:r>
      <w:r w:rsidR="00556B53" w:rsidRPr="000700DB">
        <w:rPr>
          <w:rFonts w:cstheme="minorHAnsi"/>
          <w:sz w:val="24"/>
          <w:szCs w:val="24"/>
        </w:rPr>
        <w:t xml:space="preserve">It guides responsible use through risk management and governance while using automation to improve speed and decision quality in service operations. </w:t>
      </w:r>
      <w:r w:rsidR="009E6777" w:rsidRPr="009E6777">
        <w:rPr>
          <w:rFonts w:cstheme="minorHAnsi"/>
          <w:sz w:val="24"/>
          <w:szCs w:val="24"/>
        </w:rPr>
        <w:t>Automation enhances the speed and quality decisions in service activities and upholds ethical and responsible values. Product Lifecycle: ITIL 5 addresses the lifecycle of digital products, beginning with inception up to retirement. This full-lifecycle perspective bears the cost of organisational silos being eliminated and teams producing software intended to be reliable and business-aligned in the long term instead of getting something shipped.</w:t>
      </w:r>
      <w:r w:rsidR="009E6777">
        <w:rPr>
          <w:rFonts w:cstheme="minorHAnsi"/>
          <w:sz w:val="24"/>
          <w:szCs w:val="24"/>
        </w:rPr>
        <w:t xml:space="preserve"> </w:t>
      </w:r>
      <w:r w:rsidR="002343FB" w:rsidRPr="000700DB">
        <w:rPr>
          <w:rFonts w:cstheme="minorHAnsi"/>
          <w:b/>
          <w:sz w:val="24"/>
          <w:szCs w:val="24"/>
        </w:rPr>
        <w:t xml:space="preserve">Experience-Centred Design: </w:t>
      </w:r>
      <w:r w:rsidR="002343FB" w:rsidRPr="000700DB">
        <w:rPr>
          <w:rFonts w:eastAsia="Times New Roman" w:cstheme="minorHAnsi"/>
          <w:sz w:val="24"/>
          <w:szCs w:val="24"/>
          <w:lang w:eastAsia="en-IN"/>
        </w:rPr>
        <w:t>The framework puts how services are actually experienced by users at the centre of delivery decisions. Clear role definitions, accountability, and continuous improvement are the mechanisms with the practical result that customer satisfaction tends to improve when organisations apply this approach properly.</w:t>
      </w:r>
      <w:r w:rsidR="00BD6B96" w:rsidRPr="000700DB">
        <w:rPr>
          <w:rFonts w:eastAsia="Times New Roman" w:cstheme="minorHAnsi"/>
          <w:sz w:val="24"/>
          <w:szCs w:val="24"/>
          <w:lang w:eastAsia="en-IN"/>
        </w:rPr>
        <w:t xml:space="preserve"> </w:t>
      </w:r>
      <w:r w:rsidR="00624FA0" w:rsidRPr="00624FA0">
        <w:rPr>
          <w:rFonts w:eastAsia="Times New Roman" w:cstheme="minorHAnsi"/>
          <w:sz w:val="24"/>
          <w:szCs w:val="24"/>
          <w:lang w:eastAsia="en-IN"/>
        </w:rPr>
        <w:t>In the domain of service management, ITIL 5 integrates sustainability objectives by linking people, processes, and technology in a way that supports responsible growth. For companies facing both regulatory and reputational pressures to show that they are responsible in their operations, this message will be of increasing importance.</w:t>
      </w:r>
    </w:p>
    <w:p w14:paraId="22315307" w14:textId="77777777" w:rsidR="00790D51" w:rsidRDefault="00790D51" w:rsidP="00CB2E9D">
      <w:pPr>
        <w:rPr>
          <w:rFonts w:ascii="Arial" w:hAnsi="Arial" w:cs="Arial"/>
          <w:sz w:val="24"/>
          <w:szCs w:val="24"/>
        </w:rPr>
      </w:pPr>
    </w:p>
    <w:p w14:paraId="06F93755" w14:textId="4E2CE985" w:rsidR="00BF5CA8" w:rsidRDefault="008B5758" w:rsidP="00CB2E9D">
      <w:pPr>
        <w:rPr>
          <w:rFonts w:ascii="Arial" w:hAnsi="Arial" w:cs="Arial"/>
          <w:sz w:val="24"/>
          <w:szCs w:val="24"/>
        </w:rPr>
      </w:pPr>
      <w:r>
        <w:rPr>
          <w:rFonts w:ascii="Arial" w:hAnsi="Arial" w:cs="Arial"/>
          <w:noProof/>
          <w:sz w:val="24"/>
          <w:szCs w:val="24"/>
        </w:rPr>
        <w:drawing>
          <wp:inline distT="0" distB="0" distL="0" distR="0" wp14:anchorId="62B0F398" wp14:editId="45B80A10">
            <wp:extent cx="4735830" cy="28194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5830" cy="2819400"/>
                    </a:xfrm>
                    <a:prstGeom prst="rect">
                      <a:avLst/>
                    </a:prstGeom>
                    <a:noFill/>
                  </pic:spPr>
                </pic:pic>
              </a:graphicData>
            </a:graphic>
          </wp:inline>
        </w:drawing>
      </w:r>
    </w:p>
    <w:p w14:paraId="4D838A55" w14:textId="77777777" w:rsidR="00BF5CA8" w:rsidRDefault="00BF5CA8" w:rsidP="00CB2E9D">
      <w:pPr>
        <w:rPr>
          <w:rFonts w:ascii="Arial" w:hAnsi="Arial" w:cs="Arial"/>
          <w:sz w:val="24"/>
          <w:szCs w:val="24"/>
        </w:rPr>
      </w:pPr>
    </w:p>
    <w:p w14:paraId="7E2A79B7" w14:textId="68F13CAA" w:rsidR="00000E5D" w:rsidRDefault="005758D8" w:rsidP="002E1C29">
      <w:pPr>
        <w:pStyle w:val="Heading2"/>
        <w:numPr>
          <w:ilvl w:val="1"/>
          <w:numId w:val="12"/>
        </w:numPr>
      </w:pPr>
      <w:bookmarkStart w:id="5" w:name="_Toc227765946"/>
      <w:r>
        <w:lastRenderedPageBreak/>
        <w:t>NIST Cybersecurity Framework (CSF)</w:t>
      </w:r>
      <w:bookmarkEnd w:id="5"/>
    </w:p>
    <w:p w14:paraId="730410BC" w14:textId="22389022" w:rsidR="002E1C29" w:rsidRDefault="00624FA0" w:rsidP="002E1C29">
      <w:pPr>
        <w:jc w:val="both"/>
      </w:pPr>
      <w:bookmarkStart w:id="6" w:name="_Toc225176510"/>
      <w:bookmarkStart w:id="7" w:name="_Toc225178415"/>
      <w:r w:rsidRPr="00624FA0">
        <w:rPr>
          <w:sz w:val="24"/>
          <w:szCs w:val="24"/>
        </w:rPr>
        <w:t>The United States' National Institute of Standards and Technology created the NIST Cybersecurity Framework which has since grown to be one of the most widely used cybersecurity frameworks in the world. In 2024, the National Institute of Standards and Technology released Version 2.0 of the Cybersecurity Framework; there is now an additional sixth function listed at the centre of the Cybersecurity Framework, Governor. As a framework, the Cybersecurity Framework remains voluntary and sector-agnostic; however, it focuses on using risk management as a basis instead of following prescribed rules</w:t>
      </w:r>
      <w:r w:rsidR="00000E5D" w:rsidRPr="002E1C29">
        <w:rPr>
          <w:sz w:val="24"/>
          <w:szCs w:val="24"/>
        </w:rPr>
        <w:t>.</w:t>
      </w:r>
      <w:bookmarkStart w:id="8" w:name="_Toc225176511"/>
      <w:bookmarkStart w:id="9" w:name="_Toc225178416"/>
      <w:bookmarkEnd w:id="6"/>
      <w:bookmarkEnd w:id="7"/>
      <w:r w:rsidR="00000E5D" w:rsidRPr="002E1C29">
        <w:rPr>
          <w:sz w:val="24"/>
          <w:szCs w:val="24"/>
        </w:rPr>
        <w:t xml:space="preserve"> Its six core functions</w:t>
      </w:r>
      <w:bookmarkStart w:id="10" w:name="_Toc225176512"/>
      <w:bookmarkStart w:id="11" w:name="_Toc225178417"/>
      <w:bookmarkEnd w:id="8"/>
      <w:bookmarkEnd w:id="9"/>
      <w:r w:rsidR="00BF5CA8">
        <w:rPr>
          <w:sz w:val="24"/>
          <w:szCs w:val="24"/>
        </w:rPr>
        <w:t>.</w:t>
      </w:r>
      <w:r w:rsidR="00000E5D">
        <w:rPr>
          <w:noProof/>
        </w:rPr>
        <w:drawing>
          <wp:inline distT="0" distB="0" distL="0" distR="0" wp14:anchorId="454E7B84" wp14:editId="7853D7A4">
            <wp:extent cx="4386725" cy="3609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3802" cy="3631386"/>
                    </a:xfrm>
                    <a:prstGeom prst="rect">
                      <a:avLst/>
                    </a:prstGeom>
                  </pic:spPr>
                </pic:pic>
              </a:graphicData>
            </a:graphic>
          </wp:inline>
        </w:drawing>
      </w:r>
      <w:bookmarkEnd w:id="10"/>
      <w:bookmarkEnd w:id="11"/>
      <w:r w:rsidR="00000E5D">
        <w:t xml:space="preserve"> </w:t>
      </w:r>
    </w:p>
    <w:p w14:paraId="2597EB5E" w14:textId="6082F43E" w:rsidR="00653CCA" w:rsidRPr="002E1C29" w:rsidRDefault="002B6E1A" w:rsidP="002E1C29">
      <w:pPr>
        <w:jc w:val="both"/>
        <w:rPr>
          <w:rStyle w:val="Strong"/>
          <w:rFonts w:cstheme="minorHAnsi"/>
          <w:b w:val="0"/>
          <w:bCs w:val="0"/>
        </w:rPr>
      </w:pPr>
      <w:r w:rsidRPr="002E1C29">
        <w:rPr>
          <w:rStyle w:val="Strong"/>
          <w:rFonts w:cstheme="minorHAnsi"/>
          <w:color w:val="161616"/>
          <w:bdr w:val="none" w:sz="0" w:space="0" w:color="auto" w:frame="1"/>
          <w:shd w:val="clear" w:color="auto" w:fill="FFFFFF"/>
        </w:rPr>
        <w:t>Identify:</w:t>
      </w:r>
      <w:r w:rsidRPr="002E1C29">
        <w:rPr>
          <w:rFonts w:cstheme="minorHAnsi"/>
        </w:rPr>
        <w:t xml:space="preserve"> </w:t>
      </w:r>
      <w:r w:rsidRPr="002E1C29">
        <w:rPr>
          <w:rFonts w:cstheme="minorHAnsi"/>
          <w:sz w:val="24"/>
          <w:szCs w:val="24"/>
        </w:rPr>
        <w:t>This function builds the baseline picture of what an organisation has and what it is exposed to. It covers asset management, business context, governance, risk assessment, and supply chain risk the groundwork needed before effective protection can be designed</w:t>
      </w:r>
      <w:r w:rsidR="00FF46EF" w:rsidRPr="00FF46EF">
        <w:rPr>
          <w:rFonts w:cstheme="minorHAnsi"/>
          <w:b/>
          <w:sz w:val="24"/>
          <w:szCs w:val="24"/>
        </w:rPr>
        <w:t xml:space="preserve"> </w:t>
      </w:r>
      <w:r w:rsidR="006D7236" w:rsidRPr="00FF46EF">
        <w:rPr>
          <w:rFonts w:cstheme="minorHAnsi"/>
          <w:b/>
          <w:sz w:val="24"/>
          <w:szCs w:val="24"/>
        </w:rPr>
        <w:t>Protect</w:t>
      </w:r>
      <w:r w:rsidR="006D7236" w:rsidRPr="006D7236">
        <w:rPr>
          <w:rFonts w:cstheme="minorHAnsi"/>
          <w:sz w:val="24"/>
          <w:szCs w:val="24"/>
        </w:rPr>
        <w:t xml:space="preserve"> These functions are related to preventive measures such as access controls, staff training, protecting data, maintaining systems and implementing protective technologies that will decrease the impact of a cyber event. </w:t>
      </w:r>
      <w:r w:rsidR="006D7236" w:rsidRPr="00FF46EF">
        <w:rPr>
          <w:rFonts w:cstheme="minorHAnsi"/>
          <w:b/>
          <w:sz w:val="24"/>
          <w:szCs w:val="24"/>
        </w:rPr>
        <w:t>Detect</w:t>
      </w:r>
      <w:r w:rsidR="006D7236" w:rsidRPr="006D7236">
        <w:rPr>
          <w:rFonts w:cstheme="minorHAnsi"/>
          <w:sz w:val="24"/>
          <w:szCs w:val="24"/>
        </w:rPr>
        <w:t xml:space="preserve"> These functions encompass the ongoing monitoring of systems, anomaly detection and real-time alerting; to allow for detection of threats before they cause harm (as opposed to detecting them after the fact). </w:t>
      </w:r>
      <w:r w:rsidR="006D7236" w:rsidRPr="00FF46EF">
        <w:rPr>
          <w:rFonts w:cstheme="minorHAnsi"/>
          <w:b/>
          <w:sz w:val="24"/>
          <w:szCs w:val="24"/>
        </w:rPr>
        <w:t>Respond</w:t>
      </w:r>
      <w:r w:rsidR="00FF46EF">
        <w:rPr>
          <w:rFonts w:cstheme="minorHAnsi"/>
          <w:sz w:val="24"/>
          <w:szCs w:val="24"/>
        </w:rPr>
        <w:t xml:space="preserve">: </w:t>
      </w:r>
      <w:r w:rsidR="006D7236" w:rsidRPr="006D7236">
        <w:rPr>
          <w:rFonts w:cstheme="minorHAnsi"/>
          <w:sz w:val="24"/>
          <w:szCs w:val="24"/>
        </w:rPr>
        <w:t xml:space="preserve">These functions encompass everything that will occur following confirmation of a threat; response planning, communicating with affected parties, </w:t>
      </w:r>
      <w:r w:rsidR="00FF46EF" w:rsidRPr="006D7236">
        <w:rPr>
          <w:rFonts w:cstheme="minorHAnsi"/>
          <w:sz w:val="24"/>
          <w:szCs w:val="24"/>
        </w:rPr>
        <w:t>analysing</w:t>
      </w:r>
      <w:r w:rsidR="006D7236" w:rsidRPr="006D7236">
        <w:rPr>
          <w:rFonts w:cstheme="minorHAnsi"/>
          <w:sz w:val="24"/>
          <w:szCs w:val="24"/>
        </w:rPr>
        <w:t xml:space="preserve"> the incident, containing the event, and making improvements during the time period between detection and response. </w:t>
      </w:r>
      <w:r w:rsidR="006D7236" w:rsidRPr="00FF46EF">
        <w:rPr>
          <w:rFonts w:cstheme="minorHAnsi"/>
          <w:b/>
          <w:sz w:val="24"/>
          <w:szCs w:val="24"/>
        </w:rPr>
        <w:t>Recover</w:t>
      </w:r>
      <w:r w:rsidR="00FF46EF">
        <w:rPr>
          <w:rFonts w:cstheme="minorHAnsi"/>
          <w:b/>
          <w:sz w:val="24"/>
          <w:szCs w:val="24"/>
        </w:rPr>
        <w:t>:</w:t>
      </w:r>
      <w:r w:rsidR="006D7236" w:rsidRPr="00FF46EF">
        <w:rPr>
          <w:rFonts w:cstheme="minorHAnsi"/>
          <w:b/>
          <w:sz w:val="24"/>
          <w:szCs w:val="24"/>
        </w:rPr>
        <w:t xml:space="preserve"> </w:t>
      </w:r>
      <w:r w:rsidR="006D7236" w:rsidRPr="006D7236">
        <w:rPr>
          <w:rFonts w:cstheme="minorHAnsi"/>
          <w:sz w:val="24"/>
          <w:szCs w:val="24"/>
        </w:rPr>
        <w:t xml:space="preserve"> These functions encompass restoring services post cyber event, including; recovery planning, improving processes, and providing communications necessary to keep all parties informed during the restoration of the services.</w:t>
      </w:r>
    </w:p>
    <w:p w14:paraId="453B5D70" w14:textId="513BE694" w:rsidR="00653CCA" w:rsidRDefault="00653CCA" w:rsidP="00653CCA">
      <w:pPr>
        <w:pStyle w:val="ListParagraph"/>
        <w:rPr>
          <w:sz w:val="28"/>
          <w:szCs w:val="28"/>
        </w:rPr>
      </w:pPr>
    </w:p>
    <w:p w14:paraId="02099529" w14:textId="44ABEDC2" w:rsidR="00C41803" w:rsidRDefault="00C41803" w:rsidP="00653CCA">
      <w:pPr>
        <w:pStyle w:val="ListParagraph"/>
        <w:rPr>
          <w:sz w:val="28"/>
          <w:szCs w:val="28"/>
        </w:rPr>
      </w:pPr>
    </w:p>
    <w:p w14:paraId="12CCF73C" w14:textId="5C35756A" w:rsidR="00C41803" w:rsidRDefault="00C41803" w:rsidP="00653CCA">
      <w:pPr>
        <w:pStyle w:val="ListParagraph"/>
        <w:rPr>
          <w:sz w:val="28"/>
          <w:szCs w:val="28"/>
        </w:rPr>
      </w:pPr>
    </w:p>
    <w:p w14:paraId="09E63B54" w14:textId="0F3E07BB" w:rsidR="00C41803" w:rsidRPr="004E46A6" w:rsidRDefault="00C41803" w:rsidP="004E46A6">
      <w:pPr>
        <w:pStyle w:val="Heading2"/>
      </w:pPr>
      <w:bookmarkStart w:id="12" w:name="_Toc227765947"/>
      <w:r>
        <w:t>1.4 COBIT 2019</w:t>
      </w:r>
      <w:bookmarkEnd w:id="12"/>
      <w:r>
        <w:t xml:space="preserve"> </w:t>
      </w:r>
    </w:p>
    <w:p w14:paraId="551F358A" w14:textId="6FBB7FBF" w:rsidR="00EC16E9" w:rsidRDefault="00420CB8" w:rsidP="007C4E84">
      <w:pPr>
        <w:rPr>
          <w:sz w:val="24"/>
          <w:szCs w:val="24"/>
        </w:rPr>
      </w:pPr>
      <w:r w:rsidRPr="00420CB8">
        <w:rPr>
          <w:sz w:val="24"/>
          <w:szCs w:val="24"/>
        </w:rPr>
        <w:t>The ISACA's new COBIT framework for 2019 has been developed to provide a governance and management framework for IT that assists organisations in maximising their IT investment's value, managing risk and using resources wisely. The new version of COBIT builds upon the previous version (COBIT 5) by providing an improved maturity model for governance processes and by delivering guidance for organisations that function in a faster-moving, more connected environment.</w:t>
      </w:r>
    </w:p>
    <w:p w14:paraId="5CE0550C" w14:textId="77777777" w:rsidR="00EC16E9" w:rsidRDefault="00EC16E9" w:rsidP="007C4E84">
      <w:pPr>
        <w:rPr>
          <w:sz w:val="24"/>
          <w:szCs w:val="24"/>
        </w:rPr>
      </w:pPr>
    </w:p>
    <w:p w14:paraId="7B5E851F" w14:textId="2955D530" w:rsidR="00E5533B" w:rsidRPr="007C4E84" w:rsidRDefault="00E5533B" w:rsidP="007C4E84">
      <w:pPr>
        <w:rPr>
          <w:sz w:val="24"/>
          <w:szCs w:val="24"/>
        </w:rPr>
      </w:pPr>
      <w:r>
        <w:rPr>
          <w:noProof/>
        </w:rPr>
        <w:drawing>
          <wp:inline distT="0" distB="0" distL="0" distR="0" wp14:anchorId="72F0F821" wp14:editId="7E521555">
            <wp:extent cx="5715000" cy="2468880"/>
            <wp:effectExtent l="0" t="0" r="0" b="7620"/>
            <wp:docPr id="6" name="Picture 6" descr="COBIT 2019 Framework – ITSM Docs - ITSM Documents &amp;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BIT 2019 Framework – ITSM Docs - ITSM Documents &amp; Templ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468880"/>
                    </a:xfrm>
                    <a:prstGeom prst="rect">
                      <a:avLst/>
                    </a:prstGeom>
                    <a:noFill/>
                    <a:ln>
                      <a:noFill/>
                    </a:ln>
                  </pic:spPr>
                </pic:pic>
              </a:graphicData>
            </a:graphic>
          </wp:inline>
        </w:drawing>
      </w:r>
    </w:p>
    <w:p w14:paraId="32DAFC56" w14:textId="77777777" w:rsidR="00DF3E9B" w:rsidRDefault="00DF3E9B" w:rsidP="00714F36">
      <w:pPr>
        <w:spacing w:after="0"/>
        <w:rPr>
          <w:rFonts w:ascii="Arial" w:hAnsi="Arial" w:cs="Arial"/>
          <w:sz w:val="36"/>
          <w:szCs w:val="36"/>
        </w:rPr>
      </w:pPr>
    </w:p>
    <w:p w14:paraId="4FB72AA3" w14:textId="0C605B98" w:rsidR="00D41323" w:rsidRPr="00DF3E9B" w:rsidRDefault="00D41323" w:rsidP="00DF3E9B">
      <w:pPr>
        <w:pStyle w:val="Heading2"/>
      </w:pPr>
    </w:p>
    <w:tbl>
      <w:tblPr>
        <w:tblpPr w:leftFromText="180" w:rightFromText="180" w:vertAnchor="page" w:horzAnchor="margin" w:tblpY="3733"/>
        <w:tblW w:w="9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73"/>
        <w:gridCol w:w="2281"/>
        <w:gridCol w:w="2495"/>
        <w:gridCol w:w="2672"/>
      </w:tblGrid>
      <w:tr w:rsidR="0067093A" w14:paraId="4229C8BE" w14:textId="77777777" w:rsidTr="002E1C29">
        <w:trPr>
          <w:trHeight w:val="699"/>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7456E812" w14:textId="77777777" w:rsidR="0067093A" w:rsidRPr="007A4ED1" w:rsidRDefault="0067093A" w:rsidP="007B4E54">
            <w:pPr>
              <w:rPr>
                <w:b/>
                <w:bCs/>
                <w:color w:val="000000" w:themeColor="text1"/>
                <w:sz w:val="20"/>
                <w:szCs w:val="20"/>
              </w:rPr>
            </w:pPr>
            <w:r>
              <w:rPr>
                <w:b/>
                <w:bCs/>
                <w:color w:val="000000" w:themeColor="text1"/>
                <w:sz w:val="20"/>
                <w:szCs w:val="20"/>
              </w:rPr>
              <w:t>ISO/IEC 27001</w:t>
            </w:r>
          </w:p>
          <w:p w14:paraId="451201F0" w14:textId="77777777" w:rsidR="0067093A" w:rsidRDefault="0067093A" w:rsidP="007B4E54">
            <w:r>
              <w:rPr>
                <w:b/>
                <w:bCs/>
                <w:color w:val="000000" w:themeColor="text1"/>
              </w:rPr>
              <w:t>2022 + 2024</w:t>
            </w:r>
          </w:p>
        </w:tc>
        <w:tc>
          <w:tcPr>
            <w:tcW w:w="228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EE11BE4" w14:textId="1508FE18" w:rsidR="0067093A" w:rsidRDefault="0067093A" w:rsidP="007B4E54">
            <w:r>
              <w:rPr>
                <w:color w:val="000000"/>
                <w:sz w:val="20"/>
                <w:szCs w:val="20"/>
              </w:rPr>
              <w:t xml:space="preserve">Information Security Management </w:t>
            </w:r>
          </w:p>
        </w:tc>
        <w:tc>
          <w:tcPr>
            <w:tcW w:w="249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CF7F382" w14:textId="77777777" w:rsidR="0067093A" w:rsidRDefault="0067093A" w:rsidP="007B4E54">
            <w:r>
              <w:rPr>
                <w:color w:val="000000"/>
                <w:sz w:val="20"/>
                <w:szCs w:val="20"/>
              </w:rPr>
              <w:t>ISMS, Risk Assessment, Controls (Annex A)</w:t>
            </w:r>
          </w:p>
        </w:tc>
        <w:tc>
          <w:tcPr>
            <w:tcW w:w="26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F45C1D4" w14:textId="77777777" w:rsidR="0067093A" w:rsidRDefault="0067093A" w:rsidP="007B4E54">
            <w:r>
              <w:rPr>
                <w:color w:val="000000"/>
                <w:sz w:val="20"/>
                <w:szCs w:val="20"/>
              </w:rPr>
              <w:t>Primary certification framework for FSB's data governance</w:t>
            </w:r>
          </w:p>
        </w:tc>
      </w:tr>
      <w:tr w:rsidR="0067093A" w14:paraId="59406B33" w14:textId="77777777" w:rsidTr="002E1C29">
        <w:trPr>
          <w:trHeight w:val="495"/>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5806FBFC" w14:textId="77777777" w:rsidR="0067093A" w:rsidRPr="007A4ED1" w:rsidRDefault="0067093A" w:rsidP="007B4E54">
            <w:pPr>
              <w:rPr>
                <w:b/>
                <w:color w:val="000000" w:themeColor="text1"/>
                <w:sz w:val="20"/>
                <w:szCs w:val="20"/>
              </w:rPr>
            </w:pPr>
            <w:r>
              <w:rPr>
                <w:b/>
                <w:color w:val="000000" w:themeColor="text1"/>
                <w:sz w:val="20"/>
                <w:szCs w:val="20"/>
              </w:rPr>
              <w:t>ISO/IEC 27002</w:t>
            </w:r>
          </w:p>
          <w:p w14:paraId="1EFDE005" w14:textId="77777777" w:rsidR="0067093A" w:rsidRDefault="0067093A" w:rsidP="007B4E54">
            <w:r>
              <w:rPr>
                <w:b/>
                <w:color w:val="000000" w:themeColor="text1"/>
                <w:sz w:val="20"/>
                <w:szCs w:val="20"/>
              </w:rPr>
              <w:t>2022</w:t>
            </w:r>
          </w:p>
        </w:tc>
        <w:tc>
          <w:tcPr>
            <w:tcW w:w="2281"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C87E1C2" w14:textId="77777777" w:rsidR="0067093A" w:rsidRDefault="0067093A" w:rsidP="007B4E54">
            <w:r>
              <w:rPr>
                <w:color w:val="000000"/>
                <w:sz w:val="20"/>
                <w:szCs w:val="20"/>
              </w:rPr>
              <w:t>Security Controls Practice</w:t>
            </w:r>
          </w:p>
        </w:tc>
        <w:tc>
          <w:tcPr>
            <w:tcW w:w="249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53EC7CF5" w14:textId="77777777" w:rsidR="0067093A" w:rsidRDefault="0067093A" w:rsidP="007B4E54">
            <w:r>
              <w:rPr>
                <w:color w:val="000000"/>
                <w:sz w:val="20"/>
                <w:szCs w:val="20"/>
              </w:rPr>
              <w:t>114 controls across 14 domains</w:t>
            </w:r>
          </w:p>
        </w:tc>
        <w:tc>
          <w:tcPr>
            <w:tcW w:w="267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3282A6A9" w14:textId="77777777" w:rsidR="0067093A" w:rsidRDefault="0067093A" w:rsidP="007B4E54">
            <w:r>
              <w:rPr>
                <w:color w:val="000000"/>
                <w:sz w:val="20"/>
                <w:szCs w:val="20"/>
              </w:rPr>
              <w:t>Guides implementation of specific security measures.</w:t>
            </w:r>
          </w:p>
        </w:tc>
      </w:tr>
      <w:tr w:rsidR="0067093A" w14:paraId="16A003D6" w14:textId="77777777" w:rsidTr="002E1C29">
        <w:trPr>
          <w:trHeight w:val="504"/>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175D5A26" w14:textId="77777777" w:rsidR="0067093A" w:rsidRPr="007A4ED1" w:rsidRDefault="0067093A" w:rsidP="007B4E54">
            <w:pPr>
              <w:rPr>
                <w:b/>
                <w:bCs/>
                <w:color w:val="000000" w:themeColor="text1"/>
                <w:sz w:val="20"/>
                <w:szCs w:val="20"/>
              </w:rPr>
            </w:pPr>
            <w:r>
              <w:rPr>
                <w:b/>
                <w:bCs/>
                <w:color w:val="000000" w:themeColor="text1"/>
                <w:sz w:val="20"/>
                <w:szCs w:val="20"/>
              </w:rPr>
              <w:t>NIST CSF</w:t>
            </w:r>
          </w:p>
          <w:p w14:paraId="73581661" w14:textId="77777777" w:rsidR="0067093A" w:rsidRPr="007A4ED1" w:rsidRDefault="0067093A" w:rsidP="007B4E54">
            <w:pPr>
              <w:rPr>
                <w:b/>
              </w:rPr>
            </w:pPr>
            <w:r>
              <w:rPr>
                <w:b/>
                <w:color w:val="000000" w:themeColor="text1"/>
                <w:sz w:val="20"/>
                <w:szCs w:val="20"/>
              </w:rPr>
              <w:t>2.0 (Feb 2024)</w:t>
            </w:r>
          </w:p>
        </w:tc>
        <w:tc>
          <w:tcPr>
            <w:tcW w:w="228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55F7862" w14:textId="77777777" w:rsidR="0067093A" w:rsidRDefault="0067093A" w:rsidP="007B4E54">
            <w:r>
              <w:rPr>
                <w:color w:val="000000"/>
                <w:sz w:val="20"/>
                <w:szCs w:val="20"/>
              </w:rPr>
              <w:t>Cybersecurity Risk Management</w:t>
            </w:r>
          </w:p>
        </w:tc>
        <w:tc>
          <w:tcPr>
            <w:tcW w:w="249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A9A05DF" w14:textId="77777777" w:rsidR="0067093A" w:rsidRDefault="0067093A" w:rsidP="007B4E54">
            <w:r>
              <w:rPr>
                <w:color w:val="000000"/>
                <w:sz w:val="20"/>
                <w:szCs w:val="20"/>
              </w:rPr>
              <w:t>Identify, Protect, Detect, Respond, Recover</w:t>
            </w:r>
          </w:p>
        </w:tc>
        <w:tc>
          <w:tcPr>
            <w:tcW w:w="26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1DFED50" w14:textId="77777777" w:rsidR="0067093A" w:rsidRDefault="0067093A" w:rsidP="007B4E54">
            <w:r>
              <w:rPr>
                <w:color w:val="000000"/>
                <w:sz w:val="20"/>
                <w:szCs w:val="20"/>
              </w:rPr>
              <w:t>Risk-based cybersecurity governance structure for FSB.</w:t>
            </w:r>
          </w:p>
        </w:tc>
      </w:tr>
      <w:tr w:rsidR="0067093A" w14:paraId="33DE36F9" w14:textId="77777777" w:rsidTr="002E1C29">
        <w:trPr>
          <w:trHeight w:val="504"/>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13BFE031" w14:textId="77777777" w:rsidR="0067093A" w:rsidRPr="007A4ED1" w:rsidRDefault="0067093A" w:rsidP="007B4E54">
            <w:pPr>
              <w:rPr>
                <w:b/>
              </w:rPr>
            </w:pPr>
            <w:r>
              <w:rPr>
                <w:b/>
                <w:color w:val="000000" w:themeColor="text1"/>
                <w:sz w:val="20"/>
                <w:szCs w:val="20"/>
              </w:rPr>
              <w:t>ITIL v4</w:t>
            </w:r>
            <w:r>
              <w:rPr>
                <w:b/>
                <w:color w:val="000000" w:themeColor="text1"/>
                <w:sz w:val="20"/>
                <w:szCs w:val="20"/>
              </w:rPr>
              <w:br/>
            </w:r>
            <w:r>
              <w:rPr>
                <w:b/>
                <w:color w:val="000000" w:themeColor="text1"/>
                <w:sz w:val="18"/>
                <w:szCs w:val="18"/>
              </w:rPr>
              <w:t>No ITIL v5 exists</w:t>
            </w:r>
          </w:p>
        </w:tc>
        <w:tc>
          <w:tcPr>
            <w:tcW w:w="2281"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43087B29" w14:textId="77777777" w:rsidR="0067093A" w:rsidRDefault="0067093A" w:rsidP="007B4E54">
            <w:r>
              <w:rPr>
                <w:color w:val="000000"/>
                <w:sz w:val="20"/>
                <w:szCs w:val="20"/>
              </w:rPr>
              <w:t>IT Service Management</w:t>
            </w:r>
          </w:p>
        </w:tc>
        <w:tc>
          <w:tcPr>
            <w:tcW w:w="249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3769B90C" w14:textId="77777777" w:rsidR="0067093A" w:rsidRDefault="0067093A" w:rsidP="007B4E54">
            <w:r>
              <w:rPr>
                <w:color w:val="000000"/>
                <w:sz w:val="20"/>
                <w:szCs w:val="20"/>
              </w:rPr>
              <w:t>Service Value Chain, 34 Management Practices</w:t>
            </w:r>
          </w:p>
        </w:tc>
        <w:tc>
          <w:tcPr>
            <w:tcW w:w="267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6DECE370" w14:textId="77777777" w:rsidR="0067093A" w:rsidRDefault="0067093A" w:rsidP="007B4E54">
            <w:r>
              <w:rPr>
                <w:color w:val="000000"/>
                <w:sz w:val="20"/>
                <w:szCs w:val="20"/>
              </w:rPr>
              <w:t>Align FSB’s IT services with security and business goals.</w:t>
            </w:r>
          </w:p>
        </w:tc>
      </w:tr>
      <w:tr w:rsidR="0067093A" w14:paraId="038F9FC1" w14:textId="77777777" w:rsidTr="002E1C29">
        <w:trPr>
          <w:trHeight w:val="699"/>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6EEFCEE3" w14:textId="77777777" w:rsidR="0067093A" w:rsidRPr="007A4ED1" w:rsidRDefault="0067093A" w:rsidP="007B4E54">
            <w:pPr>
              <w:rPr>
                <w:b/>
                <w:bCs/>
                <w:color w:val="000000" w:themeColor="text1"/>
                <w:sz w:val="20"/>
                <w:szCs w:val="20"/>
              </w:rPr>
            </w:pPr>
            <w:r>
              <w:rPr>
                <w:b/>
                <w:bCs/>
                <w:color w:val="000000" w:themeColor="text1"/>
                <w:sz w:val="20"/>
                <w:szCs w:val="20"/>
              </w:rPr>
              <w:t>COBIT 2019</w:t>
            </w:r>
          </w:p>
          <w:p w14:paraId="00E0D1E8" w14:textId="77777777" w:rsidR="0067093A" w:rsidRDefault="0067093A" w:rsidP="007B4E54">
            <w:r>
              <w:rPr>
                <w:b/>
                <w:bCs/>
                <w:color w:val="000000" w:themeColor="text1"/>
              </w:rPr>
              <w:t>(Current)</w:t>
            </w:r>
          </w:p>
        </w:tc>
        <w:tc>
          <w:tcPr>
            <w:tcW w:w="228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BE15313" w14:textId="77777777" w:rsidR="0067093A" w:rsidRDefault="0067093A" w:rsidP="007B4E54">
            <w:r>
              <w:rPr>
                <w:color w:val="000000"/>
                <w:sz w:val="20"/>
                <w:szCs w:val="20"/>
              </w:rPr>
              <w:t>IT Governance &amp; Audit</w:t>
            </w:r>
          </w:p>
        </w:tc>
        <w:tc>
          <w:tcPr>
            <w:tcW w:w="249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E3CD6AC" w14:textId="77777777" w:rsidR="0067093A" w:rsidRDefault="0067093A" w:rsidP="007B4E54">
            <w:r>
              <w:rPr>
                <w:color w:val="000000"/>
                <w:sz w:val="20"/>
                <w:szCs w:val="20"/>
              </w:rPr>
              <w:t>40 Governance/Management Objectives, 6 Design Factors</w:t>
            </w:r>
          </w:p>
        </w:tc>
        <w:tc>
          <w:tcPr>
            <w:tcW w:w="26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F045077" w14:textId="77777777" w:rsidR="0067093A" w:rsidRDefault="0067093A" w:rsidP="007B4E54">
            <w:r>
              <w:rPr>
                <w:color w:val="000000"/>
                <w:sz w:val="20"/>
                <w:szCs w:val="20"/>
              </w:rPr>
              <w:t>Enterprise IT governance and compliance auditing (SOX, internal audit).</w:t>
            </w:r>
          </w:p>
        </w:tc>
      </w:tr>
      <w:tr w:rsidR="0067093A" w14:paraId="7303D1C6" w14:textId="77777777" w:rsidTr="002E1C29">
        <w:trPr>
          <w:trHeight w:val="495"/>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37F05D45" w14:textId="77777777" w:rsidR="0067093A" w:rsidRPr="007A4ED1" w:rsidRDefault="0067093A" w:rsidP="007B4E54">
            <w:pPr>
              <w:rPr>
                <w:b/>
              </w:rPr>
            </w:pPr>
            <w:r>
              <w:rPr>
                <w:b/>
                <w:color w:val="000000" w:themeColor="text1"/>
                <w:sz w:val="20"/>
                <w:szCs w:val="20"/>
              </w:rPr>
              <w:t>PCI DSS</w:t>
            </w:r>
            <w:r>
              <w:rPr>
                <w:b/>
                <w:color w:val="000000" w:themeColor="text1"/>
                <w:sz w:val="20"/>
                <w:szCs w:val="20"/>
              </w:rPr>
              <w:br/>
            </w:r>
            <w:r>
              <w:rPr>
                <w:b/>
                <w:color w:val="000000" w:themeColor="text1"/>
              </w:rPr>
              <w:t xml:space="preserve">v4.0.1 </w:t>
            </w:r>
          </w:p>
        </w:tc>
        <w:tc>
          <w:tcPr>
            <w:tcW w:w="2281"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1B36F5B6" w14:textId="77777777" w:rsidR="0067093A" w:rsidRDefault="0067093A" w:rsidP="007B4E54">
            <w:r>
              <w:rPr>
                <w:color w:val="000000"/>
                <w:sz w:val="20"/>
                <w:szCs w:val="20"/>
              </w:rPr>
              <w:t>Payment Card Security</w:t>
            </w:r>
          </w:p>
        </w:tc>
        <w:tc>
          <w:tcPr>
            <w:tcW w:w="249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267D1232" w14:textId="77777777" w:rsidR="0067093A" w:rsidRDefault="0067093A" w:rsidP="007B4E54">
            <w:r>
              <w:rPr>
                <w:color w:val="000000"/>
                <w:sz w:val="20"/>
                <w:szCs w:val="20"/>
              </w:rPr>
              <w:t>12 requirements across 6 goals</w:t>
            </w:r>
          </w:p>
        </w:tc>
        <w:tc>
          <w:tcPr>
            <w:tcW w:w="267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272FE228" w14:textId="77777777" w:rsidR="0067093A" w:rsidRDefault="0067093A" w:rsidP="007B4E54">
            <w:r>
              <w:rPr>
                <w:color w:val="000000"/>
                <w:sz w:val="20"/>
                <w:szCs w:val="20"/>
              </w:rPr>
              <w:t>Mandatory for FSB's card processing operations.</w:t>
            </w:r>
          </w:p>
        </w:tc>
      </w:tr>
      <w:tr w:rsidR="0067093A" w14:paraId="212887E8" w14:textId="77777777" w:rsidTr="002E1C29">
        <w:trPr>
          <w:trHeight w:val="504"/>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74939070" w14:textId="77777777" w:rsidR="0067093A" w:rsidRPr="007A4ED1" w:rsidRDefault="0067093A" w:rsidP="007B4E54">
            <w:pPr>
              <w:rPr>
                <w:b/>
                <w:bCs/>
                <w:color w:val="000000" w:themeColor="text1"/>
                <w:sz w:val="20"/>
                <w:szCs w:val="20"/>
              </w:rPr>
            </w:pPr>
            <w:r>
              <w:rPr>
                <w:b/>
                <w:bCs/>
                <w:color w:val="000000" w:themeColor="text1"/>
                <w:sz w:val="20"/>
                <w:szCs w:val="20"/>
              </w:rPr>
              <w:t>GDPR</w:t>
            </w:r>
          </w:p>
          <w:p w14:paraId="5C190E19" w14:textId="77777777" w:rsidR="0067093A" w:rsidRDefault="0067093A" w:rsidP="007B4E54">
            <w:r>
              <w:rPr>
                <w:b/>
                <w:bCs/>
                <w:color w:val="000000" w:themeColor="text1"/>
                <w:sz w:val="20"/>
                <w:szCs w:val="20"/>
              </w:rPr>
              <w:t>EU2016/679 (2018)</w:t>
            </w:r>
          </w:p>
        </w:tc>
        <w:tc>
          <w:tcPr>
            <w:tcW w:w="228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83EC733" w14:textId="77777777" w:rsidR="0067093A" w:rsidRDefault="0067093A" w:rsidP="007B4E54">
            <w:r>
              <w:rPr>
                <w:color w:val="000000"/>
                <w:sz w:val="20"/>
                <w:szCs w:val="20"/>
              </w:rPr>
              <w:t>Data Privacy &amp; Protection</w:t>
            </w:r>
          </w:p>
        </w:tc>
        <w:tc>
          <w:tcPr>
            <w:tcW w:w="249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B6CBB82" w14:textId="77777777" w:rsidR="0067093A" w:rsidRDefault="0067093A" w:rsidP="007B4E54">
            <w:r>
              <w:rPr>
                <w:color w:val="000000"/>
                <w:sz w:val="20"/>
                <w:szCs w:val="20"/>
              </w:rPr>
              <w:t>Lawfulness, Rights, DPO, Breach Notification</w:t>
            </w:r>
          </w:p>
        </w:tc>
        <w:tc>
          <w:tcPr>
            <w:tcW w:w="26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56224C0" w14:textId="77777777" w:rsidR="0067093A" w:rsidRDefault="0067093A" w:rsidP="007B4E54">
            <w:r>
              <w:rPr>
                <w:color w:val="000000"/>
                <w:sz w:val="20"/>
                <w:szCs w:val="20"/>
              </w:rPr>
              <w:t>Critical for FSB's multi-country EU/EEA data handling.</w:t>
            </w:r>
          </w:p>
        </w:tc>
      </w:tr>
    </w:tbl>
    <w:p w14:paraId="0FAC9E92" w14:textId="6C4BF09F" w:rsidR="00BA5BF7" w:rsidRDefault="00BA5BF7">
      <w:pPr>
        <w:spacing w:after="0"/>
        <w:rPr>
          <w:rFonts w:ascii="Arial" w:hAnsi="Arial" w:cs="Arial"/>
          <w:sz w:val="36"/>
          <w:szCs w:val="36"/>
        </w:rPr>
      </w:pPr>
    </w:p>
    <w:p w14:paraId="5F8B72C5" w14:textId="42B41099" w:rsidR="002E1C29" w:rsidRDefault="002E1C29" w:rsidP="008900F9">
      <w:pPr>
        <w:pStyle w:val="Heading1"/>
      </w:pPr>
      <w:r>
        <w:t xml:space="preserve"> </w:t>
      </w:r>
      <w:bookmarkStart w:id="13" w:name="_Toc227765948"/>
      <w:r>
        <w:t>1.5 Framework Comparison and Selection Rationale</w:t>
      </w:r>
      <w:bookmarkEnd w:id="13"/>
    </w:p>
    <w:p w14:paraId="7FAF846C" w14:textId="7D4DB2A3" w:rsidR="00FD003A" w:rsidRPr="008900F9" w:rsidRDefault="008B4BE5" w:rsidP="008900F9">
      <w:pPr>
        <w:pStyle w:val="Heading1"/>
      </w:pPr>
      <w:bookmarkStart w:id="14" w:name="_Toc227765949"/>
      <w:r w:rsidRPr="008900F9">
        <w:t>2. Designed Security Governance and Compliance Framework for FSB</w:t>
      </w:r>
      <w:bookmarkEnd w:id="14"/>
    </w:p>
    <w:p w14:paraId="3C6D9DF1" w14:textId="58157756" w:rsidR="00FD003A" w:rsidRPr="00FD003A" w:rsidRDefault="00EC16E9" w:rsidP="00EC16E9">
      <w:pPr>
        <w:jc w:val="both"/>
        <w:rPr>
          <w:sz w:val="24"/>
          <w:szCs w:val="24"/>
        </w:rPr>
      </w:pPr>
      <w:r w:rsidRPr="00EC16E9">
        <w:rPr>
          <w:sz w:val="24"/>
          <w:szCs w:val="24"/>
        </w:rPr>
        <w:t>The Integrated Security Governance Framework of the FSB (FSB-ISGF) utilizes four frameworks simultaneously rather than using each one individually. The basis for the Information Security Management System (ISMS) is based on ISO/IEC 27001, ITIL 4 focuses on managing services and managing operational security, NIST CSF provides a structure for the life-cycle of managing threats and COBIT 2019 serves as the basis for the governance of IT at the board-level. The goal is not to add redundancy within the various frameworks and create additional layers of bureaucracy but to combine the most applicable aspects from each of these four frameworks to form a single coherent model that is consistent with FSB’s cloud-first operating environment.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65"/>
        <w:gridCol w:w="1954"/>
        <w:gridCol w:w="1975"/>
        <w:gridCol w:w="1884"/>
        <w:gridCol w:w="2110"/>
      </w:tblGrid>
      <w:tr w:rsidR="00727DEF" w14:paraId="1EA58468" w14:textId="77777777" w:rsidTr="00D42F65">
        <w:tc>
          <w:tcPr>
            <w:tcW w:w="1872" w:type="dxa"/>
            <w:tcBorders>
              <w:top w:val="single" w:sz="1" w:space="0" w:color="CCCCCC"/>
              <w:left w:val="single" w:sz="1" w:space="0" w:color="CCCCCC"/>
              <w:bottom w:val="single" w:sz="1" w:space="0" w:color="CCCCCC"/>
              <w:right w:val="single" w:sz="1" w:space="0" w:color="CCCCCC"/>
            </w:tcBorders>
            <w:shd w:val="clear" w:color="auto" w:fill="0D0D0D" w:themeFill="text1" w:themeFillTint="F2"/>
            <w:tcMar>
              <w:top w:w="80" w:type="dxa"/>
              <w:left w:w="120" w:type="dxa"/>
              <w:bottom w:w="80" w:type="dxa"/>
              <w:right w:w="120" w:type="dxa"/>
            </w:tcMar>
            <w:vAlign w:val="center"/>
          </w:tcPr>
          <w:p w14:paraId="101C0800" w14:textId="77777777" w:rsidR="00727DEF" w:rsidRDefault="00727DEF" w:rsidP="00395A50">
            <w:pPr>
              <w:jc w:val="center"/>
            </w:pPr>
            <w:r>
              <w:rPr>
                <w:b/>
                <w:bCs/>
                <w:color w:val="FFFFFF"/>
                <w:sz w:val="20"/>
                <w:szCs w:val="20"/>
              </w:rPr>
              <w:lastRenderedPageBreak/>
              <w:t>PILLAR 1 Governance &amp; Strategy</w:t>
            </w:r>
          </w:p>
        </w:tc>
        <w:tc>
          <w:tcPr>
            <w:tcW w:w="1872" w:type="dxa"/>
            <w:tcBorders>
              <w:top w:val="single" w:sz="1" w:space="0" w:color="CCCCCC"/>
              <w:left w:val="single" w:sz="1" w:space="0" w:color="CCCCCC"/>
              <w:bottom w:val="single" w:sz="1" w:space="0" w:color="CCCCCC"/>
              <w:right w:val="single" w:sz="1" w:space="0" w:color="CCCCCC"/>
            </w:tcBorders>
            <w:shd w:val="clear" w:color="auto" w:fill="000000" w:themeFill="text1"/>
            <w:tcMar>
              <w:top w:w="80" w:type="dxa"/>
              <w:left w:w="120" w:type="dxa"/>
              <w:bottom w:w="80" w:type="dxa"/>
              <w:right w:w="120" w:type="dxa"/>
            </w:tcMar>
            <w:vAlign w:val="center"/>
          </w:tcPr>
          <w:p w14:paraId="1E6BA1FF" w14:textId="77777777" w:rsidR="00727DEF" w:rsidRDefault="00727DEF" w:rsidP="00395A50">
            <w:pPr>
              <w:jc w:val="center"/>
            </w:pPr>
            <w:r>
              <w:rPr>
                <w:b/>
                <w:bCs/>
                <w:color w:val="FFFFFF"/>
                <w:sz w:val="20"/>
                <w:szCs w:val="20"/>
              </w:rPr>
              <w:t>PILLAR 2 Risk Management</w:t>
            </w:r>
          </w:p>
        </w:tc>
        <w:tc>
          <w:tcPr>
            <w:tcW w:w="1872" w:type="dxa"/>
            <w:tcBorders>
              <w:top w:val="single" w:sz="1" w:space="0" w:color="CCCCCC"/>
              <w:left w:val="single" w:sz="1" w:space="0" w:color="CCCCCC"/>
              <w:bottom w:val="single" w:sz="1" w:space="0" w:color="CCCCCC"/>
              <w:right w:val="single" w:sz="1" w:space="0" w:color="CCCCCC"/>
            </w:tcBorders>
            <w:shd w:val="clear" w:color="auto" w:fill="0D0D0D" w:themeFill="text1" w:themeFillTint="F2"/>
            <w:tcMar>
              <w:top w:w="80" w:type="dxa"/>
              <w:left w:w="120" w:type="dxa"/>
              <w:bottom w:w="80" w:type="dxa"/>
              <w:right w:w="120" w:type="dxa"/>
            </w:tcMar>
            <w:vAlign w:val="center"/>
          </w:tcPr>
          <w:p w14:paraId="22327DBE" w14:textId="77777777" w:rsidR="00727DEF" w:rsidRDefault="00727DEF" w:rsidP="00395A50">
            <w:pPr>
              <w:jc w:val="center"/>
            </w:pPr>
            <w:r>
              <w:rPr>
                <w:b/>
                <w:bCs/>
                <w:color w:val="FFFFFF"/>
                <w:sz w:val="20"/>
                <w:szCs w:val="20"/>
              </w:rPr>
              <w:t>PILLAR 3 Compliance &amp; Legal</w:t>
            </w:r>
          </w:p>
        </w:tc>
        <w:tc>
          <w:tcPr>
            <w:tcW w:w="1872" w:type="dxa"/>
            <w:tcBorders>
              <w:top w:val="single" w:sz="1" w:space="0" w:color="CCCCCC"/>
              <w:left w:val="single" w:sz="1" w:space="0" w:color="CCCCCC"/>
              <w:bottom w:val="single" w:sz="1" w:space="0" w:color="CCCCCC"/>
              <w:right w:val="single" w:sz="1" w:space="0" w:color="CCCCCC"/>
            </w:tcBorders>
            <w:shd w:val="clear" w:color="auto" w:fill="0D0D0D" w:themeFill="text1" w:themeFillTint="F2"/>
            <w:tcMar>
              <w:top w:w="80" w:type="dxa"/>
              <w:left w:w="120" w:type="dxa"/>
              <w:bottom w:w="80" w:type="dxa"/>
              <w:right w:w="120" w:type="dxa"/>
            </w:tcMar>
            <w:vAlign w:val="center"/>
          </w:tcPr>
          <w:p w14:paraId="060EAE28" w14:textId="77777777" w:rsidR="00727DEF" w:rsidRDefault="00727DEF" w:rsidP="00395A50">
            <w:pPr>
              <w:jc w:val="center"/>
            </w:pPr>
            <w:r>
              <w:rPr>
                <w:b/>
                <w:bCs/>
                <w:color w:val="FFFFFF"/>
                <w:sz w:val="20"/>
                <w:szCs w:val="20"/>
              </w:rPr>
              <w:t>PILLAR 4 Protection &amp; Controls</w:t>
            </w:r>
          </w:p>
        </w:tc>
        <w:tc>
          <w:tcPr>
            <w:tcW w:w="1872" w:type="dxa"/>
            <w:tcBorders>
              <w:top w:val="single" w:sz="1" w:space="0" w:color="CCCCCC"/>
              <w:left w:val="single" w:sz="1" w:space="0" w:color="CCCCCC"/>
              <w:bottom w:val="single" w:sz="1" w:space="0" w:color="CCCCCC"/>
              <w:right w:val="single" w:sz="1" w:space="0" w:color="CCCCCC"/>
            </w:tcBorders>
            <w:shd w:val="clear" w:color="auto" w:fill="0D0D0D" w:themeFill="text1" w:themeFillTint="F2"/>
            <w:tcMar>
              <w:top w:w="80" w:type="dxa"/>
              <w:left w:w="120" w:type="dxa"/>
              <w:bottom w:w="80" w:type="dxa"/>
              <w:right w:w="120" w:type="dxa"/>
            </w:tcMar>
            <w:vAlign w:val="center"/>
          </w:tcPr>
          <w:p w14:paraId="7C3BD69F" w14:textId="77777777" w:rsidR="00727DEF" w:rsidRDefault="00727DEF" w:rsidP="00395A50">
            <w:pPr>
              <w:jc w:val="center"/>
            </w:pPr>
            <w:r>
              <w:rPr>
                <w:b/>
                <w:bCs/>
                <w:color w:val="FFFFFF"/>
                <w:sz w:val="20"/>
                <w:szCs w:val="20"/>
              </w:rPr>
              <w:t>PILLAR 5 Resilience &amp; Recovery</w:t>
            </w:r>
          </w:p>
        </w:tc>
      </w:tr>
      <w:tr w:rsidR="00727DEF" w14:paraId="3F168325" w14:textId="77777777" w:rsidTr="008508B3">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4ED539F6" w14:textId="77777777" w:rsidR="00727DEF" w:rsidRDefault="00727DEF" w:rsidP="00727DEF">
            <w:pPr>
              <w:pStyle w:val="ListParagraph"/>
              <w:numPr>
                <w:ilvl w:val="0"/>
                <w:numId w:val="9"/>
              </w:numPr>
              <w:spacing w:before="60" w:after="60" w:line="240" w:lineRule="auto"/>
              <w:contextualSpacing w:val="0"/>
            </w:pPr>
            <w:r>
              <w:t>Board oversight</w:t>
            </w:r>
          </w:p>
          <w:p w14:paraId="651D6456" w14:textId="77777777" w:rsidR="00727DEF" w:rsidRDefault="00727DEF" w:rsidP="00727DEF">
            <w:pPr>
              <w:pStyle w:val="ListParagraph"/>
              <w:numPr>
                <w:ilvl w:val="0"/>
                <w:numId w:val="9"/>
              </w:numPr>
              <w:spacing w:before="60" w:after="60" w:line="240" w:lineRule="auto"/>
              <w:contextualSpacing w:val="0"/>
            </w:pPr>
            <w:r>
              <w:t>CISO &amp; Security Committee</w:t>
            </w:r>
          </w:p>
          <w:p w14:paraId="339F2C82" w14:textId="77777777" w:rsidR="00727DEF" w:rsidRDefault="00727DEF" w:rsidP="00727DEF">
            <w:pPr>
              <w:pStyle w:val="ListParagraph"/>
              <w:numPr>
                <w:ilvl w:val="0"/>
                <w:numId w:val="9"/>
              </w:numPr>
              <w:spacing w:before="60" w:after="60" w:line="240" w:lineRule="auto"/>
              <w:contextualSpacing w:val="0"/>
            </w:pPr>
            <w:r>
              <w:t>Security strategy</w:t>
            </w:r>
          </w:p>
          <w:p w14:paraId="7C7B34F7" w14:textId="77777777" w:rsidR="00727DEF" w:rsidRDefault="00727DEF" w:rsidP="00727DEF">
            <w:pPr>
              <w:pStyle w:val="ListParagraph"/>
              <w:numPr>
                <w:ilvl w:val="0"/>
                <w:numId w:val="9"/>
              </w:numPr>
              <w:spacing w:before="60" w:after="60" w:line="240" w:lineRule="auto"/>
              <w:contextualSpacing w:val="0"/>
            </w:pPr>
            <w:r>
              <w:t>Policy framework</w:t>
            </w:r>
          </w:p>
          <w:p w14:paraId="1DABDB59" w14:textId="77777777" w:rsidR="00727DEF" w:rsidRDefault="00727DEF" w:rsidP="00727DEF">
            <w:pPr>
              <w:pStyle w:val="ListParagraph"/>
              <w:numPr>
                <w:ilvl w:val="0"/>
                <w:numId w:val="9"/>
              </w:numPr>
              <w:spacing w:before="60" w:after="60" w:line="240" w:lineRule="auto"/>
              <w:contextualSpacing w:val="0"/>
            </w:pPr>
            <w:r>
              <w:t>COBIT governance</w:t>
            </w:r>
          </w:p>
        </w:tc>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650AA34C" w14:textId="77777777" w:rsidR="00727DEF" w:rsidRDefault="00727DEF" w:rsidP="00727DEF">
            <w:pPr>
              <w:pStyle w:val="ListParagraph"/>
              <w:numPr>
                <w:ilvl w:val="0"/>
                <w:numId w:val="9"/>
              </w:numPr>
              <w:spacing w:before="60" w:after="60" w:line="240" w:lineRule="auto"/>
              <w:contextualSpacing w:val="0"/>
            </w:pPr>
            <w:r>
              <w:t>ISO 27005 risk assessment</w:t>
            </w:r>
          </w:p>
          <w:p w14:paraId="64277CC3" w14:textId="77777777" w:rsidR="00727DEF" w:rsidRDefault="00727DEF" w:rsidP="00727DEF">
            <w:pPr>
              <w:pStyle w:val="ListParagraph"/>
              <w:numPr>
                <w:ilvl w:val="0"/>
                <w:numId w:val="9"/>
              </w:numPr>
              <w:spacing w:before="60" w:after="60" w:line="240" w:lineRule="auto"/>
              <w:contextualSpacing w:val="0"/>
            </w:pPr>
            <w:r>
              <w:t>Risk register</w:t>
            </w:r>
          </w:p>
          <w:p w14:paraId="59EA4318" w14:textId="77777777" w:rsidR="00727DEF" w:rsidRDefault="00727DEF" w:rsidP="00727DEF">
            <w:pPr>
              <w:pStyle w:val="ListParagraph"/>
              <w:numPr>
                <w:ilvl w:val="0"/>
                <w:numId w:val="9"/>
              </w:numPr>
              <w:spacing w:before="60" w:after="60" w:line="240" w:lineRule="auto"/>
              <w:contextualSpacing w:val="0"/>
            </w:pPr>
            <w:r>
              <w:t>Risk matrix</w:t>
            </w:r>
          </w:p>
          <w:p w14:paraId="0B1CCC09" w14:textId="77777777" w:rsidR="00727DEF" w:rsidRDefault="00727DEF" w:rsidP="00727DEF">
            <w:pPr>
              <w:pStyle w:val="ListParagraph"/>
              <w:numPr>
                <w:ilvl w:val="0"/>
                <w:numId w:val="9"/>
              </w:numPr>
              <w:spacing w:before="60" w:after="60" w:line="240" w:lineRule="auto"/>
              <w:contextualSpacing w:val="0"/>
            </w:pPr>
            <w:r>
              <w:t>Third-party risk</w:t>
            </w:r>
          </w:p>
          <w:p w14:paraId="6ACC205A" w14:textId="77777777" w:rsidR="00727DEF" w:rsidRDefault="00727DEF" w:rsidP="00727DEF">
            <w:pPr>
              <w:pStyle w:val="ListParagraph"/>
              <w:numPr>
                <w:ilvl w:val="0"/>
                <w:numId w:val="9"/>
              </w:numPr>
              <w:spacing w:before="60" w:after="60" w:line="240" w:lineRule="auto"/>
              <w:contextualSpacing w:val="0"/>
            </w:pPr>
            <w:r>
              <w:t>BYOD risk</w:t>
            </w:r>
          </w:p>
        </w:tc>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3402078B" w14:textId="77777777" w:rsidR="00727DEF" w:rsidRDefault="00727DEF" w:rsidP="00727DEF">
            <w:pPr>
              <w:pStyle w:val="ListParagraph"/>
              <w:numPr>
                <w:ilvl w:val="0"/>
                <w:numId w:val="9"/>
              </w:numPr>
              <w:spacing w:before="60" w:after="60" w:line="240" w:lineRule="auto"/>
              <w:contextualSpacing w:val="0"/>
            </w:pPr>
            <w:r>
              <w:t>GDPR compliance</w:t>
            </w:r>
          </w:p>
          <w:p w14:paraId="4CE83A3C" w14:textId="77777777" w:rsidR="00727DEF" w:rsidRDefault="00727DEF" w:rsidP="00727DEF">
            <w:pPr>
              <w:pStyle w:val="ListParagraph"/>
              <w:numPr>
                <w:ilvl w:val="0"/>
                <w:numId w:val="9"/>
              </w:numPr>
              <w:spacing w:before="60" w:after="60" w:line="240" w:lineRule="auto"/>
              <w:contextualSpacing w:val="0"/>
            </w:pPr>
            <w:r>
              <w:t>PCI DSS</w:t>
            </w:r>
          </w:p>
          <w:p w14:paraId="040EE85E" w14:textId="77777777" w:rsidR="00727DEF" w:rsidRDefault="00727DEF" w:rsidP="00727DEF">
            <w:pPr>
              <w:pStyle w:val="ListParagraph"/>
              <w:numPr>
                <w:ilvl w:val="0"/>
                <w:numId w:val="9"/>
              </w:numPr>
              <w:spacing w:before="60" w:after="60" w:line="240" w:lineRule="auto"/>
              <w:contextualSpacing w:val="0"/>
            </w:pPr>
            <w:r>
              <w:t>ISO 27001 ISMS</w:t>
            </w:r>
          </w:p>
          <w:p w14:paraId="4AF50616" w14:textId="77777777" w:rsidR="00727DEF" w:rsidRDefault="00727DEF" w:rsidP="00727DEF">
            <w:pPr>
              <w:pStyle w:val="ListParagraph"/>
              <w:numPr>
                <w:ilvl w:val="0"/>
                <w:numId w:val="9"/>
              </w:numPr>
              <w:spacing w:before="60" w:after="60" w:line="240" w:lineRule="auto"/>
              <w:contextualSpacing w:val="0"/>
            </w:pPr>
            <w:r>
              <w:t>Multi-jurisdiction</w:t>
            </w:r>
          </w:p>
          <w:p w14:paraId="34F74CB7" w14:textId="77777777" w:rsidR="00727DEF" w:rsidRDefault="00727DEF" w:rsidP="00727DEF">
            <w:pPr>
              <w:pStyle w:val="ListParagraph"/>
              <w:numPr>
                <w:ilvl w:val="0"/>
                <w:numId w:val="9"/>
              </w:numPr>
              <w:spacing w:before="60" w:after="60" w:line="240" w:lineRule="auto"/>
              <w:contextualSpacing w:val="0"/>
            </w:pPr>
            <w:r>
              <w:t>Audit programme</w:t>
            </w:r>
          </w:p>
        </w:tc>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0E46D057" w14:textId="77777777" w:rsidR="00727DEF" w:rsidRDefault="00727DEF" w:rsidP="00727DEF">
            <w:pPr>
              <w:pStyle w:val="ListParagraph"/>
              <w:numPr>
                <w:ilvl w:val="0"/>
                <w:numId w:val="9"/>
              </w:numPr>
              <w:spacing w:before="60" w:after="60" w:line="240" w:lineRule="auto"/>
              <w:contextualSpacing w:val="0"/>
            </w:pPr>
            <w:r>
              <w:t>Zero Trust model</w:t>
            </w:r>
          </w:p>
          <w:p w14:paraId="4DB35480" w14:textId="77777777" w:rsidR="00727DEF" w:rsidRDefault="00727DEF" w:rsidP="00727DEF">
            <w:pPr>
              <w:pStyle w:val="ListParagraph"/>
              <w:numPr>
                <w:ilvl w:val="0"/>
                <w:numId w:val="9"/>
              </w:numPr>
              <w:spacing w:before="60" w:after="60" w:line="240" w:lineRule="auto"/>
              <w:contextualSpacing w:val="0"/>
            </w:pPr>
            <w:r>
              <w:t>MFA &amp; IAM</w:t>
            </w:r>
          </w:p>
          <w:p w14:paraId="73BD837F" w14:textId="77777777" w:rsidR="00727DEF" w:rsidRDefault="00727DEF" w:rsidP="00727DEF">
            <w:pPr>
              <w:pStyle w:val="ListParagraph"/>
              <w:numPr>
                <w:ilvl w:val="0"/>
                <w:numId w:val="9"/>
              </w:numPr>
              <w:spacing w:before="60" w:after="60" w:line="240" w:lineRule="auto"/>
              <w:contextualSpacing w:val="0"/>
            </w:pPr>
            <w:r>
              <w:t>Encryption</w:t>
            </w:r>
          </w:p>
          <w:p w14:paraId="486A868A" w14:textId="77777777" w:rsidR="00727DEF" w:rsidRDefault="00727DEF" w:rsidP="00727DEF">
            <w:pPr>
              <w:pStyle w:val="ListParagraph"/>
              <w:numPr>
                <w:ilvl w:val="0"/>
                <w:numId w:val="9"/>
              </w:numPr>
              <w:spacing w:before="60" w:after="60" w:line="240" w:lineRule="auto"/>
              <w:contextualSpacing w:val="0"/>
            </w:pPr>
            <w:r>
              <w:t>SIEM &amp; SOC</w:t>
            </w:r>
          </w:p>
          <w:p w14:paraId="39B82916" w14:textId="77777777" w:rsidR="00727DEF" w:rsidRDefault="00727DEF" w:rsidP="00727DEF">
            <w:pPr>
              <w:pStyle w:val="ListParagraph"/>
              <w:numPr>
                <w:ilvl w:val="0"/>
                <w:numId w:val="9"/>
              </w:numPr>
              <w:spacing w:before="60" w:after="60" w:line="240" w:lineRule="auto"/>
              <w:contextualSpacing w:val="0"/>
            </w:pPr>
            <w:r>
              <w:t>DLP &amp; IDS/IPS</w:t>
            </w:r>
          </w:p>
        </w:tc>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690CF95F" w14:textId="77777777" w:rsidR="00727DEF" w:rsidRDefault="00727DEF" w:rsidP="00727DEF">
            <w:pPr>
              <w:pStyle w:val="ListParagraph"/>
              <w:numPr>
                <w:ilvl w:val="0"/>
                <w:numId w:val="9"/>
              </w:numPr>
              <w:spacing w:before="60" w:after="60" w:line="240" w:lineRule="auto"/>
              <w:contextualSpacing w:val="0"/>
            </w:pPr>
            <w:r>
              <w:t>Business Continuity</w:t>
            </w:r>
          </w:p>
          <w:p w14:paraId="31C79D2F" w14:textId="77777777" w:rsidR="00727DEF" w:rsidRDefault="00727DEF" w:rsidP="00727DEF">
            <w:pPr>
              <w:pStyle w:val="ListParagraph"/>
              <w:numPr>
                <w:ilvl w:val="0"/>
                <w:numId w:val="9"/>
              </w:numPr>
              <w:spacing w:before="60" w:after="60" w:line="240" w:lineRule="auto"/>
              <w:contextualSpacing w:val="0"/>
            </w:pPr>
            <w:r>
              <w:t>Disaster Recovery</w:t>
            </w:r>
          </w:p>
          <w:p w14:paraId="51E5EE96" w14:textId="77777777" w:rsidR="00727DEF" w:rsidRDefault="00727DEF" w:rsidP="00727DEF">
            <w:pPr>
              <w:pStyle w:val="ListParagraph"/>
              <w:numPr>
                <w:ilvl w:val="0"/>
                <w:numId w:val="9"/>
              </w:numPr>
              <w:spacing w:before="60" w:after="60" w:line="240" w:lineRule="auto"/>
              <w:contextualSpacing w:val="0"/>
            </w:pPr>
            <w:r>
              <w:t>Incident Response</w:t>
            </w:r>
          </w:p>
          <w:p w14:paraId="7CFEDA83" w14:textId="77777777" w:rsidR="00727DEF" w:rsidRDefault="00727DEF" w:rsidP="00727DEF">
            <w:pPr>
              <w:pStyle w:val="ListParagraph"/>
              <w:numPr>
                <w:ilvl w:val="0"/>
                <w:numId w:val="9"/>
              </w:numPr>
              <w:spacing w:before="60" w:after="60" w:line="240" w:lineRule="auto"/>
              <w:contextualSpacing w:val="0"/>
            </w:pPr>
            <w:r>
              <w:t>Multi-cloud</w:t>
            </w:r>
          </w:p>
          <w:p w14:paraId="5811D49D" w14:textId="77777777" w:rsidR="00727DEF" w:rsidRDefault="00727DEF" w:rsidP="00727DEF">
            <w:pPr>
              <w:pStyle w:val="ListParagraph"/>
              <w:numPr>
                <w:ilvl w:val="0"/>
                <w:numId w:val="9"/>
              </w:numPr>
              <w:spacing w:before="60" w:after="60" w:line="240" w:lineRule="auto"/>
              <w:contextualSpacing w:val="0"/>
            </w:pPr>
            <w:r>
              <w:t>SLA management</w:t>
            </w:r>
          </w:p>
        </w:tc>
      </w:tr>
    </w:tbl>
    <w:p w14:paraId="23E65B30" w14:textId="1B7D9712" w:rsidR="00BA5BF7" w:rsidRDefault="004E4984" w:rsidP="004E4984">
      <w:pPr>
        <w:pStyle w:val="Heading2"/>
      </w:pPr>
      <w:bookmarkStart w:id="15" w:name="_Toc227765950"/>
      <w:r>
        <w:t>2.1 Governance and Strategic Planning for Security</w:t>
      </w:r>
      <w:bookmarkEnd w:id="15"/>
    </w:p>
    <w:p w14:paraId="5AF42F15" w14:textId="67BBC2C3" w:rsidR="00665E3F" w:rsidRDefault="00A111D3" w:rsidP="00E16179">
      <w:pPr>
        <w:rPr>
          <w:sz w:val="24"/>
          <w:szCs w:val="24"/>
        </w:rPr>
      </w:pPr>
      <w:r w:rsidRPr="00A111D3">
        <w:rPr>
          <w:sz w:val="24"/>
          <w:szCs w:val="24"/>
        </w:rPr>
        <w:t>FSB must establish a formal Security Governance Structure (SGS) that assigns clear roles, responsibilities, and accountability at every organisational level. Inspired by COBIT 2019 and ISO 27001, a three-tier governance model</w:t>
      </w:r>
      <w:r>
        <w:rPr>
          <w:sz w:val="24"/>
          <w:szCs w:val="24"/>
        </w:rP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380"/>
        <w:gridCol w:w="2380"/>
        <w:gridCol w:w="2400"/>
      </w:tblGrid>
      <w:tr w:rsidR="00B84B36" w14:paraId="3031C053"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7F7F7F" w:themeFill="text1" w:themeFillTint="80"/>
            <w:tcMar>
              <w:top w:w="80" w:type="dxa"/>
              <w:left w:w="120" w:type="dxa"/>
              <w:bottom w:w="80" w:type="dxa"/>
              <w:right w:w="120" w:type="dxa"/>
            </w:tcMar>
            <w:vAlign w:val="center"/>
          </w:tcPr>
          <w:p w14:paraId="38EF776D" w14:textId="77777777" w:rsidR="00B84B36" w:rsidRDefault="00B84B36" w:rsidP="00395A50">
            <w:pPr>
              <w:jc w:val="center"/>
            </w:pPr>
            <w:r>
              <w:rPr>
                <w:b/>
                <w:bCs/>
                <w:color w:val="FFFFFF"/>
                <w:sz w:val="20"/>
                <w:szCs w:val="20"/>
              </w:rPr>
              <w:t>Governance Level</w:t>
            </w:r>
          </w:p>
        </w:tc>
        <w:tc>
          <w:tcPr>
            <w:tcW w:w="2380" w:type="dxa"/>
            <w:tcBorders>
              <w:top w:val="single" w:sz="1" w:space="0" w:color="CCCCCC"/>
              <w:left w:val="single" w:sz="1" w:space="0" w:color="CCCCCC"/>
              <w:bottom w:val="single" w:sz="1" w:space="0" w:color="CCCCCC"/>
              <w:right w:val="single" w:sz="1" w:space="0" w:color="CCCCCC"/>
            </w:tcBorders>
            <w:shd w:val="clear" w:color="auto" w:fill="7F7F7F" w:themeFill="text1" w:themeFillTint="80"/>
            <w:tcMar>
              <w:top w:w="80" w:type="dxa"/>
              <w:left w:w="120" w:type="dxa"/>
              <w:bottom w:w="80" w:type="dxa"/>
              <w:right w:w="120" w:type="dxa"/>
            </w:tcMar>
            <w:vAlign w:val="center"/>
          </w:tcPr>
          <w:p w14:paraId="55C552FC" w14:textId="77777777" w:rsidR="00B84B36" w:rsidRDefault="00B84B36" w:rsidP="00395A50">
            <w:pPr>
              <w:jc w:val="center"/>
            </w:pPr>
            <w:r>
              <w:rPr>
                <w:b/>
                <w:bCs/>
                <w:color w:val="FFFFFF"/>
                <w:sz w:val="20"/>
                <w:szCs w:val="20"/>
              </w:rPr>
              <w:t>Body / Role</w:t>
            </w:r>
          </w:p>
        </w:tc>
        <w:tc>
          <w:tcPr>
            <w:tcW w:w="2380" w:type="dxa"/>
            <w:tcBorders>
              <w:top w:val="single" w:sz="1" w:space="0" w:color="CCCCCC"/>
              <w:left w:val="single" w:sz="1" w:space="0" w:color="CCCCCC"/>
              <w:bottom w:val="single" w:sz="1" w:space="0" w:color="CCCCCC"/>
              <w:right w:val="single" w:sz="1" w:space="0" w:color="CCCCCC"/>
            </w:tcBorders>
            <w:shd w:val="clear" w:color="auto" w:fill="7F7F7F" w:themeFill="text1" w:themeFillTint="80"/>
            <w:tcMar>
              <w:top w:w="80" w:type="dxa"/>
              <w:left w:w="120" w:type="dxa"/>
              <w:bottom w:w="80" w:type="dxa"/>
              <w:right w:w="120" w:type="dxa"/>
            </w:tcMar>
            <w:vAlign w:val="center"/>
          </w:tcPr>
          <w:p w14:paraId="0E0D64D7" w14:textId="77777777" w:rsidR="00B84B36" w:rsidRDefault="00B84B36" w:rsidP="00395A50">
            <w:pPr>
              <w:jc w:val="center"/>
            </w:pPr>
            <w:r>
              <w:rPr>
                <w:b/>
                <w:bCs/>
                <w:color w:val="FFFFFF"/>
                <w:sz w:val="20"/>
                <w:szCs w:val="20"/>
              </w:rPr>
              <w:t>Responsibilities</w:t>
            </w:r>
          </w:p>
        </w:tc>
        <w:tc>
          <w:tcPr>
            <w:tcW w:w="2400" w:type="dxa"/>
            <w:tcBorders>
              <w:top w:val="single" w:sz="1" w:space="0" w:color="CCCCCC"/>
              <w:left w:val="single" w:sz="1" w:space="0" w:color="CCCCCC"/>
              <w:bottom w:val="single" w:sz="1" w:space="0" w:color="CCCCCC"/>
              <w:right w:val="single" w:sz="1" w:space="0" w:color="CCCCCC"/>
            </w:tcBorders>
            <w:shd w:val="clear" w:color="auto" w:fill="7F7F7F" w:themeFill="text1" w:themeFillTint="80"/>
            <w:tcMar>
              <w:top w:w="80" w:type="dxa"/>
              <w:left w:w="120" w:type="dxa"/>
              <w:bottom w:w="80" w:type="dxa"/>
              <w:right w:w="120" w:type="dxa"/>
            </w:tcMar>
            <w:vAlign w:val="center"/>
          </w:tcPr>
          <w:p w14:paraId="32E25709" w14:textId="77777777" w:rsidR="00B84B36" w:rsidRDefault="00B84B36" w:rsidP="00395A50">
            <w:pPr>
              <w:jc w:val="center"/>
            </w:pPr>
            <w:r>
              <w:rPr>
                <w:b/>
                <w:bCs/>
                <w:color w:val="FFFFFF"/>
                <w:sz w:val="20"/>
                <w:szCs w:val="20"/>
              </w:rPr>
              <w:t>Reporting Cadence</w:t>
            </w:r>
          </w:p>
        </w:tc>
      </w:tr>
      <w:tr w:rsidR="00B84B36" w14:paraId="26A2BF08"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7FABF1A3" w14:textId="77777777" w:rsidR="00B84B36" w:rsidRDefault="00B84B36" w:rsidP="00395A50">
            <w:r>
              <w:rPr>
                <w:b/>
                <w:bCs/>
                <w:color w:val="000000" w:themeColor="text1"/>
                <w:sz w:val="20"/>
                <w:szCs w:val="20"/>
              </w:rPr>
              <w:t>Strategic</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261F0FB" w14:textId="77777777" w:rsidR="00B84B36" w:rsidRDefault="00B84B36" w:rsidP="00395A50">
            <w:r>
              <w:rPr>
                <w:color w:val="000000"/>
                <w:sz w:val="20"/>
                <w:szCs w:val="20"/>
              </w:rPr>
              <w:t>Board of Directors</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2667CEB" w14:textId="77777777" w:rsidR="00B84B36" w:rsidRDefault="00B84B36" w:rsidP="00395A50">
            <w:r>
              <w:rPr>
                <w:color w:val="000000"/>
                <w:sz w:val="20"/>
                <w:szCs w:val="20"/>
              </w:rPr>
              <w:t>Security risk appetite, policy approval, oversight</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0D2EB89" w14:textId="77777777" w:rsidR="00B84B36" w:rsidRDefault="00B84B36" w:rsidP="00395A50">
            <w:r>
              <w:rPr>
                <w:color w:val="000000"/>
                <w:sz w:val="20"/>
                <w:szCs w:val="20"/>
              </w:rPr>
              <w:t>Quarterly</w:t>
            </w:r>
          </w:p>
        </w:tc>
      </w:tr>
      <w:tr w:rsidR="00B84B36" w14:paraId="575AD754"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4C87670E" w14:textId="77777777" w:rsidR="00B84B36" w:rsidRPr="004A02E2" w:rsidRDefault="00B84B36" w:rsidP="00395A50">
            <w:pPr>
              <w:rPr>
                <w:b/>
                <w:color w:val="000000" w:themeColor="text1"/>
              </w:rPr>
            </w:pPr>
            <w:r>
              <w:rPr>
                <w:b/>
                <w:color w:val="000000" w:themeColor="text1"/>
                <w:sz w:val="20"/>
                <w:szCs w:val="20"/>
              </w:rPr>
              <w:t>Executive</w:t>
            </w:r>
          </w:p>
        </w:tc>
        <w:tc>
          <w:tcPr>
            <w:tcW w:w="23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1895311" w14:textId="77777777" w:rsidR="00B84B36" w:rsidRDefault="00B84B36" w:rsidP="00395A50">
            <w:r>
              <w:rPr>
                <w:color w:val="000000"/>
                <w:sz w:val="20"/>
                <w:szCs w:val="20"/>
              </w:rPr>
              <w:t>C-Suite (CEO, CFO, CTO, CISO)</w:t>
            </w:r>
          </w:p>
        </w:tc>
        <w:tc>
          <w:tcPr>
            <w:tcW w:w="23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C445186" w14:textId="77777777" w:rsidR="00B84B36" w:rsidRDefault="00B84B36" w:rsidP="00395A50">
            <w:r>
              <w:rPr>
                <w:color w:val="000000"/>
                <w:sz w:val="20"/>
                <w:szCs w:val="20"/>
              </w:rPr>
              <w:t>Strategic security direction, resource allocation</w:t>
            </w:r>
          </w:p>
        </w:tc>
        <w:tc>
          <w:tcPr>
            <w:tcW w:w="24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33F84AD0" w14:textId="77777777" w:rsidR="00B84B36" w:rsidRDefault="00B84B36" w:rsidP="00395A50">
            <w:r>
              <w:rPr>
                <w:color w:val="000000"/>
                <w:sz w:val="20"/>
                <w:szCs w:val="20"/>
              </w:rPr>
              <w:t>Monthly</w:t>
            </w:r>
          </w:p>
        </w:tc>
      </w:tr>
      <w:tr w:rsidR="00B84B36" w14:paraId="02209BD5"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530397D4" w14:textId="77777777" w:rsidR="00B84B36" w:rsidRDefault="00B84B36" w:rsidP="00395A50">
            <w:r>
              <w:rPr>
                <w:b/>
                <w:bCs/>
                <w:color w:val="000000" w:themeColor="text1"/>
                <w:sz w:val="20"/>
                <w:szCs w:val="20"/>
              </w:rPr>
              <w:t>Governance</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BE48E29" w14:textId="77777777" w:rsidR="00B84B36" w:rsidRDefault="00B84B36" w:rsidP="00395A50">
            <w:r>
              <w:rPr>
                <w:color w:val="000000"/>
                <w:sz w:val="20"/>
                <w:szCs w:val="20"/>
              </w:rPr>
              <w:t>Information Security Steering Committee</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2E9530" w14:textId="77777777" w:rsidR="00B84B36" w:rsidRDefault="00B84B36" w:rsidP="00395A50">
            <w:r>
              <w:rPr>
                <w:color w:val="000000"/>
                <w:sz w:val="20"/>
                <w:szCs w:val="20"/>
              </w:rPr>
              <w:t>Policy governance, programme oversight, risk review</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81E0132" w14:textId="77777777" w:rsidR="00B84B36" w:rsidRDefault="00B84B36" w:rsidP="00395A50">
            <w:r>
              <w:rPr>
                <w:color w:val="000000"/>
                <w:sz w:val="20"/>
                <w:szCs w:val="20"/>
              </w:rPr>
              <w:t>Monthly</w:t>
            </w:r>
          </w:p>
        </w:tc>
      </w:tr>
      <w:tr w:rsidR="00B84B36" w14:paraId="5A7A4EAB"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3806E47D" w14:textId="77777777" w:rsidR="00B84B36" w:rsidRPr="004A02E2" w:rsidRDefault="00B84B36" w:rsidP="00395A50">
            <w:pPr>
              <w:rPr>
                <w:b/>
              </w:rPr>
            </w:pPr>
            <w:r>
              <w:rPr>
                <w:b/>
                <w:color w:val="000000" w:themeColor="text1"/>
                <w:sz w:val="20"/>
                <w:szCs w:val="20"/>
              </w:rPr>
              <w:t>Management</w:t>
            </w:r>
          </w:p>
        </w:tc>
        <w:tc>
          <w:tcPr>
            <w:tcW w:w="23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7B786C65" w14:textId="77777777" w:rsidR="00B84B36" w:rsidRDefault="00B84B36" w:rsidP="00395A50">
            <w:r>
              <w:rPr>
                <w:color w:val="000000"/>
                <w:sz w:val="20"/>
                <w:szCs w:val="20"/>
              </w:rPr>
              <w:t>CISO &amp; Security Management Team</w:t>
            </w:r>
          </w:p>
        </w:tc>
        <w:tc>
          <w:tcPr>
            <w:tcW w:w="23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55E35F7E" w14:textId="77777777" w:rsidR="00B84B36" w:rsidRDefault="00B84B36" w:rsidP="00395A50">
            <w:r>
              <w:rPr>
                <w:color w:val="000000"/>
                <w:sz w:val="20"/>
                <w:szCs w:val="20"/>
              </w:rPr>
              <w:t>Day-to-day security operations, incident management</w:t>
            </w:r>
          </w:p>
        </w:tc>
        <w:tc>
          <w:tcPr>
            <w:tcW w:w="24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ED347E8" w14:textId="77777777" w:rsidR="00B84B36" w:rsidRDefault="00B84B36" w:rsidP="00395A50">
            <w:r>
              <w:rPr>
                <w:color w:val="000000"/>
                <w:sz w:val="20"/>
                <w:szCs w:val="20"/>
              </w:rPr>
              <w:t>Weekly</w:t>
            </w:r>
          </w:p>
        </w:tc>
      </w:tr>
      <w:tr w:rsidR="00B84B36" w14:paraId="02F1C8BC"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2128E996" w14:textId="77777777" w:rsidR="00B84B36" w:rsidRDefault="00B84B36" w:rsidP="00395A50">
            <w:r>
              <w:rPr>
                <w:b/>
                <w:bCs/>
                <w:color w:val="000000" w:themeColor="text1"/>
                <w:sz w:val="20"/>
                <w:szCs w:val="20"/>
              </w:rPr>
              <w:t>Operational</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995F5CF" w14:textId="77777777" w:rsidR="00B84B36" w:rsidRDefault="00B84B36" w:rsidP="00395A50">
            <w:r>
              <w:rPr>
                <w:color w:val="000000"/>
                <w:sz w:val="20"/>
                <w:szCs w:val="20"/>
              </w:rPr>
              <w:t>SOC, IT, Compliance, Legal Teams</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903E9A1" w14:textId="77777777" w:rsidR="00B84B36" w:rsidRDefault="00B84B36" w:rsidP="00395A50">
            <w:r>
              <w:rPr>
                <w:color w:val="000000"/>
                <w:sz w:val="20"/>
                <w:szCs w:val="20"/>
              </w:rPr>
              <w:t>Monitoring, controls, compliance tasks, reporting</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626A0C0" w14:textId="77777777" w:rsidR="00B84B36" w:rsidRDefault="00B84B36" w:rsidP="00395A50">
            <w:r>
              <w:rPr>
                <w:color w:val="000000"/>
                <w:sz w:val="20"/>
                <w:szCs w:val="20"/>
              </w:rPr>
              <w:t>Daily / As needed</w:t>
            </w:r>
          </w:p>
        </w:tc>
      </w:tr>
    </w:tbl>
    <w:p w14:paraId="1DCCDAA0" w14:textId="77777777" w:rsidR="00793B6B" w:rsidRPr="00E16179" w:rsidRDefault="00793B6B" w:rsidP="00E16179">
      <w:pPr>
        <w:rPr>
          <w:sz w:val="24"/>
          <w:szCs w:val="24"/>
        </w:rPr>
      </w:pPr>
    </w:p>
    <w:p w14:paraId="01C45D73" w14:textId="77777777" w:rsidR="004E3B25" w:rsidRDefault="004E3B25" w:rsidP="00665E3F">
      <w:pPr>
        <w:pStyle w:val="Heading2"/>
        <w:rPr>
          <w:rFonts w:cs="Arial"/>
          <w:sz w:val="36"/>
          <w:szCs w:val="36"/>
        </w:rPr>
      </w:pPr>
    </w:p>
    <w:p w14:paraId="160BA39D" w14:textId="6E5659EA" w:rsidR="00665E3F" w:rsidRDefault="00665E3F" w:rsidP="00665E3F">
      <w:pPr>
        <w:pStyle w:val="Heading2"/>
        <w:rPr>
          <w:rFonts w:eastAsia="Arial"/>
        </w:rPr>
      </w:pPr>
      <w:bookmarkStart w:id="16" w:name="_Toc227765951"/>
      <w:r>
        <w:rPr>
          <w:rFonts w:cs="Arial"/>
          <w:sz w:val="36"/>
          <w:szCs w:val="36"/>
        </w:rPr>
        <w:t xml:space="preserve">2.2 </w:t>
      </w:r>
      <w:r>
        <w:rPr>
          <w:rFonts w:eastAsia="Arial"/>
        </w:rPr>
        <w:t>Compliance: Laws and Ethics</w:t>
      </w:r>
      <w:bookmarkEnd w:id="16"/>
      <w:r>
        <w:rPr>
          <w:rFonts w:eastAsia="Arial"/>
        </w:rPr>
        <w:t xml:space="preserve"> </w:t>
      </w:r>
    </w:p>
    <w:p w14:paraId="246D0861" w14:textId="77777777" w:rsidR="001E0707" w:rsidRPr="00CD22AB" w:rsidRDefault="001E0707" w:rsidP="00CD22AB">
      <w:pPr>
        <w:jc w:val="both"/>
        <w:rPr>
          <w:b/>
          <w:sz w:val="24"/>
          <w:szCs w:val="24"/>
        </w:rPr>
      </w:pPr>
      <w:r w:rsidRPr="00CD22AB">
        <w:rPr>
          <w:sz w:val="24"/>
          <w:szCs w:val="24"/>
        </w:rPr>
        <w:t>FSB operates in a great variety of jurisdictions, and thus it has varying legal requirements in which they must comply. The biggest is the GDPR as it provides numerous requirements: the presence of a Data Protection Officer, the legality of processing a personal dataset, and reporting a breach to the regulators within 72 hours. Also, the PCI-DSS applies to FSB credit card processing just like other obligations depending on the countries where FSB operates as stipulated by the local government financial regulators. The bottom is legal compliance, rather than the top. FSB should also develop a true security culture that deals with insider investigation in a professional manner, is honest with the customers regarding their data usage, and implements AI-based fraud detection with adequate controls to prevent discriminatory fantasy.</w:t>
      </w:r>
    </w:p>
    <w:p w14:paraId="329D159B" w14:textId="5C1ECB60" w:rsidR="00AA011D" w:rsidRPr="00AA011D" w:rsidRDefault="00AA011D" w:rsidP="00B95682">
      <w:pPr>
        <w:pStyle w:val="Heading2"/>
      </w:pPr>
      <w:bookmarkStart w:id="17" w:name="_Toc227765952"/>
      <w:r>
        <w:t>2.3 Security Policies</w:t>
      </w:r>
      <w:bookmarkEnd w:id="17"/>
    </w:p>
    <w:p w14:paraId="28F44BE3" w14:textId="04A08ECB" w:rsidR="00D3123B" w:rsidRDefault="00F63BD6" w:rsidP="003E7CA7">
      <w:pPr>
        <w:spacing w:after="0" w:line="240" w:lineRule="auto"/>
        <w:rPr>
          <w:rFonts w:eastAsia="Times New Roman" w:cstheme="minorHAnsi"/>
          <w:sz w:val="24"/>
          <w:szCs w:val="24"/>
          <w:lang w:eastAsia="en-IN"/>
        </w:rPr>
      </w:pPr>
      <w:r w:rsidRPr="00F63BD6">
        <w:rPr>
          <w:rFonts w:eastAsia="Times New Roman" w:cstheme="minorHAnsi"/>
          <w:sz w:val="24"/>
          <w:szCs w:val="24"/>
          <w:lang w:eastAsia="en-IN"/>
        </w:rPr>
        <w:t>The FSB-ISGF uses approved, version-controlled policies which are clearly communicated to staff. Key policies include acceptable use (for BYOD security), remote access using VPN and MFA, data classification (public to restricted), and incident response procedures for reporting and handling incidents.</w:t>
      </w:r>
    </w:p>
    <w:p w14:paraId="1E92C45C" w14:textId="77777777" w:rsidR="00F63BD6" w:rsidRDefault="00F63BD6" w:rsidP="003E7CA7">
      <w:pPr>
        <w:spacing w:after="0" w:line="240" w:lineRule="auto"/>
        <w:rPr>
          <w:rFonts w:ascii="Times New Roman" w:eastAsia="Times New Roman" w:hAnsi="Times New Roman" w:cs="Times New Roman"/>
          <w:sz w:val="24"/>
          <w:szCs w:val="24"/>
          <w:lang w:eastAsia="en-IN"/>
        </w:rPr>
      </w:pPr>
    </w:p>
    <w:tbl>
      <w:tblPr>
        <w:tblW w:w="90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601"/>
        <w:gridCol w:w="2314"/>
        <w:gridCol w:w="2314"/>
        <w:gridCol w:w="2801"/>
      </w:tblGrid>
      <w:tr w:rsidR="00EA29BB" w14:paraId="6776C420" w14:textId="77777777" w:rsidTr="00EA29BB">
        <w:trPr>
          <w:tblHeader/>
        </w:trPr>
        <w:tc>
          <w:tcPr>
            <w:tcW w:w="1600" w:type="dxa"/>
            <w:tcBorders>
              <w:top w:val="single" w:sz="2" w:space="0" w:color="CCCCCC"/>
              <w:left w:val="single" w:sz="2" w:space="0" w:color="CCCCCC"/>
              <w:bottom w:val="single" w:sz="2" w:space="0" w:color="CCCCCC"/>
              <w:right w:val="single" w:sz="2" w:space="0" w:color="CCCCCC"/>
            </w:tcBorders>
            <w:shd w:val="clear" w:color="auto" w:fill="1F3864"/>
            <w:tcMar>
              <w:top w:w="100" w:type="dxa"/>
              <w:left w:w="120" w:type="dxa"/>
              <w:bottom w:w="100" w:type="dxa"/>
              <w:right w:w="120" w:type="dxa"/>
            </w:tcMar>
            <w:vAlign w:val="center"/>
            <w:hideMark/>
          </w:tcPr>
          <w:p w14:paraId="6D9BDE7B" w14:textId="77777777" w:rsidR="00EA29BB" w:rsidRDefault="00EA29BB">
            <w:pPr>
              <w:jc w:val="center"/>
            </w:pPr>
            <w:r>
              <w:rPr>
                <w:b/>
                <w:bCs/>
                <w:color w:val="FFFFFF"/>
                <w:sz w:val="20"/>
                <w:szCs w:val="20"/>
              </w:rPr>
              <w:t>Policy Tier</w:t>
            </w:r>
          </w:p>
        </w:tc>
        <w:tc>
          <w:tcPr>
            <w:tcW w:w="2313" w:type="dxa"/>
            <w:tcBorders>
              <w:top w:val="single" w:sz="2" w:space="0" w:color="CCCCCC"/>
              <w:left w:val="single" w:sz="2" w:space="0" w:color="CCCCCC"/>
              <w:bottom w:val="single" w:sz="2" w:space="0" w:color="CCCCCC"/>
              <w:right w:val="single" w:sz="2" w:space="0" w:color="CCCCCC"/>
            </w:tcBorders>
            <w:shd w:val="clear" w:color="auto" w:fill="1F3864"/>
            <w:tcMar>
              <w:top w:w="100" w:type="dxa"/>
              <w:left w:w="120" w:type="dxa"/>
              <w:bottom w:w="100" w:type="dxa"/>
              <w:right w:w="120" w:type="dxa"/>
            </w:tcMar>
            <w:vAlign w:val="center"/>
            <w:hideMark/>
          </w:tcPr>
          <w:p w14:paraId="0FB311F8" w14:textId="77777777" w:rsidR="00EA29BB" w:rsidRDefault="00EA29BB">
            <w:pPr>
              <w:jc w:val="center"/>
            </w:pPr>
            <w:r>
              <w:rPr>
                <w:b/>
                <w:bCs/>
                <w:color w:val="FFFFFF"/>
                <w:sz w:val="20"/>
                <w:szCs w:val="20"/>
              </w:rPr>
              <w:t>Document Type</w:t>
            </w:r>
          </w:p>
        </w:tc>
        <w:tc>
          <w:tcPr>
            <w:tcW w:w="2313" w:type="dxa"/>
            <w:tcBorders>
              <w:top w:val="single" w:sz="2" w:space="0" w:color="CCCCCC"/>
              <w:left w:val="single" w:sz="2" w:space="0" w:color="CCCCCC"/>
              <w:bottom w:val="single" w:sz="2" w:space="0" w:color="CCCCCC"/>
              <w:right w:val="single" w:sz="2" w:space="0" w:color="CCCCCC"/>
            </w:tcBorders>
            <w:shd w:val="clear" w:color="auto" w:fill="1F3864"/>
            <w:tcMar>
              <w:top w:w="100" w:type="dxa"/>
              <w:left w:w="120" w:type="dxa"/>
              <w:bottom w:w="100" w:type="dxa"/>
              <w:right w:w="120" w:type="dxa"/>
            </w:tcMar>
            <w:vAlign w:val="center"/>
            <w:hideMark/>
          </w:tcPr>
          <w:p w14:paraId="63C4FF2E" w14:textId="77777777" w:rsidR="00EA29BB" w:rsidRDefault="00EA29BB">
            <w:pPr>
              <w:jc w:val="center"/>
            </w:pPr>
            <w:r>
              <w:rPr>
                <w:b/>
                <w:bCs/>
                <w:color w:val="FFFFFF"/>
                <w:sz w:val="20"/>
                <w:szCs w:val="20"/>
              </w:rPr>
              <w:t>Owner</w:t>
            </w:r>
          </w:p>
        </w:tc>
        <w:tc>
          <w:tcPr>
            <w:tcW w:w="2800" w:type="dxa"/>
            <w:tcBorders>
              <w:top w:val="single" w:sz="2" w:space="0" w:color="CCCCCC"/>
              <w:left w:val="single" w:sz="2" w:space="0" w:color="CCCCCC"/>
              <w:bottom w:val="single" w:sz="2" w:space="0" w:color="CCCCCC"/>
              <w:right w:val="single" w:sz="2" w:space="0" w:color="CCCCCC"/>
            </w:tcBorders>
            <w:shd w:val="clear" w:color="auto" w:fill="1F3864"/>
            <w:tcMar>
              <w:top w:w="100" w:type="dxa"/>
              <w:left w:w="120" w:type="dxa"/>
              <w:bottom w:w="100" w:type="dxa"/>
              <w:right w:w="120" w:type="dxa"/>
            </w:tcMar>
            <w:vAlign w:val="center"/>
            <w:hideMark/>
          </w:tcPr>
          <w:p w14:paraId="177E685F" w14:textId="77777777" w:rsidR="00EA29BB" w:rsidRDefault="00EA29BB">
            <w:pPr>
              <w:jc w:val="center"/>
            </w:pPr>
            <w:r>
              <w:rPr>
                <w:b/>
                <w:bCs/>
                <w:color w:val="FFFFFF"/>
                <w:sz w:val="20"/>
                <w:szCs w:val="20"/>
              </w:rPr>
              <w:t>Examples</w:t>
            </w:r>
          </w:p>
        </w:tc>
      </w:tr>
      <w:tr w:rsidR="00EA29BB" w14:paraId="710E6D11" w14:textId="77777777" w:rsidTr="00EA29BB">
        <w:tc>
          <w:tcPr>
            <w:tcW w:w="1600" w:type="dxa"/>
            <w:tcBorders>
              <w:top w:val="single" w:sz="2" w:space="0" w:color="CCCCCC"/>
              <w:left w:val="single" w:sz="2" w:space="0" w:color="CCCCCC"/>
              <w:bottom w:val="single" w:sz="2" w:space="0" w:color="CCCCCC"/>
              <w:right w:val="single" w:sz="2" w:space="0" w:color="CCCCCC"/>
            </w:tcBorders>
            <w:shd w:val="clear" w:color="auto" w:fill="EBF5FB"/>
            <w:tcMar>
              <w:top w:w="80" w:type="dxa"/>
              <w:left w:w="120" w:type="dxa"/>
              <w:bottom w:w="80" w:type="dxa"/>
              <w:right w:w="120" w:type="dxa"/>
            </w:tcMar>
            <w:hideMark/>
          </w:tcPr>
          <w:p w14:paraId="524EE1A1" w14:textId="77777777" w:rsidR="00EA29BB" w:rsidRDefault="00EA29BB">
            <w:r>
              <w:rPr>
                <w:b/>
                <w:bCs/>
                <w:sz w:val="20"/>
                <w:szCs w:val="20"/>
              </w:rPr>
              <w:t>Tier 1 — Strategic</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732CDCF" w14:textId="77777777" w:rsidR="00EA29BB" w:rsidRDefault="00EA29BB">
            <w:r>
              <w:rPr>
                <w:sz w:val="20"/>
                <w:szCs w:val="20"/>
              </w:rPr>
              <w:t>Master IS Security Policy</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30E3C64" w14:textId="77777777" w:rsidR="00EA29BB" w:rsidRDefault="00EA29BB">
            <w:r>
              <w:rPr>
                <w:sz w:val="20"/>
                <w:szCs w:val="20"/>
              </w:rPr>
              <w:t>Board / CISO</w:t>
            </w:r>
          </w:p>
        </w:tc>
        <w:tc>
          <w:tcPr>
            <w:tcW w:w="2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42F9907" w14:textId="77777777" w:rsidR="00EA29BB" w:rsidRDefault="00EA29BB">
            <w:r>
              <w:rPr>
                <w:sz w:val="20"/>
                <w:szCs w:val="20"/>
              </w:rPr>
              <w:t>Acceptable Use Policy; Information Classification Policy; Data Retention Policy</w:t>
            </w:r>
          </w:p>
        </w:tc>
      </w:tr>
      <w:tr w:rsidR="00EA29BB" w14:paraId="68024B8B" w14:textId="77777777" w:rsidTr="00EA29BB">
        <w:tc>
          <w:tcPr>
            <w:tcW w:w="1600" w:type="dxa"/>
            <w:tcBorders>
              <w:top w:val="single" w:sz="2" w:space="0" w:color="CCCCCC"/>
              <w:left w:val="single" w:sz="2" w:space="0" w:color="CCCCCC"/>
              <w:bottom w:val="single" w:sz="2" w:space="0" w:color="CCCCCC"/>
              <w:right w:val="single" w:sz="2" w:space="0" w:color="CCCCCC"/>
            </w:tcBorders>
            <w:shd w:val="clear" w:color="auto" w:fill="F0F7FF"/>
            <w:tcMar>
              <w:top w:w="80" w:type="dxa"/>
              <w:left w:w="120" w:type="dxa"/>
              <w:bottom w:w="80" w:type="dxa"/>
              <w:right w:w="120" w:type="dxa"/>
            </w:tcMar>
            <w:hideMark/>
          </w:tcPr>
          <w:p w14:paraId="517B28F9" w14:textId="77777777" w:rsidR="00EA29BB" w:rsidRDefault="00EA29BB">
            <w:r>
              <w:rPr>
                <w:b/>
                <w:bCs/>
                <w:sz w:val="20"/>
                <w:szCs w:val="20"/>
              </w:rPr>
              <w:t>Tier 2 — Tactical</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CDFC5C6" w14:textId="77777777" w:rsidR="00EA29BB" w:rsidRDefault="00EA29BB">
            <w:r>
              <w:rPr>
                <w:sz w:val="20"/>
                <w:szCs w:val="20"/>
              </w:rPr>
              <w:t>Domain Policies</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FB33DA8" w14:textId="77777777" w:rsidR="00EA29BB" w:rsidRDefault="00EA29BB">
            <w:r>
              <w:rPr>
                <w:sz w:val="20"/>
                <w:szCs w:val="20"/>
              </w:rPr>
              <w:t>CISO / Department Heads</w:t>
            </w:r>
          </w:p>
        </w:tc>
        <w:tc>
          <w:tcPr>
            <w:tcW w:w="2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A513246" w14:textId="77777777" w:rsidR="00EA29BB" w:rsidRDefault="00EA29BB">
            <w:r>
              <w:rPr>
                <w:sz w:val="20"/>
                <w:szCs w:val="20"/>
              </w:rPr>
              <w:t>Access Control Policy; Incident Response Policy; Remote Working Policy; BYOD Policy</w:t>
            </w:r>
          </w:p>
        </w:tc>
      </w:tr>
      <w:tr w:rsidR="00EA29BB" w14:paraId="1A18E9F8" w14:textId="77777777" w:rsidTr="00EA29BB">
        <w:tc>
          <w:tcPr>
            <w:tcW w:w="1600" w:type="dxa"/>
            <w:tcBorders>
              <w:top w:val="single" w:sz="2" w:space="0" w:color="CCCCCC"/>
              <w:left w:val="single" w:sz="2" w:space="0" w:color="CCCCCC"/>
              <w:bottom w:val="single" w:sz="2" w:space="0" w:color="CCCCCC"/>
              <w:right w:val="single" w:sz="2" w:space="0" w:color="CCCCCC"/>
            </w:tcBorders>
            <w:shd w:val="clear" w:color="auto" w:fill="EBF5FB"/>
            <w:tcMar>
              <w:top w:w="80" w:type="dxa"/>
              <w:left w:w="120" w:type="dxa"/>
              <w:bottom w:w="80" w:type="dxa"/>
              <w:right w:w="120" w:type="dxa"/>
            </w:tcMar>
            <w:hideMark/>
          </w:tcPr>
          <w:p w14:paraId="3B190277" w14:textId="77777777" w:rsidR="00EA29BB" w:rsidRDefault="00EA29BB">
            <w:r>
              <w:rPr>
                <w:b/>
                <w:bCs/>
                <w:sz w:val="20"/>
                <w:szCs w:val="20"/>
              </w:rPr>
              <w:t>Tier 3 — Operational</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9806972" w14:textId="77777777" w:rsidR="00EA29BB" w:rsidRDefault="00EA29BB">
            <w:r>
              <w:rPr>
                <w:sz w:val="20"/>
                <w:szCs w:val="20"/>
              </w:rPr>
              <w:t>Procedures &amp; Standards</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E5A0890" w14:textId="77777777" w:rsidR="00EA29BB" w:rsidRDefault="00EA29BB">
            <w:r>
              <w:rPr>
                <w:sz w:val="20"/>
                <w:szCs w:val="20"/>
              </w:rPr>
              <w:t>IT Security Team</w:t>
            </w:r>
          </w:p>
        </w:tc>
        <w:tc>
          <w:tcPr>
            <w:tcW w:w="2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F076776" w14:textId="77777777" w:rsidR="00EA29BB" w:rsidRDefault="00EA29BB">
            <w:r>
              <w:rPr>
                <w:sz w:val="20"/>
                <w:szCs w:val="20"/>
              </w:rPr>
              <w:t>Password Standard; Patch Management Procedure; Backup Procedure; Firewall Ruleset</w:t>
            </w:r>
          </w:p>
        </w:tc>
      </w:tr>
    </w:tbl>
    <w:p w14:paraId="2E00810E" w14:textId="1EE85431" w:rsidR="008B0414" w:rsidRDefault="008B0414" w:rsidP="00530393">
      <w:pPr>
        <w:pStyle w:val="Heading2"/>
      </w:pPr>
    </w:p>
    <w:p w14:paraId="1DA016E6" w14:textId="76101698" w:rsidR="008B0414" w:rsidRDefault="00530393" w:rsidP="00530393">
      <w:pPr>
        <w:pStyle w:val="Heading2"/>
      </w:pPr>
      <w:bookmarkStart w:id="18" w:name="_Toc227765953"/>
      <w:r>
        <w:t>2.4 Risk Management</w:t>
      </w:r>
      <w:bookmarkEnd w:id="18"/>
    </w:p>
    <w:p w14:paraId="60B76D3C" w14:textId="4FD53C7A" w:rsidR="00BA5BF7" w:rsidRPr="008900F9" w:rsidRDefault="00530393" w:rsidP="008900F9">
      <w:pPr>
        <w:spacing w:after="0"/>
        <w:jc w:val="both"/>
        <w:rPr>
          <w:rFonts w:cstheme="minorHAnsi"/>
          <w:sz w:val="24"/>
          <w:szCs w:val="24"/>
        </w:rPr>
      </w:pPr>
      <w:r>
        <w:rPr>
          <w:rFonts w:cstheme="minorHAnsi"/>
          <w:sz w:val="24"/>
          <w:szCs w:val="24"/>
        </w:rPr>
        <w:t>Risk management at FSB should be integrated into the ISMS cycle and aligned with ISO 31000:2018. The NIST Risk Management Framework provides six structured steps that give this process practical shape (NIST, 2018).</w:t>
      </w:r>
    </w:p>
    <w:p w14:paraId="0A9B4DD6" w14:textId="1D2E624C" w:rsidR="00110290" w:rsidRDefault="00110290" w:rsidP="008900F9">
      <w:pPr>
        <w:spacing w:after="0"/>
        <w:jc w:val="both"/>
        <w:rPr>
          <w:rFonts w:ascii="Arial" w:hAnsi="Arial" w:cs="Arial"/>
          <w:sz w:val="28"/>
          <w:szCs w:val="28"/>
        </w:rPr>
      </w:pPr>
      <w:bookmarkStart w:id="19" w:name="_Toc227765954"/>
      <w:r>
        <w:rPr>
          <w:rStyle w:val="Heading3Char"/>
        </w:rPr>
        <w:t>2.4.1 Categorize System</w:t>
      </w:r>
      <w:bookmarkEnd w:id="19"/>
      <w:r>
        <w:rPr>
          <w:rFonts w:ascii="Arial" w:hAnsi="Arial" w:cs="Arial"/>
          <w:sz w:val="36"/>
          <w:szCs w:val="36"/>
        </w:rPr>
        <w:t xml:space="preserve"> </w:t>
      </w:r>
      <w:r w:rsidR="007D6C6D" w:rsidRPr="007D6C6D">
        <w:rPr>
          <w:rFonts w:cstheme="minorHAnsi"/>
          <w:sz w:val="24"/>
          <w:szCs w:val="24"/>
        </w:rPr>
        <w:t xml:space="preserve">The first step involves identifying and classifying the system. This includes determining the assets, their sensitivity and potential business impact. </w:t>
      </w:r>
      <w:r w:rsidR="007D6C6D" w:rsidRPr="007D6C6D">
        <w:rPr>
          <w:rFonts w:cstheme="minorHAnsi"/>
          <w:sz w:val="24"/>
          <w:szCs w:val="24"/>
        </w:rPr>
        <w:lastRenderedPageBreak/>
        <w:t>Classification is given based on the effect of each asset on confidentiality, availability, and integrity.</w:t>
      </w:r>
    </w:p>
    <w:p w14:paraId="3C4EEAB7" w14:textId="06DFDB4F" w:rsidR="00110290" w:rsidRPr="00110290" w:rsidRDefault="00110290" w:rsidP="005E1BAE">
      <w:pPr>
        <w:spacing w:after="0"/>
        <w:jc w:val="both"/>
        <w:rPr>
          <w:rFonts w:ascii="Arial" w:hAnsi="Arial" w:cs="Arial"/>
          <w:sz w:val="28"/>
          <w:szCs w:val="28"/>
        </w:rPr>
      </w:pPr>
      <w:bookmarkStart w:id="20" w:name="_Toc227765955"/>
      <w:r>
        <w:rPr>
          <w:rStyle w:val="Heading3Char"/>
        </w:rPr>
        <w:t>2.4.2 Select Controls</w:t>
      </w:r>
      <w:bookmarkEnd w:id="20"/>
      <w:r>
        <w:rPr>
          <w:rFonts w:ascii="Arial" w:hAnsi="Arial" w:cs="Arial"/>
          <w:sz w:val="24"/>
          <w:szCs w:val="24"/>
        </w:rPr>
        <w:t xml:space="preserve"> </w:t>
      </w:r>
      <w:r w:rsidR="007D6C6D" w:rsidRPr="007D6C6D">
        <w:rPr>
          <w:rFonts w:cstheme="minorHAnsi"/>
          <w:sz w:val="24"/>
          <w:szCs w:val="24"/>
        </w:rPr>
        <w:t>The selection of security controls depends on the classification of the system and the system’s needs and environment. Although baselines from NIST SP 800-37 are used, they should be tailored and not applied</w:t>
      </w:r>
      <w:r w:rsidR="007D6C6D">
        <w:rPr>
          <w:rFonts w:cstheme="minorHAnsi"/>
          <w:sz w:val="24"/>
          <w:szCs w:val="24"/>
        </w:rPr>
        <w:t>.</w:t>
      </w:r>
    </w:p>
    <w:p w14:paraId="069431C2" w14:textId="311164E3" w:rsidR="00622CD1" w:rsidRDefault="00110290" w:rsidP="008900F9">
      <w:pPr>
        <w:spacing w:after="0"/>
        <w:jc w:val="both"/>
        <w:rPr>
          <w:rFonts w:cstheme="minorHAnsi"/>
          <w:sz w:val="24"/>
          <w:szCs w:val="24"/>
        </w:rPr>
      </w:pPr>
      <w:r>
        <w:rPr>
          <w:rStyle w:val="Heading3Char"/>
        </w:rPr>
        <w:t xml:space="preserve"> </w:t>
      </w:r>
      <w:bookmarkStart w:id="21" w:name="_Toc227765956"/>
      <w:r>
        <w:rPr>
          <w:rStyle w:val="Heading3Char"/>
        </w:rPr>
        <w:t>2.4.3 Implement Controls</w:t>
      </w:r>
      <w:bookmarkEnd w:id="21"/>
      <w:r>
        <w:t xml:space="preserve"> </w:t>
      </w:r>
      <w:r w:rsidR="007D6C6D" w:rsidRPr="007D6C6D">
        <w:rPr>
          <w:rFonts w:cstheme="minorHAnsi"/>
          <w:sz w:val="24"/>
          <w:szCs w:val="24"/>
        </w:rPr>
        <w:t>Implementation involves making the selected controls operational in a well-defined plan that describes how the controls will be deployed, monitored, and maintained. Such controls have to be incorporated into the system architecture and day-to-day operations from the outset, not as an afterthought.</w:t>
      </w:r>
    </w:p>
    <w:p w14:paraId="05644F94" w14:textId="7439A51B" w:rsidR="00622CD1" w:rsidRDefault="00B40184" w:rsidP="00B872D3">
      <w:pPr>
        <w:spacing w:after="0"/>
        <w:jc w:val="both"/>
        <w:rPr>
          <w:rFonts w:cstheme="minorHAnsi"/>
          <w:sz w:val="24"/>
          <w:szCs w:val="24"/>
        </w:rPr>
      </w:pPr>
      <w:bookmarkStart w:id="22" w:name="_Toc227765957"/>
      <w:r>
        <w:rPr>
          <w:rStyle w:val="Heading3Char"/>
        </w:rPr>
        <w:t>2.4.4 Assess Controls</w:t>
      </w:r>
      <w:bookmarkEnd w:id="22"/>
      <w:r>
        <w:rPr>
          <w:rFonts w:ascii="Arial" w:hAnsi="Arial" w:cs="Arial"/>
          <w:sz w:val="28"/>
          <w:szCs w:val="28"/>
        </w:rPr>
        <w:t xml:space="preserve"> </w:t>
      </w:r>
      <w:r w:rsidR="007D6C6D" w:rsidRPr="007D6C6D">
        <w:rPr>
          <w:rFonts w:cstheme="minorHAnsi"/>
          <w:sz w:val="24"/>
          <w:szCs w:val="24"/>
        </w:rPr>
        <w:t>Once implemented, controls must be tested through a defined Security Assessment Plan (SAP), including scope, objectives and methods. This ensures that evaluations verify that controls work, and not just that they exist.</w:t>
      </w:r>
    </w:p>
    <w:p w14:paraId="60283B9E" w14:textId="74EEBA0C" w:rsidR="00BA5BF7" w:rsidRDefault="00B40184" w:rsidP="00B872D3">
      <w:pPr>
        <w:spacing w:after="0"/>
        <w:jc w:val="both"/>
        <w:rPr>
          <w:rFonts w:ascii="Arial" w:hAnsi="Arial" w:cs="Arial"/>
          <w:sz w:val="36"/>
          <w:szCs w:val="36"/>
        </w:rPr>
      </w:pPr>
      <w:bookmarkStart w:id="23" w:name="_Toc227765958"/>
      <w:r>
        <w:rPr>
          <w:rStyle w:val="Heading3Char"/>
        </w:rPr>
        <w:t>2.4.5 Authorize System</w:t>
      </w:r>
      <w:bookmarkEnd w:id="23"/>
      <w:r>
        <w:rPr>
          <w:rStyle w:val="Heading3Char"/>
        </w:rPr>
        <w:t xml:space="preserve"> </w:t>
      </w:r>
      <w:r>
        <w:rPr>
          <w:rFonts w:cstheme="minorHAnsi"/>
          <w:sz w:val="24"/>
          <w:szCs w:val="24"/>
        </w:rPr>
        <w:t>After the assessment, the results are reviewed by an authorising official who decides whether the system is acceptable to operate. This is not a rubber-stamp exercise controls that do not adequately address the identified risks should be reworked before authorisation is granted.</w:t>
      </w:r>
    </w:p>
    <w:p w14:paraId="09E43112" w14:textId="263378DA" w:rsidR="000A0B14" w:rsidRDefault="000A0B14" w:rsidP="000C5EC6">
      <w:pPr>
        <w:jc w:val="both"/>
        <w:rPr>
          <w:rStyle w:val="Heading2Char"/>
        </w:rPr>
      </w:pPr>
      <w:bookmarkStart w:id="24" w:name="_Toc227765959"/>
      <w:r w:rsidRPr="000A0B14">
        <w:rPr>
          <w:rStyle w:val="Heading2Char"/>
        </w:rPr>
        <w:t xml:space="preserve">2.5 Security Management Models and </w:t>
      </w:r>
      <w:r w:rsidR="00622CD1" w:rsidRPr="000A0B14">
        <w:rPr>
          <w:rStyle w:val="Heading2Char"/>
        </w:rPr>
        <w:t>Practices: -</w:t>
      </w:r>
      <w:bookmarkEnd w:id="24"/>
    </w:p>
    <w:tbl>
      <w:tblPr>
        <w:tblpPr w:leftFromText="180" w:rightFromText="180" w:vertAnchor="page" w:horzAnchor="margin" w:tblpY="6745"/>
        <w:tblW w:w="951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26"/>
        <w:gridCol w:w="4603"/>
        <w:gridCol w:w="2787"/>
      </w:tblGrid>
      <w:tr w:rsidR="00F63BD6" w:rsidRPr="00B95682" w14:paraId="66275521" w14:textId="77777777" w:rsidTr="00F63BD6">
        <w:trPr>
          <w:trHeight w:val="256"/>
          <w:tblHeader/>
          <w:tblCellSpacing w:w="15" w:type="dxa"/>
        </w:trPr>
        <w:tc>
          <w:tcPr>
            <w:tcW w:w="0" w:type="auto"/>
            <w:shd w:val="clear" w:color="auto" w:fill="8EAADB" w:themeFill="accent1" w:themeFillTint="99"/>
            <w:vAlign w:val="center"/>
            <w:hideMark/>
          </w:tcPr>
          <w:p w14:paraId="653E87F1" w14:textId="77777777" w:rsidR="00F63BD6" w:rsidRPr="00B95682" w:rsidRDefault="00F63BD6" w:rsidP="00F63BD6">
            <w:pPr>
              <w:spacing w:after="0" w:line="24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Framework</w:t>
            </w:r>
          </w:p>
        </w:tc>
        <w:tc>
          <w:tcPr>
            <w:tcW w:w="0" w:type="auto"/>
            <w:shd w:val="clear" w:color="auto" w:fill="8EAADB" w:themeFill="accent1" w:themeFillTint="99"/>
            <w:vAlign w:val="center"/>
            <w:hideMark/>
          </w:tcPr>
          <w:p w14:paraId="2AF20EE8" w14:textId="77777777" w:rsidR="00F63BD6" w:rsidRPr="00B95682" w:rsidRDefault="00F63BD6" w:rsidP="00F63BD6">
            <w:pPr>
              <w:spacing w:after="0" w:line="24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Primary Contribution</w:t>
            </w:r>
          </w:p>
        </w:tc>
        <w:tc>
          <w:tcPr>
            <w:tcW w:w="0" w:type="auto"/>
            <w:shd w:val="clear" w:color="auto" w:fill="8EAADB" w:themeFill="accent1" w:themeFillTint="99"/>
            <w:vAlign w:val="center"/>
            <w:hideMark/>
          </w:tcPr>
          <w:p w14:paraId="23329268" w14:textId="77777777" w:rsidR="00F63BD6" w:rsidRPr="00B95682" w:rsidRDefault="00F63BD6" w:rsidP="00F63BD6">
            <w:pPr>
              <w:spacing w:after="0" w:line="24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Application Area</w:t>
            </w:r>
          </w:p>
        </w:tc>
      </w:tr>
      <w:tr w:rsidR="00F63BD6" w:rsidRPr="00B95682" w14:paraId="37E3DDCE" w14:textId="77777777" w:rsidTr="00F63BD6">
        <w:trPr>
          <w:trHeight w:val="524"/>
          <w:tblCellSpacing w:w="15" w:type="dxa"/>
        </w:trPr>
        <w:tc>
          <w:tcPr>
            <w:tcW w:w="0" w:type="auto"/>
            <w:shd w:val="clear" w:color="auto" w:fill="B4C6E7" w:themeFill="accent1" w:themeFillTint="66"/>
            <w:vAlign w:val="center"/>
            <w:hideMark/>
          </w:tcPr>
          <w:p w14:paraId="0DF9B96B"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ISO/IEC 27001:2022</w:t>
            </w:r>
          </w:p>
        </w:tc>
        <w:tc>
          <w:tcPr>
            <w:tcW w:w="0" w:type="auto"/>
            <w:shd w:val="clear" w:color="auto" w:fill="B4C6E7" w:themeFill="accent1" w:themeFillTint="66"/>
            <w:vAlign w:val="center"/>
            <w:hideMark/>
          </w:tcPr>
          <w:p w14:paraId="404AFCF6"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         ISMS structure, Annex A controls</w:t>
            </w:r>
          </w:p>
        </w:tc>
        <w:tc>
          <w:tcPr>
            <w:tcW w:w="0" w:type="auto"/>
            <w:shd w:val="clear" w:color="auto" w:fill="B4C6E7" w:themeFill="accent1" w:themeFillTint="66"/>
            <w:vAlign w:val="center"/>
            <w:hideMark/>
          </w:tcPr>
          <w:p w14:paraId="17D740F6"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Policy and audit baseline</w:t>
            </w:r>
          </w:p>
        </w:tc>
      </w:tr>
      <w:tr w:rsidR="00F63BD6" w:rsidRPr="00B95682" w14:paraId="2C0A41F4" w14:textId="77777777" w:rsidTr="00F63BD6">
        <w:trPr>
          <w:trHeight w:val="524"/>
          <w:tblCellSpacing w:w="15" w:type="dxa"/>
        </w:trPr>
        <w:tc>
          <w:tcPr>
            <w:tcW w:w="0" w:type="auto"/>
            <w:shd w:val="clear" w:color="auto" w:fill="B4C6E7" w:themeFill="accent1" w:themeFillTint="66"/>
            <w:vAlign w:val="center"/>
            <w:hideMark/>
          </w:tcPr>
          <w:p w14:paraId="3BC109C5"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NIST CSF v2.0 (2024)</w:t>
            </w:r>
          </w:p>
        </w:tc>
        <w:tc>
          <w:tcPr>
            <w:tcW w:w="0" w:type="auto"/>
            <w:shd w:val="clear" w:color="auto" w:fill="B4C6E7" w:themeFill="accent1" w:themeFillTint="66"/>
            <w:vAlign w:val="center"/>
            <w:hideMark/>
          </w:tcPr>
          <w:p w14:paraId="77A08D8D"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 Govern, Identify, Protect, Detect, Respond, Recover</w:t>
            </w:r>
          </w:p>
        </w:tc>
        <w:tc>
          <w:tcPr>
            <w:tcW w:w="0" w:type="auto"/>
            <w:shd w:val="clear" w:color="auto" w:fill="B4C6E7" w:themeFill="accent1" w:themeFillTint="66"/>
            <w:vAlign w:val="center"/>
            <w:hideMark/>
          </w:tcPr>
          <w:p w14:paraId="656342E5"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Operational security lifecycle</w:t>
            </w:r>
          </w:p>
        </w:tc>
      </w:tr>
      <w:tr w:rsidR="00F63BD6" w:rsidRPr="00B95682" w14:paraId="0D077ED1" w14:textId="77777777" w:rsidTr="00F63BD6">
        <w:trPr>
          <w:trHeight w:val="524"/>
          <w:tblCellSpacing w:w="15" w:type="dxa"/>
        </w:trPr>
        <w:tc>
          <w:tcPr>
            <w:tcW w:w="0" w:type="auto"/>
            <w:shd w:val="clear" w:color="auto" w:fill="B4C6E7" w:themeFill="accent1" w:themeFillTint="66"/>
            <w:vAlign w:val="center"/>
            <w:hideMark/>
          </w:tcPr>
          <w:p w14:paraId="209103A9"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COBIT 2019</w:t>
            </w:r>
          </w:p>
        </w:tc>
        <w:tc>
          <w:tcPr>
            <w:tcW w:w="0" w:type="auto"/>
            <w:shd w:val="clear" w:color="auto" w:fill="B4C6E7" w:themeFill="accent1" w:themeFillTint="66"/>
            <w:vAlign w:val="center"/>
            <w:hideMark/>
          </w:tcPr>
          <w:p w14:paraId="764631F3"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 IT governance and value delivery</w:t>
            </w:r>
          </w:p>
        </w:tc>
        <w:tc>
          <w:tcPr>
            <w:tcW w:w="0" w:type="auto"/>
            <w:shd w:val="clear" w:color="auto" w:fill="B4C6E7" w:themeFill="accent1" w:themeFillTint="66"/>
            <w:vAlign w:val="center"/>
            <w:hideMark/>
          </w:tcPr>
          <w:p w14:paraId="7DF72305" w14:textId="77777777" w:rsidR="00F63BD6" w:rsidRPr="00D3508F"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Alignment with business goals</w:t>
            </w:r>
          </w:p>
        </w:tc>
      </w:tr>
      <w:tr w:rsidR="00F63BD6" w:rsidRPr="00B95682" w14:paraId="54190B19" w14:textId="77777777" w:rsidTr="00F63BD6">
        <w:trPr>
          <w:trHeight w:val="256"/>
          <w:tblCellSpacing w:w="15" w:type="dxa"/>
        </w:trPr>
        <w:tc>
          <w:tcPr>
            <w:tcW w:w="0" w:type="auto"/>
            <w:shd w:val="clear" w:color="auto" w:fill="B4C6E7" w:themeFill="accent1" w:themeFillTint="66"/>
            <w:vAlign w:val="center"/>
            <w:hideMark/>
          </w:tcPr>
          <w:p w14:paraId="7398BF1C" w14:textId="77777777" w:rsidR="00F63BD6" w:rsidRPr="00BE02C1"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ITIL 4</w:t>
            </w:r>
          </w:p>
        </w:tc>
        <w:tc>
          <w:tcPr>
            <w:tcW w:w="0" w:type="auto"/>
            <w:shd w:val="clear" w:color="auto" w:fill="B4C6E7" w:themeFill="accent1" w:themeFillTint="66"/>
            <w:vAlign w:val="center"/>
            <w:hideMark/>
          </w:tcPr>
          <w:p w14:paraId="45E8954D" w14:textId="77777777" w:rsidR="00F63BD6" w:rsidRPr="00BE02C1"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Service management, SLA management</w:t>
            </w:r>
          </w:p>
        </w:tc>
        <w:tc>
          <w:tcPr>
            <w:tcW w:w="0" w:type="auto"/>
            <w:shd w:val="clear" w:color="auto" w:fill="B4C6E7" w:themeFill="accent1" w:themeFillTint="66"/>
            <w:vAlign w:val="center"/>
            <w:hideMark/>
          </w:tcPr>
          <w:p w14:paraId="06B475D4" w14:textId="77777777" w:rsidR="00F63BD6" w:rsidRPr="00BE02C1"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IT service continuity</w:t>
            </w:r>
          </w:p>
        </w:tc>
      </w:tr>
      <w:tr w:rsidR="00F63BD6" w:rsidRPr="00B95682" w14:paraId="297F6448" w14:textId="77777777" w:rsidTr="00F63BD6">
        <w:trPr>
          <w:trHeight w:val="22"/>
          <w:tblCellSpacing w:w="15" w:type="dxa"/>
        </w:trPr>
        <w:tc>
          <w:tcPr>
            <w:tcW w:w="0" w:type="auto"/>
            <w:shd w:val="clear" w:color="auto" w:fill="B4C6E7" w:themeFill="accent1" w:themeFillTint="66"/>
            <w:vAlign w:val="center"/>
            <w:hideMark/>
          </w:tcPr>
          <w:p w14:paraId="5FCBAA0D" w14:textId="77777777" w:rsidR="00F63BD6" w:rsidRPr="00BE02C1"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CIS Controls v8</w:t>
            </w:r>
          </w:p>
        </w:tc>
        <w:tc>
          <w:tcPr>
            <w:tcW w:w="0" w:type="auto"/>
            <w:shd w:val="clear" w:color="auto" w:fill="B4C6E7" w:themeFill="accent1" w:themeFillTint="66"/>
            <w:vAlign w:val="center"/>
            <w:hideMark/>
          </w:tcPr>
          <w:p w14:paraId="2347AB1D" w14:textId="77777777" w:rsidR="00F63BD6" w:rsidRPr="00BE02C1"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Prioritised technical safeguards</w:t>
            </w:r>
          </w:p>
        </w:tc>
        <w:tc>
          <w:tcPr>
            <w:tcW w:w="0" w:type="auto"/>
            <w:shd w:val="clear" w:color="auto" w:fill="B4C6E7" w:themeFill="accent1" w:themeFillTint="66"/>
            <w:vAlign w:val="center"/>
            <w:hideMark/>
          </w:tcPr>
          <w:p w14:paraId="0F7C2AB7" w14:textId="77777777" w:rsidR="00F63BD6" w:rsidRPr="00BE02C1" w:rsidRDefault="00F63BD6" w:rsidP="00F63BD6">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Actionable technical baseline</w:t>
            </w:r>
          </w:p>
        </w:tc>
      </w:tr>
    </w:tbl>
    <w:p w14:paraId="1B977A33" w14:textId="77777777" w:rsidR="00F63BD6" w:rsidRDefault="00F63BD6" w:rsidP="000C5EC6">
      <w:pPr>
        <w:jc w:val="both"/>
        <w:rPr>
          <w:rStyle w:val="Heading2Char"/>
        </w:rPr>
      </w:pPr>
    </w:p>
    <w:p w14:paraId="5BC2B491" w14:textId="17023244" w:rsidR="000C5EC6" w:rsidRDefault="000F20B7" w:rsidP="000C5EC6">
      <w:pPr>
        <w:jc w:val="both"/>
        <w:rPr>
          <w:sz w:val="28"/>
          <w:szCs w:val="28"/>
        </w:rPr>
      </w:pPr>
      <w:bookmarkStart w:id="25" w:name="_Toc227765960"/>
      <w:r>
        <w:rPr>
          <w:rStyle w:val="Heading2Char"/>
        </w:rPr>
        <w:t>2.6 Contingency Planning</w:t>
      </w:r>
      <w:bookmarkEnd w:id="25"/>
      <w:r>
        <w:rPr>
          <w:sz w:val="28"/>
          <w:szCs w:val="28"/>
        </w:rPr>
        <w:t xml:space="preserve"> </w:t>
      </w:r>
    </w:p>
    <w:p w14:paraId="11900D73" w14:textId="4D102C6E" w:rsidR="000F20B7" w:rsidRDefault="000F20B7" w:rsidP="000C5EC6">
      <w:pPr>
        <w:jc w:val="both"/>
        <w:rPr>
          <w:rFonts w:ascii="Arial" w:eastAsia="Times New Roman" w:hAnsi="Arial" w:cs="Arial"/>
          <w:sz w:val="28"/>
          <w:szCs w:val="28"/>
          <w:lang w:eastAsia="en-IN"/>
        </w:rPr>
      </w:pPr>
      <w:r>
        <w:rPr>
          <w:rFonts w:eastAsia="Times New Roman" w:cstheme="minorHAnsi"/>
          <w:sz w:val="24"/>
          <w:szCs w:val="24"/>
          <w:lang w:eastAsia="en-IN"/>
        </w:rPr>
        <w:t>Contingency planning keeps critical operations running when things go wrong. Whitman and Mattord (2021) describe three interrelated strategies that build organisational resilience three interrelated strategies are necessary.</w:t>
      </w:r>
      <w:r>
        <w:rPr>
          <w:rFonts w:cstheme="minorHAnsi"/>
          <w:sz w:val="24"/>
          <w:szCs w:val="24"/>
        </w:rPr>
        <w:t xml:space="preserve"> </w:t>
      </w:r>
      <w:r w:rsidR="00D92919" w:rsidRPr="00D92919">
        <w:rPr>
          <w:rFonts w:eastAsia="Times New Roman" w:cstheme="minorHAnsi"/>
          <w:sz w:val="24"/>
          <w:szCs w:val="24"/>
          <w:lang w:eastAsia="en-IN"/>
        </w:rPr>
        <w:t>In order to continue fulfilling its objectives despite variation in its operating conditions, an organization must be resilient to all forms of risk. These variations can occur suddenly (such as a disaster) or gradually (such as economic or purpose-related changes). Rather than only placing an emphasis on identifying and mitigating risks, weaknesses and threats, Organizations can work towards building a robust resilient infrastructure that will mitigate the effects of any disruption to critical mission functions on the organization.</w:t>
      </w:r>
    </w:p>
    <w:p w14:paraId="71EC8A50" w14:textId="0C8426CC" w:rsidR="00236D95" w:rsidRDefault="000F20B7" w:rsidP="00E81ED7">
      <w:pPr>
        <w:pStyle w:val="Heading3"/>
        <w:rPr>
          <w:rFonts w:eastAsia="Times New Roman"/>
          <w:lang w:eastAsia="en-IN"/>
        </w:rPr>
      </w:pPr>
      <w:bookmarkStart w:id="26" w:name="_Toc227765961"/>
      <w:r>
        <w:rPr>
          <w:rFonts w:eastAsia="Times New Roman"/>
          <w:lang w:eastAsia="en-IN"/>
        </w:rPr>
        <w:lastRenderedPageBreak/>
        <w:t>2.6.1 Business Continuity Plan (BCP)</w:t>
      </w:r>
      <w:bookmarkEnd w:id="26"/>
      <w:r>
        <w:rPr>
          <w:rFonts w:eastAsia="Times New Roman"/>
          <w:lang w:eastAsia="en-IN"/>
        </w:rPr>
        <w:t xml:space="preserve">   </w:t>
      </w:r>
    </w:p>
    <w:p w14:paraId="7FB17C71" w14:textId="23C5D0E6" w:rsidR="00C96814" w:rsidRPr="00C96814" w:rsidRDefault="00C96814" w:rsidP="00F96DD0">
      <w:pPr>
        <w:ind w:left="360"/>
        <w:jc w:val="both"/>
        <w:rPr>
          <w:rFonts w:eastAsia="Times New Roman" w:cstheme="minorHAnsi"/>
          <w:sz w:val="24"/>
          <w:szCs w:val="24"/>
          <w:lang w:eastAsia="en-IN"/>
        </w:rPr>
      </w:pPr>
      <w:r>
        <w:rPr>
          <w:rFonts w:eastAsia="Times New Roman" w:cstheme="minorHAnsi"/>
          <w:sz w:val="24"/>
          <w:szCs w:val="24"/>
          <w:lang w:eastAsia="en-IN"/>
        </w:rPr>
        <w:t>1</w:t>
      </w:r>
      <w:r w:rsidRPr="00C96814">
        <w:rPr>
          <w:rFonts w:eastAsia="Times New Roman" w:cstheme="minorHAnsi"/>
          <w:sz w:val="24"/>
          <w:szCs w:val="24"/>
          <w:lang w:eastAsia="en-IN"/>
        </w:rPr>
        <w:t xml:space="preserve">. Continuity of vital financial services, such as online transactions and access to </w:t>
      </w:r>
      <w:r>
        <w:rPr>
          <w:rFonts w:eastAsia="Times New Roman" w:cstheme="minorHAnsi"/>
          <w:sz w:val="24"/>
          <w:szCs w:val="24"/>
          <w:lang w:eastAsia="en-IN"/>
        </w:rPr>
        <w:t xml:space="preserve">    </w:t>
      </w:r>
      <w:r w:rsidRPr="00C96814">
        <w:rPr>
          <w:rFonts w:eastAsia="Times New Roman" w:cstheme="minorHAnsi"/>
          <w:sz w:val="24"/>
          <w:szCs w:val="24"/>
          <w:lang w:eastAsia="en-IN"/>
        </w:rPr>
        <w:t>accounts.</w:t>
      </w:r>
    </w:p>
    <w:p w14:paraId="57000644" w14:textId="77777777" w:rsidR="00C96814" w:rsidRPr="00C96814" w:rsidRDefault="00C96814" w:rsidP="00F96DD0">
      <w:pPr>
        <w:ind w:left="360"/>
        <w:jc w:val="both"/>
        <w:rPr>
          <w:rFonts w:eastAsia="Times New Roman" w:cstheme="minorHAnsi"/>
          <w:sz w:val="24"/>
          <w:szCs w:val="24"/>
          <w:lang w:eastAsia="en-IN"/>
        </w:rPr>
      </w:pPr>
      <w:r w:rsidRPr="00C96814">
        <w:rPr>
          <w:rFonts w:eastAsia="Times New Roman" w:cstheme="minorHAnsi"/>
          <w:sz w:val="24"/>
          <w:szCs w:val="24"/>
          <w:lang w:eastAsia="en-IN"/>
        </w:rPr>
        <w:t>2. Provide the customers with access to their accounts even in the case of disruption.</w:t>
      </w:r>
    </w:p>
    <w:p w14:paraId="36FD4B6D" w14:textId="76EBC06C" w:rsidR="00C96814" w:rsidRPr="00C96814" w:rsidRDefault="00C96814" w:rsidP="00F96DD0">
      <w:pPr>
        <w:ind w:left="360"/>
        <w:jc w:val="both"/>
        <w:rPr>
          <w:rFonts w:eastAsia="Times New Roman" w:cstheme="minorHAnsi"/>
          <w:sz w:val="24"/>
          <w:szCs w:val="24"/>
          <w:lang w:eastAsia="en-IN"/>
        </w:rPr>
      </w:pPr>
      <w:r w:rsidRPr="00C96814">
        <w:rPr>
          <w:rFonts w:eastAsia="Times New Roman" w:cstheme="minorHAnsi"/>
          <w:sz w:val="24"/>
          <w:szCs w:val="24"/>
          <w:lang w:eastAsia="en-IN"/>
        </w:rPr>
        <w:t>3.Tabletop exercises and simulated scenarios, as well as at least yearly full live failover testing, should be used to verify the effectiveness of BCP.</w:t>
      </w:r>
    </w:p>
    <w:p w14:paraId="50DDFFA2" w14:textId="2E435D94" w:rsidR="00236D95" w:rsidRPr="00236D95" w:rsidRDefault="00C96814" w:rsidP="00F96DD0">
      <w:pPr>
        <w:ind w:left="360"/>
        <w:jc w:val="both"/>
        <w:rPr>
          <w:rFonts w:ascii="Arial" w:eastAsia="Times New Roman" w:hAnsi="Arial" w:cs="Arial"/>
          <w:sz w:val="24"/>
          <w:szCs w:val="24"/>
          <w:lang w:eastAsia="en-IN"/>
        </w:rPr>
      </w:pPr>
      <w:r w:rsidRPr="00C96814">
        <w:rPr>
          <w:rFonts w:eastAsia="Times New Roman" w:cstheme="minorHAnsi"/>
          <w:sz w:val="24"/>
          <w:szCs w:val="24"/>
          <w:lang w:eastAsia="en-IN"/>
        </w:rPr>
        <w:t>4. Communication plans should be prepared before a disruption and then communicated to the staff, customers, regulators, and the media should include plans prepared in advance, not necessarily drawn up during the disruption.</w:t>
      </w:r>
      <w:r w:rsidR="004E3746">
        <w:rPr>
          <w:noProof/>
        </w:rPr>
        <w:drawing>
          <wp:inline distT="0" distB="0" distL="0" distR="0" wp14:anchorId="4990915C" wp14:editId="5BFAE767">
            <wp:extent cx="3543300" cy="1828635"/>
            <wp:effectExtent l="0" t="0" r="0" b="635"/>
            <wp:docPr id="4" name="Picture 4" descr="Incident Response Phases - Preparation - Halkyn Securit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cident Response Phases - Preparation - Halkyn Security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4554" cy="1911855"/>
                    </a:xfrm>
                    <a:prstGeom prst="rect">
                      <a:avLst/>
                    </a:prstGeom>
                    <a:noFill/>
                    <a:ln>
                      <a:noFill/>
                    </a:ln>
                  </pic:spPr>
                </pic:pic>
              </a:graphicData>
            </a:graphic>
          </wp:inline>
        </w:drawing>
      </w:r>
    </w:p>
    <w:p w14:paraId="3F3FFEF9" w14:textId="003F339E" w:rsidR="000F20B7" w:rsidRDefault="000F20B7" w:rsidP="000F20B7">
      <w:pPr>
        <w:rPr>
          <w:rFonts w:ascii="Arial" w:eastAsia="Times New Roman" w:hAnsi="Arial" w:cs="Arial"/>
          <w:sz w:val="28"/>
          <w:szCs w:val="28"/>
          <w:lang w:eastAsia="en-IN"/>
        </w:rPr>
      </w:pPr>
    </w:p>
    <w:p w14:paraId="18528606" w14:textId="10A5A643" w:rsidR="004A5B53" w:rsidRDefault="004A5B53" w:rsidP="00AA7718">
      <w:pPr>
        <w:pStyle w:val="Heading3"/>
        <w:rPr>
          <w:rFonts w:eastAsia="Times New Roman"/>
          <w:lang w:eastAsia="en-IN"/>
        </w:rPr>
      </w:pPr>
      <w:r>
        <w:rPr>
          <w:rFonts w:eastAsia="Times New Roman"/>
          <w:lang w:eastAsia="en-IN"/>
        </w:rPr>
        <w:t xml:space="preserve"> </w:t>
      </w:r>
      <w:bookmarkStart w:id="27" w:name="_Toc227765962"/>
      <w:r>
        <w:rPr>
          <w:rFonts w:eastAsia="Times New Roman"/>
          <w:lang w:eastAsia="en-IN"/>
        </w:rPr>
        <w:t>2.6.2 Disaster Recovery Plan (DRP)</w:t>
      </w:r>
      <w:bookmarkEnd w:id="27"/>
    </w:p>
    <w:p w14:paraId="2265A972" w14:textId="79606677" w:rsidR="00B116A0" w:rsidRPr="00B116A0" w:rsidRDefault="00B116A0" w:rsidP="00B116A0">
      <w:pPr>
        <w:spacing w:after="0" w:line="240" w:lineRule="auto"/>
        <w:jc w:val="both"/>
        <w:rPr>
          <w:rFonts w:eastAsia="Times New Roman" w:cstheme="minorHAnsi"/>
          <w:sz w:val="24"/>
          <w:szCs w:val="24"/>
          <w:lang w:eastAsia="en-IN"/>
        </w:rPr>
      </w:pPr>
      <w:r w:rsidRPr="00B116A0">
        <w:rPr>
          <w:rFonts w:eastAsia="Times New Roman" w:cstheme="minorHAnsi"/>
          <w:sz w:val="24"/>
          <w:szCs w:val="24"/>
          <w:lang w:eastAsia="en-IN"/>
        </w:rPr>
        <w:t>The DRP outlines the detailed technical procedures of restoring the IT systems in case of a disruptive event. The design is measured by two metrics, Recovery Time Objective (RTO) is the maximum amount of time it should take to reinstate a service and Recovery Point Objective (RPO) is the maximum amount of data a service should lose in units of time. The 3-2-1 rule (copying data three times and use two media types with one copy in an offsite location or cloud storage) is the rule that should back up the strategy. DR tests are to be a full run at least once a year and more often partial testing.</w:t>
      </w:r>
    </w:p>
    <w:p w14:paraId="16C8E419" w14:textId="77777777" w:rsidR="00F96DD0" w:rsidRDefault="00E81ED7" w:rsidP="00F96DD0">
      <w:pPr>
        <w:jc w:val="both"/>
        <w:rPr>
          <w:rStyle w:val="Heading3Char"/>
        </w:rPr>
      </w:pPr>
      <w:bookmarkStart w:id="28" w:name="_Toc227765963"/>
      <w:r>
        <w:rPr>
          <w:rStyle w:val="Heading3Char"/>
        </w:rPr>
        <w:t>2.6.3 Incident Response Plan (IRP)</w:t>
      </w:r>
      <w:bookmarkEnd w:id="28"/>
      <w:r>
        <w:rPr>
          <w:rStyle w:val="Heading3Char"/>
        </w:rPr>
        <w:t xml:space="preserve"> </w:t>
      </w:r>
    </w:p>
    <w:p w14:paraId="68195077" w14:textId="21C82890" w:rsidR="00F96DD0" w:rsidRPr="00F96DD0" w:rsidRDefault="00F96DD0" w:rsidP="00F96DD0">
      <w:pPr>
        <w:jc w:val="both"/>
        <w:rPr>
          <w:rFonts w:ascii="Bahnschrift" w:eastAsiaTheme="majorEastAsia" w:hAnsi="Bahnschrift" w:cstheme="majorBidi"/>
          <w:b/>
          <w:color w:val="8496B0" w:themeColor="text2" w:themeTint="99"/>
          <w:sz w:val="28"/>
          <w:szCs w:val="28"/>
        </w:rPr>
      </w:pPr>
      <w:r w:rsidRPr="00F96DD0">
        <w:rPr>
          <w:rFonts w:eastAsia="Times New Roman" w:cstheme="minorHAnsi"/>
          <w:sz w:val="24"/>
          <w:szCs w:val="24"/>
          <w:lang w:eastAsia="en-IN"/>
        </w:rPr>
        <w:t>The IRP provides the reaction of FSB to the security breaches and cyberattacks that can affect its information systems. It helps security personnel to have a proper way of locating, halting and recuperating hostile actions, malware infection, unapproved access, denial of service assaults or prohibited modification of system and data. The plan must be clear enough to fit in a tight spot and be reviewed following each significant event.</w:t>
      </w:r>
    </w:p>
    <w:p w14:paraId="6020E112" w14:textId="28A54A1F" w:rsidR="005E1BAE" w:rsidRPr="00A02622" w:rsidRDefault="005E1BAE" w:rsidP="00780B5F">
      <w:pPr>
        <w:pStyle w:val="Heading2"/>
        <w:rPr>
          <w:rFonts w:eastAsia="Times New Roman"/>
          <w:lang w:eastAsia="en-IN"/>
        </w:rPr>
      </w:pPr>
      <w:bookmarkStart w:id="29" w:name="_Toc227765964"/>
      <w:r>
        <w:rPr>
          <w:rFonts w:eastAsia="Times New Roman"/>
          <w:lang w:eastAsia="en-IN"/>
        </w:rPr>
        <w:t>2.7 Service Level Agreement</w:t>
      </w:r>
      <w:bookmarkEnd w:id="29"/>
    </w:p>
    <w:p w14:paraId="71EAD3F6" w14:textId="7C29C02E" w:rsidR="00BE2BF7" w:rsidRPr="00BE2BF7" w:rsidRDefault="00BE2BF7" w:rsidP="00BE2BF7">
      <w:pPr>
        <w:spacing w:after="0" w:line="240" w:lineRule="auto"/>
        <w:rPr>
          <w:rFonts w:eastAsia="Times New Roman" w:cstheme="minorHAnsi"/>
          <w:sz w:val="24"/>
          <w:szCs w:val="24"/>
          <w:lang w:eastAsia="en-IN"/>
        </w:rPr>
      </w:pPr>
      <w:r>
        <w:rPr>
          <w:rFonts w:eastAsia="Times New Roman" w:cstheme="minorHAnsi"/>
          <w:sz w:val="24"/>
          <w:szCs w:val="24"/>
          <w:lang w:eastAsia="en-IN"/>
        </w:rPr>
        <w:t>SLAs establish the agreed performance and availability standards for IT services, covering both internal delivery and third-party contracts. For FSB, SLAs serve a dual purpose: they create accountability and they ensure third-party providers are held to standards that match FSB’s own RTO/RPO requirements. All significant SLAs should be monitored under ITIL 4 service management practices.</w:t>
      </w:r>
    </w:p>
    <w:tbl>
      <w:tblPr>
        <w:tblpPr w:leftFromText="180" w:rightFromText="180" w:vertAnchor="text" w:horzAnchor="margin" w:tblpY="87"/>
        <w:tblW w:w="90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101"/>
        <w:gridCol w:w="2314"/>
        <w:gridCol w:w="2314"/>
        <w:gridCol w:w="2301"/>
      </w:tblGrid>
      <w:tr w:rsidR="00B116A0" w14:paraId="0F135278" w14:textId="77777777" w:rsidTr="00B116A0">
        <w:trPr>
          <w:tblHeader/>
        </w:trPr>
        <w:tc>
          <w:tcPr>
            <w:tcW w:w="2101" w:type="dxa"/>
            <w:tcBorders>
              <w:top w:val="single" w:sz="2" w:space="0" w:color="CCCCCC"/>
              <w:left w:val="single" w:sz="2" w:space="0" w:color="CCCCCC"/>
              <w:bottom w:val="single" w:sz="2" w:space="0" w:color="CCCCCC"/>
              <w:right w:val="single" w:sz="2" w:space="0" w:color="CCCCCC"/>
            </w:tcBorders>
            <w:shd w:val="clear" w:color="auto" w:fill="C45911" w:themeFill="accent2" w:themeFillShade="BF"/>
            <w:tcMar>
              <w:top w:w="100" w:type="dxa"/>
              <w:left w:w="120" w:type="dxa"/>
              <w:bottom w:w="100" w:type="dxa"/>
              <w:right w:w="120" w:type="dxa"/>
            </w:tcMar>
            <w:vAlign w:val="center"/>
            <w:hideMark/>
          </w:tcPr>
          <w:p w14:paraId="4FDCFBD9" w14:textId="77777777" w:rsidR="00B116A0" w:rsidRDefault="00B116A0" w:rsidP="00B116A0">
            <w:pPr>
              <w:jc w:val="center"/>
            </w:pPr>
            <w:r>
              <w:rPr>
                <w:b/>
                <w:bCs/>
                <w:color w:val="FFFFFF"/>
                <w:sz w:val="20"/>
                <w:szCs w:val="20"/>
              </w:rPr>
              <w:lastRenderedPageBreak/>
              <w:t>SLA Metric</w:t>
            </w:r>
          </w:p>
        </w:tc>
        <w:tc>
          <w:tcPr>
            <w:tcW w:w="2314" w:type="dxa"/>
            <w:tcBorders>
              <w:top w:val="single" w:sz="2" w:space="0" w:color="CCCCCC"/>
              <w:left w:val="single" w:sz="2" w:space="0" w:color="CCCCCC"/>
              <w:bottom w:val="single" w:sz="2" w:space="0" w:color="CCCCCC"/>
              <w:right w:val="single" w:sz="2" w:space="0" w:color="CCCCCC"/>
            </w:tcBorders>
            <w:shd w:val="clear" w:color="auto" w:fill="C45911" w:themeFill="accent2" w:themeFillShade="BF"/>
            <w:tcMar>
              <w:top w:w="100" w:type="dxa"/>
              <w:left w:w="120" w:type="dxa"/>
              <w:bottom w:w="100" w:type="dxa"/>
              <w:right w:w="120" w:type="dxa"/>
            </w:tcMar>
            <w:vAlign w:val="center"/>
            <w:hideMark/>
          </w:tcPr>
          <w:p w14:paraId="6BB68EA5" w14:textId="77777777" w:rsidR="00B116A0" w:rsidRDefault="00B116A0" w:rsidP="00B116A0">
            <w:pPr>
              <w:jc w:val="center"/>
            </w:pPr>
            <w:r>
              <w:rPr>
                <w:b/>
                <w:bCs/>
                <w:color w:val="FFFFFF"/>
                <w:sz w:val="20"/>
                <w:szCs w:val="20"/>
              </w:rPr>
              <w:t>Target / Threshold</w:t>
            </w:r>
          </w:p>
        </w:tc>
        <w:tc>
          <w:tcPr>
            <w:tcW w:w="2314" w:type="dxa"/>
            <w:tcBorders>
              <w:top w:val="single" w:sz="2" w:space="0" w:color="CCCCCC"/>
              <w:left w:val="single" w:sz="2" w:space="0" w:color="CCCCCC"/>
              <w:bottom w:val="single" w:sz="2" w:space="0" w:color="CCCCCC"/>
              <w:right w:val="single" w:sz="2" w:space="0" w:color="CCCCCC"/>
            </w:tcBorders>
            <w:shd w:val="clear" w:color="auto" w:fill="C45911" w:themeFill="accent2" w:themeFillShade="BF"/>
            <w:tcMar>
              <w:top w:w="100" w:type="dxa"/>
              <w:left w:w="120" w:type="dxa"/>
              <w:bottom w:w="100" w:type="dxa"/>
              <w:right w:w="120" w:type="dxa"/>
            </w:tcMar>
            <w:vAlign w:val="center"/>
            <w:hideMark/>
          </w:tcPr>
          <w:p w14:paraId="558B2F79" w14:textId="77777777" w:rsidR="00B116A0" w:rsidRDefault="00B116A0" w:rsidP="00B116A0">
            <w:pPr>
              <w:jc w:val="center"/>
            </w:pPr>
            <w:r>
              <w:rPr>
                <w:b/>
                <w:bCs/>
                <w:color w:val="FFFFFF"/>
                <w:sz w:val="20"/>
                <w:szCs w:val="20"/>
              </w:rPr>
              <w:t>Monitoring Method</w:t>
            </w:r>
          </w:p>
        </w:tc>
        <w:tc>
          <w:tcPr>
            <w:tcW w:w="2301" w:type="dxa"/>
            <w:tcBorders>
              <w:top w:val="single" w:sz="2" w:space="0" w:color="CCCCCC"/>
              <w:left w:val="single" w:sz="2" w:space="0" w:color="CCCCCC"/>
              <w:bottom w:val="single" w:sz="2" w:space="0" w:color="CCCCCC"/>
              <w:right w:val="single" w:sz="2" w:space="0" w:color="CCCCCC"/>
            </w:tcBorders>
            <w:shd w:val="clear" w:color="auto" w:fill="C45911" w:themeFill="accent2" w:themeFillShade="BF"/>
            <w:tcMar>
              <w:top w:w="100" w:type="dxa"/>
              <w:left w:w="120" w:type="dxa"/>
              <w:bottom w:w="100" w:type="dxa"/>
              <w:right w:w="120" w:type="dxa"/>
            </w:tcMar>
            <w:vAlign w:val="center"/>
            <w:hideMark/>
          </w:tcPr>
          <w:p w14:paraId="57A92593" w14:textId="77777777" w:rsidR="00B116A0" w:rsidRDefault="00B116A0" w:rsidP="00B116A0">
            <w:pPr>
              <w:jc w:val="center"/>
            </w:pPr>
            <w:r>
              <w:rPr>
                <w:b/>
                <w:bCs/>
                <w:color w:val="FFFFFF"/>
                <w:sz w:val="20"/>
                <w:szCs w:val="20"/>
              </w:rPr>
              <w:t>Consequence of Breach</w:t>
            </w:r>
          </w:p>
        </w:tc>
      </w:tr>
      <w:tr w:rsidR="00B116A0" w:rsidRPr="00E01FC3" w14:paraId="7FFB6945"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734F85CE" w14:textId="77777777" w:rsidR="00B116A0" w:rsidRPr="00E01FC3" w:rsidRDefault="00B116A0" w:rsidP="00B116A0">
            <w:pPr>
              <w:rPr>
                <w:b/>
                <w:color w:val="404040" w:themeColor="text1" w:themeTint="BF"/>
              </w:rPr>
            </w:pPr>
            <w:r>
              <w:rPr>
                <w:b/>
                <w:color w:val="404040" w:themeColor="text1" w:themeTint="BF"/>
                <w:sz w:val="20"/>
                <w:szCs w:val="20"/>
              </w:rPr>
              <w:t>System Availability (Uptime)</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CCD233A" w14:textId="77777777" w:rsidR="00B116A0" w:rsidRPr="00E01FC3" w:rsidRDefault="00B116A0" w:rsidP="00B116A0">
            <w:pPr>
              <w:rPr>
                <w:b/>
                <w:color w:val="404040" w:themeColor="text1" w:themeTint="BF"/>
              </w:rPr>
            </w:pPr>
            <w:r>
              <w:rPr>
                <w:b/>
                <w:color w:val="404040" w:themeColor="text1" w:themeTint="BF"/>
                <w:sz w:val="20"/>
                <w:szCs w:val="20"/>
              </w:rPr>
              <w:t>99.9% per month</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4CD376B" w14:textId="77777777" w:rsidR="00B116A0" w:rsidRPr="00E01FC3" w:rsidRDefault="00B116A0" w:rsidP="00B116A0">
            <w:pPr>
              <w:rPr>
                <w:b/>
                <w:color w:val="404040" w:themeColor="text1" w:themeTint="BF"/>
              </w:rPr>
            </w:pPr>
            <w:r>
              <w:rPr>
                <w:b/>
                <w:color w:val="404040" w:themeColor="text1" w:themeTint="BF"/>
                <w:sz w:val="20"/>
                <w:szCs w:val="20"/>
              </w:rPr>
              <w:t>Automated monitoring / NOC dashboard</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FD3EB6B" w14:textId="77777777" w:rsidR="00B116A0" w:rsidRPr="00E01FC3" w:rsidRDefault="00B116A0" w:rsidP="00B116A0">
            <w:pPr>
              <w:rPr>
                <w:b/>
                <w:color w:val="404040" w:themeColor="text1" w:themeTint="BF"/>
              </w:rPr>
            </w:pPr>
            <w:r>
              <w:rPr>
                <w:b/>
                <w:color w:val="404040" w:themeColor="text1" w:themeTint="BF"/>
                <w:sz w:val="20"/>
                <w:szCs w:val="20"/>
              </w:rPr>
              <w:t>Service credits; escalation to executive</w:t>
            </w:r>
          </w:p>
        </w:tc>
      </w:tr>
      <w:tr w:rsidR="00B116A0" w:rsidRPr="00E01FC3" w14:paraId="080B0290"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6B027094" w14:textId="77777777" w:rsidR="00B116A0" w:rsidRPr="00E01FC3" w:rsidRDefault="00B116A0" w:rsidP="00B116A0">
            <w:pPr>
              <w:rPr>
                <w:b/>
                <w:color w:val="404040" w:themeColor="text1" w:themeTint="BF"/>
              </w:rPr>
            </w:pPr>
            <w:r>
              <w:rPr>
                <w:b/>
                <w:color w:val="404040" w:themeColor="text1" w:themeTint="BF"/>
                <w:sz w:val="20"/>
                <w:szCs w:val="20"/>
              </w:rPr>
              <w:t>Mean Time to Respond (MTTR) — Critical Incident</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7A5C8FD" w14:textId="77777777" w:rsidR="00B116A0" w:rsidRPr="00E01FC3" w:rsidRDefault="00B116A0" w:rsidP="00B116A0">
            <w:pPr>
              <w:rPr>
                <w:b/>
                <w:color w:val="404040" w:themeColor="text1" w:themeTint="BF"/>
              </w:rPr>
            </w:pPr>
            <w:r>
              <w:rPr>
                <w:b/>
                <w:color w:val="404040" w:themeColor="text1" w:themeTint="BF"/>
                <w:sz w:val="20"/>
                <w:szCs w:val="20"/>
              </w:rPr>
              <w:t>&lt; 1 hour</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E1C690E" w14:textId="77777777" w:rsidR="00B116A0" w:rsidRPr="00E01FC3" w:rsidRDefault="00B116A0" w:rsidP="00B116A0">
            <w:pPr>
              <w:rPr>
                <w:b/>
                <w:color w:val="404040" w:themeColor="text1" w:themeTint="BF"/>
              </w:rPr>
            </w:pPr>
            <w:r>
              <w:rPr>
                <w:b/>
                <w:color w:val="404040" w:themeColor="text1" w:themeTint="BF"/>
                <w:sz w:val="20"/>
                <w:szCs w:val="20"/>
              </w:rPr>
              <w:t>Incident ticketing system</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2F6FB13" w14:textId="77777777" w:rsidR="00B116A0" w:rsidRPr="00E01FC3" w:rsidRDefault="00B116A0" w:rsidP="00B116A0">
            <w:pPr>
              <w:rPr>
                <w:b/>
                <w:color w:val="404040" w:themeColor="text1" w:themeTint="BF"/>
              </w:rPr>
            </w:pPr>
            <w:r>
              <w:rPr>
                <w:b/>
                <w:color w:val="404040" w:themeColor="text1" w:themeTint="BF"/>
                <w:sz w:val="20"/>
                <w:szCs w:val="20"/>
              </w:rPr>
              <w:t>Financial penalty; contract review</w:t>
            </w:r>
          </w:p>
        </w:tc>
      </w:tr>
      <w:tr w:rsidR="00B116A0" w14:paraId="5FF4AA2A"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296E0F21" w14:textId="77777777" w:rsidR="00B116A0" w:rsidRPr="00E01FC3" w:rsidRDefault="00B116A0" w:rsidP="00B116A0">
            <w:pPr>
              <w:rPr>
                <w:b/>
                <w:color w:val="404040" w:themeColor="text1" w:themeTint="BF"/>
              </w:rPr>
            </w:pPr>
            <w:r>
              <w:rPr>
                <w:b/>
                <w:color w:val="404040" w:themeColor="text1" w:themeTint="BF"/>
                <w:sz w:val="20"/>
                <w:szCs w:val="20"/>
              </w:rPr>
              <w:t>Recovery Time Objective (RTO)</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E471D08" w14:textId="77777777" w:rsidR="00B116A0" w:rsidRPr="00E01FC3" w:rsidRDefault="00B116A0" w:rsidP="00B116A0">
            <w:pPr>
              <w:rPr>
                <w:b/>
                <w:color w:val="404040" w:themeColor="text1" w:themeTint="BF"/>
              </w:rPr>
            </w:pPr>
            <w:r>
              <w:rPr>
                <w:b/>
                <w:color w:val="404040" w:themeColor="text1" w:themeTint="BF"/>
                <w:sz w:val="20"/>
                <w:szCs w:val="20"/>
              </w:rPr>
              <w:t>&lt; 4 hours for Tier 1 systems</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931B704" w14:textId="77777777" w:rsidR="00B116A0" w:rsidRPr="00E01FC3" w:rsidRDefault="00B116A0" w:rsidP="00B116A0">
            <w:pPr>
              <w:rPr>
                <w:b/>
                <w:color w:val="404040" w:themeColor="text1" w:themeTint="BF"/>
              </w:rPr>
            </w:pPr>
            <w:r>
              <w:rPr>
                <w:b/>
                <w:color w:val="404040" w:themeColor="text1" w:themeTint="BF"/>
                <w:sz w:val="20"/>
                <w:szCs w:val="20"/>
              </w:rPr>
              <w:t>DRP testing; failover logs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346D8B6" w14:textId="77777777" w:rsidR="00B116A0" w:rsidRPr="00E01FC3" w:rsidRDefault="00B116A0" w:rsidP="00B116A0">
            <w:pPr>
              <w:rPr>
                <w:b/>
                <w:color w:val="404040" w:themeColor="text1" w:themeTint="BF"/>
              </w:rPr>
            </w:pPr>
            <w:r>
              <w:rPr>
                <w:b/>
                <w:color w:val="404040" w:themeColor="text1" w:themeTint="BF"/>
                <w:sz w:val="20"/>
                <w:szCs w:val="20"/>
              </w:rPr>
              <w:t>Notification to board; remediation plan</w:t>
            </w:r>
          </w:p>
        </w:tc>
      </w:tr>
      <w:tr w:rsidR="00B116A0" w14:paraId="08FC1117"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4830E440" w14:textId="77777777" w:rsidR="00B116A0" w:rsidRPr="00E01FC3" w:rsidRDefault="00B116A0" w:rsidP="00B116A0">
            <w:pPr>
              <w:rPr>
                <w:b/>
                <w:color w:val="404040" w:themeColor="text1" w:themeTint="BF"/>
              </w:rPr>
            </w:pPr>
            <w:r>
              <w:rPr>
                <w:b/>
                <w:color w:val="404040" w:themeColor="text1" w:themeTint="BF"/>
                <w:sz w:val="20"/>
                <w:szCs w:val="20"/>
              </w:rPr>
              <w:t>Recovery Point Objective (RPO)</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6B140AC" w14:textId="77777777" w:rsidR="00B116A0" w:rsidRPr="00E01FC3" w:rsidRDefault="00B116A0" w:rsidP="00B116A0">
            <w:pPr>
              <w:rPr>
                <w:b/>
                <w:color w:val="404040" w:themeColor="text1" w:themeTint="BF"/>
              </w:rPr>
            </w:pPr>
            <w:r>
              <w:rPr>
                <w:b/>
                <w:color w:val="404040" w:themeColor="text1" w:themeTint="BF"/>
                <w:sz w:val="20"/>
                <w:szCs w:val="20"/>
              </w:rPr>
              <w:t>&lt; 1hour data loss</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90ABCA9" w14:textId="77777777" w:rsidR="00B116A0" w:rsidRPr="00E01FC3" w:rsidRDefault="00B116A0" w:rsidP="00B116A0">
            <w:pPr>
              <w:rPr>
                <w:b/>
                <w:color w:val="404040" w:themeColor="text1" w:themeTint="BF"/>
              </w:rPr>
            </w:pPr>
            <w:r>
              <w:rPr>
                <w:b/>
                <w:color w:val="404040" w:themeColor="text1" w:themeTint="BF"/>
                <w:sz w:val="20"/>
                <w:szCs w:val="20"/>
              </w:rPr>
              <w:t>Backup verification logs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BF45F63" w14:textId="77777777" w:rsidR="00B116A0" w:rsidRPr="00E01FC3" w:rsidRDefault="00B116A0" w:rsidP="00B116A0">
            <w:pPr>
              <w:rPr>
                <w:b/>
                <w:color w:val="404040" w:themeColor="text1" w:themeTint="BF"/>
              </w:rPr>
            </w:pPr>
            <w:r>
              <w:rPr>
                <w:b/>
                <w:color w:val="404040" w:themeColor="text1" w:themeTint="BF"/>
                <w:sz w:val="20"/>
                <w:szCs w:val="20"/>
              </w:rPr>
              <w:t>Immediate DRP review</w:t>
            </w:r>
          </w:p>
        </w:tc>
      </w:tr>
      <w:tr w:rsidR="00B116A0" w14:paraId="7668A9D0"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492854B4" w14:textId="77777777" w:rsidR="00B116A0" w:rsidRPr="00E01FC3" w:rsidRDefault="00B116A0" w:rsidP="00B116A0">
            <w:pPr>
              <w:rPr>
                <w:b/>
                <w:color w:val="404040" w:themeColor="text1" w:themeTint="BF"/>
              </w:rPr>
            </w:pPr>
            <w:r>
              <w:rPr>
                <w:b/>
                <w:color w:val="404040" w:themeColor="text1" w:themeTint="BF"/>
                <w:sz w:val="20"/>
                <w:szCs w:val="20"/>
              </w:rPr>
              <w:t>Vulnerability Patching (Critical CVEs)</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B4663D2" w14:textId="77777777" w:rsidR="00B116A0" w:rsidRPr="00E01FC3" w:rsidRDefault="00B116A0" w:rsidP="00B116A0">
            <w:pPr>
              <w:rPr>
                <w:b/>
                <w:color w:val="404040" w:themeColor="text1" w:themeTint="BF"/>
              </w:rPr>
            </w:pPr>
            <w:r>
              <w:rPr>
                <w:b/>
                <w:color w:val="404040" w:themeColor="text1" w:themeTint="BF"/>
                <w:sz w:val="20"/>
                <w:szCs w:val="20"/>
              </w:rPr>
              <w:t>Within 24 hours of disclosure</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6702E61" w14:textId="77777777" w:rsidR="00B116A0" w:rsidRPr="00E01FC3" w:rsidRDefault="00B116A0" w:rsidP="00B116A0">
            <w:pPr>
              <w:rPr>
                <w:b/>
                <w:color w:val="404040" w:themeColor="text1" w:themeTint="BF"/>
              </w:rPr>
            </w:pPr>
            <w:r>
              <w:rPr>
                <w:b/>
                <w:color w:val="404040" w:themeColor="text1" w:themeTint="BF"/>
                <w:sz w:val="20"/>
                <w:szCs w:val="20"/>
              </w:rPr>
              <w:t>Vulnerability scanner reports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8B016D4" w14:textId="77777777" w:rsidR="00B116A0" w:rsidRPr="00E01FC3" w:rsidRDefault="00B116A0" w:rsidP="00B116A0">
            <w:pPr>
              <w:rPr>
                <w:b/>
                <w:color w:val="404040" w:themeColor="text1" w:themeTint="BF"/>
              </w:rPr>
            </w:pPr>
            <w:r>
              <w:rPr>
                <w:b/>
                <w:color w:val="404040" w:themeColor="text1" w:themeTint="BF"/>
                <w:sz w:val="20"/>
                <w:szCs w:val="20"/>
              </w:rPr>
              <w:t>Escalation; mandatory emergency patching</w:t>
            </w:r>
          </w:p>
        </w:tc>
      </w:tr>
      <w:tr w:rsidR="00B116A0" w14:paraId="77A786C4"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284798DC" w14:textId="77777777" w:rsidR="00B116A0" w:rsidRPr="00E01FC3" w:rsidRDefault="00B116A0" w:rsidP="00B116A0">
            <w:pPr>
              <w:rPr>
                <w:b/>
                <w:color w:val="404040" w:themeColor="text1" w:themeTint="BF"/>
              </w:rPr>
            </w:pPr>
            <w:r>
              <w:rPr>
                <w:b/>
                <w:color w:val="404040" w:themeColor="text1" w:themeTint="BF"/>
                <w:sz w:val="20"/>
                <w:szCs w:val="20"/>
              </w:rPr>
              <w:t>Security Awareness Training Completion</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DBFF2FB" w14:textId="77777777" w:rsidR="00B116A0" w:rsidRPr="00E01FC3" w:rsidRDefault="00B116A0" w:rsidP="00B116A0">
            <w:pPr>
              <w:rPr>
                <w:b/>
                <w:color w:val="404040" w:themeColor="text1" w:themeTint="BF"/>
              </w:rPr>
            </w:pPr>
            <w:r>
              <w:rPr>
                <w:b/>
                <w:color w:val="404040" w:themeColor="text1" w:themeTint="BF"/>
                <w:sz w:val="20"/>
                <w:szCs w:val="20"/>
              </w:rPr>
              <w:t>100% of employees per annum</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7D976D4" w14:textId="77777777" w:rsidR="00B116A0" w:rsidRPr="00E01FC3" w:rsidRDefault="00B116A0" w:rsidP="00B116A0">
            <w:pPr>
              <w:rPr>
                <w:b/>
                <w:color w:val="404040" w:themeColor="text1" w:themeTint="BF"/>
              </w:rPr>
            </w:pPr>
            <w:r>
              <w:rPr>
                <w:b/>
                <w:color w:val="404040" w:themeColor="text1" w:themeTint="BF"/>
                <w:sz w:val="20"/>
                <w:szCs w:val="20"/>
              </w:rPr>
              <w:t>LMS completion reports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CB06F37" w14:textId="77777777" w:rsidR="00B116A0" w:rsidRPr="00E01FC3" w:rsidRDefault="00B116A0" w:rsidP="00B116A0">
            <w:pPr>
              <w:rPr>
                <w:b/>
                <w:color w:val="404040" w:themeColor="text1" w:themeTint="BF"/>
              </w:rPr>
            </w:pPr>
            <w:r>
              <w:rPr>
                <w:b/>
                <w:color w:val="404040" w:themeColor="text1" w:themeTint="BF"/>
                <w:sz w:val="20"/>
                <w:szCs w:val="20"/>
              </w:rPr>
              <w:t>Disciplinary action; management escalation</w:t>
            </w:r>
          </w:p>
        </w:tc>
      </w:tr>
      <w:tr w:rsidR="00B116A0" w14:paraId="711A479D"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70E9FBB8" w14:textId="77777777" w:rsidR="00B116A0" w:rsidRPr="00E01FC3" w:rsidRDefault="00B116A0" w:rsidP="00B116A0">
            <w:pPr>
              <w:rPr>
                <w:b/>
                <w:color w:val="404040" w:themeColor="text1" w:themeTint="BF"/>
              </w:rPr>
            </w:pPr>
            <w:r>
              <w:rPr>
                <w:b/>
                <w:color w:val="404040" w:themeColor="text1" w:themeTint="BF"/>
                <w:sz w:val="20"/>
                <w:szCs w:val="20"/>
              </w:rPr>
              <w:t>Third-Party Data Breach Notification</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B6ABF0C" w14:textId="77777777" w:rsidR="00B116A0" w:rsidRPr="00E01FC3" w:rsidRDefault="00B116A0" w:rsidP="00B116A0">
            <w:pPr>
              <w:rPr>
                <w:b/>
                <w:color w:val="404040" w:themeColor="text1" w:themeTint="BF"/>
              </w:rPr>
            </w:pPr>
            <w:r>
              <w:rPr>
                <w:b/>
                <w:color w:val="404040" w:themeColor="text1" w:themeTint="BF"/>
                <w:sz w:val="20"/>
                <w:szCs w:val="20"/>
              </w:rPr>
              <w:t>Within 24 hours of discovery</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9301D48" w14:textId="77777777" w:rsidR="00B116A0" w:rsidRPr="00E01FC3" w:rsidRDefault="00B116A0" w:rsidP="00B116A0">
            <w:pPr>
              <w:rPr>
                <w:b/>
                <w:color w:val="404040" w:themeColor="text1" w:themeTint="BF"/>
              </w:rPr>
            </w:pPr>
            <w:r>
              <w:rPr>
                <w:b/>
                <w:color w:val="404040" w:themeColor="text1" w:themeTint="BF"/>
                <w:sz w:val="20"/>
                <w:szCs w:val="20"/>
              </w:rPr>
              <w:t>Contractual obligation; audit rights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5E0188A" w14:textId="77777777" w:rsidR="00B116A0" w:rsidRPr="00E01FC3" w:rsidRDefault="00B116A0" w:rsidP="00B116A0">
            <w:pPr>
              <w:rPr>
                <w:b/>
                <w:color w:val="404040" w:themeColor="text1" w:themeTint="BF"/>
              </w:rPr>
            </w:pPr>
            <w:r>
              <w:rPr>
                <w:b/>
                <w:color w:val="404040" w:themeColor="text1" w:themeTint="BF"/>
                <w:sz w:val="20"/>
                <w:szCs w:val="20"/>
              </w:rPr>
              <w:t>Contract termination; legal action</w:t>
            </w:r>
          </w:p>
        </w:tc>
      </w:tr>
    </w:tbl>
    <w:p w14:paraId="696B5336" w14:textId="77777777" w:rsidR="0084030C" w:rsidRDefault="0084030C">
      <w:pPr>
        <w:spacing w:after="0"/>
        <w:rPr>
          <w:rFonts w:ascii="Arial" w:hAnsi="Arial" w:cs="Arial"/>
          <w:sz w:val="36"/>
          <w:szCs w:val="36"/>
        </w:rPr>
      </w:pPr>
    </w:p>
    <w:p w14:paraId="6935718A" w14:textId="4DA5B93E" w:rsidR="00BE02C1" w:rsidRPr="00B116A0" w:rsidRDefault="00BE02C1" w:rsidP="00722916">
      <w:pPr>
        <w:pStyle w:val="Heading2"/>
        <w:numPr>
          <w:ilvl w:val="1"/>
          <w:numId w:val="13"/>
        </w:numPr>
      </w:pPr>
      <w:bookmarkStart w:id="30" w:name="_Toc227765965"/>
      <w:r>
        <w:t>Protection Mechanisms</w:t>
      </w:r>
      <w:bookmarkEnd w:id="30"/>
    </w:p>
    <w:p w14:paraId="013276D2" w14:textId="223101F4" w:rsidR="0084030C" w:rsidRDefault="00B55863" w:rsidP="00722916">
      <w:pPr>
        <w:spacing w:before="80" w:after="100"/>
        <w:jc w:val="both"/>
        <w:rPr>
          <w:sz w:val="24"/>
          <w:szCs w:val="24"/>
        </w:rPr>
      </w:pPr>
      <w:r w:rsidRPr="00B55863">
        <w:rPr>
          <w:sz w:val="24"/>
          <w:szCs w:val="24"/>
        </w:rPr>
        <w:t xml:space="preserve">The following controls are the recommended protection layer of FSB based on CIS Controls v8 and NIST SP 800-53 Rev 5. Multi-Factor Authentication (MFA): Must be used on all privileged accounts and those open to the outside world. According to the study by Microsoft (2023), MFA has prevented more than 99 percent of attacks based on credentials. Security Information and Event Management (SIEM): Co-ordinated collection, correlation and real time notification of logs. Offers a live threat detector and the forensic trail essential in investigating the incident. </w:t>
      </w:r>
    </w:p>
    <w:p w14:paraId="4D24AF34" w14:textId="13623543" w:rsidR="00F2113B" w:rsidRDefault="00F2113B" w:rsidP="00722916">
      <w:pPr>
        <w:spacing w:before="80" w:after="100"/>
        <w:jc w:val="both"/>
        <w:rPr>
          <w:sz w:val="24"/>
          <w:szCs w:val="24"/>
        </w:rPr>
      </w:pPr>
    </w:p>
    <w:p w14:paraId="39A1F6E0" w14:textId="7A144830" w:rsidR="00F2113B" w:rsidRDefault="00F2113B" w:rsidP="00722916">
      <w:pPr>
        <w:spacing w:before="80" w:after="100"/>
        <w:jc w:val="both"/>
        <w:rPr>
          <w:sz w:val="24"/>
          <w:szCs w:val="24"/>
        </w:rPr>
      </w:pPr>
    </w:p>
    <w:p w14:paraId="77224136" w14:textId="4D28438A" w:rsidR="00F2113B" w:rsidRDefault="00F2113B" w:rsidP="00722916">
      <w:pPr>
        <w:spacing w:before="80" w:after="100"/>
        <w:jc w:val="both"/>
        <w:rPr>
          <w:sz w:val="24"/>
          <w:szCs w:val="24"/>
        </w:rPr>
      </w:pPr>
    </w:p>
    <w:p w14:paraId="1CB3D143" w14:textId="0390C95C" w:rsidR="00F2113B" w:rsidRDefault="00F2113B" w:rsidP="00722916">
      <w:pPr>
        <w:spacing w:before="80" w:after="100"/>
        <w:jc w:val="both"/>
        <w:rPr>
          <w:sz w:val="24"/>
          <w:szCs w:val="24"/>
        </w:rPr>
      </w:pPr>
    </w:p>
    <w:p w14:paraId="64899274" w14:textId="77777777" w:rsidR="00F2113B" w:rsidRPr="00722916" w:rsidRDefault="00F2113B" w:rsidP="00722916">
      <w:pPr>
        <w:spacing w:before="80" w:after="100"/>
        <w:jc w:val="both"/>
        <w:rPr>
          <w:sz w:val="24"/>
          <w:szCs w:val="24"/>
        </w:rPr>
      </w:pPr>
    </w:p>
    <w:p w14:paraId="01EFBE80" w14:textId="3CAC93C3" w:rsidR="00BA5BF7" w:rsidRDefault="00FD7EB8" w:rsidP="008900F9">
      <w:pPr>
        <w:pStyle w:val="Heading1"/>
      </w:pPr>
      <w:bookmarkStart w:id="31" w:name="_Toc227765966"/>
      <w:r>
        <w:lastRenderedPageBreak/>
        <w:t>3. Critique, Analysis, and Discussion of the Benefits of Continually Having New or Updated Rules and Regulation</w:t>
      </w:r>
      <w:bookmarkEnd w:id="31"/>
    </w:p>
    <w:p w14:paraId="537BF6CE" w14:textId="344EBD2B" w:rsidR="00B52C67" w:rsidRDefault="001C7877" w:rsidP="00910EF1">
      <w:pPr>
        <w:pStyle w:val="Heading2"/>
      </w:pPr>
      <w:bookmarkStart w:id="32" w:name="_Toc227765967"/>
      <w:r>
        <w:t>1</w:t>
      </w:r>
      <w:r w:rsidR="00B52C67">
        <w:t xml:space="preserve"> The Evolving Threat Landscape</w:t>
      </w:r>
      <w:bookmarkEnd w:id="32"/>
      <w:r w:rsidR="00B52C67">
        <w:t xml:space="preserve"> </w:t>
      </w:r>
    </w:p>
    <w:p w14:paraId="21B48E2D" w14:textId="4D3A2364" w:rsidR="008B6C45" w:rsidRDefault="00A15AD7" w:rsidP="0007395F">
      <w:pPr>
        <w:spacing w:before="80" w:after="100"/>
        <w:jc w:val="both"/>
        <w:rPr>
          <w:sz w:val="24"/>
          <w:szCs w:val="24"/>
        </w:rPr>
      </w:pPr>
      <w:r w:rsidRPr="00A15AD7">
        <w:rPr>
          <w:sz w:val="24"/>
          <w:szCs w:val="24"/>
        </w:rPr>
        <w:t>The rate of threat change is likely the best case to maintain regulations up-to-date. WannaCry in 2017, SolarWinds in 2020, and Log4Shell in 2021 each of these gaps that were not covered by an existing framework, since the methods through which they were performed were not known when the framework was created. Criminal ransomware cartels and state-sponsored actions can and will keep creating new TTPs. The MITRE ATT&amp;CK framework which documents observed adversary behaviour is updated by adding entries every release</w:t>
      </w:r>
      <w:r w:rsidR="001B41C8">
        <w:rPr>
          <w:sz w:val="24"/>
          <w:szCs w:val="24"/>
        </w:rPr>
        <w:t>.</w:t>
      </w:r>
    </w:p>
    <w:p w14:paraId="2514CCB9" w14:textId="70E2A88C" w:rsidR="008B6C45" w:rsidRDefault="003D3236" w:rsidP="008B6C45">
      <w:pPr>
        <w:pStyle w:val="Heading2"/>
      </w:pPr>
      <w:bookmarkStart w:id="33" w:name="_Toc227765968"/>
      <w:r>
        <w:t>2</w:t>
      </w:r>
      <w:r w:rsidR="008B6C45">
        <w:t>.Legal, Ethical and Privacy Obligations</w:t>
      </w:r>
      <w:bookmarkEnd w:id="33"/>
      <w:r w:rsidR="008B6C45">
        <w:t xml:space="preserve"> </w:t>
      </w:r>
    </w:p>
    <w:p w14:paraId="2AF33098" w14:textId="77777777" w:rsidR="001B41C8" w:rsidRDefault="001B41C8" w:rsidP="00CD22AB">
      <w:pPr>
        <w:jc w:val="both"/>
        <w:rPr>
          <w:b/>
        </w:rPr>
      </w:pPr>
      <w:r w:rsidRPr="001B41C8">
        <w:t>Expectations around privacy and data rights have shifted fast, and regulation must stay ahead of the curve. The General Data Protection Regulation filled the voids of the older Data Protection Directive with stronger protections such as data protection by design, the right to erasure and heavy fines. Beyond legal compliance, ethical concerns around surveillance, algorithmic bias, and manipulation point to risks that laws alone cannot fully address. The increasing responsibilities on organisations, especially in critical sectors, to keep pace with the growing cyber threats and the need for a more proactive and security-minded approach are emerging frameworks such as the NIS2 Directive.</w:t>
      </w:r>
    </w:p>
    <w:p w14:paraId="5A8DD677" w14:textId="0E9FFE80" w:rsidR="00D30831" w:rsidRDefault="003D3236" w:rsidP="00AA369A">
      <w:pPr>
        <w:pStyle w:val="Heading2"/>
      </w:pPr>
      <w:bookmarkStart w:id="34" w:name="_Toc227765969"/>
      <w:r>
        <w:t>3</w:t>
      </w:r>
      <w:r w:rsidR="00D30831">
        <w:t>.Technological Change and Digital Transformation</w:t>
      </w:r>
      <w:bookmarkEnd w:id="34"/>
    </w:p>
    <w:p w14:paraId="29EF75A9" w14:textId="2ADB8DAC" w:rsidR="00997DD9" w:rsidRDefault="004A68D2" w:rsidP="008208DD">
      <w:pPr>
        <w:jc w:val="both"/>
      </w:pPr>
      <w:r>
        <w:t>Technology changes faster than regulation. ISO/IEC 27001’s 2022 revision added 11 new controls specifically covering cloud services, threat intelligence, and ICT supply chain readiness areas that simply did not exist in any meaningful form when the standard was last updated in 2005. Without that revision, organisations running cloud-first operations would be applying controls designed for on</w:t>
      </w:r>
      <w:r w:rsidR="008208DD">
        <w:t xml:space="preserve"> </w:t>
      </w:r>
      <w:r>
        <w:t xml:space="preserve">premises perimeter architectures that no longer match how they actually work. AI is the current frontier of this problem. </w:t>
      </w:r>
    </w:p>
    <w:p w14:paraId="5BB5B6FB" w14:textId="3594EA43" w:rsidR="004A68D2" w:rsidRPr="004A68D2" w:rsidRDefault="003D3236" w:rsidP="00997DD9">
      <w:pPr>
        <w:pStyle w:val="Heading2"/>
      </w:pPr>
      <w:bookmarkStart w:id="35" w:name="_Toc227765970"/>
      <w:r>
        <w:t>4</w:t>
      </w:r>
      <w:r w:rsidR="004A68D2">
        <w:t>.Regulatory critique and Analysis: key Factors</w:t>
      </w:r>
      <w:bookmarkEnd w:id="35"/>
      <w:r w:rsidR="004A68D2">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800"/>
        <w:gridCol w:w="1800"/>
        <w:gridCol w:w="1960"/>
        <w:gridCol w:w="2000"/>
      </w:tblGrid>
      <w:tr w:rsidR="00997DD9" w:rsidRPr="00997DD9" w14:paraId="6F8EC906" w14:textId="77777777" w:rsidTr="00997DD9">
        <w:tc>
          <w:tcPr>
            <w:tcW w:w="180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7ADCD326" w14:textId="77777777" w:rsidR="004A68D2" w:rsidRPr="00997DD9" w:rsidRDefault="004A68D2">
            <w:pPr>
              <w:jc w:val="center"/>
              <w:rPr>
                <w:color w:val="262626" w:themeColor="text1" w:themeTint="D9"/>
              </w:rPr>
            </w:pPr>
            <w:r>
              <w:rPr>
                <w:b/>
                <w:bCs/>
                <w:color w:val="262626" w:themeColor="text1" w:themeTint="D9"/>
                <w:sz w:val="20"/>
                <w:szCs w:val="20"/>
              </w:rPr>
              <w:t>Factor</w:t>
            </w:r>
          </w:p>
        </w:tc>
        <w:tc>
          <w:tcPr>
            <w:tcW w:w="180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049D4022" w14:textId="77777777" w:rsidR="004A68D2" w:rsidRPr="00997DD9" w:rsidRDefault="004A68D2">
            <w:pPr>
              <w:jc w:val="center"/>
              <w:rPr>
                <w:color w:val="262626" w:themeColor="text1" w:themeTint="D9"/>
              </w:rPr>
            </w:pPr>
            <w:r>
              <w:rPr>
                <w:b/>
                <w:bCs/>
                <w:color w:val="262626" w:themeColor="text1" w:themeTint="D9"/>
                <w:sz w:val="20"/>
                <w:szCs w:val="20"/>
              </w:rPr>
              <w:t>Driver for Change</w:t>
            </w:r>
          </w:p>
        </w:tc>
        <w:tc>
          <w:tcPr>
            <w:tcW w:w="180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1FB21E69" w14:textId="77777777" w:rsidR="004A68D2" w:rsidRPr="00997DD9" w:rsidRDefault="004A68D2">
            <w:pPr>
              <w:jc w:val="center"/>
              <w:rPr>
                <w:color w:val="262626" w:themeColor="text1" w:themeTint="D9"/>
              </w:rPr>
            </w:pPr>
            <w:r>
              <w:rPr>
                <w:b/>
                <w:bCs/>
                <w:color w:val="262626" w:themeColor="text1" w:themeTint="D9"/>
                <w:sz w:val="20"/>
                <w:szCs w:val="20"/>
              </w:rPr>
              <w:t>Gap in Old Regulation</w:t>
            </w:r>
          </w:p>
        </w:tc>
        <w:tc>
          <w:tcPr>
            <w:tcW w:w="196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0F45759E" w14:textId="77777777" w:rsidR="004A68D2" w:rsidRPr="00997DD9" w:rsidRDefault="004A68D2">
            <w:pPr>
              <w:jc w:val="center"/>
              <w:rPr>
                <w:color w:val="262626" w:themeColor="text1" w:themeTint="D9"/>
              </w:rPr>
            </w:pPr>
            <w:r>
              <w:rPr>
                <w:b/>
                <w:bCs/>
                <w:color w:val="262626" w:themeColor="text1" w:themeTint="D9"/>
                <w:sz w:val="20"/>
                <w:szCs w:val="20"/>
              </w:rPr>
              <w:t>Modern Regulatory Response</w:t>
            </w:r>
          </w:p>
        </w:tc>
        <w:tc>
          <w:tcPr>
            <w:tcW w:w="200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76BDEF35" w14:textId="77777777" w:rsidR="004A68D2" w:rsidRPr="00997DD9" w:rsidRDefault="004A68D2">
            <w:pPr>
              <w:jc w:val="center"/>
              <w:rPr>
                <w:color w:val="262626" w:themeColor="text1" w:themeTint="D9"/>
              </w:rPr>
            </w:pPr>
            <w:r>
              <w:rPr>
                <w:b/>
                <w:bCs/>
                <w:color w:val="262626" w:themeColor="text1" w:themeTint="D9"/>
                <w:sz w:val="20"/>
                <w:szCs w:val="20"/>
              </w:rPr>
              <w:t>Example Regulation / Standard</w:t>
            </w:r>
          </w:p>
        </w:tc>
      </w:tr>
      <w:tr w:rsidR="004A68D2" w14:paraId="144BBC3F"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53C2E649" w14:textId="77777777" w:rsidR="004A68D2" w:rsidRPr="004A68D2" w:rsidRDefault="004A68D2">
            <w:pPr>
              <w:rPr>
                <w:color w:val="262626" w:themeColor="text1" w:themeTint="D9"/>
              </w:rPr>
            </w:pPr>
            <w:r>
              <w:rPr>
                <w:b/>
                <w:bCs/>
                <w:color w:val="262626" w:themeColor="text1" w:themeTint="D9"/>
                <w:sz w:val="20"/>
                <w:szCs w:val="20"/>
              </w:rPr>
              <w:t>Threat Landscape</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7096924" w14:textId="2D571960" w:rsidR="004A68D2" w:rsidRPr="00997DD9" w:rsidRDefault="004A68D2">
            <w:pPr>
              <w:rPr>
                <w:color w:val="262626" w:themeColor="text1" w:themeTint="D9"/>
              </w:rPr>
            </w:pPr>
            <w:r>
              <w:rPr>
                <w:color w:val="262626" w:themeColor="text1" w:themeTint="D9"/>
                <w:sz w:val="20"/>
                <w:szCs w:val="20"/>
              </w:rPr>
              <w:t>Ransomware, AI-driven attacks evolve rapidly.</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3F137620" w14:textId="0175492D" w:rsidR="004A68D2" w:rsidRPr="00997DD9" w:rsidRDefault="004A68D2">
            <w:pPr>
              <w:rPr>
                <w:color w:val="262626" w:themeColor="text1" w:themeTint="D9"/>
              </w:rPr>
            </w:pPr>
            <w:r>
              <w:rPr>
                <w:color w:val="262626" w:themeColor="text1" w:themeTint="D9"/>
                <w:sz w:val="20"/>
                <w:szCs w:val="20"/>
              </w:rPr>
              <w:t>Static rules quickly become obsolete.</w:t>
            </w:r>
          </w:p>
        </w:tc>
        <w:tc>
          <w:tcPr>
            <w:tcW w:w="196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68A780C4" w14:textId="77777777" w:rsidR="004A68D2" w:rsidRPr="00997DD9" w:rsidRDefault="004A68D2">
            <w:pPr>
              <w:rPr>
                <w:color w:val="262626" w:themeColor="text1" w:themeTint="D9"/>
              </w:rPr>
            </w:pPr>
            <w:r>
              <w:rPr>
                <w:color w:val="262626" w:themeColor="text1" w:themeTint="D9"/>
                <w:sz w:val="20"/>
                <w:szCs w:val="20"/>
              </w:rPr>
              <w:t>Dynamic threat modelling, adaptive controls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D03C28E" w14:textId="77777777" w:rsidR="004A68D2" w:rsidRPr="00997DD9" w:rsidRDefault="004A68D2">
            <w:pPr>
              <w:rPr>
                <w:color w:val="262626" w:themeColor="text1" w:themeTint="D9"/>
              </w:rPr>
            </w:pPr>
            <w:r>
              <w:rPr>
                <w:color w:val="262626" w:themeColor="text1" w:themeTint="D9"/>
                <w:sz w:val="20"/>
                <w:szCs w:val="20"/>
              </w:rPr>
              <w:t>NIST CSF 2.0 (2024), NCSC Cyber Essentials+</w:t>
            </w:r>
          </w:p>
        </w:tc>
      </w:tr>
      <w:tr w:rsidR="004A68D2" w14:paraId="0F05CC74"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38817DB3" w14:textId="77777777" w:rsidR="004A68D2" w:rsidRPr="004A68D2" w:rsidRDefault="004A68D2">
            <w:pPr>
              <w:rPr>
                <w:color w:val="262626" w:themeColor="text1" w:themeTint="D9"/>
              </w:rPr>
            </w:pPr>
            <w:r>
              <w:rPr>
                <w:b/>
                <w:bCs/>
                <w:color w:val="262626" w:themeColor="text1" w:themeTint="D9"/>
                <w:sz w:val="20"/>
                <w:szCs w:val="20"/>
              </w:rPr>
              <w:t>Technology Change</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5AC01A70" w14:textId="0B84F9E6" w:rsidR="004A68D2" w:rsidRPr="00997DD9" w:rsidRDefault="004A68D2">
            <w:pPr>
              <w:rPr>
                <w:color w:val="262626" w:themeColor="text1" w:themeTint="D9"/>
              </w:rPr>
            </w:pPr>
            <w:r>
              <w:rPr>
                <w:color w:val="262626" w:themeColor="text1" w:themeTint="D9"/>
                <w:sz w:val="20"/>
                <w:szCs w:val="20"/>
              </w:rPr>
              <w:t>Cloud, IoT, APIs introduce new surfaces.</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16C30F6F" w14:textId="0773A907" w:rsidR="004A68D2" w:rsidRPr="00997DD9" w:rsidRDefault="004A68D2">
            <w:pPr>
              <w:rPr>
                <w:color w:val="262626" w:themeColor="text1" w:themeTint="D9"/>
              </w:rPr>
            </w:pPr>
            <w:r>
              <w:rPr>
                <w:color w:val="262626" w:themeColor="text1" w:themeTint="D9"/>
                <w:sz w:val="20"/>
                <w:szCs w:val="20"/>
              </w:rPr>
              <w:t>Legacy frameworks ignore modern architecture.</w:t>
            </w:r>
          </w:p>
        </w:tc>
        <w:tc>
          <w:tcPr>
            <w:tcW w:w="196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5433D982" w14:textId="77777777" w:rsidR="004A68D2" w:rsidRPr="00997DD9" w:rsidRDefault="004A68D2">
            <w:pPr>
              <w:rPr>
                <w:color w:val="262626" w:themeColor="text1" w:themeTint="D9"/>
              </w:rPr>
            </w:pPr>
            <w:r>
              <w:rPr>
                <w:color w:val="262626" w:themeColor="text1" w:themeTint="D9"/>
                <w:sz w:val="20"/>
                <w:szCs w:val="20"/>
              </w:rPr>
              <w:t>Principle-based, tech-agnostic standards</w:t>
            </w:r>
          </w:p>
        </w:tc>
        <w:tc>
          <w:tcPr>
            <w:tcW w:w="20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642C354E" w14:textId="77777777" w:rsidR="004A68D2" w:rsidRPr="00997DD9" w:rsidRDefault="004A68D2">
            <w:pPr>
              <w:rPr>
                <w:color w:val="262626" w:themeColor="text1" w:themeTint="D9"/>
              </w:rPr>
            </w:pPr>
            <w:r>
              <w:rPr>
                <w:color w:val="262626" w:themeColor="text1" w:themeTint="D9"/>
                <w:sz w:val="20"/>
                <w:szCs w:val="20"/>
              </w:rPr>
              <w:t>ISO 27001:2022 cloud controls, CIS Controls v8</w:t>
            </w:r>
          </w:p>
        </w:tc>
      </w:tr>
      <w:tr w:rsidR="004A68D2" w14:paraId="75D89269"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6C812CD2" w14:textId="77777777" w:rsidR="004A68D2" w:rsidRPr="004A68D2" w:rsidRDefault="004A68D2">
            <w:pPr>
              <w:rPr>
                <w:color w:val="262626" w:themeColor="text1" w:themeTint="D9"/>
              </w:rPr>
            </w:pPr>
            <w:r>
              <w:rPr>
                <w:b/>
                <w:bCs/>
                <w:color w:val="262626" w:themeColor="text1" w:themeTint="D9"/>
                <w:sz w:val="20"/>
                <w:szCs w:val="20"/>
              </w:rPr>
              <w:t>Data Privacy</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32A15459" w14:textId="77777777" w:rsidR="004A68D2" w:rsidRPr="00997DD9" w:rsidRDefault="004A68D2">
            <w:pPr>
              <w:rPr>
                <w:color w:val="262626" w:themeColor="text1" w:themeTint="D9"/>
              </w:rPr>
            </w:pPr>
            <w:r>
              <w:rPr>
                <w:color w:val="262626" w:themeColor="text1" w:themeTint="D9"/>
                <w:sz w:val="20"/>
                <w:szCs w:val="20"/>
              </w:rPr>
              <w:t>Biometrics, AI profiling, cross-border flows</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22DAF13" w14:textId="77777777" w:rsidR="004A68D2" w:rsidRPr="00997DD9" w:rsidRDefault="004A68D2">
            <w:pPr>
              <w:rPr>
                <w:color w:val="262626" w:themeColor="text1" w:themeTint="D9"/>
              </w:rPr>
            </w:pPr>
            <w:r>
              <w:rPr>
                <w:color w:val="262626" w:themeColor="text1" w:themeTint="D9"/>
                <w:sz w:val="20"/>
                <w:szCs w:val="20"/>
              </w:rPr>
              <w:t>Older laws predate big data / AI era</w:t>
            </w:r>
          </w:p>
        </w:tc>
        <w:tc>
          <w:tcPr>
            <w:tcW w:w="196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5DA25673" w14:textId="77777777" w:rsidR="004A68D2" w:rsidRPr="00997DD9" w:rsidRDefault="004A68D2">
            <w:pPr>
              <w:rPr>
                <w:color w:val="262626" w:themeColor="text1" w:themeTint="D9"/>
              </w:rPr>
            </w:pPr>
            <w:r>
              <w:rPr>
                <w:color w:val="262626" w:themeColor="text1" w:themeTint="D9"/>
                <w:sz w:val="20"/>
                <w:szCs w:val="20"/>
              </w:rPr>
              <w:t>GDPR-style extraterritorial, data-centric law</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37DB5F02" w14:textId="77777777" w:rsidR="004A68D2" w:rsidRPr="00997DD9" w:rsidRDefault="004A68D2">
            <w:pPr>
              <w:rPr>
                <w:color w:val="262626" w:themeColor="text1" w:themeTint="D9"/>
              </w:rPr>
            </w:pPr>
            <w:r>
              <w:rPr>
                <w:color w:val="262626" w:themeColor="text1" w:themeTint="D9"/>
                <w:sz w:val="20"/>
                <w:szCs w:val="20"/>
              </w:rPr>
              <w:t>GDPR, UK DPA 2018, AI Act (EU, 2024)</w:t>
            </w:r>
          </w:p>
        </w:tc>
      </w:tr>
      <w:tr w:rsidR="004A68D2" w14:paraId="52AE2EEB"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1075B950" w14:textId="77777777" w:rsidR="004A68D2" w:rsidRPr="004A68D2" w:rsidRDefault="004A68D2">
            <w:pPr>
              <w:rPr>
                <w:color w:val="262626" w:themeColor="text1" w:themeTint="D9"/>
              </w:rPr>
            </w:pPr>
            <w:r>
              <w:rPr>
                <w:b/>
                <w:bCs/>
                <w:color w:val="262626" w:themeColor="text1" w:themeTint="D9"/>
                <w:sz w:val="20"/>
                <w:szCs w:val="20"/>
              </w:rPr>
              <w:lastRenderedPageBreak/>
              <w:t>Geopolitical Factors</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0F52EC96" w14:textId="77777777" w:rsidR="004A68D2" w:rsidRPr="00997DD9" w:rsidRDefault="004A68D2">
            <w:pPr>
              <w:rPr>
                <w:color w:val="262626" w:themeColor="text1" w:themeTint="D9"/>
              </w:rPr>
            </w:pPr>
            <w:r>
              <w:rPr>
                <w:color w:val="262626" w:themeColor="text1" w:themeTint="D9"/>
                <w:sz w:val="20"/>
                <w:szCs w:val="20"/>
              </w:rPr>
              <w:t>Cyberwarfare, state-sponsored APTs</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7B4AE4A5" w14:textId="77777777" w:rsidR="004A68D2" w:rsidRPr="00997DD9" w:rsidRDefault="004A68D2">
            <w:pPr>
              <w:rPr>
                <w:color w:val="262626" w:themeColor="text1" w:themeTint="D9"/>
              </w:rPr>
            </w:pPr>
            <w:r>
              <w:rPr>
                <w:color w:val="262626" w:themeColor="text1" w:themeTint="D9"/>
                <w:sz w:val="20"/>
                <w:szCs w:val="20"/>
              </w:rPr>
              <w:t>Regulations may not address nation-state risk</w:t>
            </w:r>
          </w:p>
        </w:tc>
        <w:tc>
          <w:tcPr>
            <w:tcW w:w="196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033289F4" w14:textId="77777777" w:rsidR="004A68D2" w:rsidRPr="00997DD9" w:rsidRDefault="004A68D2">
            <w:pPr>
              <w:rPr>
                <w:color w:val="262626" w:themeColor="text1" w:themeTint="D9"/>
              </w:rPr>
            </w:pPr>
            <w:r>
              <w:rPr>
                <w:color w:val="262626" w:themeColor="text1" w:themeTint="D9"/>
                <w:sz w:val="20"/>
                <w:szCs w:val="20"/>
              </w:rPr>
              <w:t>Critical infrastructure protection mandates</w:t>
            </w:r>
          </w:p>
        </w:tc>
        <w:tc>
          <w:tcPr>
            <w:tcW w:w="20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44E2FA6E" w14:textId="77777777" w:rsidR="004A68D2" w:rsidRPr="00997DD9" w:rsidRDefault="004A68D2">
            <w:pPr>
              <w:rPr>
                <w:color w:val="262626" w:themeColor="text1" w:themeTint="D9"/>
              </w:rPr>
            </w:pPr>
            <w:r>
              <w:rPr>
                <w:color w:val="262626" w:themeColor="text1" w:themeTint="D9"/>
                <w:sz w:val="20"/>
                <w:szCs w:val="20"/>
              </w:rPr>
              <w:t>NIS2 Directive (EU, 2024), US EO 14028</w:t>
            </w:r>
          </w:p>
        </w:tc>
      </w:tr>
      <w:tr w:rsidR="004A68D2" w14:paraId="3994C04F"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F4ADFDC" w14:textId="77777777" w:rsidR="004A68D2" w:rsidRPr="004A68D2" w:rsidRDefault="004A68D2">
            <w:pPr>
              <w:rPr>
                <w:color w:val="262626" w:themeColor="text1" w:themeTint="D9"/>
              </w:rPr>
            </w:pPr>
            <w:r>
              <w:rPr>
                <w:b/>
                <w:bCs/>
                <w:color w:val="262626" w:themeColor="text1" w:themeTint="D9"/>
                <w:sz w:val="20"/>
                <w:szCs w:val="20"/>
              </w:rPr>
              <w:t>Third-Party Risk</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67AE9BD" w14:textId="77777777" w:rsidR="004A68D2" w:rsidRPr="00997DD9" w:rsidRDefault="004A68D2">
            <w:pPr>
              <w:rPr>
                <w:color w:val="262626" w:themeColor="text1" w:themeTint="D9"/>
              </w:rPr>
            </w:pPr>
            <w:r>
              <w:rPr>
                <w:color w:val="262626" w:themeColor="text1" w:themeTint="D9"/>
                <w:sz w:val="20"/>
                <w:szCs w:val="20"/>
              </w:rPr>
              <w:t>Supply chain attacks (SolarWinds, Log4j)</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6465EA60" w14:textId="77777777" w:rsidR="004A68D2" w:rsidRPr="00997DD9" w:rsidRDefault="004A68D2">
            <w:pPr>
              <w:rPr>
                <w:color w:val="262626" w:themeColor="text1" w:themeTint="D9"/>
              </w:rPr>
            </w:pPr>
            <w:r>
              <w:rPr>
                <w:color w:val="262626" w:themeColor="text1" w:themeTint="D9"/>
                <w:sz w:val="20"/>
                <w:szCs w:val="20"/>
              </w:rPr>
              <w:t>Compliance rarely extended to vendors</w:t>
            </w:r>
          </w:p>
        </w:tc>
        <w:tc>
          <w:tcPr>
            <w:tcW w:w="196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34DD4250" w14:textId="77777777" w:rsidR="004A68D2" w:rsidRPr="00997DD9" w:rsidRDefault="004A68D2">
            <w:pPr>
              <w:rPr>
                <w:color w:val="262626" w:themeColor="text1" w:themeTint="D9"/>
              </w:rPr>
            </w:pPr>
            <w:r>
              <w:rPr>
                <w:color w:val="262626" w:themeColor="text1" w:themeTint="D9"/>
                <w:sz w:val="20"/>
                <w:szCs w:val="20"/>
              </w:rPr>
              <w:t>Mandatory vendor security assessments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2745BDF2" w14:textId="77777777" w:rsidR="004A68D2" w:rsidRPr="00997DD9" w:rsidRDefault="004A68D2">
            <w:pPr>
              <w:rPr>
                <w:color w:val="262626" w:themeColor="text1" w:themeTint="D9"/>
              </w:rPr>
            </w:pPr>
            <w:r>
              <w:rPr>
                <w:color w:val="262626" w:themeColor="text1" w:themeTint="D9"/>
                <w:sz w:val="20"/>
                <w:szCs w:val="20"/>
              </w:rPr>
              <w:t>ISO 27036, DORA (EU Financial sector, 2025)</w:t>
            </w:r>
          </w:p>
        </w:tc>
      </w:tr>
      <w:tr w:rsidR="004A68D2" w14:paraId="622693AE"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1AA276E9" w14:textId="77777777" w:rsidR="004A68D2" w:rsidRPr="004A68D2" w:rsidRDefault="004A68D2">
            <w:pPr>
              <w:rPr>
                <w:color w:val="262626" w:themeColor="text1" w:themeTint="D9"/>
              </w:rPr>
            </w:pPr>
            <w:r>
              <w:rPr>
                <w:b/>
                <w:bCs/>
                <w:color w:val="262626" w:themeColor="text1" w:themeTint="D9"/>
                <w:sz w:val="20"/>
                <w:szCs w:val="20"/>
              </w:rPr>
              <w:t>AI &amp; Automation</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65B884CF" w14:textId="5852499D" w:rsidR="004A68D2" w:rsidRPr="00997DD9" w:rsidRDefault="004A68D2">
            <w:pPr>
              <w:rPr>
                <w:color w:val="262626" w:themeColor="text1" w:themeTint="D9"/>
              </w:rPr>
            </w:pPr>
            <w:r>
              <w:rPr>
                <w:color w:val="262626" w:themeColor="text1" w:themeTint="D9"/>
                <w:sz w:val="20"/>
                <w:szCs w:val="20"/>
              </w:rPr>
              <w:t>Automated attacks, deep fakes, LLM misuse</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72CBF3EE" w14:textId="77777777" w:rsidR="004A68D2" w:rsidRPr="00997DD9" w:rsidRDefault="004A68D2">
            <w:pPr>
              <w:rPr>
                <w:color w:val="262626" w:themeColor="text1" w:themeTint="D9"/>
              </w:rPr>
            </w:pPr>
            <w:r>
              <w:rPr>
                <w:color w:val="262626" w:themeColor="text1" w:themeTint="D9"/>
                <w:sz w:val="20"/>
                <w:szCs w:val="20"/>
              </w:rPr>
              <w:t>AI-specific governance gaps</w:t>
            </w:r>
          </w:p>
        </w:tc>
        <w:tc>
          <w:tcPr>
            <w:tcW w:w="196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1559DF89" w14:textId="77777777" w:rsidR="004A68D2" w:rsidRPr="00997DD9" w:rsidRDefault="004A68D2">
            <w:pPr>
              <w:rPr>
                <w:color w:val="262626" w:themeColor="text1" w:themeTint="D9"/>
              </w:rPr>
            </w:pPr>
            <w:r>
              <w:rPr>
                <w:color w:val="262626" w:themeColor="text1" w:themeTint="D9"/>
                <w:sz w:val="20"/>
                <w:szCs w:val="20"/>
              </w:rPr>
              <w:t>AI risk classifications, mandatory audits</w:t>
            </w:r>
          </w:p>
        </w:tc>
        <w:tc>
          <w:tcPr>
            <w:tcW w:w="20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33E137CD" w14:textId="77777777" w:rsidR="004A68D2" w:rsidRPr="00997DD9" w:rsidRDefault="004A68D2">
            <w:pPr>
              <w:rPr>
                <w:color w:val="262626" w:themeColor="text1" w:themeTint="D9"/>
              </w:rPr>
            </w:pPr>
            <w:r>
              <w:rPr>
                <w:color w:val="262626" w:themeColor="text1" w:themeTint="D9"/>
                <w:sz w:val="20"/>
                <w:szCs w:val="20"/>
              </w:rPr>
              <w:t>EU AI Act, NIST AI RMF 1.0</w:t>
            </w:r>
          </w:p>
        </w:tc>
      </w:tr>
    </w:tbl>
    <w:p w14:paraId="7C95DCCE" w14:textId="1C44C725" w:rsidR="00BA5BF7" w:rsidRDefault="00BA5BF7">
      <w:pPr>
        <w:spacing w:after="0"/>
        <w:rPr>
          <w:rFonts w:ascii="Arial" w:hAnsi="Arial" w:cs="Arial"/>
          <w:sz w:val="36"/>
          <w:szCs w:val="36"/>
        </w:rPr>
      </w:pPr>
    </w:p>
    <w:p w14:paraId="40A5674C" w14:textId="6D8ECB0C" w:rsidR="0067537B" w:rsidRPr="0067537B" w:rsidRDefault="003D3236" w:rsidP="0067537B">
      <w:pPr>
        <w:pStyle w:val="Heading2"/>
      </w:pPr>
      <w:bookmarkStart w:id="36" w:name="_Toc227765971"/>
      <w:r>
        <w:t>5</w:t>
      </w:r>
      <w:r w:rsidR="0067537B">
        <w:t>.The Risk of Regulatory Stagnation</w:t>
      </w:r>
      <w:bookmarkEnd w:id="36"/>
    </w:p>
    <w:p w14:paraId="19A65A64" w14:textId="2D463AC5" w:rsidR="00DF23A4" w:rsidRDefault="0067537B" w:rsidP="0067537B">
      <w:pPr>
        <w:spacing w:after="0"/>
        <w:jc w:val="both"/>
      </w:pPr>
      <w:r>
        <w:t>Regulatory updates do create work, and compliance fatigue is a real problem for organisations already stretched by existing obligations. But the alternative is worse. Stagnant regulation leaves three kinds of exposure: genuine security gaps where current threats are not covered, legal liability when a breach happens that updated rules would have prevented, and erosion of public trust. The 2013 Target breach and BA’s 2018 GDPR fine both involved failures that should have been caught by better governance. The solution is not to slow regulation down it is to build better regulatory intelligence into governance processes, so that horizon scanning becomes routine rather than reactive.</w:t>
      </w:r>
    </w:p>
    <w:p w14:paraId="67FD8C12" w14:textId="2078C2F1" w:rsidR="00DF23A4" w:rsidRDefault="003D3236" w:rsidP="00DF23A4">
      <w:pPr>
        <w:pStyle w:val="Heading2"/>
      </w:pPr>
      <w:bookmarkStart w:id="37" w:name="_Toc227765972"/>
      <w:r>
        <w:t>6</w:t>
      </w:r>
      <w:r w:rsidR="00DF23A4">
        <w:t>.Good Practice Continuous Improvement and the PDCA Cycle</w:t>
      </w:r>
      <w:bookmarkEnd w:id="37"/>
    </w:p>
    <w:p w14:paraId="53DB6686" w14:textId="441A6093" w:rsidR="00C66B65" w:rsidRPr="00C66B65" w:rsidRDefault="00C66B65" w:rsidP="00C66B65">
      <w:r w:rsidRPr="00C66B65">
        <w:t>The PDCA cycle built into ISO/IEC 27001 reflects a straightforward reality: security is a process, not a destination. That same logic applies to the regulatory ecosystem that governs it. NIST CSF 2.0’s addition of the Govern function in 2024 is a good example it addressed a governance gap that practitioners had been flagging through real-world use of the earlier version. Modern GRC platforms and SIEM tools make continuous compliance adaptation practical in a way it simply was not a decade ago. Iterative, evidence-based standards development is what keeps the regulatory framework both credible and relevant.</w:t>
      </w:r>
    </w:p>
    <w:p w14:paraId="2F0E7BDD" w14:textId="4CE0E85A" w:rsidR="00DF23A4" w:rsidRDefault="00DF23A4" w:rsidP="008900F9">
      <w:pPr>
        <w:pStyle w:val="Heading1"/>
      </w:pPr>
      <w:bookmarkStart w:id="38" w:name="_Toc227765973"/>
      <w:r>
        <w:t>Conclusion</w:t>
      </w:r>
      <w:bookmarkEnd w:id="38"/>
      <w:r>
        <w:t xml:space="preserve"> </w:t>
      </w:r>
    </w:p>
    <w:p w14:paraId="01054AC6" w14:textId="43D6BF2C" w:rsidR="007C3C3F" w:rsidRPr="008208DD" w:rsidRDefault="005077B8" w:rsidP="008208DD">
      <w:pPr>
        <w:spacing w:after="0"/>
        <w:jc w:val="both"/>
      </w:pPr>
      <w:r>
        <w:t xml:space="preserve"> Static frameworks cannot keep up. What sometimes gets lost in compliance discussions is that this evolution reflects genuine progress </w:t>
      </w:r>
      <w:proofErr w:type="spellStart"/>
      <w:r w:rsidR="004E3B25">
        <w:t>s</w:t>
      </w:r>
      <w:proofErr w:type="spellEnd"/>
      <w:r>
        <w:t xml:space="preserve"> a move from reactive incident response toward something more structured and anticipatory. For FSB, the practical implication is clear.</w:t>
      </w:r>
      <w:r w:rsidR="00EA40E1">
        <w:t xml:space="preserve"> </w:t>
      </w:r>
      <w:r>
        <w:t>Building governance structures that monitor regulatory change, integrate horizon scanning, and invest in continuous staff education is what actually produces resilience. The frameworks discussed throughout this report ISO 27001, NIST CSF, ITIL, COBIT share one design principle: they are built to be updated, and organisations that engage with them seriously tend to treat compliance as a process rather than a state they can achieve and move on from.</w:t>
      </w:r>
    </w:p>
    <w:p w14:paraId="21C88D43" w14:textId="77777777" w:rsidR="007C3C3F" w:rsidRDefault="007C3C3F">
      <w:pPr>
        <w:spacing w:after="0"/>
        <w:rPr>
          <w:rFonts w:ascii="Arial" w:hAnsi="Arial" w:cs="Arial"/>
          <w:sz w:val="36"/>
          <w:szCs w:val="36"/>
        </w:rPr>
      </w:pPr>
    </w:p>
    <w:p w14:paraId="4FD52627" w14:textId="6B57A3EA" w:rsidR="00D41323" w:rsidRPr="007C3C3F" w:rsidRDefault="00D41323" w:rsidP="007C3C3F">
      <w:pPr>
        <w:pStyle w:val="Heading1"/>
      </w:pPr>
      <w:bookmarkStart w:id="39" w:name="_Toc227765974"/>
      <w:r>
        <w:lastRenderedPageBreak/>
        <w:t>References</w:t>
      </w:r>
      <w:bookmarkEnd w:id="39"/>
    </w:p>
    <w:p w14:paraId="7978A75B" w14:textId="7700FF43" w:rsidR="00900232" w:rsidRDefault="00900232" w:rsidP="007C3C3F">
      <w:pPr>
        <w:spacing w:before="60" w:after="60"/>
        <w:jc w:val="both"/>
        <w:rPr>
          <w:sz w:val="24"/>
          <w:szCs w:val="24"/>
        </w:rPr>
      </w:pPr>
      <w:r>
        <w:rPr>
          <w:sz w:val="24"/>
          <w:szCs w:val="24"/>
        </w:rPr>
        <w:t xml:space="preserve">      </w:t>
      </w:r>
      <w:r w:rsidRPr="00900232">
        <w:rPr>
          <w:sz w:val="24"/>
          <w:szCs w:val="24"/>
        </w:rPr>
        <w:t>[1] M. Rouse, "Digital banking security challenges and best practices," TechTarget Security, Jan. 2024. [Online]. Available: https://www.techtarget.com/searchsecurity</w:t>
      </w:r>
    </w:p>
    <w:p w14:paraId="24B938AF" w14:textId="7514CB2D" w:rsidR="00900232" w:rsidRPr="00900232" w:rsidRDefault="00900232" w:rsidP="007C3C3F">
      <w:pPr>
        <w:spacing w:before="60" w:after="60"/>
        <w:jc w:val="both"/>
        <w:rPr>
          <w:sz w:val="24"/>
          <w:szCs w:val="24"/>
        </w:rPr>
      </w:pPr>
      <w:r>
        <w:rPr>
          <w:sz w:val="24"/>
          <w:szCs w:val="24"/>
        </w:rPr>
        <w:t xml:space="preserve">       </w:t>
      </w:r>
      <w:r w:rsidRPr="00900232">
        <w:rPr>
          <w:sz w:val="24"/>
          <w:szCs w:val="24"/>
        </w:rPr>
        <w:t xml:space="preserve">[2] W. Stallings and L. Brown, Computer Security: Principles and Practice, 4th ed. </w:t>
      </w:r>
      <w:r>
        <w:rPr>
          <w:sz w:val="24"/>
          <w:szCs w:val="24"/>
        </w:rPr>
        <w:t xml:space="preserve">   </w:t>
      </w:r>
      <w:r w:rsidRPr="00900232">
        <w:rPr>
          <w:sz w:val="24"/>
          <w:szCs w:val="24"/>
        </w:rPr>
        <w:t>Hoboken, NJ, USA: Pearson, 2022.</w:t>
      </w:r>
    </w:p>
    <w:p w14:paraId="70C05754" w14:textId="6F17111E" w:rsidR="00900232" w:rsidRPr="00900232" w:rsidRDefault="00900232" w:rsidP="00900232">
      <w:pPr>
        <w:spacing w:before="60" w:after="60"/>
        <w:ind w:left="360"/>
        <w:jc w:val="both"/>
        <w:rPr>
          <w:sz w:val="24"/>
          <w:szCs w:val="24"/>
        </w:rPr>
      </w:pPr>
      <w:r w:rsidRPr="00900232">
        <w:rPr>
          <w:sz w:val="24"/>
          <w:szCs w:val="24"/>
        </w:rPr>
        <w:t>[3] International Organization for Standardization, ISO/IEC 27001:2022 — Information Security, Cybersecurity and Privacy Protection, Geneva, Switzerland: ISO, 2022.</w:t>
      </w:r>
    </w:p>
    <w:p w14:paraId="1DE335D7" w14:textId="429E8D2B" w:rsidR="00900232" w:rsidRPr="00900232" w:rsidRDefault="00900232" w:rsidP="00900232">
      <w:pPr>
        <w:spacing w:before="60" w:after="60"/>
        <w:ind w:left="360"/>
        <w:jc w:val="both"/>
        <w:rPr>
          <w:sz w:val="24"/>
          <w:szCs w:val="24"/>
        </w:rPr>
      </w:pPr>
      <w:r w:rsidRPr="00900232">
        <w:rPr>
          <w:sz w:val="24"/>
          <w:szCs w:val="24"/>
        </w:rPr>
        <w:t>[4] AXELOS, ITIL Foundation: ITIL 4 Edition, London, UK: TSO, 2019.</w:t>
      </w:r>
    </w:p>
    <w:p w14:paraId="30954A8E" w14:textId="579A953E" w:rsidR="00900232" w:rsidRPr="00900232" w:rsidRDefault="00900232" w:rsidP="00900232">
      <w:pPr>
        <w:spacing w:before="60" w:after="60"/>
        <w:ind w:left="360"/>
        <w:jc w:val="both"/>
        <w:rPr>
          <w:sz w:val="24"/>
          <w:szCs w:val="24"/>
        </w:rPr>
      </w:pPr>
      <w:r w:rsidRPr="00900232">
        <w:rPr>
          <w:sz w:val="24"/>
          <w:szCs w:val="24"/>
        </w:rPr>
        <w:t>[5] National Institute of Standards and Technology, "NIST Cybersecurity Framework 2.0," U.S. Department of Commerce, Gaithersburg, MD, NIST CSF 2.0, Feb. 2024. [Online]. Available: https://www.nist.gov/cyberframework</w:t>
      </w:r>
    </w:p>
    <w:p w14:paraId="6A59EE11" w14:textId="605C5792" w:rsidR="00900232" w:rsidRPr="00900232" w:rsidRDefault="00900232" w:rsidP="00900232">
      <w:pPr>
        <w:spacing w:before="60" w:after="60"/>
        <w:ind w:left="360"/>
        <w:jc w:val="both"/>
        <w:rPr>
          <w:sz w:val="24"/>
          <w:szCs w:val="24"/>
        </w:rPr>
      </w:pPr>
      <w:r w:rsidRPr="00900232">
        <w:rPr>
          <w:sz w:val="24"/>
          <w:szCs w:val="24"/>
        </w:rPr>
        <w:t>[6] ISACA, COBIT 2019 Framework: Introduction and Methodology, Schaumburg, IL, USA: ISACA, 2019.</w:t>
      </w:r>
    </w:p>
    <w:p w14:paraId="170F0321" w14:textId="657DFC55" w:rsidR="00900232" w:rsidRPr="00900232" w:rsidRDefault="00900232" w:rsidP="00900232">
      <w:pPr>
        <w:spacing w:before="60" w:after="60"/>
        <w:ind w:left="360"/>
        <w:jc w:val="both"/>
        <w:rPr>
          <w:sz w:val="24"/>
          <w:szCs w:val="24"/>
        </w:rPr>
      </w:pPr>
      <w:r w:rsidRPr="00900232">
        <w:rPr>
          <w:sz w:val="24"/>
          <w:szCs w:val="24"/>
        </w:rPr>
        <w:t xml:space="preserve">[7] J. </w:t>
      </w:r>
      <w:proofErr w:type="spellStart"/>
      <w:r w:rsidRPr="00900232">
        <w:rPr>
          <w:sz w:val="24"/>
          <w:szCs w:val="24"/>
        </w:rPr>
        <w:t>Kindervag</w:t>
      </w:r>
      <w:proofErr w:type="spellEnd"/>
      <w:r w:rsidRPr="00900232">
        <w:rPr>
          <w:sz w:val="24"/>
          <w:szCs w:val="24"/>
        </w:rPr>
        <w:t xml:space="preserve">, "No </w:t>
      </w:r>
      <w:proofErr w:type="spellStart"/>
      <w:r w:rsidRPr="00900232">
        <w:rPr>
          <w:sz w:val="24"/>
          <w:szCs w:val="24"/>
        </w:rPr>
        <w:t>MoreChewy</w:t>
      </w:r>
      <w:proofErr w:type="spellEnd"/>
      <w:r w:rsidRPr="00900232">
        <w:rPr>
          <w:sz w:val="24"/>
          <w:szCs w:val="24"/>
        </w:rPr>
        <w:t xml:space="preserve"> </w:t>
      </w:r>
      <w:proofErr w:type="spellStart"/>
      <w:r w:rsidRPr="00900232">
        <w:rPr>
          <w:sz w:val="24"/>
          <w:szCs w:val="24"/>
        </w:rPr>
        <w:t>Centers</w:t>
      </w:r>
      <w:proofErr w:type="spellEnd"/>
      <w:r w:rsidRPr="00900232">
        <w:rPr>
          <w:sz w:val="24"/>
          <w:szCs w:val="24"/>
        </w:rPr>
        <w:t>: Introducing the Zero Trust Model of Information Security," Forrester Research, Cambridge, MA, USA, Nov. 2010.</w:t>
      </w:r>
    </w:p>
    <w:p w14:paraId="35F7D39E" w14:textId="5BB62F53" w:rsidR="00900232" w:rsidRPr="00900232" w:rsidRDefault="00900232" w:rsidP="00900232">
      <w:pPr>
        <w:spacing w:before="60" w:after="60"/>
        <w:ind w:left="360"/>
        <w:jc w:val="both"/>
        <w:rPr>
          <w:sz w:val="24"/>
          <w:szCs w:val="24"/>
        </w:rPr>
      </w:pPr>
      <w:r w:rsidRPr="00900232">
        <w:rPr>
          <w:sz w:val="24"/>
          <w:szCs w:val="24"/>
        </w:rPr>
        <w:t>[8] European Parliament and Council, "Regulation (EU) 2016/679 — General Data Protection Regulation (GDPR)," Official Journal of the European Union, L 119, pp. 1–88, May 2016.</w:t>
      </w:r>
    </w:p>
    <w:p w14:paraId="7F7E2AF0" w14:textId="77425FB0" w:rsidR="00900232" w:rsidRPr="00900232" w:rsidRDefault="00900232" w:rsidP="00900232">
      <w:pPr>
        <w:spacing w:before="60" w:after="60"/>
        <w:ind w:left="360"/>
        <w:jc w:val="both"/>
        <w:rPr>
          <w:sz w:val="24"/>
          <w:szCs w:val="24"/>
        </w:rPr>
      </w:pPr>
      <w:r w:rsidRPr="00900232">
        <w:rPr>
          <w:sz w:val="24"/>
          <w:szCs w:val="24"/>
        </w:rPr>
        <w:t>[9] PCI Security Standards Council, PCI Data Security Standard (PCI DSS) v4.0, Wakefield, MA, USA: PCI SSC, Mar. 2022.</w:t>
      </w:r>
    </w:p>
    <w:p w14:paraId="26423186" w14:textId="77777777" w:rsidR="00900232" w:rsidRPr="00900232" w:rsidRDefault="00900232" w:rsidP="00900232">
      <w:pPr>
        <w:spacing w:before="60" w:after="60"/>
        <w:ind w:left="360"/>
        <w:jc w:val="both"/>
        <w:rPr>
          <w:sz w:val="24"/>
          <w:szCs w:val="24"/>
        </w:rPr>
      </w:pPr>
      <w:r w:rsidRPr="00900232">
        <w:rPr>
          <w:sz w:val="24"/>
          <w:szCs w:val="24"/>
        </w:rPr>
        <w:t>[10] Financial Action Task Force (FATF), Guidance on the Risk-Based Approach for the Banking Sector, Paris, France: FATF/OECD, 2021.</w:t>
      </w:r>
    </w:p>
    <w:p w14:paraId="5472B0BA" w14:textId="77777777" w:rsidR="00900232" w:rsidRPr="00900232" w:rsidRDefault="00900232" w:rsidP="00900232">
      <w:pPr>
        <w:spacing w:before="60" w:after="60"/>
        <w:ind w:left="360"/>
        <w:jc w:val="both"/>
        <w:rPr>
          <w:sz w:val="24"/>
          <w:szCs w:val="24"/>
        </w:rPr>
      </w:pPr>
      <w:r w:rsidRPr="00900232">
        <w:rPr>
          <w:sz w:val="24"/>
          <w:szCs w:val="24"/>
        </w:rPr>
        <w:t>[11] National Institute of Standards and Technology, "Contingency Planning Guide for Federal Information Systems," NIST Special Publication 800-34 Rev. 1, May 2010. [Online]. Available: https://csrc.nist.gov</w:t>
      </w:r>
    </w:p>
    <w:p w14:paraId="4EF2C19C" w14:textId="243D79FF" w:rsidR="00900232" w:rsidRPr="00900232" w:rsidRDefault="00900232" w:rsidP="00900232">
      <w:pPr>
        <w:spacing w:before="60" w:after="60"/>
        <w:ind w:left="360"/>
        <w:jc w:val="both"/>
        <w:rPr>
          <w:sz w:val="24"/>
          <w:szCs w:val="24"/>
        </w:rPr>
      </w:pPr>
      <w:r w:rsidRPr="00900232">
        <w:rPr>
          <w:sz w:val="24"/>
          <w:szCs w:val="24"/>
        </w:rPr>
        <w:t>[12] P.</w:t>
      </w:r>
      <w:r w:rsidR="00506587">
        <w:rPr>
          <w:sz w:val="24"/>
          <w:szCs w:val="24"/>
        </w:rPr>
        <w:t xml:space="preserve"> </w:t>
      </w:r>
      <w:r w:rsidRPr="00900232">
        <w:rPr>
          <w:sz w:val="24"/>
          <w:szCs w:val="24"/>
        </w:rPr>
        <w:t>Cichonski, T. Millar, T. Grance, and K. Scarfone, "Computer Security Incident Handling Guide," NIST Special Publication 800-61 Rev. 2, Aug. 2012.</w:t>
      </w:r>
    </w:p>
    <w:p w14:paraId="51FA690B" w14:textId="77777777" w:rsidR="00900232" w:rsidRPr="00900232" w:rsidRDefault="00900232" w:rsidP="00900232">
      <w:pPr>
        <w:spacing w:before="60" w:after="60"/>
        <w:ind w:left="360"/>
        <w:jc w:val="both"/>
        <w:rPr>
          <w:sz w:val="24"/>
          <w:szCs w:val="24"/>
        </w:rPr>
      </w:pPr>
      <w:r w:rsidRPr="00900232">
        <w:rPr>
          <w:sz w:val="24"/>
          <w:szCs w:val="24"/>
        </w:rPr>
        <w:t>[13] R. Anderson, Security Engineering: A Guide to Building Dependable Distributed Systems, 3rd ed. Hoboken, NJ, USA: Wiley, 2020.</w:t>
      </w:r>
    </w:p>
    <w:p w14:paraId="4BE6F538" w14:textId="0BCB385C" w:rsidR="0049078C" w:rsidRPr="00900232" w:rsidRDefault="00900232" w:rsidP="00900232">
      <w:pPr>
        <w:spacing w:before="60" w:after="60"/>
        <w:ind w:left="360"/>
        <w:jc w:val="both"/>
        <w:rPr>
          <w:sz w:val="24"/>
          <w:szCs w:val="24"/>
        </w:rPr>
      </w:pPr>
      <w:r w:rsidRPr="00900232">
        <w:rPr>
          <w:sz w:val="24"/>
          <w:szCs w:val="24"/>
        </w:rPr>
        <w:t>[14] Verizon, 2024 Data Breach Investigations Report, Basking Ridge, NJ, USA: Verizon Communications Inc., 2024. [Online]. Available: https://www.verizon.com/business/resources/reports/dbir/</w:t>
      </w:r>
      <w:r w:rsidR="00EF585E" w:rsidRPr="00900232">
        <w:rPr>
          <w:rFonts w:ascii="Arial" w:hAnsi="Arial" w:cs="Arial"/>
          <w:sz w:val="24"/>
          <w:szCs w:val="24"/>
        </w:rPr>
        <w:t xml:space="preserve"> </w:t>
      </w:r>
    </w:p>
    <w:sectPr w:rsidR="0049078C" w:rsidRPr="00900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84B81"/>
    <w:multiLevelType w:val="hybridMultilevel"/>
    <w:tmpl w:val="998E5E7E"/>
    <w:lvl w:ilvl="0" w:tplc="A17A3800">
      <w:start w:val="1"/>
      <w:numFmt w:val="bullet"/>
      <w:lvlText w:val="•"/>
      <w:lvlJc w:val="left"/>
      <w:pPr>
        <w:ind w:left="720" w:hanging="360"/>
      </w:pPr>
    </w:lvl>
    <w:lvl w:ilvl="1" w:tplc="D3F86136">
      <w:start w:val="1"/>
      <w:numFmt w:val="bullet"/>
      <w:lvlText w:val="◦"/>
      <w:lvlJc w:val="left"/>
      <w:pPr>
        <w:ind w:left="1080" w:hanging="360"/>
      </w:pPr>
    </w:lvl>
    <w:lvl w:ilvl="2" w:tplc="E1EC9C40">
      <w:numFmt w:val="decimal"/>
      <w:lvlText w:val=""/>
      <w:lvlJc w:val="left"/>
    </w:lvl>
    <w:lvl w:ilvl="3" w:tplc="D7D485BC">
      <w:numFmt w:val="decimal"/>
      <w:lvlText w:val=""/>
      <w:lvlJc w:val="left"/>
    </w:lvl>
    <w:lvl w:ilvl="4" w:tplc="0AE67418">
      <w:numFmt w:val="decimal"/>
      <w:lvlText w:val=""/>
      <w:lvlJc w:val="left"/>
    </w:lvl>
    <w:lvl w:ilvl="5" w:tplc="2458CD0A">
      <w:numFmt w:val="decimal"/>
      <w:lvlText w:val=""/>
      <w:lvlJc w:val="left"/>
    </w:lvl>
    <w:lvl w:ilvl="6" w:tplc="9B0E0FCA">
      <w:numFmt w:val="decimal"/>
      <w:lvlText w:val=""/>
      <w:lvlJc w:val="left"/>
    </w:lvl>
    <w:lvl w:ilvl="7" w:tplc="1EFC2872">
      <w:numFmt w:val="decimal"/>
      <w:lvlText w:val=""/>
      <w:lvlJc w:val="left"/>
    </w:lvl>
    <w:lvl w:ilvl="8" w:tplc="E668B8E4">
      <w:numFmt w:val="decimal"/>
      <w:lvlText w:val=""/>
      <w:lvlJc w:val="left"/>
    </w:lvl>
  </w:abstractNum>
  <w:abstractNum w:abstractNumId="1" w15:restartNumberingAfterBreak="0">
    <w:nsid w:val="08747CE1"/>
    <w:multiLevelType w:val="hybridMultilevel"/>
    <w:tmpl w:val="42D099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B16C7C"/>
    <w:multiLevelType w:val="multilevel"/>
    <w:tmpl w:val="3D847560"/>
    <w:lvl w:ilvl="0">
      <w:start w:val="1"/>
      <w:numFmt w:val="decimal"/>
      <w:lvlText w:val="%1"/>
      <w:lvlJc w:val="left"/>
      <w:pPr>
        <w:ind w:left="456" w:hanging="456"/>
      </w:pPr>
      <w:rPr>
        <w:rFonts w:hint="default"/>
      </w:rPr>
    </w:lvl>
    <w:lvl w:ilvl="1">
      <w:start w:val="3"/>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9103D91"/>
    <w:multiLevelType w:val="hybridMultilevel"/>
    <w:tmpl w:val="5622CCC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1F140B1"/>
    <w:multiLevelType w:val="multilevel"/>
    <w:tmpl w:val="3468C924"/>
    <w:lvl w:ilvl="0">
      <w:start w:val="1"/>
      <w:numFmt w:val="decimal"/>
      <w:lvlText w:val="%1"/>
      <w:lvlJc w:val="left"/>
      <w:pPr>
        <w:ind w:left="528" w:hanging="528"/>
      </w:pPr>
      <w:rPr>
        <w:rFonts w:cstheme="majorBidi" w:hint="default"/>
        <w:sz w:val="32"/>
      </w:rPr>
    </w:lvl>
    <w:lvl w:ilvl="1">
      <w:start w:val="1"/>
      <w:numFmt w:val="decimal"/>
      <w:lvlText w:val="%1.%2"/>
      <w:lvlJc w:val="left"/>
      <w:pPr>
        <w:ind w:left="528" w:hanging="528"/>
      </w:pPr>
      <w:rPr>
        <w:rFonts w:cstheme="majorBidi" w:hint="default"/>
        <w:sz w:val="32"/>
      </w:rPr>
    </w:lvl>
    <w:lvl w:ilvl="2">
      <w:start w:val="1"/>
      <w:numFmt w:val="decimal"/>
      <w:lvlText w:val="%1.%2.%3"/>
      <w:lvlJc w:val="left"/>
      <w:pPr>
        <w:ind w:left="720" w:hanging="720"/>
      </w:pPr>
      <w:rPr>
        <w:rFonts w:cstheme="majorBidi" w:hint="default"/>
        <w:sz w:val="32"/>
      </w:rPr>
    </w:lvl>
    <w:lvl w:ilvl="3">
      <w:start w:val="1"/>
      <w:numFmt w:val="decimal"/>
      <w:lvlText w:val="%1.%2.%3.%4"/>
      <w:lvlJc w:val="left"/>
      <w:pPr>
        <w:ind w:left="1080" w:hanging="1080"/>
      </w:pPr>
      <w:rPr>
        <w:rFonts w:cstheme="majorBidi" w:hint="default"/>
        <w:sz w:val="32"/>
      </w:rPr>
    </w:lvl>
    <w:lvl w:ilvl="4">
      <w:start w:val="1"/>
      <w:numFmt w:val="decimal"/>
      <w:lvlText w:val="%1.%2.%3.%4.%5"/>
      <w:lvlJc w:val="left"/>
      <w:pPr>
        <w:ind w:left="1080" w:hanging="1080"/>
      </w:pPr>
      <w:rPr>
        <w:rFonts w:cstheme="majorBidi" w:hint="default"/>
        <w:sz w:val="32"/>
      </w:rPr>
    </w:lvl>
    <w:lvl w:ilvl="5">
      <w:start w:val="1"/>
      <w:numFmt w:val="decimal"/>
      <w:lvlText w:val="%1.%2.%3.%4.%5.%6"/>
      <w:lvlJc w:val="left"/>
      <w:pPr>
        <w:ind w:left="1440" w:hanging="1440"/>
      </w:pPr>
      <w:rPr>
        <w:rFonts w:cstheme="majorBidi" w:hint="default"/>
        <w:sz w:val="32"/>
      </w:rPr>
    </w:lvl>
    <w:lvl w:ilvl="6">
      <w:start w:val="1"/>
      <w:numFmt w:val="decimal"/>
      <w:lvlText w:val="%1.%2.%3.%4.%5.%6.%7"/>
      <w:lvlJc w:val="left"/>
      <w:pPr>
        <w:ind w:left="1440" w:hanging="1440"/>
      </w:pPr>
      <w:rPr>
        <w:rFonts w:cstheme="majorBidi" w:hint="default"/>
        <w:sz w:val="32"/>
      </w:rPr>
    </w:lvl>
    <w:lvl w:ilvl="7">
      <w:start w:val="1"/>
      <w:numFmt w:val="decimal"/>
      <w:lvlText w:val="%1.%2.%3.%4.%5.%6.%7.%8"/>
      <w:lvlJc w:val="left"/>
      <w:pPr>
        <w:ind w:left="1800" w:hanging="1800"/>
      </w:pPr>
      <w:rPr>
        <w:rFonts w:cstheme="majorBidi" w:hint="default"/>
        <w:sz w:val="32"/>
      </w:rPr>
    </w:lvl>
    <w:lvl w:ilvl="8">
      <w:start w:val="1"/>
      <w:numFmt w:val="decimal"/>
      <w:lvlText w:val="%1.%2.%3.%4.%5.%6.%7.%8.%9"/>
      <w:lvlJc w:val="left"/>
      <w:pPr>
        <w:ind w:left="1800" w:hanging="1800"/>
      </w:pPr>
      <w:rPr>
        <w:rFonts w:cstheme="majorBidi" w:hint="default"/>
        <w:sz w:val="32"/>
      </w:rPr>
    </w:lvl>
  </w:abstractNum>
  <w:abstractNum w:abstractNumId="5" w15:restartNumberingAfterBreak="0">
    <w:nsid w:val="236A58E7"/>
    <w:multiLevelType w:val="hybridMultilevel"/>
    <w:tmpl w:val="BB146B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1F07535"/>
    <w:multiLevelType w:val="hybridMultilevel"/>
    <w:tmpl w:val="A7EEDCF6"/>
    <w:lvl w:ilvl="0" w:tplc="4C641A2A">
      <w:start w:val="1"/>
      <w:numFmt w:val="bullet"/>
      <w:lvlText w:val="•"/>
      <w:lvlJc w:val="left"/>
      <w:pPr>
        <w:ind w:left="720" w:hanging="360"/>
      </w:pPr>
    </w:lvl>
    <w:lvl w:ilvl="1" w:tplc="24041AC4">
      <w:numFmt w:val="decimal"/>
      <w:lvlText w:val=""/>
      <w:lvlJc w:val="left"/>
      <w:pPr>
        <w:ind w:left="0" w:firstLine="0"/>
      </w:pPr>
    </w:lvl>
    <w:lvl w:ilvl="2" w:tplc="2D6E4FD2">
      <w:numFmt w:val="decimal"/>
      <w:lvlText w:val=""/>
      <w:lvlJc w:val="left"/>
      <w:pPr>
        <w:ind w:left="0" w:firstLine="0"/>
      </w:pPr>
    </w:lvl>
    <w:lvl w:ilvl="3" w:tplc="8E302D20">
      <w:numFmt w:val="decimal"/>
      <w:lvlText w:val=""/>
      <w:lvlJc w:val="left"/>
      <w:pPr>
        <w:ind w:left="0" w:firstLine="0"/>
      </w:pPr>
    </w:lvl>
    <w:lvl w:ilvl="4" w:tplc="98E06CF8">
      <w:numFmt w:val="decimal"/>
      <w:lvlText w:val=""/>
      <w:lvlJc w:val="left"/>
      <w:pPr>
        <w:ind w:left="0" w:firstLine="0"/>
      </w:pPr>
    </w:lvl>
    <w:lvl w:ilvl="5" w:tplc="D458DF16">
      <w:numFmt w:val="decimal"/>
      <w:lvlText w:val=""/>
      <w:lvlJc w:val="left"/>
      <w:pPr>
        <w:ind w:left="0" w:firstLine="0"/>
      </w:pPr>
    </w:lvl>
    <w:lvl w:ilvl="6" w:tplc="C862D212">
      <w:numFmt w:val="decimal"/>
      <w:lvlText w:val=""/>
      <w:lvlJc w:val="left"/>
      <w:pPr>
        <w:ind w:left="0" w:firstLine="0"/>
      </w:pPr>
    </w:lvl>
    <w:lvl w:ilvl="7" w:tplc="A20AFCCE">
      <w:numFmt w:val="decimal"/>
      <w:lvlText w:val=""/>
      <w:lvlJc w:val="left"/>
      <w:pPr>
        <w:ind w:left="0" w:firstLine="0"/>
      </w:pPr>
    </w:lvl>
    <w:lvl w:ilvl="8" w:tplc="05F87B90">
      <w:numFmt w:val="decimal"/>
      <w:lvlText w:val=""/>
      <w:lvlJc w:val="left"/>
      <w:pPr>
        <w:ind w:left="0" w:firstLine="0"/>
      </w:pPr>
    </w:lvl>
  </w:abstractNum>
  <w:abstractNum w:abstractNumId="7" w15:restartNumberingAfterBreak="0">
    <w:nsid w:val="57094A9C"/>
    <w:multiLevelType w:val="hybridMultilevel"/>
    <w:tmpl w:val="A57E60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E7A4975"/>
    <w:multiLevelType w:val="hybridMultilevel"/>
    <w:tmpl w:val="72DA884A"/>
    <w:lvl w:ilvl="0" w:tplc="EB4C6D9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61E5D73"/>
    <w:multiLevelType w:val="hybridMultilevel"/>
    <w:tmpl w:val="DB38ACF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9BF1367"/>
    <w:multiLevelType w:val="multilevel"/>
    <w:tmpl w:val="18E2DE1E"/>
    <w:lvl w:ilvl="0">
      <w:start w:val="2"/>
      <w:numFmt w:val="decimal"/>
      <w:lvlText w:val="%1"/>
      <w:lvlJc w:val="left"/>
      <w:pPr>
        <w:ind w:left="456" w:hanging="456"/>
      </w:pPr>
      <w:rPr>
        <w:rFonts w:hint="default"/>
      </w:rPr>
    </w:lvl>
    <w:lvl w:ilvl="1">
      <w:start w:val="8"/>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DC7403D"/>
    <w:multiLevelType w:val="hybridMultilevel"/>
    <w:tmpl w:val="4B4E74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E226D93"/>
    <w:multiLevelType w:val="hybridMultilevel"/>
    <w:tmpl w:val="E5709D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3D80270"/>
    <w:multiLevelType w:val="hybridMultilevel"/>
    <w:tmpl w:val="16BA3E9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7"/>
  </w:num>
  <w:num w:numId="2">
    <w:abstractNumId w:val="13"/>
  </w:num>
  <w:num w:numId="3">
    <w:abstractNumId w:val="8"/>
  </w:num>
  <w:num w:numId="4">
    <w:abstractNumId w:val="11"/>
  </w:num>
  <w:num w:numId="5">
    <w:abstractNumId w:val="5"/>
  </w:num>
  <w:num w:numId="6">
    <w:abstractNumId w:val="9"/>
  </w:num>
  <w:num w:numId="7">
    <w:abstractNumId w:val="3"/>
  </w:num>
  <w:num w:numId="8">
    <w:abstractNumId w:val="1"/>
  </w:num>
  <w:num w:numId="9">
    <w:abstractNumId w:val="0"/>
    <w:lvlOverride w:ilvl="0">
      <w:startOverride w:val="1"/>
    </w:lvlOverride>
  </w:num>
  <w:num w:numId="10">
    <w:abstractNumId w:val="12"/>
  </w:num>
  <w:num w:numId="11">
    <w:abstractNumId w:val="6"/>
  </w:num>
  <w:num w:numId="12">
    <w:abstractNumId w:val="2"/>
  </w:num>
  <w:num w:numId="13">
    <w:abstractNumId w:val="1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E93"/>
    <w:rsid w:val="00000E5D"/>
    <w:rsid w:val="00053405"/>
    <w:rsid w:val="000700DB"/>
    <w:rsid w:val="0007395F"/>
    <w:rsid w:val="00080850"/>
    <w:rsid w:val="000A0B14"/>
    <w:rsid w:val="000B3B56"/>
    <w:rsid w:val="000C5EC6"/>
    <w:rsid w:val="000E1737"/>
    <w:rsid w:val="000F20B7"/>
    <w:rsid w:val="00110290"/>
    <w:rsid w:val="0011345A"/>
    <w:rsid w:val="001153B3"/>
    <w:rsid w:val="00134F15"/>
    <w:rsid w:val="001A6B73"/>
    <w:rsid w:val="001B41C8"/>
    <w:rsid w:val="001C7877"/>
    <w:rsid w:val="001E0707"/>
    <w:rsid w:val="002211B3"/>
    <w:rsid w:val="00232C44"/>
    <w:rsid w:val="002343FB"/>
    <w:rsid w:val="00236D95"/>
    <w:rsid w:val="00237050"/>
    <w:rsid w:val="002A1122"/>
    <w:rsid w:val="002B0F9B"/>
    <w:rsid w:val="002B6E1A"/>
    <w:rsid w:val="002C3C78"/>
    <w:rsid w:val="002E1C29"/>
    <w:rsid w:val="002E1EE0"/>
    <w:rsid w:val="002F03DF"/>
    <w:rsid w:val="00311357"/>
    <w:rsid w:val="00347B0E"/>
    <w:rsid w:val="00356D71"/>
    <w:rsid w:val="00373C03"/>
    <w:rsid w:val="00374DD6"/>
    <w:rsid w:val="00395A50"/>
    <w:rsid w:val="003A6DC2"/>
    <w:rsid w:val="003C1248"/>
    <w:rsid w:val="003C7EE2"/>
    <w:rsid w:val="003D3236"/>
    <w:rsid w:val="003E14DC"/>
    <w:rsid w:val="003E7CA7"/>
    <w:rsid w:val="0041467E"/>
    <w:rsid w:val="00420CB8"/>
    <w:rsid w:val="0044522F"/>
    <w:rsid w:val="0049078C"/>
    <w:rsid w:val="004A02E2"/>
    <w:rsid w:val="004A5B53"/>
    <w:rsid w:val="004A68D2"/>
    <w:rsid w:val="004E3746"/>
    <w:rsid w:val="004E3B25"/>
    <w:rsid w:val="004E3E24"/>
    <w:rsid w:val="004E46A6"/>
    <w:rsid w:val="004E4984"/>
    <w:rsid w:val="004F4C5B"/>
    <w:rsid w:val="004F6838"/>
    <w:rsid w:val="00506587"/>
    <w:rsid w:val="005077B8"/>
    <w:rsid w:val="00527849"/>
    <w:rsid w:val="00530393"/>
    <w:rsid w:val="005373EB"/>
    <w:rsid w:val="0054051F"/>
    <w:rsid w:val="0054154F"/>
    <w:rsid w:val="00551EC3"/>
    <w:rsid w:val="00556B53"/>
    <w:rsid w:val="005730E7"/>
    <w:rsid w:val="005740F3"/>
    <w:rsid w:val="005758D8"/>
    <w:rsid w:val="00576EA0"/>
    <w:rsid w:val="00592C12"/>
    <w:rsid w:val="005E1BAE"/>
    <w:rsid w:val="005E34FD"/>
    <w:rsid w:val="0060630B"/>
    <w:rsid w:val="00622CD1"/>
    <w:rsid w:val="00624847"/>
    <w:rsid w:val="00624FA0"/>
    <w:rsid w:val="00651295"/>
    <w:rsid w:val="00653CCA"/>
    <w:rsid w:val="00665E3F"/>
    <w:rsid w:val="006678A7"/>
    <w:rsid w:val="0067093A"/>
    <w:rsid w:val="0067537B"/>
    <w:rsid w:val="006A42D0"/>
    <w:rsid w:val="006C0D03"/>
    <w:rsid w:val="006C49A9"/>
    <w:rsid w:val="006D7236"/>
    <w:rsid w:val="006E2BAA"/>
    <w:rsid w:val="00705A04"/>
    <w:rsid w:val="007145A6"/>
    <w:rsid w:val="00714F36"/>
    <w:rsid w:val="00722916"/>
    <w:rsid w:val="00727DEF"/>
    <w:rsid w:val="00744F22"/>
    <w:rsid w:val="00780B5F"/>
    <w:rsid w:val="00785DA1"/>
    <w:rsid w:val="00790D51"/>
    <w:rsid w:val="00793B6B"/>
    <w:rsid w:val="007A39AC"/>
    <w:rsid w:val="007A4ED1"/>
    <w:rsid w:val="007B0EAD"/>
    <w:rsid w:val="007B4E54"/>
    <w:rsid w:val="007C214D"/>
    <w:rsid w:val="007C3C3F"/>
    <w:rsid w:val="007C4E84"/>
    <w:rsid w:val="007C71A7"/>
    <w:rsid w:val="007D6C6D"/>
    <w:rsid w:val="007F44F9"/>
    <w:rsid w:val="008208DD"/>
    <w:rsid w:val="00825907"/>
    <w:rsid w:val="0084030C"/>
    <w:rsid w:val="008508B3"/>
    <w:rsid w:val="00851996"/>
    <w:rsid w:val="00861B5C"/>
    <w:rsid w:val="008706C6"/>
    <w:rsid w:val="00875856"/>
    <w:rsid w:val="00887D32"/>
    <w:rsid w:val="008900F9"/>
    <w:rsid w:val="008A6610"/>
    <w:rsid w:val="008B0414"/>
    <w:rsid w:val="008B4BE5"/>
    <w:rsid w:val="008B5758"/>
    <w:rsid w:val="008B5AC0"/>
    <w:rsid w:val="008B6C45"/>
    <w:rsid w:val="008C022A"/>
    <w:rsid w:val="008C0BA3"/>
    <w:rsid w:val="008D05AF"/>
    <w:rsid w:val="008D40F7"/>
    <w:rsid w:val="008E08D1"/>
    <w:rsid w:val="00900232"/>
    <w:rsid w:val="00910EF1"/>
    <w:rsid w:val="00927398"/>
    <w:rsid w:val="009371E0"/>
    <w:rsid w:val="00953F11"/>
    <w:rsid w:val="00987BB7"/>
    <w:rsid w:val="00987C1A"/>
    <w:rsid w:val="00997C09"/>
    <w:rsid w:val="00997DD9"/>
    <w:rsid w:val="009B42F6"/>
    <w:rsid w:val="009D01BF"/>
    <w:rsid w:val="009D0986"/>
    <w:rsid w:val="009E6777"/>
    <w:rsid w:val="00A02622"/>
    <w:rsid w:val="00A06B75"/>
    <w:rsid w:val="00A111D3"/>
    <w:rsid w:val="00A15AD7"/>
    <w:rsid w:val="00A34993"/>
    <w:rsid w:val="00A414FD"/>
    <w:rsid w:val="00A57476"/>
    <w:rsid w:val="00A61B65"/>
    <w:rsid w:val="00A63F32"/>
    <w:rsid w:val="00A70718"/>
    <w:rsid w:val="00A93C33"/>
    <w:rsid w:val="00AA011D"/>
    <w:rsid w:val="00AA369A"/>
    <w:rsid w:val="00AA7718"/>
    <w:rsid w:val="00B116A0"/>
    <w:rsid w:val="00B12A79"/>
    <w:rsid w:val="00B40184"/>
    <w:rsid w:val="00B52C67"/>
    <w:rsid w:val="00B55863"/>
    <w:rsid w:val="00B8498F"/>
    <w:rsid w:val="00B84B36"/>
    <w:rsid w:val="00B872D3"/>
    <w:rsid w:val="00B95682"/>
    <w:rsid w:val="00BA0FF5"/>
    <w:rsid w:val="00BA5BF7"/>
    <w:rsid w:val="00BB0178"/>
    <w:rsid w:val="00BD6B96"/>
    <w:rsid w:val="00BE02C1"/>
    <w:rsid w:val="00BE2BF7"/>
    <w:rsid w:val="00BE6017"/>
    <w:rsid w:val="00BF5CA8"/>
    <w:rsid w:val="00BF7A0E"/>
    <w:rsid w:val="00C10CC2"/>
    <w:rsid w:val="00C3197E"/>
    <w:rsid w:val="00C37702"/>
    <w:rsid w:val="00C41803"/>
    <w:rsid w:val="00C5498B"/>
    <w:rsid w:val="00C66B65"/>
    <w:rsid w:val="00C96814"/>
    <w:rsid w:val="00CB143B"/>
    <w:rsid w:val="00CB2E9D"/>
    <w:rsid w:val="00CB34B5"/>
    <w:rsid w:val="00CD22AB"/>
    <w:rsid w:val="00D30831"/>
    <w:rsid w:val="00D3123B"/>
    <w:rsid w:val="00D3508F"/>
    <w:rsid w:val="00D40E93"/>
    <w:rsid w:val="00D41323"/>
    <w:rsid w:val="00D42F65"/>
    <w:rsid w:val="00D83D04"/>
    <w:rsid w:val="00D8436A"/>
    <w:rsid w:val="00D92919"/>
    <w:rsid w:val="00D92CEB"/>
    <w:rsid w:val="00D92F64"/>
    <w:rsid w:val="00D97953"/>
    <w:rsid w:val="00DC0C7F"/>
    <w:rsid w:val="00DD5101"/>
    <w:rsid w:val="00DE38C2"/>
    <w:rsid w:val="00DE7CAD"/>
    <w:rsid w:val="00DF1DDE"/>
    <w:rsid w:val="00DF23A4"/>
    <w:rsid w:val="00DF3E9B"/>
    <w:rsid w:val="00E01FC3"/>
    <w:rsid w:val="00E16179"/>
    <w:rsid w:val="00E37E61"/>
    <w:rsid w:val="00E41B83"/>
    <w:rsid w:val="00E5533B"/>
    <w:rsid w:val="00E672D0"/>
    <w:rsid w:val="00E81ED7"/>
    <w:rsid w:val="00EA1344"/>
    <w:rsid w:val="00EA29BB"/>
    <w:rsid w:val="00EA40E1"/>
    <w:rsid w:val="00EC16E9"/>
    <w:rsid w:val="00EF585E"/>
    <w:rsid w:val="00F2113B"/>
    <w:rsid w:val="00F22753"/>
    <w:rsid w:val="00F379E5"/>
    <w:rsid w:val="00F445DC"/>
    <w:rsid w:val="00F63BD6"/>
    <w:rsid w:val="00F718E7"/>
    <w:rsid w:val="00F801BA"/>
    <w:rsid w:val="00F96DD0"/>
    <w:rsid w:val="00FD003A"/>
    <w:rsid w:val="00FD7EB8"/>
    <w:rsid w:val="00FE016E"/>
    <w:rsid w:val="00FE7252"/>
    <w:rsid w:val="00FF46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D31D6"/>
  <w15:chartTrackingRefBased/>
  <w15:docId w15:val="{2D7F63E2-FDC3-4F59-8524-A62C83331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16E9"/>
  </w:style>
  <w:style w:type="paragraph" w:styleId="Heading1">
    <w:name w:val="heading 1"/>
    <w:basedOn w:val="Normal"/>
    <w:next w:val="Normal"/>
    <w:link w:val="Heading1Char"/>
    <w:autoRedefine/>
    <w:uiPriority w:val="9"/>
    <w:qFormat/>
    <w:rsid w:val="008900F9"/>
    <w:pPr>
      <w:keepNext/>
      <w:keepLines/>
      <w:spacing w:before="400" w:after="40" w:line="240" w:lineRule="auto"/>
      <w:outlineLvl w:val="0"/>
    </w:pPr>
    <w:rPr>
      <w:rFonts w:ascii="Arial Black" w:eastAsiaTheme="majorEastAsia" w:hAnsi="Arial Black" w:cstheme="majorBidi"/>
      <w:color w:val="000000" w:themeColor="text1"/>
      <w:u w:val="single"/>
    </w:rPr>
  </w:style>
  <w:style w:type="paragraph" w:styleId="Heading2">
    <w:name w:val="heading 2"/>
    <w:basedOn w:val="Normal"/>
    <w:next w:val="Normal"/>
    <w:link w:val="Heading2Char"/>
    <w:autoRedefine/>
    <w:uiPriority w:val="9"/>
    <w:unhideWhenUsed/>
    <w:qFormat/>
    <w:rsid w:val="00B95682"/>
    <w:pPr>
      <w:keepNext/>
      <w:keepLines/>
      <w:spacing w:before="160" w:after="120" w:line="240" w:lineRule="auto"/>
      <w:outlineLvl w:val="1"/>
    </w:pPr>
    <w:rPr>
      <w:rFonts w:ascii="Arial" w:eastAsiaTheme="majorEastAsia" w:hAnsi="Arial" w:cstheme="majorBidi"/>
      <w:b/>
      <w:color w:val="222A35" w:themeColor="text2" w:themeShade="80"/>
      <w:sz w:val="32"/>
      <w:szCs w:val="32"/>
    </w:rPr>
  </w:style>
  <w:style w:type="paragraph" w:styleId="Heading3">
    <w:name w:val="heading 3"/>
    <w:basedOn w:val="Normal"/>
    <w:next w:val="Normal"/>
    <w:link w:val="Heading3Char"/>
    <w:autoRedefine/>
    <w:uiPriority w:val="9"/>
    <w:unhideWhenUsed/>
    <w:qFormat/>
    <w:rsid w:val="00110290"/>
    <w:pPr>
      <w:keepNext/>
      <w:keepLines/>
      <w:spacing w:before="40" w:after="0" w:line="240" w:lineRule="auto"/>
      <w:outlineLvl w:val="2"/>
    </w:pPr>
    <w:rPr>
      <w:rFonts w:ascii="Bahnschrift" w:eastAsiaTheme="majorEastAsia" w:hAnsi="Bahnschrift" w:cstheme="majorBidi"/>
      <w:b/>
      <w:color w:val="8496B0" w:themeColor="text2" w:themeTint="99"/>
      <w:sz w:val="28"/>
      <w:szCs w:val="28"/>
    </w:rPr>
  </w:style>
  <w:style w:type="paragraph" w:styleId="Heading4">
    <w:name w:val="heading 4"/>
    <w:basedOn w:val="Normal"/>
    <w:next w:val="Normal"/>
    <w:link w:val="Heading4Char"/>
    <w:uiPriority w:val="9"/>
    <w:semiHidden/>
    <w:unhideWhenUsed/>
    <w:qFormat/>
    <w:rsid w:val="002B0F9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B0F9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B0F9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B0F9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B0F9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B0F9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0E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0E93"/>
    <w:rPr>
      <w:rFonts w:ascii="Segoe UI" w:hAnsi="Segoe UI" w:cs="Segoe UI"/>
      <w:sz w:val="18"/>
      <w:szCs w:val="18"/>
    </w:rPr>
  </w:style>
  <w:style w:type="paragraph" w:styleId="NoSpacing">
    <w:name w:val="No Spacing"/>
    <w:uiPriority w:val="1"/>
    <w:qFormat/>
    <w:rsid w:val="002B0F9B"/>
    <w:pPr>
      <w:spacing w:after="0" w:line="240" w:lineRule="auto"/>
    </w:pPr>
  </w:style>
  <w:style w:type="character" w:customStyle="1" w:styleId="Heading1Char">
    <w:name w:val="Heading 1 Char"/>
    <w:basedOn w:val="DefaultParagraphFont"/>
    <w:link w:val="Heading1"/>
    <w:uiPriority w:val="9"/>
    <w:rsid w:val="008900F9"/>
    <w:rPr>
      <w:rFonts w:ascii="Arial Black" w:eastAsiaTheme="majorEastAsia" w:hAnsi="Arial Black" w:cstheme="majorBidi"/>
      <w:color w:val="000000" w:themeColor="text1"/>
      <w:u w:val="single"/>
    </w:rPr>
  </w:style>
  <w:style w:type="character" w:customStyle="1" w:styleId="Heading2Char">
    <w:name w:val="Heading 2 Char"/>
    <w:basedOn w:val="DefaultParagraphFont"/>
    <w:link w:val="Heading2"/>
    <w:uiPriority w:val="9"/>
    <w:rsid w:val="00B95682"/>
    <w:rPr>
      <w:rFonts w:ascii="Arial" w:eastAsiaTheme="majorEastAsia" w:hAnsi="Arial" w:cstheme="majorBidi"/>
      <w:b/>
      <w:color w:val="222A35" w:themeColor="text2" w:themeShade="80"/>
      <w:sz w:val="32"/>
      <w:szCs w:val="32"/>
    </w:rPr>
  </w:style>
  <w:style w:type="character" w:customStyle="1" w:styleId="Heading3Char">
    <w:name w:val="Heading 3 Char"/>
    <w:basedOn w:val="DefaultParagraphFont"/>
    <w:link w:val="Heading3"/>
    <w:uiPriority w:val="9"/>
    <w:rsid w:val="00110290"/>
    <w:rPr>
      <w:rFonts w:ascii="Bahnschrift" w:eastAsiaTheme="majorEastAsia" w:hAnsi="Bahnschrift" w:cstheme="majorBidi"/>
      <w:b/>
      <w:color w:val="8496B0" w:themeColor="text2" w:themeTint="99"/>
      <w:sz w:val="28"/>
      <w:szCs w:val="28"/>
    </w:rPr>
  </w:style>
  <w:style w:type="character" w:customStyle="1" w:styleId="Heading4Char">
    <w:name w:val="Heading 4 Char"/>
    <w:basedOn w:val="DefaultParagraphFont"/>
    <w:link w:val="Heading4"/>
    <w:uiPriority w:val="9"/>
    <w:semiHidden/>
    <w:rsid w:val="002B0F9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B0F9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B0F9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B0F9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B0F9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B0F9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2B0F9B"/>
    <w:pPr>
      <w:spacing w:line="240" w:lineRule="auto"/>
    </w:pPr>
    <w:rPr>
      <w:b/>
      <w:bCs/>
      <w:smallCaps/>
      <w:color w:val="44546A" w:themeColor="text2"/>
    </w:rPr>
  </w:style>
  <w:style w:type="paragraph" w:styleId="Title">
    <w:name w:val="Title"/>
    <w:basedOn w:val="Normal"/>
    <w:next w:val="Normal"/>
    <w:link w:val="TitleChar"/>
    <w:uiPriority w:val="10"/>
    <w:qFormat/>
    <w:rsid w:val="002B0F9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F9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F9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B0F9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B0F9B"/>
    <w:rPr>
      <w:b/>
      <w:bCs/>
    </w:rPr>
  </w:style>
  <w:style w:type="character" w:styleId="Emphasis">
    <w:name w:val="Emphasis"/>
    <w:basedOn w:val="DefaultParagraphFont"/>
    <w:uiPriority w:val="20"/>
    <w:qFormat/>
    <w:rsid w:val="002B0F9B"/>
    <w:rPr>
      <w:i/>
      <w:iCs/>
    </w:rPr>
  </w:style>
  <w:style w:type="paragraph" w:styleId="Quote">
    <w:name w:val="Quote"/>
    <w:basedOn w:val="Normal"/>
    <w:next w:val="Normal"/>
    <w:link w:val="QuoteChar"/>
    <w:uiPriority w:val="29"/>
    <w:qFormat/>
    <w:rsid w:val="002B0F9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F9B"/>
    <w:rPr>
      <w:color w:val="44546A" w:themeColor="text2"/>
      <w:sz w:val="24"/>
      <w:szCs w:val="24"/>
    </w:rPr>
  </w:style>
  <w:style w:type="paragraph" w:styleId="IntenseQuote">
    <w:name w:val="Intense Quote"/>
    <w:basedOn w:val="Normal"/>
    <w:next w:val="Normal"/>
    <w:link w:val="IntenseQuoteChar"/>
    <w:uiPriority w:val="30"/>
    <w:qFormat/>
    <w:rsid w:val="002B0F9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F9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F9B"/>
    <w:rPr>
      <w:i/>
      <w:iCs/>
      <w:color w:val="595959" w:themeColor="text1" w:themeTint="A6"/>
    </w:rPr>
  </w:style>
  <w:style w:type="character" w:styleId="IntenseEmphasis">
    <w:name w:val="Intense Emphasis"/>
    <w:basedOn w:val="DefaultParagraphFont"/>
    <w:uiPriority w:val="21"/>
    <w:qFormat/>
    <w:rsid w:val="002B0F9B"/>
    <w:rPr>
      <w:b/>
      <w:bCs/>
      <w:i/>
      <w:iCs/>
    </w:rPr>
  </w:style>
  <w:style w:type="character" w:styleId="SubtleReference">
    <w:name w:val="Subtle Reference"/>
    <w:basedOn w:val="DefaultParagraphFont"/>
    <w:uiPriority w:val="31"/>
    <w:qFormat/>
    <w:rsid w:val="002B0F9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F9B"/>
    <w:rPr>
      <w:b/>
      <w:bCs/>
      <w:smallCaps/>
      <w:color w:val="44546A" w:themeColor="text2"/>
      <w:u w:val="single"/>
    </w:rPr>
  </w:style>
  <w:style w:type="character" w:styleId="BookTitle">
    <w:name w:val="Book Title"/>
    <w:basedOn w:val="DefaultParagraphFont"/>
    <w:uiPriority w:val="33"/>
    <w:qFormat/>
    <w:rsid w:val="002B0F9B"/>
    <w:rPr>
      <w:b/>
      <w:bCs/>
      <w:smallCaps/>
      <w:spacing w:val="10"/>
    </w:rPr>
  </w:style>
  <w:style w:type="paragraph" w:styleId="TOCHeading">
    <w:name w:val="TOC Heading"/>
    <w:basedOn w:val="Heading1"/>
    <w:next w:val="Normal"/>
    <w:uiPriority w:val="39"/>
    <w:unhideWhenUsed/>
    <w:qFormat/>
    <w:rsid w:val="002B0F9B"/>
    <w:pPr>
      <w:outlineLvl w:val="9"/>
    </w:pPr>
  </w:style>
  <w:style w:type="paragraph" w:styleId="TOC2">
    <w:name w:val="toc 2"/>
    <w:basedOn w:val="Normal"/>
    <w:next w:val="Normal"/>
    <w:autoRedefine/>
    <w:uiPriority w:val="39"/>
    <w:unhideWhenUsed/>
    <w:rsid w:val="009371E0"/>
    <w:pPr>
      <w:spacing w:after="100"/>
      <w:ind w:left="220"/>
    </w:pPr>
    <w:rPr>
      <w:rFonts w:cs="Times New Roman"/>
      <w:lang w:val="en-US"/>
    </w:rPr>
  </w:style>
  <w:style w:type="paragraph" w:styleId="TOC1">
    <w:name w:val="toc 1"/>
    <w:basedOn w:val="Normal"/>
    <w:next w:val="Normal"/>
    <w:autoRedefine/>
    <w:uiPriority w:val="39"/>
    <w:unhideWhenUsed/>
    <w:rsid w:val="00A414FD"/>
    <w:pPr>
      <w:tabs>
        <w:tab w:val="right" w:leader="dot" w:pos="9016"/>
      </w:tabs>
      <w:spacing w:after="100"/>
    </w:pPr>
    <w:rPr>
      <w:rFonts w:cs="Times New Roman"/>
      <w:lang w:val="en-US"/>
    </w:rPr>
  </w:style>
  <w:style w:type="paragraph" w:styleId="TOC3">
    <w:name w:val="toc 3"/>
    <w:basedOn w:val="Normal"/>
    <w:next w:val="Normal"/>
    <w:autoRedefine/>
    <w:uiPriority w:val="39"/>
    <w:unhideWhenUsed/>
    <w:rsid w:val="009371E0"/>
    <w:pPr>
      <w:spacing w:after="100"/>
      <w:ind w:left="440"/>
    </w:pPr>
    <w:rPr>
      <w:rFonts w:cs="Times New Roman"/>
      <w:lang w:val="en-US"/>
    </w:rPr>
  </w:style>
  <w:style w:type="paragraph" w:customStyle="1" w:styleId="Style1">
    <w:name w:val="Style1"/>
    <w:basedOn w:val="Heading1"/>
    <w:next w:val="Normal"/>
    <w:link w:val="Style1Char"/>
    <w:autoRedefine/>
    <w:qFormat/>
    <w:rsid w:val="009371E0"/>
    <w:rPr>
      <w:rFonts w:ascii="Arial" w:hAnsi="Arial" w:cs="Arial"/>
      <w:b/>
    </w:rPr>
  </w:style>
  <w:style w:type="character" w:customStyle="1" w:styleId="Style1Char">
    <w:name w:val="Style1 Char"/>
    <w:basedOn w:val="Heading1Char"/>
    <w:link w:val="Style1"/>
    <w:rsid w:val="009371E0"/>
    <w:rPr>
      <w:rFonts w:ascii="Arial" w:eastAsiaTheme="majorEastAsia" w:hAnsi="Arial" w:cs="Arial"/>
      <w:b/>
      <w:color w:val="000000" w:themeColor="text1"/>
      <w:sz w:val="36"/>
      <w:szCs w:val="36"/>
      <w:u w:val="single"/>
    </w:rPr>
  </w:style>
  <w:style w:type="paragraph" w:styleId="ListParagraph">
    <w:name w:val="List Paragraph"/>
    <w:basedOn w:val="Normal"/>
    <w:qFormat/>
    <w:rsid w:val="00D41323"/>
    <w:pPr>
      <w:ind w:left="720"/>
      <w:contextualSpacing/>
    </w:pPr>
  </w:style>
  <w:style w:type="character" w:styleId="Hyperlink">
    <w:name w:val="Hyperlink"/>
    <w:basedOn w:val="DefaultParagraphFont"/>
    <w:uiPriority w:val="99"/>
    <w:unhideWhenUsed/>
    <w:rsid w:val="00D41323"/>
    <w:rPr>
      <w:color w:val="0563C1" w:themeColor="hyperlink"/>
      <w:u w:val="single"/>
    </w:rPr>
  </w:style>
  <w:style w:type="character" w:styleId="UnresolvedMention">
    <w:name w:val="Unresolved Mention"/>
    <w:basedOn w:val="DefaultParagraphFont"/>
    <w:uiPriority w:val="99"/>
    <w:semiHidden/>
    <w:unhideWhenUsed/>
    <w:rsid w:val="00D41323"/>
    <w:rPr>
      <w:color w:val="605E5C"/>
      <w:shd w:val="clear" w:color="auto" w:fill="E1DFDD"/>
    </w:rPr>
  </w:style>
  <w:style w:type="paragraph" w:styleId="NormalWeb">
    <w:name w:val="Normal (Web)"/>
    <w:basedOn w:val="Normal"/>
    <w:uiPriority w:val="99"/>
    <w:semiHidden/>
    <w:unhideWhenUsed/>
    <w:rsid w:val="0067093A"/>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71248">
      <w:bodyDiv w:val="1"/>
      <w:marLeft w:val="0"/>
      <w:marRight w:val="0"/>
      <w:marTop w:val="0"/>
      <w:marBottom w:val="0"/>
      <w:divBdr>
        <w:top w:val="none" w:sz="0" w:space="0" w:color="auto"/>
        <w:left w:val="none" w:sz="0" w:space="0" w:color="auto"/>
        <w:bottom w:val="none" w:sz="0" w:space="0" w:color="auto"/>
        <w:right w:val="none" w:sz="0" w:space="0" w:color="auto"/>
      </w:divBdr>
    </w:div>
    <w:div w:id="40062332">
      <w:bodyDiv w:val="1"/>
      <w:marLeft w:val="0"/>
      <w:marRight w:val="0"/>
      <w:marTop w:val="0"/>
      <w:marBottom w:val="0"/>
      <w:divBdr>
        <w:top w:val="none" w:sz="0" w:space="0" w:color="auto"/>
        <w:left w:val="none" w:sz="0" w:space="0" w:color="auto"/>
        <w:bottom w:val="none" w:sz="0" w:space="0" w:color="auto"/>
        <w:right w:val="none" w:sz="0" w:space="0" w:color="auto"/>
      </w:divBdr>
    </w:div>
    <w:div w:id="47196039">
      <w:bodyDiv w:val="1"/>
      <w:marLeft w:val="0"/>
      <w:marRight w:val="0"/>
      <w:marTop w:val="0"/>
      <w:marBottom w:val="0"/>
      <w:divBdr>
        <w:top w:val="none" w:sz="0" w:space="0" w:color="auto"/>
        <w:left w:val="none" w:sz="0" w:space="0" w:color="auto"/>
        <w:bottom w:val="none" w:sz="0" w:space="0" w:color="auto"/>
        <w:right w:val="none" w:sz="0" w:space="0" w:color="auto"/>
      </w:divBdr>
    </w:div>
    <w:div w:id="66221865">
      <w:bodyDiv w:val="1"/>
      <w:marLeft w:val="0"/>
      <w:marRight w:val="0"/>
      <w:marTop w:val="0"/>
      <w:marBottom w:val="0"/>
      <w:divBdr>
        <w:top w:val="none" w:sz="0" w:space="0" w:color="auto"/>
        <w:left w:val="none" w:sz="0" w:space="0" w:color="auto"/>
        <w:bottom w:val="none" w:sz="0" w:space="0" w:color="auto"/>
        <w:right w:val="none" w:sz="0" w:space="0" w:color="auto"/>
      </w:divBdr>
    </w:div>
    <w:div w:id="75522823">
      <w:bodyDiv w:val="1"/>
      <w:marLeft w:val="0"/>
      <w:marRight w:val="0"/>
      <w:marTop w:val="0"/>
      <w:marBottom w:val="0"/>
      <w:divBdr>
        <w:top w:val="none" w:sz="0" w:space="0" w:color="auto"/>
        <w:left w:val="none" w:sz="0" w:space="0" w:color="auto"/>
        <w:bottom w:val="none" w:sz="0" w:space="0" w:color="auto"/>
        <w:right w:val="none" w:sz="0" w:space="0" w:color="auto"/>
      </w:divBdr>
    </w:div>
    <w:div w:id="88813157">
      <w:bodyDiv w:val="1"/>
      <w:marLeft w:val="0"/>
      <w:marRight w:val="0"/>
      <w:marTop w:val="0"/>
      <w:marBottom w:val="0"/>
      <w:divBdr>
        <w:top w:val="none" w:sz="0" w:space="0" w:color="auto"/>
        <w:left w:val="none" w:sz="0" w:space="0" w:color="auto"/>
        <w:bottom w:val="none" w:sz="0" w:space="0" w:color="auto"/>
        <w:right w:val="none" w:sz="0" w:space="0" w:color="auto"/>
      </w:divBdr>
    </w:div>
    <w:div w:id="101805921">
      <w:bodyDiv w:val="1"/>
      <w:marLeft w:val="0"/>
      <w:marRight w:val="0"/>
      <w:marTop w:val="0"/>
      <w:marBottom w:val="0"/>
      <w:divBdr>
        <w:top w:val="none" w:sz="0" w:space="0" w:color="auto"/>
        <w:left w:val="none" w:sz="0" w:space="0" w:color="auto"/>
        <w:bottom w:val="none" w:sz="0" w:space="0" w:color="auto"/>
        <w:right w:val="none" w:sz="0" w:space="0" w:color="auto"/>
      </w:divBdr>
    </w:div>
    <w:div w:id="116142120">
      <w:bodyDiv w:val="1"/>
      <w:marLeft w:val="0"/>
      <w:marRight w:val="0"/>
      <w:marTop w:val="0"/>
      <w:marBottom w:val="0"/>
      <w:divBdr>
        <w:top w:val="none" w:sz="0" w:space="0" w:color="auto"/>
        <w:left w:val="none" w:sz="0" w:space="0" w:color="auto"/>
        <w:bottom w:val="none" w:sz="0" w:space="0" w:color="auto"/>
        <w:right w:val="none" w:sz="0" w:space="0" w:color="auto"/>
      </w:divBdr>
    </w:div>
    <w:div w:id="178197771">
      <w:bodyDiv w:val="1"/>
      <w:marLeft w:val="0"/>
      <w:marRight w:val="0"/>
      <w:marTop w:val="0"/>
      <w:marBottom w:val="0"/>
      <w:divBdr>
        <w:top w:val="none" w:sz="0" w:space="0" w:color="auto"/>
        <w:left w:val="none" w:sz="0" w:space="0" w:color="auto"/>
        <w:bottom w:val="none" w:sz="0" w:space="0" w:color="auto"/>
        <w:right w:val="none" w:sz="0" w:space="0" w:color="auto"/>
      </w:divBdr>
    </w:div>
    <w:div w:id="243102930">
      <w:bodyDiv w:val="1"/>
      <w:marLeft w:val="0"/>
      <w:marRight w:val="0"/>
      <w:marTop w:val="0"/>
      <w:marBottom w:val="0"/>
      <w:divBdr>
        <w:top w:val="none" w:sz="0" w:space="0" w:color="auto"/>
        <w:left w:val="none" w:sz="0" w:space="0" w:color="auto"/>
        <w:bottom w:val="none" w:sz="0" w:space="0" w:color="auto"/>
        <w:right w:val="none" w:sz="0" w:space="0" w:color="auto"/>
      </w:divBdr>
    </w:div>
    <w:div w:id="275334137">
      <w:bodyDiv w:val="1"/>
      <w:marLeft w:val="0"/>
      <w:marRight w:val="0"/>
      <w:marTop w:val="0"/>
      <w:marBottom w:val="0"/>
      <w:divBdr>
        <w:top w:val="none" w:sz="0" w:space="0" w:color="auto"/>
        <w:left w:val="none" w:sz="0" w:space="0" w:color="auto"/>
        <w:bottom w:val="none" w:sz="0" w:space="0" w:color="auto"/>
        <w:right w:val="none" w:sz="0" w:space="0" w:color="auto"/>
      </w:divBdr>
    </w:div>
    <w:div w:id="321349514">
      <w:bodyDiv w:val="1"/>
      <w:marLeft w:val="0"/>
      <w:marRight w:val="0"/>
      <w:marTop w:val="0"/>
      <w:marBottom w:val="0"/>
      <w:divBdr>
        <w:top w:val="none" w:sz="0" w:space="0" w:color="auto"/>
        <w:left w:val="none" w:sz="0" w:space="0" w:color="auto"/>
        <w:bottom w:val="none" w:sz="0" w:space="0" w:color="auto"/>
        <w:right w:val="none" w:sz="0" w:space="0" w:color="auto"/>
      </w:divBdr>
    </w:div>
    <w:div w:id="323706250">
      <w:bodyDiv w:val="1"/>
      <w:marLeft w:val="0"/>
      <w:marRight w:val="0"/>
      <w:marTop w:val="0"/>
      <w:marBottom w:val="0"/>
      <w:divBdr>
        <w:top w:val="none" w:sz="0" w:space="0" w:color="auto"/>
        <w:left w:val="none" w:sz="0" w:space="0" w:color="auto"/>
        <w:bottom w:val="none" w:sz="0" w:space="0" w:color="auto"/>
        <w:right w:val="none" w:sz="0" w:space="0" w:color="auto"/>
      </w:divBdr>
    </w:div>
    <w:div w:id="364260651">
      <w:bodyDiv w:val="1"/>
      <w:marLeft w:val="0"/>
      <w:marRight w:val="0"/>
      <w:marTop w:val="0"/>
      <w:marBottom w:val="0"/>
      <w:divBdr>
        <w:top w:val="none" w:sz="0" w:space="0" w:color="auto"/>
        <w:left w:val="none" w:sz="0" w:space="0" w:color="auto"/>
        <w:bottom w:val="none" w:sz="0" w:space="0" w:color="auto"/>
        <w:right w:val="none" w:sz="0" w:space="0" w:color="auto"/>
      </w:divBdr>
    </w:div>
    <w:div w:id="371005542">
      <w:bodyDiv w:val="1"/>
      <w:marLeft w:val="0"/>
      <w:marRight w:val="0"/>
      <w:marTop w:val="0"/>
      <w:marBottom w:val="0"/>
      <w:divBdr>
        <w:top w:val="none" w:sz="0" w:space="0" w:color="auto"/>
        <w:left w:val="none" w:sz="0" w:space="0" w:color="auto"/>
        <w:bottom w:val="none" w:sz="0" w:space="0" w:color="auto"/>
        <w:right w:val="none" w:sz="0" w:space="0" w:color="auto"/>
      </w:divBdr>
    </w:div>
    <w:div w:id="381490609">
      <w:bodyDiv w:val="1"/>
      <w:marLeft w:val="0"/>
      <w:marRight w:val="0"/>
      <w:marTop w:val="0"/>
      <w:marBottom w:val="0"/>
      <w:divBdr>
        <w:top w:val="none" w:sz="0" w:space="0" w:color="auto"/>
        <w:left w:val="none" w:sz="0" w:space="0" w:color="auto"/>
        <w:bottom w:val="none" w:sz="0" w:space="0" w:color="auto"/>
        <w:right w:val="none" w:sz="0" w:space="0" w:color="auto"/>
      </w:divBdr>
    </w:div>
    <w:div w:id="385955127">
      <w:bodyDiv w:val="1"/>
      <w:marLeft w:val="0"/>
      <w:marRight w:val="0"/>
      <w:marTop w:val="0"/>
      <w:marBottom w:val="0"/>
      <w:divBdr>
        <w:top w:val="none" w:sz="0" w:space="0" w:color="auto"/>
        <w:left w:val="none" w:sz="0" w:space="0" w:color="auto"/>
        <w:bottom w:val="none" w:sz="0" w:space="0" w:color="auto"/>
        <w:right w:val="none" w:sz="0" w:space="0" w:color="auto"/>
      </w:divBdr>
    </w:div>
    <w:div w:id="409817661">
      <w:bodyDiv w:val="1"/>
      <w:marLeft w:val="0"/>
      <w:marRight w:val="0"/>
      <w:marTop w:val="0"/>
      <w:marBottom w:val="0"/>
      <w:divBdr>
        <w:top w:val="none" w:sz="0" w:space="0" w:color="auto"/>
        <w:left w:val="none" w:sz="0" w:space="0" w:color="auto"/>
        <w:bottom w:val="none" w:sz="0" w:space="0" w:color="auto"/>
        <w:right w:val="none" w:sz="0" w:space="0" w:color="auto"/>
      </w:divBdr>
    </w:div>
    <w:div w:id="414668842">
      <w:bodyDiv w:val="1"/>
      <w:marLeft w:val="0"/>
      <w:marRight w:val="0"/>
      <w:marTop w:val="0"/>
      <w:marBottom w:val="0"/>
      <w:divBdr>
        <w:top w:val="none" w:sz="0" w:space="0" w:color="auto"/>
        <w:left w:val="none" w:sz="0" w:space="0" w:color="auto"/>
        <w:bottom w:val="none" w:sz="0" w:space="0" w:color="auto"/>
        <w:right w:val="none" w:sz="0" w:space="0" w:color="auto"/>
      </w:divBdr>
    </w:div>
    <w:div w:id="423843026">
      <w:bodyDiv w:val="1"/>
      <w:marLeft w:val="0"/>
      <w:marRight w:val="0"/>
      <w:marTop w:val="0"/>
      <w:marBottom w:val="0"/>
      <w:divBdr>
        <w:top w:val="none" w:sz="0" w:space="0" w:color="auto"/>
        <w:left w:val="none" w:sz="0" w:space="0" w:color="auto"/>
        <w:bottom w:val="none" w:sz="0" w:space="0" w:color="auto"/>
        <w:right w:val="none" w:sz="0" w:space="0" w:color="auto"/>
      </w:divBdr>
    </w:div>
    <w:div w:id="440610839">
      <w:bodyDiv w:val="1"/>
      <w:marLeft w:val="0"/>
      <w:marRight w:val="0"/>
      <w:marTop w:val="0"/>
      <w:marBottom w:val="0"/>
      <w:divBdr>
        <w:top w:val="none" w:sz="0" w:space="0" w:color="auto"/>
        <w:left w:val="none" w:sz="0" w:space="0" w:color="auto"/>
        <w:bottom w:val="none" w:sz="0" w:space="0" w:color="auto"/>
        <w:right w:val="none" w:sz="0" w:space="0" w:color="auto"/>
      </w:divBdr>
    </w:div>
    <w:div w:id="471556874">
      <w:bodyDiv w:val="1"/>
      <w:marLeft w:val="0"/>
      <w:marRight w:val="0"/>
      <w:marTop w:val="0"/>
      <w:marBottom w:val="0"/>
      <w:divBdr>
        <w:top w:val="none" w:sz="0" w:space="0" w:color="auto"/>
        <w:left w:val="none" w:sz="0" w:space="0" w:color="auto"/>
        <w:bottom w:val="none" w:sz="0" w:space="0" w:color="auto"/>
        <w:right w:val="none" w:sz="0" w:space="0" w:color="auto"/>
      </w:divBdr>
    </w:div>
    <w:div w:id="554854930">
      <w:bodyDiv w:val="1"/>
      <w:marLeft w:val="0"/>
      <w:marRight w:val="0"/>
      <w:marTop w:val="0"/>
      <w:marBottom w:val="0"/>
      <w:divBdr>
        <w:top w:val="none" w:sz="0" w:space="0" w:color="auto"/>
        <w:left w:val="none" w:sz="0" w:space="0" w:color="auto"/>
        <w:bottom w:val="none" w:sz="0" w:space="0" w:color="auto"/>
        <w:right w:val="none" w:sz="0" w:space="0" w:color="auto"/>
      </w:divBdr>
    </w:div>
    <w:div w:id="586575615">
      <w:bodyDiv w:val="1"/>
      <w:marLeft w:val="0"/>
      <w:marRight w:val="0"/>
      <w:marTop w:val="0"/>
      <w:marBottom w:val="0"/>
      <w:divBdr>
        <w:top w:val="none" w:sz="0" w:space="0" w:color="auto"/>
        <w:left w:val="none" w:sz="0" w:space="0" w:color="auto"/>
        <w:bottom w:val="none" w:sz="0" w:space="0" w:color="auto"/>
        <w:right w:val="none" w:sz="0" w:space="0" w:color="auto"/>
      </w:divBdr>
    </w:div>
    <w:div w:id="603728724">
      <w:bodyDiv w:val="1"/>
      <w:marLeft w:val="0"/>
      <w:marRight w:val="0"/>
      <w:marTop w:val="0"/>
      <w:marBottom w:val="0"/>
      <w:divBdr>
        <w:top w:val="none" w:sz="0" w:space="0" w:color="auto"/>
        <w:left w:val="none" w:sz="0" w:space="0" w:color="auto"/>
        <w:bottom w:val="none" w:sz="0" w:space="0" w:color="auto"/>
        <w:right w:val="none" w:sz="0" w:space="0" w:color="auto"/>
      </w:divBdr>
    </w:div>
    <w:div w:id="612788646">
      <w:bodyDiv w:val="1"/>
      <w:marLeft w:val="0"/>
      <w:marRight w:val="0"/>
      <w:marTop w:val="0"/>
      <w:marBottom w:val="0"/>
      <w:divBdr>
        <w:top w:val="none" w:sz="0" w:space="0" w:color="auto"/>
        <w:left w:val="none" w:sz="0" w:space="0" w:color="auto"/>
        <w:bottom w:val="none" w:sz="0" w:space="0" w:color="auto"/>
        <w:right w:val="none" w:sz="0" w:space="0" w:color="auto"/>
      </w:divBdr>
    </w:div>
    <w:div w:id="625355510">
      <w:bodyDiv w:val="1"/>
      <w:marLeft w:val="0"/>
      <w:marRight w:val="0"/>
      <w:marTop w:val="0"/>
      <w:marBottom w:val="0"/>
      <w:divBdr>
        <w:top w:val="none" w:sz="0" w:space="0" w:color="auto"/>
        <w:left w:val="none" w:sz="0" w:space="0" w:color="auto"/>
        <w:bottom w:val="none" w:sz="0" w:space="0" w:color="auto"/>
        <w:right w:val="none" w:sz="0" w:space="0" w:color="auto"/>
      </w:divBdr>
    </w:div>
    <w:div w:id="653685444">
      <w:bodyDiv w:val="1"/>
      <w:marLeft w:val="0"/>
      <w:marRight w:val="0"/>
      <w:marTop w:val="0"/>
      <w:marBottom w:val="0"/>
      <w:divBdr>
        <w:top w:val="none" w:sz="0" w:space="0" w:color="auto"/>
        <w:left w:val="none" w:sz="0" w:space="0" w:color="auto"/>
        <w:bottom w:val="none" w:sz="0" w:space="0" w:color="auto"/>
        <w:right w:val="none" w:sz="0" w:space="0" w:color="auto"/>
      </w:divBdr>
    </w:div>
    <w:div w:id="723216067">
      <w:bodyDiv w:val="1"/>
      <w:marLeft w:val="0"/>
      <w:marRight w:val="0"/>
      <w:marTop w:val="0"/>
      <w:marBottom w:val="0"/>
      <w:divBdr>
        <w:top w:val="none" w:sz="0" w:space="0" w:color="auto"/>
        <w:left w:val="none" w:sz="0" w:space="0" w:color="auto"/>
        <w:bottom w:val="none" w:sz="0" w:space="0" w:color="auto"/>
        <w:right w:val="none" w:sz="0" w:space="0" w:color="auto"/>
      </w:divBdr>
    </w:div>
    <w:div w:id="756512788">
      <w:bodyDiv w:val="1"/>
      <w:marLeft w:val="0"/>
      <w:marRight w:val="0"/>
      <w:marTop w:val="0"/>
      <w:marBottom w:val="0"/>
      <w:divBdr>
        <w:top w:val="none" w:sz="0" w:space="0" w:color="auto"/>
        <w:left w:val="none" w:sz="0" w:space="0" w:color="auto"/>
        <w:bottom w:val="none" w:sz="0" w:space="0" w:color="auto"/>
        <w:right w:val="none" w:sz="0" w:space="0" w:color="auto"/>
      </w:divBdr>
    </w:div>
    <w:div w:id="801462172">
      <w:bodyDiv w:val="1"/>
      <w:marLeft w:val="0"/>
      <w:marRight w:val="0"/>
      <w:marTop w:val="0"/>
      <w:marBottom w:val="0"/>
      <w:divBdr>
        <w:top w:val="none" w:sz="0" w:space="0" w:color="auto"/>
        <w:left w:val="none" w:sz="0" w:space="0" w:color="auto"/>
        <w:bottom w:val="none" w:sz="0" w:space="0" w:color="auto"/>
        <w:right w:val="none" w:sz="0" w:space="0" w:color="auto"/>
      </w:divBdr>
    </w:div>
    <w:div w:id="829445751">
      <w:bodyDiv w:val="1"/>
      <w:marLeft w:val="0"/>
      <w:marRight w:val="0"/>
      <w:marTop w:val="0"/>
      <w:marBottom w:val="0"/>
      <w:divBdr>
        <w:top w:val="none" w:sz="0" w:space="0" w:color="auto"/>
        <w:left w:val="none" w:sz="0" w:space="0" w:color="auto"/>
        <w:bottom w:val="none" w:sz="0" w:space="0" w:color="auto"/>
        <w:right w:val="none" w:sz="0" w:space="0" w:color="auto"/>
      </w:divBdr>
    </w:div>
    <w:div w:id="870263056">
      <w:bodyDiv w:val="1"/>
      <w:marLeft w:val="0"/>
      <w:marRight w:val="0"/>
      <w:marTop w:val="0"/>
      <w:marBottom w:val="0"/>
      <w:divBdr>
        <w:top w:val="none" w:sz="0" w:space="0" w:color="auto"/>
        <w:left w:val="none" w:sz="0" w:space="0" w:color="auto"/>
        <w:bottom w:val="none" w:sz="0" w:space="0" w:color="auto"/>
        <w:right w:val="none" w:sz="0" w:space="0" w:color="auto"/>
      </w:divBdr>
    </w:div>
    <w:div w:id="880746791">
      <w:bodyDiv w:val="1"/>
      <w:marLeft w:val="0"/>
      <w:marRight w:val="0"/>
      <w:marTop w:val="0"/>
      <w:marBottom w:val="0"/>
      <w:divBdr>
        <w:top w:val="none" w:sz="0" w:space="0" w:color="auto"/>
        <w:left w:val="none" w:sz="0" w:space="0" w:color="auto"/>
        <w:bottom w:val="none" w:sz="0" w:space="0" w:color="auto"/>
        <w:right w:val="none" w:sz="0" w:space="0" w:color="auto"/>
      </w:divBdr>
    </w:div>
    <w:div w:id="891233252">
      <w:bodyDiv w:val="1"/>
      <w:marLeft w:val="0"/>
      <w:marRight w:val="0"/>
      <w:marTop w:val="0"/>
      <w:marBottom w:val="0"/>
      <w:divBdr>
        <w:top w:val="none" w:sz="0" w:space="0" w:color="auto"/>
        <w:left w:val="none" w:sz="0" w:space="0" w:color="auto"/>
        <w:bottom w:val="none" w:sz="0" w:space="0" w:color="auto"/>
        <w:right w:val="none" w:sz="0" w:space="0" w:color="auto"/>
      </w:divBdr>
    </w:div>
    <w:div w:id="893009928">
      <w:bodyDiv w:val="1"/>
      <w:marLeft w:val="0"/>
      <w:marRight w:val="0"/>
      <w:marTop w:val="0"/>
      <w:marBottom w:val="0"/>
      <w:divBdr>
        <w:top w:val="none" w:sz="0" w:space="0" w:color="auto"/>
        <w:left w:val="none" w:sz="0" w:space="0" w:color="auto"/>
        <w:bottom w:val="none" w:sz="0" w:space="0" w:color="auto"/>
        <w:right w:val="none" w:sz="0" w:space="0" w:color="auto"/>
      </w:divBdr>
    </w:div>
    <w:div w:id="899439475">
      <w:bodyDiv w:val="1"/>
      <w:marLeft w:val="0"/>
      <w:marRight w:val="0"/>
      <w:marTop w:val="0"/>
      <w:marBottom w:val="0"/>
      <w:divBdr>
        <w:top w:val="none" w:sz="0" w:space="0" w:color="auto"/>
        <w:left w:val="none" w:sz="0" w:space="0" w:color="auto"/>
        <w:bottom w:val="none" w:sz="0" w:space="0" w:color="auto"/>
        <w:right w:val="none" w:sz="0" w:space="0" w:color="auto"/>
      </w:divBdr>
    </w:div>
    <w:div w:id="900334314">
      <w:bodyDiv w:val="1"/>
      <w:marLeft w:val="0"/>
      <w:marRight w:val="0"/>
      <w:marTop w:val="0"/>
      <w:marBottom w:val="0"/>
      <w:divBdr>
        <w:top w:val="none" w:sz="0" w:space="0" w:color="auto"/>
        <w:left w:val="none" w:sz="0" w:space="0" w:color="auto"/>
        <w:bottom w:val="none" w:sz="0" w:space="0" w:color="auto"/>
        <w:right w:val="none" w:sz="0" w:space="0" w:color="auto"/>
      </w:divBdr>
    </w:div>
    <w:div w:id="903684920">
      <w:bodyDiv w:val="1"/>
      <w:marLeft w:val="0"/>
      <w:marRight w:val="0"/>
      <w:marTop w:val="0"/>
      <w:marBottom w:val="0"/>
      <w:divBdr>
        <w:top w:val="none" w:sz="0" w:space="0" w:color="auto"/>
        <w:left w:val="none" w:sz="0" w:space="0" w:color="auto"/>
        <w:bottom w:val="none" w:sz="0" w:space="0" w:color="auto"/>
        <w:right w:val="none" w:sz="0" w:space="0" w:color="auto"/>
      </w:divBdr>
    </w:div>
    <w:div w:id="919369773">
      <w:bodyDiv w:val="1"/>
      <w:marLeft w:val="0"/>
      <w:marRight w:val="0"/>
      <w:marTop w:val="0"/>
      <w:marBottom w:val="0"/>
      <w:divBdr>
        <w:top w:val="none" w:sz="0" w:space="0" w:color="auto"/>
        <w:left w:val="none" w:sz="0" w:space="0" w:color="auto"/>
        <w:bottom w:val="none" w:sz="0" w:space="0" w:color="auto"/>
        <w:right w:val="none" w:sz="0" w:space="0" w:color="auto"/>
      </w:divBdr>
    </w:div>
    <w:div w:id="1056969149">
      <w:bodyDiv w:val="1"/>
      <w:marLeft w:val="0"/>
      <w:marRight w:val="0"/>
      <w:marTop w:val="0"/>
      <w:marBottom w:val="0"/>
      <w:divBdr>
        <w:top w:val="none" w:sz="0" w:space="0" w:color="auto"/>
        <w:left w:val="none" w:sz="0" w:space="0" w:color="auto"/>
        <w:bottom w:val="none" w:sz="0" w:space="0" w:color="auto"/>
        <w:right w:val="none" w:sz="0" w:space="0" w:color="auto"/>
      </w:divBdr>
    </w:div>
    <w:div w:id="1084911447">
      <w:bodyDiv w:val="1"/>
      <w:marLeft w:val="0"/>
      <w:marRight w:val="0"/>
      <w:marTop w:val="0"/>
      <w:marBottom w:val="0"/>
      <w:divBdr>
        <w:top w:val="none" w:sz="0" w:space="0" w:color="auto"/>
        <w:left w:val="none" w:sz="0" w:space="0" w:color="auto"/>
        <w:bottom w:val="none" w:sz="0" w:space="0" w:color="auto"/>
        <w:right w:val="none" w:sz="0" w:space="0" w:color="auto"/>
      </w:divBdr>
    </w:div>
    <w:div w:id="1159492938">
      <w:bodyDiv w:val="1"/>
      <w:marLeft w:val="0"/>
      <w:marRight w:val="0"/>
      <w:marTop w:val="0"/>
      <w:marBottom w:val="0"/>
      <w:divBdr>
        <w:top w:val="none" w:sz="0" w:space="0" w:color="auto"/>
        <w:left w:val="none" w:sz="0" w:space="0" w:color="auto"/>
        <w:bottom w:val="none" w:sz="0" w:space="0" w:color="auto"/>
        <w:right w:val="none" w:sz="0" w:space="0" w:color="auto"/>
      </w:divBdr>
    </w:div>
    <w:div w:id="1204058553">
      <w:bodyDiv w:val="1"/>
      <w:marLeft w:val="0"/>
      <w:marRight w:val="0"/>
      <w:marTop w:val="0"/>
      <w:marBottom w:val="0"/>
      <w:divBdr>
        <w:top w:val="none" w:sz="0" w:space="0" w:color="auto"/>
        <w:left w:val="none" w:sz="0" w:space="0" w:color="auto"/>
        <w:bottom w:val="none" w:sz="0" w:space="0" w:color="auto"/>
        <w:right w:val="none" w:sz="0" w:space="0" w:color="auto"/>
      </w:divBdr>
    </w:div>
    <w:div w:id="1212035709">
      <w:bodyDiv w:val="1"/>
      <w:marLeft w:val="0"/>
      <w:marRight w:val="0"/>
      <w:marTop w:val="0"/>
      <w:marBottom w:val="0"/>
      <w:divBdr>
        <w:top w:val="none" w:sz="0" w:space="0" w:color="auto"/>
        <w:left w:val="none" w:sz="0" w:space="0" w:color="auto"/>
        <w:bottom w:val="none" w:sz="0" w:space="0" w:color="auto"/>
        <w:right w:val="none" w:sz="0" w:space="0" w:color="auto"/>
      </w:divBdr>
    </w:div>
    <w:div w:id="1274434376">
      <w:bodyDiv w:val="1"/>
      <w:marLeft w:val="0"/>
      <w:marRight w:val="0"/>
      <w:marTop w:val="0"/>
      <w:marBottom w:val="0"/>
      <w:divBdr>
        <w:top w:val="none" w:sz="0" w:space="0" w:color="auto"/>
        <w:left w:val="none" w:sz="0" w:space="0" w:color="auto"/>
        <w:bottom w:val="none" w:sz="0" w:space="0" w:color="auto"/>
        <w:right w:val="none" w:sz="0" w:space="0" w:color="auto"/>
      </w:divBdr>
    </w:div>
    <w:div w:id="1433357333">
      <w:bodyDiv w:val="1"/>
      <w:marLeft w:val="0"/>
      <w:marRight w:val="0"/>
      <w:marTop w:val="0"/>
      <w:marBottom w:val="0"/>
      <w:divBdr>
        <w:top w:val="none" w:sz="0" w:space="0" w:color="auto"/>
        <w:left w:val="none" w:sz="0" w:space="0" w:color="auto"/>
        <w:bottom w:val="none" w:sz="0" w:space="0" w:color="auto"/>
        <w:right w:val="none" w:sz="0" w:space="0" w:color="auto"/>
      </w:divBdr>
    </w:div>
    <w:div w:id="1557473944">
      <w:bodyDiv w:val="1"/>
      <w:marLeft w:val="0"/>
      <w:marRight w:val="0"/>
      <w:marTop w:val="0"/>
      <w:marBottom w:val="0"/>
      <w:divBdr>
        <w:top w:val="none" w:sz="0" w:space="0" w:color="auto"/>
        <w:left w:val="none" w:sz="0" w:space="0" w:color="auto"/>
        <w:bottom w:val="none" w:sz="0" w:space="0" w:color="auto"/>
        <w:right w:val="none" w:sz="0" w:space="0" w:color="auto"/>
      </w:divBdr>
    </w:div>
    <w:div w:id="1560902797">
      <w:bodyDiv w:val="1"/>
      <w:marLeft w:val="0"/>
      <w:marRight w:val="0"/>
      <w:marTop w:val="0"/>
      <w:marBottom w:val="0"/>
      <w:divBdr>
        <w:top w:val="none" w:sz="0" w:space="0" w:color="auto"/>
        <w:left w:val="none" w:sz="0" w:space="0" w:color="auto"/>
        <w:bottom w:val="none" w:sz="0" w:space="0" w:color="auto"/>
        <w:right w:val="none" w:sz="0" w:space="0" w:color="auto"/>
      </w:divBdr>
    </w:div>
    <w:div w:id="1673027803">
      <w:bodyDiv w:val="1"/>
      <w:marLeft w:val="0"/>
      <w:marRight w:val="0"/>
      <w:marTop w:val="0"/>
      <w:marBottom w:val="0"/>
      <w:divBdr>
        <w:top w:val="none" w:sz="0" w:space="0" w:color="auto"/>
        <w:left w:val="none" w:sz="0" w:space="0" w:color="auto"/>
        <w:bottom w:val="none" w:sz="0" w:space="0" w:color="auto"/>
        <w:right w:val="none" w:sz="0" w:space="0" w:color="auto"/>
      </w:divBdr>
    </w:div>
    <w:div w:id="1683967213">
      <w:bodyDiv w:val="1"/>
      <w:marLeft w:val="0"/>
      <w:marRight w:val="0"/>
      <w:marTop w:val="0"/>
      <w:marBottom w:val="0"/>
      <w:divBdr>
        <w:top w:val="none" w:sz="0" w:space="0" w:color="auto"/>
        <w:left w:val="none" w:sz="0" w:space="0" w:color="auto"/>
        <w:bottom w:val="none" w:sz="0" w:space="0" w:color="auto"/>
        <w:right w:val="none" w:sz="0" w:space="0" w:color="auto"/>
      </w:divBdr>
    </w:div>
    <w:div w:id="1715084090">
      <w:bodyDiv w:val="1"/>
      <w:marLeft w:val="0"/>
      <w:marRight w:val="0"/>
      <w:marTop w:val="0"/>
      <w:marBottom w:val="0"/>
      <w:divBdr>
        <w:top w:val="none" w:sz="0" w:space="0" w:color="auto"/>
        <w:left w:val="none" w:sz="0" w:space="0" w:color="auto"/>
        <w:bottom w:val="none" w:sz="0" w:space="0" w:color="auto"/>
        <w:right w:val="none" w:sz="0" w:space="0" w:color="auto"/>
      </w:divBdr>
    </w:div>
    <w:div w:id="1723410083">
      <w:bodyDiv w:val="1"/>
      <w:marLeft w:val="0"/>
      <w:marRight w:val="0"/>
      <w:marTop w:val="0"/>
      <w:marBottom w:val="0"/>
      <w:divBdr>
        <w:top w:val="none" w:sz="0" w:space="0" w:color="auto"/>
        <w:left w:val="none" w:sz="0" w:space="0" w:color="auto"/>
        <w:bottom w:val="none" w:sz="0" w:space="0" w:color="auto"/>
        <w:right w:val="none" w:sz="0" w:space="0" w:color="auto"/>
      </w:divBdr>
    </w:div>
    <w:div w:id="1756049101">
      <w:bodyDiv w:val="1"/>
      <w:marLeft w:val="0"/>
      <w:marRight w:val="0"/>
      <w:marTop w:val="0"/>
      <w:marBottom w:val="0"/>
      <w:divBdr>
        <w:top w:val="none" w:sz="0" w:space="0" w:color="auto"/>
        <w:left w:val="none" w:sz="0" w:space="0" w:color="auto"/>
        <w:bottom w:val="none" w:sz="0" w:space="0" w:color="auto"/>
        <w:right w:val="none" w:sz="0" w:space="0" w:color="auto"/>
      </w:divBdr>
    </w:div>
    <w:div w:id="1761170264">
      <w:bodyDiv w:val="1"/>
      <w:marLeft w:val="0"/>
      <w:marRight w:val="0"/>
      <w:marTop w:val="0"/>
      <w:marBottom w:val="0"/>
      <w:divBdr>
        <w:top w:val="none" w:sz="0" w:space="0" w:color="auto"/>
        <w:left w:val="none" w:sz="0" w:space="0" w:color="auto"/>
        <w:bottom w:val="none" w:sz="0" w:space="0" w:color="auto"/>
        <w:right w:val="none" w:sz="0" w:space="0" w:color="auto"/>
      </w:divBdr>
    </w:div>
    <w:div w:id="1816486364">
      <w:bodyDiv w:val="1"/>
      <w:marLeft w:val="0"/>
      <w:marRight w:val="0"/>
      <w:marTop w:val="0"/>
      <w:marBottom w:val="0"/>
      <w:divBdr>
        <w:top w:val="none" w:sz="0" w:space="0" w:color="auto"/>
        <w:left w:val="none" w:sz="0" w:space="0" w:color="auto"/>
        <w:bottom w:val="none" w:sz="0" w:space="0" w:color="auto"/>
        <w:right w:val="none" w:sz="0" w:space="0" w:color="auto"/>
      </w:divBdr>
    </w:div>
    <w:div w:id="1834560430">
      <w:bodyDiv w:val="1"/>
      <w:marLeft w:val="0"/>
      <w:marRight w:val="0"/>
      <w:marTop w:val="0"/>
      <w:marBottom w:val="0"/>
      <w:divBdr>
        <w:top w:val="none" w:sz="0" w:space="0" w:color="auto"/>
        <w:left w:val="none" w:sz="0" w:space="0" w:color="auto"/>
        <w:bottom w:val="none" w:sz="0" w:space="0" w:color="auto"/>
        <w:right w:val="none" w:sz="0" w:space="0" w:color="auto"/>
      </w:divBdr>
    </w:div>
    <w:div w:id="1869297195">
      <w:bodyDiv w:val="1"/>
      <w:marLeft w:val="0"/>
      <w:marRight w:val="0"/>
      <w:marTop w:val="0"/>
      <w:marBottom w:val="0"/>
      <w:divBdr>
        <w:top w:val="none" w:sz="0" w:space="0" w:color="auto"/>
        <w:left w:val="none" w:sz="0" w:space="0" w:color="auto"/>
        <w:bottom w:val="none" w:sz="0" w:space="0" w:color="auto"/>
        <w:right w:val="none" w:sz="0" w:space="0" w:color="auto"/>
      </w:divBdr>
    </w:div>
    <w:div w:id="1933119966">
      <w:bodyDiv w:val="1"/>
      <w:marLeft w:val="0"/>
      <w:marRight w:val="0"/>
      <w:marTop w:val="0"/>
      <w:marBottom w:val="0"/>
      <w:divBdr>
        <w:top w:val="none" w:sz="0" w:space="0" w:color="auto"/>
        <w:left w:val="none" w:sz="0" w:space="0" w:color="auto"/>
        <w:bottom w:val="none" w:sz="0" w:space="0" w:color="auto"/>
        <w:right w:val="none" w:sz="0" w:space="0" w:color="auto"/>
      </w:divBdr>
    </w:div>
    <w:div w:id="1977174547">
      <w:bodyDiv w:val="1"/>
      <w:marLeft w:val="0"/>
      <w:marRight w:val="0"/>
      <w:marTop w:val="0"/>
      <w:marBottom w:val="0"/>
      <w:divBdr>
        <w:top w:val="none" w:sz="0" w:space="0" w:color="auto"/>
        <w:left w:val="none" w:sz="0" w:space="0" w:color="auto"/>
        <w:bottom w:val="none" w:sz="0" w:space="0" w:color="auto"/>
        <w:right w:val="none" w:sz="0" w:space="0" w:color="auto"/>
      </w:divBdr>
    </w:div>
    <w:div w:id="1981644623">
      <w:bodyDiv w:val="1"/>
      <w:marLeft w:val="0"/>
      <w:marRight w:val="0"/>
      <w:marTop w:val="0"/>
      <w:marBottom w:val="0"/>
      <w:divBdr>
        <w:top w:val="none" w:sz="0" w:space="0" w:color="auto"/>
        <w:left w:val="none" w:sz="0" w:space="0" w:color="auto"/>
        <w:bottom w:val="none" w:sz="0" w:space="0" w:color="auto"/>
        <w:right w:val="none" w:sz="0" w:space="0" w:color="auto"/>
      </w:divBdr>
    </w:div>
    <w:div w:id="1998723173">
      <w:bodyDiv w:val="1"/>
      <w:marLeft w:val="0"/>
      <w:marRight w:val="0"/>
      <w:marTop w:val="0"/>
      <w:marBottom w:val="0"/>
      <w:divBdr>
        <w:top w:val="none" w:sz="0" w:space="0" w:color="auto"/>
        <w:left w:val="none" w:sz="0" w:space="0" w:color="auto"/>
        <w:bottom w:val="none" w:sz="0" w:space="0" w:color="auto"/>
        <w:right w:val="none" w:sz="0" w:space="0" w:color="auto"/>
      </w:divBdr>
    </w:div>
    <w:div w:id="2002921976">
      <w:bodyDiv w:val="1"/>
      <w:marLeft w:val="0"/>
      <w:marRight w:val="0"/>
      <w:marTop w:val="0"/>
      <w:marBottom w:val="0"/>
      <w:divBdr>
        <w:top w:val="none" w:sz="0" w:space="0" w:color="auto"/>
        <w:left w:val="none" w:sz="0" w:space="0" w:color="auto"/>
        <w:bottom w:val="none" w:sz="0" w:space="0" w:color="auto"/>
        <w:right w:val="none" w:sz="0" w:space="0" w:color="auto"/>
      </w:divBdr>
    </w:div>
    <w:div w:id="2028558625">
      <w:bodyDiv w:val="1"/>
      <w:marLeft w:val="0"/>
      <w:marRight w:val="0"/>
      <w:marTop w:val="0"/>
      <w:marBottom w:val="0"/>
      <w:divBdr>
        <w:top w:val="none" w:sz="0" w:space="0" w:color="auto"/>
        <w:left w:val="none" w:sz="0" w:space="0" w:color="auto"/>
        <w:bottom w:val="none" w:sz="0" w:space="0" w:color="auto"/>
        <w:right w:val="none" w:sz="0" w:space="0" w:color="auto"/>
      </w:divBdr>
    </w:div>
    <w:div w:id="2029209872">
      <w:bodyDiv w:val="1"/>
      <w:marLeft w:val="0"/>
      <w:marRight w:val="0"/>
      <w:marTop w:val="0"/>
      <w:marBottom w:val="0"/>
      <w:divBdr>
        <w:top w:val="none" w:sz="0" w:space="0" w:color="auto"/>
        <w:left w:val="none" w:sz="0" w:space="0" w:color="auto"/>
        <w:bottom w:val="none" w:sz="0" w:space="0" w:color="auto"/>
        <w:right w:val="none" w:sz="0" w:space="0" w:color="auto"/>
      </w:divBdr>
    </w:div>
    <w:div w:id="2037002224">
      <w:bodyDiv w:val="1"/>
      <w:marLeft w:val="0"/>
      <w:marRight w:val="0"/>
      <w:marTop w:val="0"/>
      <w:marBottom w:val="0"/>
      <w:divBdr>
        <w:top w:val="none" w:sz="0" w:space="0" w:color="auto"/>
        <w:left w:val="none" w:sz="0" w:space="0" w:color="auto"/>
        <w:bottom w:val="none" w:sz="0" w:space="0" w:color="auto"/>
        <w:right w:val="none" w:sz="0" w:space="0" w:color="auto"/>
      </w:divBdr>
    </w:div>
    <w:div w:id="2089618313">
      <w:bodyDiv w:val="1"/>
      <w:marLeft w:val="0"/>
      <w:marRight w:val="0"/>
      <w:marTop w:val="0"/>
      <w:marBottom w:val="0"/>
      <w:divBdr>
        <w:top w:val="none" w:sz="0" w:space="0" w:color="auto"/>
        <w:left w:val="none" w:sz="0" w:space="0" w:color="auto"/>
        <w:bottom w:val="none" w:sz="0" w:space="0" w:color="auto"/>
        <w:right w:val="none" w:sz="0" w:space="0" w:color="auto"/>
      </w:divBdr>
    </w:div>
    <w:div w:id="2091002080">
      <w:bodyDiv w:val="1"/>
      <w:marLeft w:val="0"/>
      <w:marRight w:val="0"/>
      <w:marTop w:val="0"/>
      <w:marBottom w:val="0"/>
      <w:divBdr>
        <w:top w:val="none" w:sz="0" w:space="0" w:color="auto"/>
        <w:left w:val="none" w:sz="0" w:space="0" w:color="auto"/>
        <w:bottom w:val="none" w:sz="0" w:space="0" w:color="auto"/>
        <w:right w:val="none" w:sz="0" w:space="0" w:color="auto"/>
      </w:divBdr>
    </w:div>
    <w:div w:id="2098289337">
      <w:bodyDiv w:val="1"/>
      <w:marLeft w:val="0"/>
      <w:marRight w:val="0"/>
      <w:marTop w:val="0"/>
      <w:marBottom w:val="0"/>
      <w:divBdr>
        <w:top w:val="none" w:sz="0" w:space="0" w:color="auto"/>
        <w:left w:val="none" w:sz="0" w:space="0" w:color="auto"/>
        <w:bottom w:val="none" w:sz="0" w:space="0" w:color="auto"/>
        <w:right w:val="none" w:sz="0" w:space="0" w:color="auto"/>
      </w:divBdr>
    </w:div>
    <w:div w:id="2098820425">
      <w:bodyDiv w:val="1"/>
      <w:marLeft w:val="0"/>
      <w:marRight w:val="0"/>
      <w:marTop w:val="0"/>
      <w:marBottom w:val="0"/>
      <w:divBdr>
        <w:top w:val="none" w:sz="0" w:space="0" w:color="auto"/>
        <w:left w:val="none" w:sz="0" w:space="0" w:color="auto"/>
        <w:bottom w:val="none" w:sz="0" w:space="0" w:color="auto"/>
        <w:right w:val="none" w:sz="0" w:space="0" w:color="auto"/>
      </w:divBdr>
    </w:div>
    <w:div w:id="2138139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96541-1E3F-4B20-ADAD-35F37D2DA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2606</TotalTime>
  <Pages>15</Pages>
  <Words>4445</Words>
  <Characters>25338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dhrumil acharya</dc:creator>
  <cp:keywords/>
  <dc:description/>
  <cp:lastModifiedBy>dhrumil acharya</cp:lastModifiedBy>
  <cp:revision>258</cp:revision>
  <dcterms:created xsi:type="dcterms:W3CDTF">2026-02-19T17:04:00Z</dcterms:created>
  <dcterms:modified xsi:type="dcterms:W3CDTF">2026-04-22T15:00:00Z</dcterms:modified>
</cp:coreProperties>
</file>