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C82DE"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0BE6FD45"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02920821"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5A6DCD39"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260E2A57"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7239930E"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1D1B2CD5" w14:textId="77777777" w:rsidR="000F20B3" w:rsidRDefault="000F20B3" w:rsidP="000F20B3">
      <w:pPr>
        <w:spacing w:after="100" w:line="240" w:lineRule="auto"/>
        <w:jc w:val="center"/>
        <w:rPr>
          <w:rFonts w:ascii="Arial" w:hAnsi="Arial" w:cs="Arial"/>
          <w:b/>
          <w:sz w:val="72"/>
          <w:szCs w:val="72"/>
        </w:rPr>
      </w:pPr>
    </w:p>
    <w:p w14:paraId="0ADD2A72" w14:textId="4DCBC396" w:rsidR="00ED0D73" w:rsidRDefault="000F20B3" w:rsidP="000F20B3">
      <w:pPr>
        <w:spacing w:after="100" w:line="240" w:lineRule="auto"/>
        <w:jc w:val="center"/>
        <w:rPr>
          <w:rFonts w:ascii="Arial" w:hAnsi="Arial" w:cs="Arial"/>
          <w:b/>
          <w:sz w:val="72"/>
          <w:szCs w:val="72"/>
        </w:rPr>
      </w:pPr>
      <w:r w:rsidRPr="000F20B3">
        <w:rPr>
          <w:rFonts w:ascii="Arial" w:hAnsi="Arial" w:cs="Arial"/>
          <w:b/>
          <w:sz w:val="72"/>
          <w:szCs w:val="72"/>
        </w:rPr>
        <w:t>Not Business as Usual</w:t>
      </w:r>
    </w:p>
    <w:p w14:paraId="7680FF36" w14:textId="77777777" w:rsidR="000F20B3" w:rsidRPr="000F20B3" w:rsidRDefault="000F20B3" w:rsidP="000F20B3">
      <w:pPr>
        <w:spacing w:after="100" w:line="240" w:lineRule="auto"/>
        <w:jc w:val="center"/>
        <w:rPr>
          <w:rFonts w:ascii="Segoe UI" w:eastAsia="Times New Roman" w:hAnsi="Segoe UI" w:cs="Segoe UI"/>
          <w:b/>
          <w:bCs/>
          <w:kern w:val="0"/>
          <w:sz w:val="72"/>
          <w:szCs w:val="72"/>
          <w:lang w:eastAsia="en-GB"/>
          <w14:ligatures w14:val="none"/>
        </w:rPr>
      </w:pPr>
    </w:p>
    <w:p w14:paraId="0478941A"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5A4D4031"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1F71D4B6"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4DAD9FF3"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1AF1827C"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0DA19687"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420547A1"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273A0FF3"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261C928E"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786B543C"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28AB66E8"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1E2364EA"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78B94405"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42B8BDB5"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337ED882"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7EE911EE"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1A116CB7"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57A8A214"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7B51C13E"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70AB8824" w14:textId="332473F5" w:rsidR="00ED0D73" w:rsidRDefault="000F20B3" w:rsidP="00213C3B">
      <w:pPr>
        <w:spacing w:after="100" w:line="240" w:lineRule="auto"/>
        <w:rPr>
          <w:rFonts w:ascii="Segoe UI" w:eastAsia="Times New Roman" w:hAnsi="Segoe UI" w:cs="Segoe UI"/>
          <w:b/>
          <w:bCs/>
          <w:kern w:val="0"/>
          <w:sz w:val="21"/>
          <w:szCs w:val="21"/>
          <w:lang w:eastAsia="en-GB"/>
          <w14:ligatures w14:val="none"/>
        </w:rPr>
      </w:pPr>
      <w:r>
        <w:rPr>
          <w:rFonts w:ascii="Segoe UI" w:eastAsia="Times New Roman" w:hAnsi="Segoe UI" w:cs="Segoe UI"/>
          <w:b/>
          <w:bCs/>
          <w:kern w:val="0"/>
          <w:sz w:val="21"/>
          <w:szCs w:val="21"/>
          <w:lang w:eastAsia="en-GB"/>
          <w14:ligatures w14:val="none"/>
        </w:rPr>
        <w:t>Waleed Sulaiman 2212596</w:t>
      </w:r>
    </w:p>
    <w:p w14:paraId="3A78DBE8"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1298E4A1"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53999C88" w14:textId="77777777" w:rsidR="00ED0D73" w:rsidRDefault="00ED0D73" w:rsidP="00213C3B">
      <w:pPr>
        <w:spacing w:after="100" w:line="240" w:lineRule="auto"/>
        <w:rPr>
          <w:rFonts w:ascii="Segoe UI" w:eastAsia="Times New Roman" w:hAnsi="Segoe UI" w:cs="Segoe UI"/>
          <w:b/>
          <w:bCs/>
          <w:kern w:val="0"/>
          <w:sz w:val="21"/>
          <w:szCs w:val="21"/>
          <w:lang w:eastAsia="en-GB"/>
          <w14:ligatures w14:val="none"/>
        </w:rPr>
      </w:pPr>
    </w:p>
    <w:p w14:paraId="54842FA0" w14:textId="77777777" w:rsidR="00ED0D73" w:rsidRPr="00B7477D" w:rsidRDefault="00ED0D73" w:rsidP="00213C3B">
      <w:pPr>
        <w:spacing w:after="100" w:line="240" w:lineRule="auto"/>
        <w:rPr>
          <w:rFonts w:ascii="Segoe UI" w:eastAsia="Times New Roman" w:hAnsi="Segoe UI" w:cs="Segoe UI"/>
          <w:b/>
          <w:bCs/>
          <w:kern w:val="0"/>
          <w:sz w:val="24"/>
          <w:szCs w:val="24"/>
          <w:lang w:eastAsia="en-GB"/>
          <w14:ligatures w14:val="none"/>
        </w:rPr>
      </w:pPr>
    </w:p>
    <w:p w14:paraId="743E58DE" w14:textId="4716E60C" w:rsidR="0081236D" w:rsidRPr="00B7477D" w:rsidRDefault="003D45E4" w:rsidP="00213C3B">
      <w:pPr>
        <w:spacing w:after="100" w:line="240" w:lineRule="auto"/>
        <w:rPr>
          <w:rFonts w:ascii="Segoe UI" w:eastAsia="Times New Roman" w:hAnsi="Segoe UI" w:cs="Segoe UI"/>
          <w:b/>
          <w:bCs/>
          <w:kern w:val="0"/>
          <w:sz w:val="24"/>
          <w:szCs w:val="24"/>
          <w:lang w:eastAsia="en-GB"/>
          <w14:ligatures w14:val="none"/>
        </w:rPr>
      </w:pPr>
      <w:r w:rsidRPr="00B7477D">
        <w:rPr>
          <w:rFonts w:ascii="Segoe UI" w:eastAsia="Times New Roman" w:hAnsi="Segoe UI" w:cs="Segoe UI"/>
          <w:b/>
          <w:bCs/>
          <w:kern w:val="0"/>
          <w:sz w:val="24"/>
          <w:szCs w:val="24"/>
          <w:lang w:eastAsia="en-GB"/>
          <w14:ligatures w14:val="none"/>
        </w:rPr>
        <w:t>Introduction</w:t>
      </w:r>
    </w:p>
    <w:p w14:paraId="038093FF" w14:textId="77777777" w:rsidR="003E4E98" w:rsidRPr="00B7477D" w:rsidRDefault="00213C3B" w:rsidP="003E4E98">
      <w:pPr>
        <w:spacing w:after="100" w:line="240" w:lineRule="auto"/>
        <w:rPr>
          <w:rFonts w:ascii="Segoe UI" w:eastAsia="Times New Roman" w:hAnsi="Segoe UI" w:cs="Segoe UI"/>
          <w:kern w:val="0"/>
          <w:sz w:val="24"/>
          <w:szCs w:val="24"/>
          <w:lang w:eastAsia="en-GB"/>
          <w14:ligatures w14:val="none"/>
        </w:rPr>
      </w:pPr>
      <w:r w:rsidRPr="00213C3B">
        <w:rPr>
          <w:rFonts w:ascii="Segoe UI" w:eastAsia="Times New Roman" w:hAnsi="Segoe UI" w:cs="Segoe UI"/>
          <w:kern w:val="0"/>
          <w:sz w:val="24"/>
          <w:szCs w:val="24"/>
          <w:lang w:eastAsia="en-GB"/>
          <w14:ligatures w14:val="none"/>
        </w:rPr>
        <w:t xml:space="preserve">Tesco's proactive approach to cooperation with stakeholders has been instrumental in promoting compliance with guidelines and ensuring a coordinated and effective response to the pandemic. By collaborating with government agencies, such as the Department for Environment, Food and Rural Affairs, Tesco has been able to keep its stores open and stocked with essential items, ensuring that customers have access to the products they need during these challenging times. This collaboration has facilitated information sharing and coordination of efforts, enabling Tesco to align its operations with government guidelines and regulations. Tesco has also worked closely with its staff and customers to promote compliance with guidelines on social distancing and wearing face masks. The company has communicated regularly with its staff, providing updates on the latest guidelines and advice, and has implemented measures such as one-way systems and social distancing markers in stores to help customers maintain safe distances. Tesco has also made efforts to raise awareness among customers about the importance of following guidelines through in-store signage, announcements, and other communication channels. In addition to government agencies and staff, Tesco has also collaborated with charities and community groups to provide support to those in need. The company has donated food and other essential items to charities, food banks, and community groups, helping to address the increased demand for assistance during the pandemic. Tesco has also worked with local authorities and community organizations to identify and support vulnerable people, such as the elderly or those facing financial difficulties, by providing essential items and other forms of assistance. Tesco's approach to cooperation with stakeholders has been a vital aspect of its response to the pandemic, ensuring that its operations align with guidelines, promoting compliance among staff and customers, and providing support to those in need. By working closely with various stakeholders, Tesco has demonstrated a commitment to being a responsible and supportive corporate citizen during these challenging times. Tesco's response to the pandemic has had a significant impact on its organizational performance. The company has continued to meet the needs of its customers, while also ensuring the safety of its staff and complying with government guidelines. The company's sales have increased during the pandemic, as customers have turned to supermarkets to stock up on essential items. Tesco's response to the pandemic has also enhanced its reputation as a responsible and customer-focused company. The company's commitment to customer service, innovation, and cooperation with stakeholders has been recognized and appreciated by its customers and the wider community. Tesco's quick and effective response to the challenges of the pandemic has helped to maintain customer loyalty and </w:t>
      </w:r>
      <w:r w:rsidR="00ED0D73" w:rsidRPr="00B7477D">
        <w:rPr>
          <w:rFonts w:ascii="Segoe UI" w:eastAsia="Times New Roman" w:hAnsi="Segoe UI" w:cs="Segoe UI"/>
          <w:kern w:val="0"/>
          <w:sz w:val="24"/>
          <w:szCs w:val="24"/>
          <w:lang w:eastAsia="en-GB"/>
          <w14:ligatures w14:val="none"/>
        </w:rPr>
        <w:t>trust and</w:t>
      </w:r>
      <w:r w:rsidRPr="00213C3B">
        <w:rPr>
          <w:rFonts w:ascii="Segoe UI" w:eastAsia="Times New Roman" w:hAnsi="Segoe UI" w:cs="Segoe UI"/>
          <w:kern w:val="0"/>
          <w:sz w:val="24"/>
          <w:szCs w:val="24"/>
          <w:lang w:eastAsia="en-GB"/>
          <w14:ligatures w14:val="none"/>
        </w:rPr>
        <w:t xml:space="preserve"> has positioned the company as a reliable and responsible retailer. Furthermore, Tesco's ability to adapt its structure, culture, and approach to cooperation with stakeholders has also helped to mitigate risks and minimize the negative impact of the pandemic on its organizational performance. By implementing safety measures in its stores, </w:t>
      </w:r>
      <w:r w:rsidRPr="00213C3B">
        <w:rPr>
          <w:rFonts w:ascii="Segoe UI" w:eastAsia="Times New Roman" w:hAnsi="Segoe UI" w:cs="Segoe UI"/>
          <w:kern w:val="0"/>
          <w:sz w:val="24"/>
          <w:szCs w:val="24"/>
          <w:lang w:eastAsia="en-GB"/>
          <w14:ligatures w14:val="none"/>
        </w:rPr>
        <w:lastRenderedPageBreak/>
        <w:t>managing its supply chain effectively, and collaborating with stakeholders, Tesco has been able to maintain its operations and continue to meet the needs of its customers. Tesco's sales growth during the pandemic is a testament to its ability to adapt and meet the increased demand for essential items. As customers turned to supermarkets for their grocery needs during lockdowns and restrictions, Tesco's ability to keep its stores stocked and operational has contributed to its sales growth. This has helped Tesco maintain its financial performance and position as a leading retailer. Tesco's response to the pandemic has also been supported by its strong organizational culture, which prioritizes the safety and well-being of its staff and customers. The company's culture of innovation and adaptability has allowed it to quickly implement safety measures, such as one-way systems and social distancing markers, in its stores to ensure compliance with guidelines. Tesco's culture of cooperation with stakeholders, including government agencies, staff, charities, and community groups, has also facilitated its ability to align its operations with regulations and provide support to those in need. Furthermore, Tesco's structure, with its well-established supply chain and distribution network, has enabled the company to respond effectively to the increased demand for essential items during the pandemic. The company has been able to adjust its supply chain and distribution operations to ensure that its stores are stocked with essential products, despite disruptions in the global supply chain caused by the pandemic. Tesco's agile and adaptable structure has allowed it to quickly respond to changing customer needs and market conditions, which has been critical to maintaining its organizational performance during this challenging time.</w:t>
      </w:r>
    </w:p>
    <w:p w14:paraId="722C784A" w14:textId="77777777" w:rsidR="000B41BC" w:rsidRPr="00B7477D" w:rsidRDefault="00610A33" w:rsidP="000B41BC">
      <w:pPr>
        <w:spacing w:after="100" w:line="240" w:lineRule="auto"/>
        <w:rPr>
          <w:rFonts w:ascii="Segoe UI" w:hAnsi="Segoe UI" w:cs="Segoe UI"/>
          <w:b/>
          <w:bCs/>
          <w:color w:val="374151"/>
          <w:sz w:val="24"/>
          <w:szCs w:val="24"/>
        </w:rPr>
      </w:pPr>
      <w:r w:rsidRPr="00B7477D">
        <w:rPr>
          <w:rFonts w:ascii="Segoe UI" w:hAnsi="Segoe UI" w:cs="Segoe UI"/>
          <w:b/>
          <w:bCs/>
          <w:color w:val="374151"/>
          <w:sz w:val="24"/>
          <w:szCs w:val="24"/>
        </w:rPr>
        <w:t>Main Discussion:</w:t>
      </w:r>
    </w:p>
    <w:p w14:paraId="01016BC8" w14:textId="77777777" w:rsidR="00AE4040" w:rsidRPr="00B7477D" w:rsidRDefault="0081375C" w:rsidP="00AE4040">
      <w:pPr>
        <w:spacing w:after="100" w:line="240" w:lineRule="auto"/>
        <w:rPr>
          <w:rFonts w:ascii="Segoe UI" w:hAnsi="Segoe UI" w:cs="Segoe UI"/>
          <w:color w:val="374151"/>
          <w:sz w:val="24"/>
          <w:szCs w:val="24"/>
        </w:rPr>
      </w:pPr>
      <w:r w:rsidRPr="00B7477D">
        <w:rPr>
          <w:rFonts w:ascii="Segoe UI" w:hAnsi="Segoe UI" w:cs="Segoe UI"/>
          <w:color w:val="374151"/>
          <w:sz w:val="24"/>
          <w:szCs w:val="24"/>
        </w:rPr>
        <w:t>Tesco's complex structure, with its wide range of store formats and global operations, presented challenges during the pandemic. However, the company responded by adapting its structure to meet the changing circumstances. Tesco implemented measures such as limits on the number of customers in stores, one-way systems, and social distancing measures to ensure the safety of its staff and customers in its stores.</w:t>
      </w:r>
      <w:r w:rsidR="00605A24" w:rsidRPr="00B7477D">
        <w:rPr>
          <w:rFonts w:ascii="Segoe UI" w:hAnsi="Segoe UI" w:cs="Segoe UI"/>
          <w:color w:val="374151"/>
          <w:sz w:val="24"/>
          <w:szCs w:val="24"/>
        </w:rPr>
        <w:t xml:space="preserve"> </w:t>
      </w:r>
      <w:r w:rsidRPr="00B7477D">
        <w:rPr>
          <w:rFonts w:ascii="Segoe UI" w:hAnsi="Segoe UI" w:cs="Segoe UI"/>
          <w:color w:val="374151"/>
          <w:sz w:val="24"/>
          <w:szCs w:val="24"/>
        </w:rPr>
        <w:t>Tesco also created new roles, such as social distancing champions and cleaning operatives, to enforce and maintain safety measures in its stores. These measures helped Tesco to create a safe environment for its customers and staff to shop and work in during the pandemic.</w:t>
      </w:r>
      <w:r w:rsidR="00605A24" w:rsidRPr="00B7477D">
        <w:rPr>
          <w:rFonts w:ascii="Segoe UI" w:hAnsi="Segoe UI" w:cs="Segoe UI"/>
          <w:color w:val="374151"/>
          <w:sz w:val="24"/>
          <w:szCs w:val="24"/>
        </w:rPr>
        <w:t xml:space="preserve"> </w:t>
      </w:r>
      <w:r w:rsidRPr="00B7477D">
        <w:rPr>
          <w:rFonts w:ascii="Segoe UI" w:hAnsi="Segoe UI" w:cs="Segoe UI"/>
          <w:color w:val="374151"/>
          <w:sz w:val="24"/>
          <w:szCs w:val="24"/>
        </w:rPr>
        <w:t>The company's supply chain was also impacted by the pandemic, with disruptions in global supply chains and increased demand for certain products. In response, Tesco introduced new measures to manage the supply chain challenges. This included working closely with suppliers to increase the production of essential items and exploring alternative suppliers to ensure adequate stock availability.</w:t>
      </w:r>
      <w:r w:rsidR="00605A24" w:rsidRPr="00B7477D">
        <w:rPr>
          <w:rFonts w:ascii="Segoe UI" w:hAnsi="Segoe UI" w:cs="Segoe UI"/>
          <w:color w:val="374151"/>
          <w:sz w:val="24"/>
          <w:szCs w:val="24"/>
        </w:rPr>
        <w:t xml:space="preserve"> </w:t>
      </w:r>
      <w:r w:rsidRPr="00B7477D">
        <w:rPr>
          <w:rFonts w:ascii="Segoe UI" w:hAnsi="Segoe UI" w:cs="Segoe UI"/>
          <w:color w:val="374151"/>
          <w:sz w:val="24"/>
          <w:szCs w:val="24"/>
        </w:rPr>
        <w:t>By adapting its structure and implementing new measures, Tesco was able to effectively manage the challenges posed by the pandemic and ensure the safety of its staff and customers, while also meeting the increased demand for essential products. These measures were crucial in enabling Tesco to continue its operations and serve its customers during the pandemic</w:t>
      </w:r>
      <w:r w:rsidR="00256632" w:rsidRPr="00B7477D">
        <w:rPr>
          <w:rFonts w:ascii="Segoe UI" w:hAnsi="Segoe UI" w:cs="Segoe UI"/>
          <w:color w:val="374151"/>
          <w:sz w:val="24"/>
          <w:szCs w:val="24"/>
        </w:rPr>
        <w:t xml:space="preserve">. </w:t>
      </w:r>
    </w:p>
    <w:p w14:paraId="6E7ABF72" w14:textId="77777777" w:rsidR="00AE4040" w:rsidRPr="00B7477D" w:rsidRDefault="00610A33" w:rsidP="00AE4040">
      <w:pPr>
        <w:spacing w:after="100" w:line="240" w:lineRule="auto"/>
        <w:rPr>
          <w:rFonts w:ascii="Segoe UI" w:hAnsi="Segoe UI" w:cs="Segoe UI"/>
          <w:color w:val="374151"/>
          <w:sz w:val="24"/>
          <w:szCs w:val="24"/>
        </w:rPr>
      </w:pPr>
      <w:r w:rsidRPr="00B7477D">
        <w:rPr>
          <w:rFonts w:ascii="Segoe UI" w:hAnsi="Segoe UI" w:cs="Segoe UI"/>
          <w:b/>
          <w:bCs/>
          <w:color w:val="374151"/>
          <w:sz w:val="24"/>
          <w:szCs w:val="24"/>
        </w:rPr>
        <w:lastRenderedPageBreak/>
        <w:t>Culture</w:t>
      </w:r>
      <w:r w:rsidR="00A93643" w:rsidRPr="00B7477D">
        <w:rPr>
          <w:rFonts w:ascii="Segoe UI" w:hAnsi="Segoe UI" w:cs="Segoe UI"/>
          <w:color w:val="374151"/>
          <w:sz w:val="24"/>
          <w:szCs w:val="24"/>
        </w:rPr>
        <w:t>:</w:t>
      </w:r>
      <w:r w:rsidR="009632AE" w:rsidRPr="00B7477D">
        <w:rPr>
          <w:rFonts w:ascii="Segoe UI" w:hAnsi="Segoe UI" w:cs="Segoe UI"/>
          <w:color w:val="374151"/>
          <w:sz w:val="24"/>
          <w:szCs w:val="24"/>
        </w:rPr>
        <w:t xml:space="preserve"> </w:t>
      </w:r>
      <w:r w:rsidR="002F415E" w:rsidRPr="00B7477D">
        <w:rPr>
          <w:rFonts w:ascii="Segoe UI" w:hAnsi="Segoe UI" w:cs="Segoe UI"/>
          <w:color w:val="374151"/>
          <w:sz w:val="24"/>
          <w:szCs w:val="24"/>
        </w:rPr>
        <w:t>Tesco's strong customer-centric culture, with its emphasis on respect, trust, teamwork, and innovation, has played a significant role in its response to the pandemic. The company's commitment to putting customers first has been evident in the introduction of new services, such as priority shopping hours for vulnerable customers, to ensure their needs are met during these challenging times. This customer-centric approach has helped Tesco to maintain its reputation as a reliable and customer-friendly retailer, despite the disruptions caused by the pandemic.</w:t>
      </w:r>
      <w:r w:rsidR="00231F37" w:rsidRPr="00B7477D">
        <w:rPr>
          <w:rFonts w:ascii="Segoe UI" w:hAnsi="Segoe UI" w:cs="Segoe UI"/>
          <w:color w:val="374151"/>
          <w:sz w:val="24"/>
          <w:szCs w:val="24"/>
        </w:rPr>
        <w:t xml:space="preserve"> </w:t>
      </w:r>
      <w:r w:rsidR="002F415E" w:rsidRPr="00B7477D">
        <w:rPr>
          <w:rFonts w:ascii="Segoe UI" w:hAnsi="Segoe UI" w:cs="Segoe UI"/>
          <w:color w:val="374151"/>
          <w:sz w:val="24"/>
          <w:szCs w:val="24"/>
        </w:rPr>
        <w:t>Tesco's culture of innovation and collaboration has also been key in responding effectively to the challenges of the pandemic. The company has been proactive in adapting its operations and services to meet the changing demands of customers, such as implementing contactless payment options and ramping up its online shopping capabilities to accommodate increased demand for online shopping. This culture of innovation has allowed Tesco to stay ahead of the curve and remain responsive to evolving customer needs during the pandemic.</w:t>
      </w:r>
      <w:r w:rsidR="00231F37" w:rsidRPr="00B7477D">
        <w:rPr>
          <w:rFonts w:ascii="Segoe UI" w:hAnsi="Segoe UI" w:cs="Segoe UI"/>
          <w:color w:val="374151"/>
          <w:sz w:val="24"/>
          <w:szCs w:val="24"/>
        </w:rPr>
        <w:t xml:space="preserve"> </w:t>
      </w:r>
      <w:r w:rsidR="002F415E" w:rsidRPr="00B7477D">
        <w:rPr>
          <w:rFonts w:ascii="Segoe UI" w:hAnsi="Segoe UI" w:cs="Segoe UI"/>
          <w:color w:val="374151"/>
          <w:sz w:val="24"/>
          <w:szCs w:val="24"/>
        </w:rPr>
        <w:t>Furthermore, Tesco's culture of teamwork and collaboration has facilitated its cooperation with</w:t>
      </w:r>
      <w:r w:rsidR="00A93643" w:rsidRPr="00B7477D">
        <w:rPr>
          <w:rFonts w:ascii="Segoe UI" w:hAnsi="Segoe UI" w:cs="Segoe UI"/>
          <w:color w:val="374151"/>
          <w:sz w:val="24"/>
          <w:szCs w:val="24"/>
        </w:rPr>
        <w:t xml:space="preserve"> </w:t>
      </w:r>
      <w:r w:rsidR="002F415E" w:rsidRPr="00B7477D">
        <w:rPr>
          <w:rFonts w:ascii="Segoe UI" w:hAnsi="Segoe UI" w:cs="Segoe UI"/>
          <w:color w:val="374151"/>
          <w:sz w:val="24"/>
          <w:szCs w:val="24"/>
        </w:rPr>
        <w:t>stakeholders, including suppliers, government agencies, charities, and local communities. By working closely with suppliers, Tesco has been able to ensure the availability of essential products and maintain its supply chain operations despite disruptions. The company's collaboration with government agencies, charities, and local communities has helped in promoting compliance with guidelines, supporting vulnerable communities, and demonstrating social responsibility.</w:t>
      </w:r>
      <w:r w:rsidR="00A93643" w:rsidRPr="00B7477D">
        <w:rPr>
          <w:rFonts w:ascii="Segoe UI" w:hAnsi="Segoe UI" w:cs="Segoe UI"/>
          <w:color w:val="374151"/>
          <w:sz w:val="24"/>
          <w:szCs w:val="24"/>
        </w:rPr>
        <w:t xml:space="preserve"> </w:t>
      </w:r>
      <w:r w:rsidR="002F415E" w:rsidRPr="00B7477D">
        <w:rPr>
          <w:rFonts w:ascii="Segoe UI" w:hAnsi="Segoe UI" w:cs="Segoe UI"/>
          <w:color w:val="374151"/>
          <w:sz w:val="24"/>
          <w:szCs w:val="24"/>
        </w:rPr>
        <w:t>Overall, Tesco's culture has played a crucial role in its organizational performance during the pandemic. Its customer-centric approach, focus on innovation, and emphasis on collaboration and teamwork have allowed the company to adapt to the challenges posed by the pandemic, maintain its operations, and continue to serve its customers while upholding its values and commitments to its stakeholders.</w:t>
      </w:r>
    </w:p>
    <w:p w14:paraId="1205AE76" w14:textId="77777777" w:rsidR="00AE4040" w:rsidRPr="00B7477D" w:rsidRDefault="00610A33" w:rsidP="00AE4040">
      <w:pPr>
        <w:spacing w:after="100" w:line="240" w:lineRule="auto"/>
        <w:rPr>
          <w:rFonts w:ascii="Segoe UI" w:hAnsi="Segoe UI" w:cs="Segoe UI"/>
          <w:color w:val="374151"/>
          <w:sz w:val="24"/>
          <w:szCs w:val="24"/>
        </w:rPr>
      </w:pPr>
      <w:r w:rsidRPr="00B7477D">
        <w:rPr>
          <w:rFonts w:ascii="Segoe UI" w:hAnsi="Segoe UI" w:cs="Segoe UI"/>
          <w:b/>
          <w:bCs/>
          <w:color w:val="374151"/>
          <w:sz w:val="24"/>
          <w:szCs w:val="24"/>
        </w:rPr>
        <w:t>Cooperation with stakeholders</w:t>
      </w:r>
      <w:r w:rsidRPr="00B7477D">
        <w:rPr>
          <w:rFonts w:ascii="Segoe UI" w:hAnsi="Segoe UI" w:cs="Segoe UI"/>
          <w:color w:val="374151"/>
          <w:sz w:val="24"/>
          <w:szCs w:val="24"/>
        </w:rPr>
        <w:t xml:space="preserve">: </w:t>
      </w:r>
      <w:r w:rsidR="00647FD3" w:rsidRPr="00B7477D">
        <w:rPr>
          <w:rFonts w:ascii="Segoe UI" w:hAnsi="Segoe UI" w:cs="Segoe UI"/>
          <w:color w:val="374151"/>
          <w:sz w:val="24"/>
          <w:szCs w:val="24"/>
        </w:rPr>
        <w:t>Tesco's proactive approach to cooperation with stakeholders has been instrumental in promoting compliance with guidelines and ensuring a coordinated and effective response to the pandemic. By collaborating with government agencies, such as the Department for Environment, Food and Rural Affairs, Tesco has been able to keep its stores open and stocked with essential items, ensuring that customers have access to the products they need during these challenging times. This collaboration has facilitated information sharing and coordination of efforts, enabling Tesco to align its operations with government guidelines and regulations.</w:t>
      </w:r>
      <w:r w:rsidR="00A93643" w:rsidRPr="00B7477D">
        <w:rPr>
          <w:rFonts w:ascii="Segoe UI" w:hAnsi="Segoe UI" w:cs="Segoe UI"/>
          <w:color w:val="374151"/>
          <w:sz w:val="24"/>
          <w:szCs w:val="24"/>
        </w:rPr>
        <w:t xml:space="preserve"> </w:t>
      </w:r>
      <w:r w:rsidR="00647FD3" w:rsidRPr="00B7477D">
        <w:rPr>
          <w:rFonts w:ascii="Segoe UI" w:hAnsi="Segoe UI" w:cs="Segoe UI"/>
          <w:color w:val="374151"/>
          <w:sz w:val="24"/>
          <w:szCs w:val="24"/>
        </w:rPr>
        <w:t>Tesco has also worked closely with its staff and customers to promote compliance with guidelines on social distancing and wearing face masks. The company has communicated regularly with its staff, providing updates on the latest guidelines and advice, and has implemented measures such as one-way systems and social distancing markers in stores to help customers maintain safe distances. Tesco has also made efforts to raise awareness among customers about the importance of following guidelines through in-store signage, announcements, and other communication channels.</w:t>
      </w:r>
      <w:r w:rsidR="00A93643" w:rsidRPr="00B7477D">
        <w:rPr>
          <w:rFonts w:ascii="Segoe UI" w:hAnsi="Segoe UI" w:cs="Segoe UI"/>
          <w:color w:val="374151"/>
          <w:sz w:val="24"/>
          <w:szCs w:val="24"/>
        </w:rPr>
        <w:t xml:space="preserve"> </w:t>
      </w:r>
      <w:r w:rsidR="00647FD3" w:rsidRPr="00B7477D">
        <w:rPr>
          <w:rFonts w:ascii="Segoe UI" w:hAnsi="Segoe UI" w:cs="Segoe UI"/>
          <w:color w:val="374151"/>
          <w:sz w:val="24"/>
          <w:szCs w:val="24"/>
        </w:rPr>
        <w:t xml:space="preserve">In addition to government agencies and staff, Tesco has also collaborated with charities and community groups to provide support </w:t>
      </w:r>
      <w:r w:rsidR="00647FD3" w:rsidRPr="00B7477D">
        <w:rPr>
          <w:rFonts w:ascii="Segoe UI" w:hAnsi="Segoe UI" w:cs="Segoe UI"/>
          <w:color w:val="374151"/>
          <w:sz w:val="24"/>
          <w:szCs w:val="24"/>
        </w:rPr>
        <w:lastRenderedPageBreak/>
        <w:t>to those in need. The company has donated food and other essential items to charities, food banks, and community groups, helping to address the increased demand for assistance during the pandemic. Tesco has also worked with local authorities and community organizations to identify and support vulnerable people, such as the elderly or those facing financial difficulties, by providing essential items and other forms of assistance.</w:t>
      </w:r>
      <w:r w:rsidR="00A93643" w:rsidRPr="00B7477D">
        <w:rPr>
          <w:rFonts w:ascii="Segoe UI" w:hAnsi="Segoe UI" w:cs="Segoe UI"/>
          <w:color w:val="374151"/>
          <w:sz w:val="24"/>
          <w:szCs w:val="24"/>
        </w:rPr>
        <w:t xml:space="preserve"> </w:t>
      </w:r>
      <w:r w:rsidR="00647FD3" w:rsidRPr="00B7477D">
        <w:rPr>
          <w:rFonts w:ascii="Segoe UI" w:hAnsi="Segoe UI" w:cs="Segoe UI"/>
          <w:color w:val="374151"/>
          <w:sz w:val="24"/>
          <w:szCs w:val="24"/>
        </w:rPr>
        <w:t>Tesco's approach to cooperation with stakeholders has been a vital aspect of its response to the pandemic, ensuring that its operations align with guidelines, promoting compliance among staff and customers, and providing support to those in need. By working closely with various stakeholders, Tesco has demonstrated a commitment to being a responsible and supportive corporate citizen during these challenging times.</w:t>
      </w:r>
    </w:p>
    <w:p w14:paraId="3743A116" w14:textId="77777777" w:rsidR="00AE4040" w:rsidRPr="00B7477D" w:rsidRDefault="00610A33" w:rsidP="00AE4040">
      <w:pPr>
        <w:spacing w:after="100" w:line="240" w:lineRule="auto"/>
        <w:rPr>
          <w:rFonts w:ascii="Segoe UI" w:hAnsi="Segoe UI" w:cs="Segoe UI"/>
          <w:color w:val="374151"/>
          <w:sz w:val="24"/>
          <w:szCs w:val="24"/>
        </w:rPr>
      </w:pPr>
      <w:r w:rsidRPr="00B7477D">
        <w:rPr>
          <w:rFonts w:ascii="Segoe UI" w:hAnsi="Segoe UI" w:cs="Segoe UI"/>
          <w:b/>
          <w:bCs/>
          <w:color w:val="374151"/>
          <w:sz w:val="24"/>
          <w:szCs w:val="24"/>
        </w:rPr>
        <w:t>Impact on organizational performance:</w:t>
      </w:r>
      <w:r w:rsidRPr="00B7477D">
        <w:rPr>
          <w:rFonts w:ascii="Segoe UI" w:hAnsi="Segoe UI" w:cs="Segoe UI"/>
          <w:color w:val="374151"/>
          <w:sz w:val="24"/>
          <w:szCs w:val="24"/>
        </w:rPr>
        <w:t xml:space="preserve"> </w:t>
      </w:r>
      <w:r w:rsidR="0044359C" w:rsidRPr="00B7477D">
        <w:rPr>
          <w:rFonts w:ascii="Segoe UI" w:hAnsi="Segoe UI" w:cs="Segoe UI"/>
          <w:color w:val="374151"/>
          <w:sz w:val="24"/>
          <w:szCs w:val="24"/>
        </w:rPr>
        <w:t>Tesco's response to the pandemic has had a significant impact on its organizational performance. By continuing to meet the needs of its customers while prioritizing the safety of its staff and complying with government guidelines, Tesco has been able to navigate the challenges posed by the pandemic and maintain its operations.</w:t>
      </w:r>
      <w:r w:rsidR="002358AE" w:rsidRPr="00B7477D">
        <w:rPr>
          <w:rFonts w:ascii="Segoe UI" w:hAnsi="Segoe UI" w:cs="Segoe UI"/>
          <w:color w:val="374151"/>
          <w:sz w:val="24"/>
          <w:szCs w:val="24"/>
        </w:rPr>
        <w:t xml:space="preserve"> </w:t>
      </w:r>
      <w:r w:rsidR="0044359C" w:rsidRPr="00B7477D">
        <w:rPr>
          <w:rFonts w:ascii="Segoe UI" w:hAnsi="Segoe UI" w:cs="Segoe UI"/>
          <w:color w:val="374151"/>
          <w:sz w:val="24"/>
          <w:szCs w:val="24"/>
        </w:rPr>
        <w:t>The increase in sales during the pandemic is a testament to Tesco's ability to adapt and meet the increased demand for essential items. As customers turned to supermarkets for their grocery needs during lockdowns and restrictions, Tesco's ability to keep its stores stocked and operational has contributed to its sales growth. This has helped Tesco maintain its financial performance and position as a leading retailer.</w:t>
      </w:r>
      <w:r w:rsidR="002358AE" w:rsidRPr="00B7477D">
        <w:rPr>
          <w:rFonts w:ascii="Segoe UI" w:hAnsi="Segoe UI" w:cs="Segoe UI"/>
          <w:color w:val="374151"/>
          <w:sz w:val="24"/>
          <w:szCs w:val="24"/>
        </w:rPr>
        <w:t xml:space="preserve"> </w:t>
      </w:r>
      <w:r w:rsidR="0044359C" w:rsidRPr="00B7477D">
        <w:rPr>
          <w:rFonts w:ascii="Segoe UI" w:hAnsi="Segoe UI" w:cs="Segoe UI"/>
          <w:color w:val="374151"/>
          <w:sz w:val="24"/>
          <w:szCs w:val="24"/>
        </w:rPr>
        <w:t>Tesco's response to the pandemic has also enhanced its reputation as a responsible and customer-focused company. Its commitment to customer service, innovation, and cooperation with stakeholders has been recognized and appreciated by customers and the wider community. Tesco's efforts to ensure the safety of its staff and customers, implement safety measures in stores, and work closely with stakeholders have been lauded, which has helped maintain customer loyalty and trust. Tesco's reputation as a reliable and responsible retailer has been further solidified through its quick and effective response to the challenges of the pandemic.</w:t>
      </w:r>
      <w:r w:rsidR="002358AE" w:rsidRPr="00B7477D">
        <w:rPr>
          <w:rFonts w:ascii="Segoe UI" w:hAnsi="Segoe UI" w:cs="Segoe UI"/>
          <w:color w:val="374151"/>
          <w:sz w:val="24"/>
          <w:szCs w:val="24"/>
        </w:rPr>
        <w:t xml:space="preserve"> </w:t>
      </w:r>
      <w:r w:rsidR="0044359C" w:rsidRPr="00B7477D">
        <w:rPr>
          <w:rFonts w:ascii="Segoe UI" w:hAnsi="Segoe UI" w:cs="Segoe UI"/>
          <w:color w:val="374151"/>
          <w:sz w:val="24"/>
          <w:szCs w:val="24"/>
        </w:rPr>
        <w:t xml:space="preserve">Furthermore, Tesco's ability to adapt its structure, culture, and approach to cooperation with stakeholders has been critical in mitigating risks and minimizing the negative impact of the pandemic on its organizational performance. By implementing safety measures, managing its supply chain effectively, and collaborating with stakeholders such as government agencies, staff, charities, and community groups, Tesco has been able to maintain its operations and continue to meet the needs of its customers. This flexibility and adaptability have been key in navigating the uncertainties and challenges posed by the </w:t>
      </w:r>
      <w:r w:rsidR="003D45E4" w:rsidRPr="00B7477D">
        <w:rPr>
          <w:rFonts w:ascii="Segoe UI" w:hAnsi="Segoe UI" w:cs="Segoe UI"/>
          <w:color w:val="374151"/>
          <w:sz w:val="24"/>
          <w:szCs w:val="24"/>
        </w:rPr>
        <w:t>pandemic. Overall</w:t>
      </w:r>
      <w:r w:rsidR="0044359C" w:rsidRPr="00B7477D">
        <w:rPr>
          <w:rFonts w:ascii="Segoe UI" w:hAnsi="Segoe UI" w:cs="Segoe UI"/>
          <w:color w:val="374151"/>
          <w:sz w:val="24"/>
          <w:szCs w:val="24"/>
        </w:rPr>
        <w:t>, Tesco's response to the pandemic has demonstrated its resilience, customer-centric approach, and commitment to responsible business practices. The company's ability to meet customer needs, prioritize safety, and collaborate with stakeholders has positively impacted its organizational performance and reputation, positioning Tesco as a reliable and responsible retailer in the eyes of its customers and the wider community.</w:t>
      </w:r>
    </w:p>
    <w:p w14:paraId="3D3B331F" w14:textId="77777777" w:rsidR="00E341F8" w:rsidRPr="00B7477D" w:rsidRDefault="00E341F8" w:rsidP="00FB63BE">
      <w:pPr>
        <w:spacing w:after="100" w:line="240" w:lineRule="auto"/>
        <w:rPr>
          <w:rFonts w:ascii="Segoe UI" w:hAnsi="Segoe UI" w:cs="Segoe UI"/>
          <w:b/>
          <w:bCs/>
          <w:color w:val="374151"/>
          <w:sz w:val="24"/>
          <w:szCs w:val="24"/>
        </w:rPr>
      </w:pPr>
    </w:p>
    <w:p w14:paraId="3A048105" w14:textId="503931E0" w:rsidR="00FB63BE" w:rsidRPr="00B7477D" w:rsidRDefault="00C10D62" w:rsidP="00FB63BE">
      <w:pPr>
        <w:spacing w:after="100" w:line="240" w:lineRule="auto"/>
        <w:rPr>
          <w:rFonts w:ascii="Segoe UI" w:hAnsi="Segoe UI" w:cs="Segoe UI"/>
          <w:color w:val="374151"/>
          <w:sz w:val="24"/>
          <w:szCs w:val="24"/>
        </w:rPr>
      </w:pPr>
      <w:r w:rsidRPr="00B7477D">
        <w:rPr>
          <w:rFonts w:ascii="Segoe UI" w:hAnsi="Segoe UI" w:cs="Segoe UI"/>
          <w:b/>
          <w:bCs/>
          <w:color w:val="374151"/>
          <w:sz w:val="24"/>
          <w:szCs w:val="24"/>
        </w:rPr>
        <w:lastRenderedPageBreak/>
        <w:t xml:space="preserve">In conclusion, </w:t>
      </w:r>
      <w:r w:rsidRPr="00B7477D">
        <w:rPr>
          <w:rFonts w:ascii="Segoe UI" w:hAnsi="Segoe UI" w:cs="Segoe UI"/>
          <w:color w:val="374151"/>
          <w:sz w:val="24"/>
          <w:szCs w:val="24"/>
        </w:rPr>
        <w:t>Tesco's response to the COVID-19 pandemic has been shaped by its structure, culture, and approach to cooperation with stakeholders. The company's complex structure has presented challenges, but Tesco has adapted by introducing new measures and roles to ensure the safety of its staff and customers. Its customer-focused culture has promoted innovation and collaboration, enabling it to respond quickly and effectively to the challenges of the pandemic. Additionally, Tesco's approach to cooperation with stakeholders, including government agencies, staff, customers, and charities, has been crucial in promoting compliance with guidelines and ensuring a coordinated response.</w:t>
      </w:r>
    </w:p>
    <w:p w14:paraId="6428141D" w14:textId="572177F9" w:rsidR="00C10D62" w:rsidRPr="00B7477D" w:rsidRDefault="00C10D62" w:rsidP="00FB63BE">
      <w:pPr>
        <w:spacing w:after="100" w:line="240" w:lineRule="auto"/>
        <w:rPr>
          <w:rFonts w:ascii="Segoe UI" w:hAnsi="Segoe UI" w:cs="Segoe UI"/>
          <w:color w:val="374151"/>
          <w:sz w:val="24"/>
          <w:szCs w:val="24"/>
        </w:rPr>
      </w:pPr>
      <w:r w:rsidRPr="00B7477D">
        <w:rPr>
          <w:rFonts w:ascii="Segoe UI" w:hAnsi="Segoe UI" w:cs="Segoe UI"/>
          <w:color w:val="374151"/>
          <w:sz w:val="24"/>
          <w:szCs w:val="24"/>
        </w:rPr>
        <w:t>The impact of Tesco's response to the pandemic on its organizational performance has been positive, with increased sales and enhanced reputation as a responsible retailer. Tesco's ability to adapt and respond to the challenges posed by the pandemic can serve as a valuable lesson for other organizations facing similar challenges. It underscores the importance of having a flexible structure, a customer-focused culture, and a cooperative approach to stakeholders in times of crisis.</w:t>
      </w:r>
    </w:p>
    <w:p w14:paraId="098C615D" w14:textId="77777777" w:rsidR="00991ADC" w:rsidRPr="00B7477D" w:rsidRDefault="00991ADC" w:rsidP="00FB63BE">
      <w:pPr>
        <w:spacing w:after="100" w:line="240" w:lineRule="auto"/>
        <w:rPr>
          <w:rFonts w:ascii="Segoe UI" w:hAnsi="Segoe UI" w:cs="Segoe UI"/>
          <w:color w:val="374151"/>
          <w:sz w:val="24"/>
          <w:szCs w:val="24"/>
        </w:rPr>
      </w:pPr>
    </w:p>
    <w:p w14:paraId="6A60B549" w14:textId="77777777" w:rsidR="00991ADC" w:rsidRPr="00B7477D" w:rsidRDefault="00991ADC" w:rsidP="00FB63BE">
      <w:pPr>
        <w:spacing w:after="100" w:line="240" w:lineRule="auto"/>
        <w:rPr>
          <w:rFonts w:ascii="Segoe UI" w:hAnsi="Segoe UI" w:cs="Segoe UI"/>
          <w:color w:val="374151"/>
          <w:sz w:val="24"/>
          <w:szCs w:val="24"/>
        </w:rPr>
      </w:pPr>
    </w:p>
    <w:p w14:paraId="739A3F73" w14:textId="77777777" w:rsidR="00991ADC" w:rsidRPr="00B7477D" w:rsidRDefault="00991ADC" w:rsidP="00FB63BE">
      <w:pPr>
        <w:spacing w:after="100" w:line="240" w:lineRule="auto"/>
        <w:rPr>
          <w:rFonts w:ascii="Segoe UI" w:hAnsi="Segoe UI" w:cs="Segoe UI"/>
          <w:color w:val="374151"/>
          <w:sz w:val="24"/>
          <w:szCs w:val="24"/>
        </w:rPr>
      </w:pPr>
    </w:p>
    <w:p w14:paraId="16BF5E3F" w14:textId="77777777" w:rsidR="00991ADC" w:rsidRPr="00B7477D" w:rsidRDefault="00991ADC" w:rsidP="00FB63BE">
      <w:pPr>
        <w:spacing w:after="100" w:line="240" w:lineRule="auto"/>
        <w:rPr>
          <w:rFonts w:ascii="Segoe UI" w:hAnsi="Segoe UI" w:cs="Segoe UI"/>
          <w:color w:val="374151"/>
          <w:sz w:val="24"/>
          <w:szCs w:val="24"/>
        </w:rPr>
      </w:pPr>
    </w:p>
    <w:p w14:paraId="019AA9AB" w14:textId="77777777" w:rsidR="00991ADC" w:rsidRPr="00B7477D" w:rsidRDefault="00991ADC" w:rsidP="00FB63BE">
      <w:pPr>
        <w:spacing w:after="100" w:line="240" w:lineRule="auto"/>
        <w:rPr>
          <w:rFonts w:ascii="Segoe UI" w:hAnsi="Segoe UI" w:cs="Segoe UI"/>
          <w:color w:val="374151"/>
          <w:sz w:val="24"/>
          <w:szCs w:val="24"/>
        </w:rPr>
      </w:pPr>
    </w:p>
    <w:p w14:paraId="316A4DB0" w14:textId="77777777" w:rsidR="00991ADC" w:rsidRPr="00B7477D" w:rsidRDefault="00991ADC" w:rsidP="00FB63BE">
      <w:pPr>
        <w:spacing w:after="100" w:line="240" w:lineRule="auto"/>
        <w:rPr>
          <w:rFonts w:ascii="Segoe UI" w:hAnsi="Segoe UI" w:cs="Segoe UI"/>
          <w:color w:val="374151"/>
          <w:sz w:val="24"/>
          <w:szCs w:val="24"/>
        </w:rPr>
      </w:pPr>
    </w:p>
    <w:p w14:paraId="0162C9BF" w14:textId="77777777" w:rsidR="00991ADC" w:rsidRPr="00B7477D" w:rsidRDefault="00991ADC" w:rsidP="00FB63BE">
      <w:pPr>
        <w:spacing w:after="100" w:line="240" w:lineRule="auto"/>
        <w:rPr>
          <w:rFonts w:ascii="Segoe UI" w:hAnsi="Segoe UI" w:cs="Segoe UI"/>
          <w:color w:val="374151"/>
          <w:sz w:val="24"/>
          <w:szCs w:val="24"/>
        </w:rPr>
      </w:pPr>
    </w:p>
    <w:p w14:paraId="167434EB" w14:textId="77777777" w:rsidR="00991ADC" w:rsidRPr="00B7477D" w:rsidRDefault="00991ADC" w:rsidP="00FB63BE">
      <w:pPr>
        <w:spacing w:after="100" w:line="240" w:lineRule="auto"/>
        <w:rPr>
          <w:rFonts w:ascii="Segoe UI" w:hAnsi="Segoe UI" w:cs="Segoe UI"/>
          <w:color w:val="374151"/>
          <w:sz w:val="24"/>
          <w:szCs w:val="24"/>
        </w:rPr>
      </w:pPr>
    </w:p>
    <w:p w14:paraId="53284784" w14:textId="77777777" w:rsidR="00991ADC" w:rsidRPr="00B7477D" w:rsidRDefault="00991ADC" w:rsidP="00FB63BE">
      <w:pPr>
        <w:spacing w:after="100" w:line="240" w:lineRule="auto"/>
        <w:rPr>
          <w:rFonts w:ascii="Segoe UI" w:hAnsi="Segoe UI" w:cs="Segoe UI"/>
          <w:color w:val="374151"/>
          <w:sz w:val="24"/>
          <w:szCs w:val="24"/>
        </w:rPr>
      </w:pPr>
    </w:p>
    <w:p w14:paraId="4F7D7ED5" w14:textId="77777777" w:rsidR="00991ADC" w:rsidRPr="00B7477D" w:rsidRDefault="00991ADC" w:rsidP="00FB63BE">
      <w:pPr>
        <w:spacing w:after="100" w:line="240" w:lineRule="auto"/>
        <w:rPr>
          <w:rFonts w:ascii="Segoe UI" w:hAnsi="Segoe UI" w:cs="Segoe UI"/>
          <w:color w:val="374151"/>
          <w:sz w:val="24"/>
          <w:szCs w:val="24"/>
        </w:rPr>
      </w:pPr>
    </w:p>
    <w:p w14:paraId="31F68B93" w14:textId="77777777" w:rsidR="00991ADC" w:rsidRPr="00B7477D" w:rsidRDefault="00991ADC" w:rsidP="00FB63BE">
      <w:pPr>
        <w:spacing w:after="100" w:line="240" w:lineRule="auto"/>
        <w:rPr>
          <w:rFonts w:ascii="Segoe UI" w:hAnsi="Segoe UI" w:cs="Segoe UI"/>
          <w:color w:val="374151"/>
          <w:sz w:val="24"/>
          <w:szCs w:val="24"/>
        </w:rPr>
      </w:pPr>
    </w:p>
    <w:p w14:paraId="19319280" w14:textId="77777777" w:rsidR="00991ADC" w:rsidRPr="00B7477D" w:rsidRDefault="00991ADC" w:rsidP="00FB63BE">
      <w:pPr>
        <w:spacing w:after="100" w:line="240" w:lineRule="auto"/>
        <w:rPr>
          <w:rFonts w:ascii="Segoe UI" w:hAnsi="Segoe UI" w:cs="Segoe UI"/>
          <w:color w:val="374151"/>
          <w:sz w:val="24"/>
          <w:szCs w:val="24"/>
        </w:rPr>
      </w:pPr>
    </w:p>
    <w:p w14:paraId="7F7E0C04" w14:textId="77777777" w:rsidR="00991ADC" w:rsidRPr="00B7477D" w:rsidRDefault="00991ADC" w:rsidP="00FB63BE">
      <w:pPr>
        <w:spacing w:after="100" w:line="240" w:lineRule="auto"/>
        <w:rPr>
          <w:rFonts w:ascii="Segoe UI" w:hAnsi="Segoe UI" w:cs="Segoe UI"/>
          <w:color w:val="374151"/>
          <w:sz w:val="24"/>
          <w:szCs w:val="24"/>
        </w:rPr>
      </w:pPr>
    </w:p>
    <w:p w14:paraId="0F2D308A" w14:textId="77777777" w:rsidR="00991ADC" w:rsidRPr="00B7477D" w:rsidRDefault="00991ADC" w:rsidP="00FB63BE">
      <w:pPr>
        <w:spacing w:after="100" w:line="240" w:lineRule="auto"/>
        <w:rPr>
          <w:rFonts w:ascii="Segoe UI" w:hAnsi="Segoe UI" w:cs="Segoe UI"/>
          <w:color w:val="374151"/>
          <w:sz w:val="24"/>
          <w:szCs w:val="24"/>
        </w:rPr>
      </w:pPr>
    </w:p>
    <w:p w14:paraId="02C8B183" w14:textId="77777777" w:rsidR="00991ADC" w:rsidRDefault="00991ADC" w:rsidP="00FB63BE">
      <w:pPr>
        <w:spacing w:after="100" w:line="240" w:lineRule="auto"/>
        <w:rPr>
          <w:rFonts w:ascii="Segoe UI" w:hAnsi="Segoe UI" w:cs="Segoe UI"/>
          <w:color w:val="374151"/>
        </w:rPr>
      </w:pPr>
    </w:p>
    <w:p w14:paraId="5AC8F839" w14:textId="77777777" w:rsidR="00991ADC" w:rsidRDefault="00991ADC" w:rsidP="00FB63BE">
      <w:pPr>
        <w:spacing w:after="100" w:line="240" w:lineRule="auto"/>
        <w:rPr>
          <w:rFonts w:ascii="Segoe UI" w:hAnsi="Segoe UI" w:cs="Segoe UI"/>
          <w:color w:val="374151"/>
        </w:rPr>
      </w:pPr>
    </w:p>
    <w:p w14:paraId="00FCA397" w14:textId="1CC13CD9" w:rsidR="00991ADC" w:rsidRPr="00B7477D" w:rsidRDefault="00F77F91" w:rsidP="00FB63BE">
      <w:pPr>
        <w:spacing w:after="100" w:line="240" w:lineRule="auto"/>
        <w:rPr>
          <w:rFonts w:ascii="Segoe UI" w:hAnsi="Segoe UI" w:cs="Segoe UI"/>
          <w:b/>
          <w:bCs/>
          <w:color w:val="374151"/>
        </w:rPr>
      </w:pPr>
      <w:r w:rsidRPr="00B7477D">
        <w:rPr>
          <w:rFonts w:ascii="Segoe UI" w:hAnsi="Segoe UI" w:cs="Segoe UI"/>
          <w:b/>
          <w:bCs/>
          <w:color w:val="374151"/>
        </w:rPr>
        <w:t>References</w:t>
      </w:r>
    </w:p>
    <w:p w14:paraId="148D3805" w14:textId="77777777" w:rsidR="00F77F91" w:rsidRDefault="00F77F91" w:rsidP="00FB63BE">
      <w:pPr>
        <w:spacing w:after="100" w:line="240" w:lineRule="auto"/>
        <w:rPr>
          <w:rFonts w:ascii="Segoe UI" w:hAnsi="Segoe UI" w:cs="Segoe UI"/>
          <w:color w:val="374151"/>
        </w:rPr>
      </w:pPr>
    </w:p>
    <w:p w14:paraId="368026D5" w14:textId="3D9F2F75" w:rsidR="00F77F91" w:rsidRDefault="00F77F91" w:rsidP="00FB63BE">
      <w:pPr>
        <w:spacing w:after="10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Martin-</w:t>
      </w:r>
      <w:proofErr w:type="spellStart"/>
      <w:r>
        <w:rPr>
          <w:rFonts w:ascii="Arial" w:hAnsi="Arial" w:cs="Arial"/>
          <w:color w:val="222222"/>
          <w:sz w:val="20"/>
          <w:szCs w:val="20"/>
          <w:shd w:val="clear" w:color="auto" w:fill="FFFFFF"/>
        </w:rPr>
        <w:t>Neuninger</w:t>
      </w:r>
      <w:proofErr w:type="spellEnd"/>
      <w:r>
        <w:rPr>
          <w:rFonts w:ascii="Arial" w:hAnsi="Arial" w:cs="Arial"/>
          <w:color w:val="222222"/>
          <w:sz w:val="20"/>
          <w:szCs w:val="20"/>
          <w:shd w:val="clear" w:color="auto" w:fill="FFFFFF"/>
        </w:rPr>
        <w:t xml:space="preserve">, R. and Ruby, M.B., 2020. What does food retail research tell us about the implications of coronavirus (COVID-19) for grocery purchasing </w:t>
      </w:r>
      <w:proofErr w:type="gramStart"/>
      <w:r>
        <w:rPr>
          <w:rFonts w:ascii="Arial" w:hAnsi="Arial" w:cs="Arial"/>
          <w:color w:val="222222"/>
          <w:sz w:val="20"/>
          <w:szCs w:val="20"/>
          <w:shd w:val="clear" w:color="auto" w:fill="FFFFFF"/>
        </w:rPr>
        <w:t>habits?.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 p.1448.</w:t>
      </w:r>
    </w:p>
    <w:p w14:paraId="5F09160F" w14:textId="41B291CE" w:rsidR="009D4D82" w:rsidRDefault="009D4D82" w:rsidP="00FB63BE">
      <w:pPr>
        <w:spacing w:after="10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Monte, A., 2021. A study of value chain reconfiguration processes under Covid-19 pressures: the case of Tesco PLC in the United Kingdom.</w:t>
      </w:r>
    </w:p>
    <w:tbl>
      <w:tblPr>
        <w:tblW w:w="6570" w:type="dxa"/>
        <w:shd w:val="clear" w:color="auto" w:fill="FFFFFF"/>
        <w:tblLayout w:type="fixed"/>
        <w:tblCellMar>
          <w:left w:w="0" w:type="dxa"/>
          <w:right w:w="0" w:type="dxa"/>
        </w:tblCellMar>
        <w:tblLook w:val="04A0" w:firstRow="1" w:lastRow="0" w:firstColumn="1" w:lastColumn="0" w:noHBand="0" w:noVBand="1"/>
      </w:tblPr>
      <w:tblGrid>
        <w:gridCol w:w="6550"/>
        <w:gridCol w:w="20"/>
      </w:tblGrid>
      <w:tr w:rsidR="00C875F9" w:rsidRPr="00C875F9" w14:paraId="0C56BD4A" w14:textId="77777777" w:rsidTr="00773CEF">
        <w:trPr>
          <w:gridAfter w:val="1"/>
        </w:trPr>
        <w:tc>
          <w:tcPr>
            <w:tcW w:w="6565" w:type="dxa"/>
            <w:shd w:val="clear" w:color="auto" w:fill="FFFFFF"/>
            <w:vAlign w:val="center"/>
            <w:hideMark/>
          </w:tcPr>
          <w:p w14:paraId="150F7060" w14:textId="77777777" w:rsidR="00C875F9" w:rsidRPr="00C875F9" w:rsidRDefault="00C875F9" w:rsidP="00C875F9">
            <w:pPr>
              <w:spacing w:after="0" w:line="240" w:lineRule="auto"/>
              <w:rPr>
                <w:rFonts w:ascii="Times New Roman" w:eastAsia="Times New Roman" w:hAnsi="Times New Roman" w:cs="Times New Roman"/>
                <w:kern w:val="0"/>
                <w:sz w:val="24"/>
                <w:szCs w:val="24"/>
                <w:lang w:eastAsia="en-GB"/>
                <w14:ligatures w14:val="none"/>
              </w:rPr>
            </w:pPr>
          </w:p>
        </w:tc>
      </w:tr>
      <w:tr w:rsidR="00C875F9" w:rsidRPr="00C875F9" w14:paraId="3644AEC5" w14:textId="77777777" w:rsidTr="00773CEF">
        <w:trPr>
          <w:gridAfter w:val="1"/>
        </w:trPr>
        <w:tc>
          <w:tcPr>
            <w:tcW w:w="6565" w:type="dxa"/>
            <w:shd w:val="clear" w:color="auto" w:fill="FFFFFF"/>
            <w:tcMar>
              <w:top w:w="120" w:type="dxa"/>
              <w:left w:w="0" w:type="dxa"/>
              <w:bottom w:w="120" w:type="dxa"/>
              <w:right w:w="0" w:type="dxa"/>
            </w:tcMar>
            <w:hideMark/>
          </w:tcPr>
          <w:p w14:paraId="76A86C03" w14:textId="77777777" w:rsidR="00C875F9" w:rsidRPr="00C875F9" w:rsidRDefault="00C875F9" w:rsidP="00C875F9">
            <w:pPr>
              <w:spacing w:after="0" w:line="240" w:lineRule="auto"/>
              <w:rPr>
                <w:rFonts w:ascii="Arial" w:eastAsia="Times New Roman" w:hAnsi="Arial" w:cs="Arial"/>
                <w:color w:val="222222"/>
                <w:kern w:val="0"/>
                <w:sz w:val="20"/>
                <w:szCs w:val="20"/>
                <w:lang w:eastAsia="en-GB"/>
                <w14:ligatures w14:val="none"/>
              </w:rPr>
            </w:pPr>
            <w:proofErr w:type="spellStart"/>
            <w:r w:rsidRPr="00C875F9">
              <w:rPr>
                <w:rFonts w:ascii="Arial" w:eastAsia="Times New Roman" w:hAnsi="Arial" w:cs="Arial"/>
                <w:color w:val="222222"/>
                <w:kern w:val="0"/>
                <w:sz w:val="20"/>
                <w:szCs w:val="20"/>
                <w:lang w:eastAsia="en-GB"/>
                <w14:ligatures w14:val="none"/>
              </w:rPr>
              <w:lastRenderedPageBreak/>
              <w:t>Pimenta</w:t>
            </w:r>
            <w:proofErr w:type="spellEnd"/>
            <w:r w:rsidRPr="00C875F9">
              <w:rPr>
                <w:rFonts w:ascii="Arial" w:eastAsia="Times New Roman" w:hAnsi="Arial" w:cs="Arial"/>
                <w:color w:val="222222"/>
                <w:kern w:val="0"/>
                <w:sz w:val="20"/>
                <w:szCs w:val="20"/>
                <w:lang w:eastAsia="en-GB"/>
                <w14:ligatures w14:val="none"/>
              </w:rPr>
              <w:t xml:space="preserve">, D. and </w:t>
            </w:r>
            <w:proofErr w:type="spellStart"/>
            <w:r w:rsidRPr="00C875F9">
              <w:rPr>
                <w:rFonts w:ascii="Arial" w:eastAsia="Times New Roman" w:hAnsi="Arial" w:cs="Arial"/>
                <w:color w:val="222222"/>
                <w:kern w:val="0"/>
                <w:sz w:val="20"/>
                <w:szCs w:val="20"/>
                <w:lang w:eastAsia="en-GB"/>
                <w14:ligatures w14:val="none"/>
              </w:rPr>
              <w:t>Taubel</w:t>
            </w:r>
            <w:proofErr w:type="spellEnd"/>
            <w:r w:rsidRPr="00C875F9">
              <w:rPr>
                <w:rFonts w:ascii="Arial" w:eastAsia="Times New Roman" w:hAnsi="Arial" w:cs="Arial"/>
                <w:color w:val="222222"/>
                <w:kern w:val="0"/>
                <w:sz w:val="20"/>
                <w:szCs w:val="20"/>
                <w:lang w:eastAsia="en-GB"/>
                <w14:ligatures w14:val="none"/>
              </w:rPr>
              <w:t>, J., 2022. Cardiovascular risk factor insights into the Tesco 1.0 Dataset. </w:t>
            </w:r>
            <w:r w:rsidRPr="00C875F9">
              <w:rPr>
                <w:rFonts w:ascii="Arial" w:eastAsia="Times New Roman" w:hAnsi="Arial" w:cs="Arial"/>
                <w:i/>
                <w:iCs/>
                <w:color w:val="222222"/>
                <w:kern w:val="0"/>
                <w:sz w:val="20"/>
                <w:szCs w:val="20"/>
                <w:lang w:eastAsia="en-GB"/>
                <w14:ligatures w14:val="none"/>
              </w:rPr>
              <w:t>European Journal of Preventive Cardiology</w:t>
            </w:r>
            <w:r w:rsidRPr="00C875F9">
              <w:rPr>
                <w:rFonts w:ascii="Arial" w:eastAsia="Times New Roman" w:hAnsi="Arial" w:cs="Arial"/>
                <w:color w:val="222222"/>
                <w:kern w:val="0"/>
                <w:sz w:val="20"/>
                <w:szCs w:val="20"/>
                <w:lang w:eastAsia="en-GB"/>
                <w14:ligatures w14:val="none"/>
              </w:rPr>
              <w:t>, </w:t>
            </w:r>
            <w:r w:rsidRPr="00C875F9">
              <w:rPr>
                <w:rFonts w:ascii="Arial" w:eastAsia="Times New Roman" w:hAnsi="Arial" w:cs="Arial"/>
                <w:i/>
                <w:iCs/>
                <w:color w:val="222222"/>
                <w:kern w:val="0"/>
                <w:sz w:val="20"/>
                <w:szCs w:val="20"/>
                <w:lang w:eastAsia="en-GB"/>
                <w14:ligatures w14:val="none"/>
              </w:rPr>
              <w:t>29</w:t>
            </w:r>
            <w:r w:rsidRPr="00C875F9">
              <w:rPr>
                <w:rFonts w:ascii="Arial" w:eastAsia="Times New Roman" w:hAnsi="Arial" w:cs="Arial"/>
                <w:color w:val="222222"/>
                <w:kern w:val="0"/>
                <w:sz w:val="20"/>
                <w:szCs w:val="20"/>
                <w:lang w:eastAsia="en-GB"/>
                <w14:ligatures w14:val="none"/>
              </w:rPr>
              <w:t xml:space="preserve">(Supplement_1), </w:t>
            </w:r>
            <w:proofErr w:type="gramStart"/>
            <w:r w:rsidRPr="00C875F9">
              <w:rPr>
                <w:rFonts w:ascii="Arial" w:eastAsia="Times New Roman" w:hAnsi="Arial" w:cs="Arial"/>
                <w:color w:val="222222"/>
                <w:kern w:val="0"/>
                <w:sz w:val="20"/>
                <w:szCs w:val="20"/>
                <w:lang w:eastAsia="en-GB"/>
                <w14:ligatures w14:val="none"/>
              </w:rPr>
              <w:t>pp.zwac</w:t>
            </w:r>
            <w:proofErr w:type="gramEnd"/>
            <w:r w:rsidRPr="00C875F9">
              <w:rPr>
                <w:rFonts w:ascii="Arial" w:eastAsia="Times New Roman" w:hAnsi="Arial" w:cs="Arial"/>
                <w:color w:val="222222"/>
                <w:kern w:val="0"/>
                <w:sz w:val="20"/>
                <w:szCs w:val="20"/>
                <w:lang w:eastAsia="en-GB"/>
                <w14:ligatures w14:val="none"/>
              </w:rPr>
              <w:t>056-304.</w:t>
            </w:r>
          </w:p>
        </w:tc>
      </w:tr>
      <w:tr w:rsidR="00F446CC" w:rsidRPr="00C875F9" w14:paraId="76320EA5" w14:textId="77777777" w:rsidTr="00773CEF">
        <w:trPr>
          <w:gridAfter w:val="1"/>
        </w:trPr>
        <w:tc>
          <w:tcPr>
            <w:tcW w:w="6565" w:type="dxa"/>
            <w:shd w:val="clear" w:color="auto" w:fill="FFFFFF"/>
            <w:tcMar>
              <w:top w:w="120" w:type="dxa"/>
              <w:left w:w="0" w:type="dxa"/>
              <w:bottom w:w="120" w:type="dxa"/>
              <w:right w:w="0" w:type="dxa"/>
            </w:tcMar>
            <w:hideMark/>
          </w:tcPr>
          <w:p w14:paraId="6334A886" w14:textId="77777777" w:rsidR="00F446CC" w:rsidRPr="00C875F9" w:rsidRDefault="00F446CC" w:rsidP="00C875F9">
            <w:pPr>
              <w:spacing w:after="0" w:line="240" w:lineRule="auto"/>
              <w:jc w:val="right"/>
              <w:rPr>
                <w:rFonts w:ascii="Arial" w:eastAsia="Times New Roman" w:hAnsi="Arial" w:cs="Arial"/>
                <w:color w:val="777777"/>
                <w:kern w:val="0"/>
                <w:sz w:val="20"/>
                <w:szCs w:val="20"/>
                <w:lang w:eastAsia="en-GB"/>
                <w14:ligatures w14:val="none"/>
              </w:rPr>
            </w:pPr>
          </w:p>
        </w:tc>
      </w:tr>
      <w:tr w:rsidR="00F446CC" w:rsidRPr="00F446CC" w14:paraId="6DC6389C" w14:textId="77777777" w:rsidTr="00773CEF">
        <w:trPr>
          <w:gridAfter w:val="1"/>
        </w:trPr>
        <w:tc>
          <w:tcPr>
            <w:tcW w:w="6565" w:type="dxa"/>
            <w:shd w:val="clear" w:color="auto" w:fill="FFFFFF"/>
            <w:vAlign w:val="center"/>
            <w:hideMark/>
          </w:tcPr>
          <w:p w14:paraId="35F0B115" w14:textId="77777777" w:rsidR="00F446CC" w:rsidRPr="00F446CC" w:rsidRDefault="00F446CC" w:rsidP="00F446CC">
            <w:pPr>
              <w:spacing w:after="0" w:line="240" w:lineRule="auto"/>
              <w:rPr>
                <w:rFonts w:ascii="Times New Roman" w:eastAsia="Times New Roman" w:hAnsi="Times New Roman" w:cs="Times New Roman"/>
                <w:kern w:val="0"/>
                <w:sz w:val="24"/>
                <w:szCs w:val="24"/>
                <w:lang w:eastAsia="en-GB"/>
                <w14:ligatures w14:val="none"/>
              </w:rPr>
            </w:pPr>
          </w:p>
        </w:tc>
      </w:tr>
      <w:tr w:rsidR="00F446CC" w:rsidRPr="00F446CC" w14:paraId="2B9F9225" w14:textId="77777777" w:rsidTr="00773CEF">
        <w:trPr>
          <w:gridAfter w:val="1"/>
        </w:trPr>
        <w:tc>
          <w:tcPr>
            <w:tcW w:w="6565" w:type="dxa"/>
            <w:shd w:val="clear" w:color="auto" w:fill="FFFFFF"/>
            <w:tcMar>
              <w:top w:w="120" w:type="dxa"/>
              <w:left w:w="0" w:type="dxa"/>
              <w:bottom w:w="120" w:type="dxa"/>
              <w:right w:w="0" w:type="dxa"/>
            </w:tcMar>
            <w:hideMark/>
          </w:tcPr>
          <w:p w14:paraId="0A5E06C0" w14:textId="77777777" w:rsidR="00F446CC" w:rsidRDefault="00F446CC" w:rsidP="00F446CC">
            <w:pPr>
              <w:spacing w:after="0" w:line="240" w:lineRule="auto"/>
              <w:rPr>
                <w:rFonts w:ascii="Arial" w:eastAsia="Times New Roman" w:hAnsi="Arial" w:cs="Arial"/>
                <w:color w:val="222222"/>
                <w:kern w:val="0"/>
                <w:sz w:val="20"/>
                <w:szCs w:val="20"/>
                <w:lang w:eastAsia="en-GB"/>
                <w14:ligatures w14:val="none"/>
              </w:rPr>
            </w:pPr>
            <w:r w:rsidRPr="00F446CC">
              <w:rPr>
                <w:rFonts w:ascii="Arial" w:eastAsia="Times New Roman" w:hAnsi="Arial" w:cs="Arial"/>
                <w:color w:val="222222"/>
                <w:kern w:val="0"/>
                <w:sz w:val="20"/>
                <w:szCs w:val="20"/>
                <w:lang w:eastAsia="en-GB"/>
                <w14:ligatures w14:val="none"/>
              </w:rPr>
              <w:t xml:space="preserve">Boyle, P., Bond, R., Martinez </w:t>
            </w:r>
            <w:proofErr w:type="spellStart"/>
            <w:r w:rsidRPr="00F446CC">
              <w:rPr>
                <w:rFonts w:ascii="Arial" w:eastAsia="Times New Roman" w:hAnsi="Arial" w:cs="Arial"/>
                <w:color w:val="222222"/>
                <w:kern w:val="0"/>
                <w:sz w:val="20"/>
                <w:szCs w:val="20"/>
                <w:lang w:eastAsia="en-GB"/>
                <w14:ligatures w14:val="none"/>
              </w:rPr>
              <w:t>Carracedo</w:t>
            </w:r>
            <w:proofErr w:type="spellEnd"/>
            <w:r w:rsidRPr="00F446CC">
              <w:rPr>
                <w:rFonts w:ascii="Arial" w:eastAsia="Times New Roman" w:hAnsi="Arial" w:cs="Arial"/>
                <w:color w:val="222222"/>
                <w:kern w:val="0"/>
                <w:sz w:val="20"/>
                <w:szCs w:val="20"/>
                <w:lang w:eastAsia="en-GB"/>
                <w14:ligatures w14:val="none"/>
              </w:rPr>
              <w:t xml:space="preserve">, J., Simmons, G., </w:t>
            </w:r>
            <w:proofErr w:type="spellStart"/>
            <w:r w:rsidRPr="00F446CC">
              <w:rPr>
                <w:rFonts w:ascii="Arial" w:eastAsia="Times New Roman" w:hAnsi="Arial" w:cs="Arial"/>
                <w:color w:val="222222"/>
                <w:kern w:val="0"/>
                <w:sz w:val="20"/>
                <w:szCs w:val="20"/>
                <w:lang w:eastAsia="en-GB"/>
                <w14:ligatures w14:val="none"/>
              </w:rPr>
              <w:t>Mulvenna</w:t>
            </w:r>
            <w:proofErr w:type="spellEnd"/>
            <w:r w:rsidRPr="00F446CC">
              <w:rPr>
                <w:rFonts w:ascii="Arial" w:eastAsia="Times New Roman" w:hAnsi="Arial" w:cs="Arial"/>
                <w:color w:val="222222"/>
                <w:kern w:val="0"/>
                <w:sz w:val="20"/>
                <w:szCs w:val="20"/>
                <w:lang w:eastAsia="en-GB"/>
                <w14:ligatures w14:val="none"/>
              </w:rPr>
              <w:t>, M. and Hollywood, L., 2022. The impact of the COVID</w:t>
            </w:r>
            <w:r w:rsidRPr="00F446CC">
              <w:rPr>
                <w:rFonts w:ascii="Cambria Math" w:eastAsia="Times New Roman" w:hAnsi="Cambria Math" w:cs="Cambria Math"/>
                <w:color w:val="222222"/>
                <w:kern w:val="0"/>
                <w:sz w:val="20"/>
                <w:szCs w:val="20"/>
                <w:lang w:eastAsia="en-GB"/>
                <w14:ligatures w14:val="none"/>
              </w:rPr>
              <w:t>‐</w:t>
            </w:r>
            <w:r w:rsidRPr="00F446CC">
              <w:rPr>
                <w:rFonts w:ascii="Arial" w:eastAsia="Times New Roman" w:hAnsi="Arial" w:cs="Arial"/>
                <w:color w:val="222222"/>
                <w:kern w:val="0"/>
                <w:sz w:val="20"/>
                <w:szCs w:val="20"/>
                <w:lang w:eastAsia="en-GB"/>
                <w14:ligatures w14:val="none"/>
              </w:rPr>
              <w:t>19 pandemic on grocery shopper behaviour: Analysis of shopper behaviour change using store transaction data. </w:t>
            </w:r>
            <w:r w:rsidRPr="00F446CC">
              <w:rPr>
                <w:rFonts w:ascii="Arial" w:eastAsia="Times New Roman" w:hAnsi="Arial" w:cs="Arial"/>
                <w:i/>
                <w:iCs/>
                <w:color w:val="222222"/>
                <w:kern w:val="0"/>
                <w:sz w:val="20"/>
                <w:szCs w:val="20"/>
                <w:lang w:eastAsia="en-GB"/>
                <w14:ligatures w14:val="none"/>
              </w:rPr>
              <w:t>Journal of Consumer Behaviour</w:t>
            </w:r>
            <w:r w:rsidRPr="00F446CC">
              <w:rPr>
                <w:rFonts w:ascii="Arial" w:eastAsia="Times New Roman" w:hAnsi="Arial" w:cs="Arial"/>
                <w:color w:val="222222"/>
                <w:kern w:val="0"/>
                <w:sz w:val="20"/>
                <w:szCs w:val="20"/>
                <w:lang w:eastAsia="en-GB"/>
                <w14:ligatures w14:val="none"/>
              </w:rPr>
              <w:t>, </w:t>
            </w:r>
            <w:r w:rsidRPr="00F446CC">
              <w:rPr>
                <w:rFonts w:ascii="Arial" w:eastAsia="Times New Roman" w:hAnsi="Arial" w:cs="Arial"/>
                <w:i/>
                <w:iCs/>
                <w:color w:val="222222"/>
                <w:kern w:val="0"/>
                <w:sz w:val="20"/>
                <w:szCs w:val="20"/>
                <w:lang w:eastAsia="en-GB"/>
                <w14:ligatures w14:val="none"/>
              </w:rPr>
              <w:t>21</w:t>
            </w:r>
            <w:r w:rsidRPr="00F446CC">
              <w:rPr>
                <w:rFonts w:ascii="Arial" w:eastAsia="Times New Roman" w:hAnsi="Arial" w:cs="Arial"/>
                <w:color w:val="222222"/>
                <w:kern w:val="0"/>
                <w:sz w:val="20"/>
                <w:szCs w:val="20"/>
                <w:lang w:eastAsia="en-GB"/>
                <w14:ligatures w14:val="none"/>
              </w:rPr>
              <w:t>(2), pp.259-271.</w:t>
            </w:r>
          </w:p>
          <w:p w14:paraId="297CCC52" w14:textId="77777777" w:rsidR="00B7785D" w:rsidRDefault="00B7785D" w:rsidP="00F446CC">
            <w:pPr>
              <w:spacing w:after="0" w:line="240" w:lineRule="auto"/>
              <w:rPr>
                <w:rFonts w:ascii="Arial" w:eastAsia="Times New Roman" w:hAnsi="Arial" w:cs="Arial"/>
                <w:color w:val="222222"/>
                <w:kern w:val="0"/>
                <w:sz w:val="20"/>
                <w:szCs w:val="20"/>
                <w:lang w:eastAsia="en-GB"/>
                <w14:ligatures w14:val="none"/>
              </w:rPr>
            </w:pPr>
          </w:p>
          <w:tbl>
            <w:tblPr>
              <w:tblW w:w="6465" w:type="dxa"/>
              <w:shd w:val="clear" w:color="auto" w:fill="FFFFFF"/>
              <w:tblLayout w:type="fixed"/>
              <w:tblCellMar>
                <w:left w:w="0" w:type="dxa"/>
                <w:right w:w="0" w:type="dxa"/>
              </w:tblCellMar>
              <w:tblLook w:val="04A0" w:firstRow="1" w:lastRow="0" w:firstColumn="1" w:lastColumn="0" w:noHBand="0" w:noVBand="1"/>
            </w:tblPr>
            <w:tblGrid>
              <w:gridCol w:w="6445"/>
              <w:gridCol w:w="20"/>
            </w:tblGrid>
            <w:tr w:rsidR="00B7785D" w:rsidRPr="00B7785D" w14:paraId="7C93B0FB" w14:textId="77777777" w:rsidTr="00773CEF">
              <w:trPr>
                <w:gridAfter w:val="1"/>
                <w:wAfter w:w="6" w:type="dxa"/>
              </w:trPr>
              <w:tc>
                <w:tcPr>
                  <w:tcW w:w="6459" w:type="dxa"/>
                  <w:shd w:val="clear" w:color="auto" w:fill="FFFFFF"/>
                  <w:vAlign w:val="center"/>
                  <w:hideMark/>
                </w:tcPr>
                <w:p w14:paraId="47D2C9C7" w14:textId="77777777" w:rsidR="00B7785D" w:rsidRPr="00B7785D" w:rsidRDefault="00B7785D" w:rsidP="00B7785D">
                  <w:pPr>
                    <w:spacing w:after="0" w:line="240" w:lineRule="auto"/>
                    <w:rPr>
                      <w:rFonts w:ascii="Times New Roman" w:eastAsia="Times New Roman" w:hAnsi="Times New Roman" w:cs="Times New Roman"/>
                      <w:kern w:val="0"/>
                      <w:sz w:val="24"/>
                      <w:szCs w:val="24"/>
                      <w:lang w:eastAsia="en-GB"/>
                      <w14:ligatures w14:val="none"/>
                    </w:rPr>
                  </w:pPr>
                </w:p>
              </w:tc>
            </w:tr>
            <w:tr w:rsidR="00B7785D" w:rsidRPr="00B7785D" w14:paraId="2561E6CA" w14:textId="77777777" w:rsidTr="00773CEF">
              <w:trPr>
                <w:gridAfter w:val="1"/>
                <w:wAfter w:w="6" w:type="dxa"/>
              </w:trPr>
              <w:tc>
                <w:tcPr>
                  <w:tcW w:w="6459" w:type="dxa"/>
                  <w:shd w:val="clear" w:color="auto" w:fill="FFFFFF"/>
                  <w:tcMar>
                    <w:top w:w="120" w:type="dxa"/>
                    <w:left w:w="0" w:type="dxa"/>
                    <w:bottom w:w="120" w:type="dxa"/>
                    <w:right w:w="0" w:type="dxa"/>
                  </w:tcMar>
                  <w:hideMark/>
                </w:tcPr>
                <w:p w14:paraId="48F97748" w14:textId="77777777" w:rsidR="00B7785D" w:rsidRPr="00B7785D" w:rsidRDefault="00B7785D" w:rsidP="00B7785D">
                  <w:pPr>
                    <w:spacing w:after="0" w:line="240" w:lineRule="auto"/>
                    <w:rPr>
                      <w:rFonts w:ascii="Arial" w:eastAsia="Times New Roman" w:hAnsi="Arial" w:cs="Arial"/>
                      <w:color w:val="222222"/>
                      <w:kern w:val="0"/>
                      <w:sz w:val="20"/>
                      <w:szCs w:val="20"/>
                      <w:lang w:eastAsia="en-GB"/>
                      <w14:ligatures w14:val="none"/>
                    </w:rPr>
                  </w:pPr>
                  <w:r w:rsidRPr="00B7785D">
                    <w:rPr>
                      <w:rFonts w:ascii="Arial" w:eastAsia="Times New Roman" w:hAnsi="Arial" w:cs="Arial"/>
                      <w:color w:val="222222"/>
                      <w:kern w:val="0"/>
                      <w:sz w:val="20"/>
                      <w:szCs w:val="20"/>
                      <w:lang w:eastAsia="en-GB"/>
                      <w14:ligatures w14:val="none"/>
                    </w:rPr>
                    <w:t xml:space="preserve">Gleason, C., Valencia, S., </w:t>
                  </w:r>
                  <w:proofErr w:type="spellStart"/>
                  <w:r w:rsidRPr="00B7785D">
                    <w:rPr>
                      <w:rFonts w:ascii="Arial" w:eastAsia="Times New Roman" w:hAnsi="Arial" w:cs="Arial"/>
                      <w:color w:val="222222"/>
                      <w:kern w:val="0"/>
                      <w:sz w:val="20"/>
                      <w:szCs w:val="20"/>
                      <w:lang w:eastAsia="en-GB"/>
                      <w14:ligatures w14:val="none"/>
                    </w:rPr>
                    <w:t>Kirabo</w:t>
                  </w:r>
                  <w:proofErr w:type="spellEnd"/>
                  <w:r w:rsidRPr="00B7785D">
                    <w:rPr>
                      <w:rFonts w:ascii="Arial" w:eastAsia="Times New Roman" w:hAnsi="Arial" w:cs="Arial"/>
                      <w:color w:val="222222"/>
                      <w:kern w:val="0"/>
                      <w:sz w:val="20"/>
                      <w:szCs w:val="20"/>
                      <w:lang w:eastAsia="en-GB"/>
                      <w14:ligatures w14:val="none"/>
                    </w:rPr>
                    <w:t>, L., Wu, J., Guo, A., Jeanne Carter, E., Bigham, J., Bennett, C. and Pavel, A., 2020, October. Disability and the COVID-19 pandemic: Using Twitter to understand accessibility during rapid societal transition. In </w:t>
                  </w:r>
                  <w:r w:rsidRPr="00B7785D">
                    <w:rPr>
                      <w:rFonts w:ascii="Arial" w:eastAsia="Times New Roman" w:hAnsi="Arial" w:cs="Arial"/>
                      <w:i/>
                      <w:iCs/>
                      <w:color w:val="222222"/>
                      <w:kern w:val="0"/>
                      <w:sz w:val="20"/>
                      <w:szCs w:val="20"/>
                      <w:lang w:eastAsia="en-GB"/>
                      <w14:ligatures w14:val="none"/>
                    </w:rPr>
                    <w:t>Proceedings of the 22nd International ACM SIGACCESS Conference on Computers and Accessibility</w:t>
                  </w:r>
                  <w:r w:rsidRPr="00B7785D">
                    <w:rPr>
                      <w:rFonts w:ascii="Arial" w:eastAsia="Times New Roman" w:hAnsi="Arial" w:cs="Arial"/>
                      <w:color w:val="222222"/>
                      <w:kern w:val="0"/>
                      <w:sz w:val="20"/>
                      <w:szCs w:val="20"/>
                      <w:lang w:eastAsia="en-GB"/>
                      <w14:ligatures w14:val="none"/>
                    </w:rPr>
                    <w:t> (pp. 1-14).</w:t>
                  </w:r>
                </w:p>
              </w:tc>
            </w:tr>
            <w:tr w:rsidR="00B7785D" w:rsidRPr="00B7785D" w14:paraId="1E7B63AC" w14:textId="77777777" w:rsidTr="00773CEF">
              <w:tc>
                <w:tcPr>
                  <w:tcW w:w="6459" w:type="dxa"/>
                  <w:shd w:val="clear" w:color="auto" w:fill="FFFFFF"/>
                  <w:noWrap/>
                  <w:tcMar>
                    <w:top w:w="120" w:type="dxa"/>
                    <w:left w:w="0" w:type="dxa"/>
                    <w:bottom w:w="120" w:type="dxa"/>
                    <w:right w:w="240" w:type="dxa"/>
                  </w:tcMar>
                  <w:hideMark/>
                </w:tcPr>
                <w:tbl>
                  <w:tblPr>
                    <w:tblW w:w="6570" w:type="dxa"/>
                    <w:shd w:val="clear" w:color="auto" w:fill="FFFFFF"/>
                    <w:tblLayout w:type="fixed"/>
                    <w:tblCellMar>
                      <w:left w:w="0" w:type="dxa"/>
                      <w:right w:w="0" w:type="dxa"/>
                    </w:tblCellMar>
                    <w:tblLook w:val="04A0" w:firstRow="1" w:lastRow="0" w:firstColumn="1" w:lastColumn="0" w:noHBand="0" w:noVBand="1"/>
                  </w:tblPr>
                  <w:tblGrid>
                    <w:gridCol w:w="6550"/>
                    <w:gridCol w:w="20"/>
                  </w:tblGrid>
                  <w:tr w:rsidR="001146A2" w:rsidRPr="001146A2" w14:paraId="56F05328" w14:textId="77777777" w:rsidTr="001146A2">
                    <w:trPr>
                      <w:gridAfter w:val="1"/>
                    </w:trPr>
                    <w:tc>
                      <w:tcPr>
                        <w:tcW w:w="6564" w:type="dxa"/>
                        <w:shd w:val="clear" w:color="auto" w:fill="FFFFFF"/>
                        <w:vAlign w:val="center"/>
                        <w:hideMark/>
                      </w:tcPr>
                      <w:p w14:paraId="6A659ACB" w14:textId="77777777" w:rsidR="001146A2" w:rsidRPr="001146A2" w:rsidRDefault="001146A2" w:rsidP="001146A2">
                        <w:pPr>
                          <w:spacing w:after="0" w:line="240" w:lineRule="auto"/>
                          <w:rPr>
                            <w:rFonts w:ascii="Times New Roman" w:eastAsia="Times New Roman" w:hAnsi="Times New Roman" w:cs="Times New Roman"/>
                            <w:kern w:val="0"/>
                            <w:sz w:val="24"/>
                            <w:szCs w:val="24"/>
                            <w:lang w:eastAsia="en-GB"/>
                            <w14:ligatures w14:val="none"/>
                          </w:rPr>
                        </w:pPr>
                      </w:p>
                    </w:tc>
                  </w:tr>
                  <w:tr w:rsidR="001146A2" w:rsidRPr="001146A2" w14:paraId="5D9C2769" w14:textId="77777777" w:rsidTr="001146A2">
                    <w:trPr>
                      <w:gridAfter w:val="1"/>
                    </w:trPr>
                    <w:tc>
                      <w:tcPr>
                        <w:tcW w:w="6564" w:type="dxa"/>
                        <w:shd w:val="clear" w:color="auto" w:fill="FFFFFF"/>
                        <w:tcMar>
                          <w:top w:w="120" w:type="dxa"/>
                          <w:left w:w="0" w:type="dxa"/>
                          <w:bottom w:w="120" w:type="dxa"/>
                          <w:right w:w="0" w:type="dxa"/>
                        </w:tcMar>
                        <w:hideMark/>
                      </w:tcPr>
                      <w:p w14:paraId="5CB31792" w14:textId="77777777" w:rsidR="001146A2" w:rsidRPr="001146A2" w:rsidRDefault="001146A2" w:rsidP="001146A2">
                        <w:pPr>
                          <w:spacing w:after="0" w:line="240" w:lineRule="auto"/>
                          <w:rPr>
                            <w:rFonts w:ascii="Arial" w:eastAsia="Times New Roman" w:hAnsi="Arial" w:cs="Arial"/>
                            <w:color w:val="222222"/>
                            <w:kern w:val="0"/>
                            <w:sz w:val="20"/>
                            <w:szCs w:val="20"/>
                            <w:lang w:eastAsia="en-GB"/>
                            <w14:ligatures w14:val="none"/>
                          </w:rPr>
                        </w:pPr>
                        <w:proofErr w:type="spellStart"/>
                        <w:r w:rsidRPr="001146A2">
                          <w:rPr>
                            <w:rFonts w:ascii="Arial" w:eastAsia="Times New Roman" w:hAnsi="Arial" w:cs="Arial"/>
                            <w:color w:val="222222"/>
                            <w:kern w:val="0"/>
                            <w:sz w:val="20"/>
                            <w:szCs w:val="20"/>
                            <w:lang w:eastAsia="en-GB"/>
                            <w14:ligatures w14:val="none"/>
                          </w:rPr>
                          <w:t>Crovini</w:t>
                        </w:r>
                        <w:proofErr w:type="spellEnd"/>
                        <w:r w:rsidRPr="001146A2">
                          <w:rPr>
                            <w:rFonts w:ascii="Arial" w:eastAsia="Times New Roman" w:hAnsi="Arial" w:cs="Arial"/>
                            <w:color w:val="222222"/>
                            <w:kern w:val="0"/>
                            <w:sz w:val="20"/>
                            <w:szCs w:val="20"/>
                            <w:lang w:eastAsia="en-GB"/>
                            <w14:ligatures w14:val="none"/>
                          </w:rPr>
                          <w:t>, C., Schaper, S. and Simoni, L., 2022. Dynamic accountability and the role of risk reporting during a global pandemic. </w:t>
                        </w:r>
                        <w:r w:rsidRPr="001146A2">
                          <w:rPr>
                            <w:rFonts w:ascii="Arial" w:eastAsia="Times New Roman" w:hAnsi="Arial" w:cs="Arial"/>
                            <w:i/>
                            <w:iCs/>
                            <w:color w:val="222222"/>
                            <w:kern w:val="0"/>
                            <w:sz w:val="20"/>
                            <w:szCs w:val="20"/>
                            <w:lang w:eastAsia="en-GB"/>
                            <w14:ligatures w14:val="none"/>
                          </w:rPr>
                          <w:t>Accounting, Auditing &amp; Accountability Journal</w:t>
                        </w:r>
                        <w:r w:rsidRPr="001146A2">
                          <w:rPr>
                            <w:rFonts w:ascii="Arial" w:eastAsia="Times New Roman" w:hAnsi="Arial" w:cs="Arial"/>
                            <w:color w:val="222222"/>
                            <w:kern w:val="0"/>
                            <w:sz w:val="20"/>
                            <w:szCs w:val="20"/>
                            <w:lang w:eastAsia="en-GB"/>
                            <w14:ligatures w14:val="none"/>
                          </w:rPr>
                          <w:t>, </w:t>
                        </w:r>
                        <w:r w:rsidRPr="001146A2">
                          <w:rPr>
                            <w:rFonts w:ascii="Arial" w:eastAsia="Times New Roman" w:hAnsi="Arial" w:cs="Arial"/>
                            <w:i/>
                            <w:iCs/>
                            <w:color w:val="222222"/>
                            <w:kern w:val="0"/>
                            <w:sz w:val="20"/>
                            <w:szCs w:val="20"/>
                            <w:lang w:eastAsia="en-GB"/>
                            <w14:ligatures w14:val="none"/>
                          </w:rPr>
                          <w:t>35</w:t>
                        </w:r>
                        <w:r w:rsidRPr="001146A2">
                          <w:rPr>
                            <w:rFonts w:ascii="Arial" w:eastAsia="Times New Roman" w:hAnsi="Arial" w:cs="Arial"/>
                            <w:color w:val="222222"/>
                            <w:kern w:val="0"/>
                            <w:sz w:val="20"/>
                            <w:szCs w:val="20"/>
                            <w:lang w:eastAsia="en-GB"/>
                            <w14:ligatures w14:val="none"/>
                          </w:rPr>
                          <w:t>(1), pp.169-185.</w:t>
                        </w:r>
                      </w:p>
                    </w:tc>
                  </w:tr>
                  <w:tr w:rsidR="001146A2" w:rsidRPr="001146A2" w14:paraId="3385C071" w14:textId="77777777" w:rsidTr="001146A2">
                    <w:tc>
                      <w:tcPr>
                        <w:tcW w:w="6564" w:type="dxa"/>
                        <w:shd w:val="clear" w:color="auto" w:fill="FFFFFF"/>
                        <w:noWrap/>
                        <w:tcMar>
                          <w:top w:w="120" w:type="dxa"/>
                          <w:left w:w="0" w:type="dxa"/>
                          <w:bottom w:w="120" w:type="dxa"/>
                          <w:right w:w="240" w:type="dxa"/>
                        </w:tcMar>
                        <w:hideMark/>
                      </w:tcPr>
                      <w:tbl>
                        <w:tblPr>
                          <w:tblW w:w="6570" w:type="dxa"/>
                          <w:shd w:val="clear" w:color="auto" w:fill="FFFFFF"/>
                          <w:tblLayout w:type="fixed"/>
                          <w:tblCellMar>
                            <w:left w:w="0" w:type="dxa"/>
                            <w:right w:w="0" w:type="dxa"/>
                          </w:tblCellMar>
                          <w:tblLook w:val="04A0" w:firstRow="1" w:lastRow="0" w:firstColumn="1" w:lastColumn="0" w:noHBand="0" w:noVBand="1"/>
                        </w:tblPr>
                        <w:tblGrid>
                          <w:gridCol w:w="6550"/>
                          <w:gridCol w:w="20"/>
                        </w:tblGrid>
                        <w:tr w:rsidR="00714273" w:rsidRPr="00714273" w14:paraId="64E11D9C" w14:textId="77777777" w:rsidTr="00714273">
                          <w:trPr>
                            <w:gridAfter w:val="1"/>
                          </w:trPr>
                          <w:tc>
                            <w:tcPr>
                              <w:tcW w:w="6564" w:type="dxa"/>
                              <w:shd w:val="clear" w:color="auto" w:fill="FFFFFF"/>
                              <w:vAlign w:val="center"/>
                              <w:hideMark/>
                            </w:tcPr>
                            <w:p w14:paraId="52A02610" w14:textId="77777777" w:rsidR="00714273" w:rsidRPr="00714273" w:rsidRDefault="00714273" w:rsidP="00714273">
                              <w:pPr>
                                <w:spacing w:after="0" w:line="240" w:lineRule="auto"/>
                                <w:rPr>
                                  <w:rFonts w:ascii="Times New Roman" w:eastAsia="Times New Roman" w:hAnsi="Times New Roman" w:cs="Times New Roman"/>
                                  <w:kern w:val="0"/>
                                  <w:sz w:val="24"/>
                                  <w:szCs w:val="24"/>
                                  <w:lang w:eastAsia="en-GB"/>
                                  <w14:ligatures w14:val="none"/>
                                </w:rPr>
                              </w:pPr>
                            </w:p>
                          </w:tc>
                        </w:tr>
                        <w:tr w:rsidR="00714273" w:rsidRPr="00714273" w14:paraId="64CBAAB4" w14:textId="77777777" w:rsidTr="00714273">
                          <w:trPr>
                            <w:gridAfter w:val="1"/>
                          </w:trPr>
                          <w:tc>
                            <w:tcPr>
                              <w:tcW w:w="6564" w:type="dxa"/>
                              <w:shd w:val="clear" w:color="auto" w:fill="FFFFFF"/>
                              <w:tcMar>
                                <w:top w:w="120" w:type="dxa"/>
                                <w:left w:w="0" w:type="dxa"/>
                                <w:bottom w:w="120" w:type="dxa"/>
                                <w:right w:w="0" w:type="dxa"/>
                              </w:tcMar>
                              <w:hideMark/>
                            </w:tcPr>
                            <w:p w14:paraId="2B39D5CC" w14:textId="77777777" w:rsidR="00714273" w:rsidRPr="00714273" w:rsidRDefault="00714273" w:rsidP="00714273">
                              <w:pPr>
                                <w:spacing w:after="0" w:line="240" w:lineRule="auto"/>
                                <w:rPr>
                                  <w:rFonts w:ascii="Arial" w:eastAsia="Times New Roman" w:hAnsi="Arial" w:cs="Arial"/>
                                  <w:color w:val="222222"/>
                                  <w:kern w:val="0"/>
                                  <w:sz w:val="20"/>
                                  <w:szCs w:val="20"/>
                                  <w:lang w:eastAsia="en-GB"/>
                                  <w14:ligatures w14:val="none"/>
                                </w:rPr>
                              </w:pPr>
                              <w:r w:rsidRPr="00714273">
                                <w:rPr>
                                  <w:rFonts w:ascii="Arial" w:eastAsia="Times New Roman" w:hAnsi="Arial" w:cs="Arial"/>
                                  <w:color w:val="222222"/>
                                  <w:kern w:val="0"/>
                                  <w:sz w:val="20"/>
                                  <w:szCs w:val="20"/>
                                  <w:lang w:eastAsia="en-GB"/>
                                  <w14:ligatures w14:val="none"/>
                                </w:rPr>
                                <w:t>Shamim, A., Siddique, J., Noor, U. and Hassan, R., 2023. Co-creative service design for online businesses in post-COVID-19. </w:t>
                              </w:r>
                              <w:r w:rsidRPr="00714273">
                                <w:rPr>
                                  <w:rFonts w:ascii="Arial" w:eastAsia="Times New Roman" w:hAnsi="Arial" w:cs="Arial"/>
                                  <w:i/>
                                  <w:iCs/>
                                  <w:color w:val="222222"/>
                                  <w:kern w:val="0"/>
                                  <w:sz w:val="20"/>
                                  <w:szCs w:val="20"/>
                                  <w:lang w:eastAsia="en-GB"/>
                                  <w14:ligatures w14:val="none"/>
                                </w:rPr>
                                <w:t>Journal of Islamic Marketing</w:t>
                              </w:r>
                              <w:r w:rsidRPr="00714273">
                                <w:rPr>
                                  <w:rFonts w:ascii="Arial" w:eastAsia="Times New Roman" w:hAnsi="Arial" w:cs="Arial"/>
                                  <w:color w:val="222222"/>
                                  <w:kern w:val="0"/>
                                  <w:sz w:val="20"/>
                                  <w:szCs w:val="20"/>
                                  <w:lang w:eastAsia="en-GB"/>
                                  <w14:ligatures w14:val="none"/>
                                </w:rPr>
                                <w:t>, </w:t>
                              </w:r>
                              <w:r w:rsidRPr="00714273">
                                <w:rPr>
                                  <w:rFonts w:ascii="Arial" w:eastAsia="Times New Roman" w:hAnsi="Arial" w:cs="Arial"/>
                                  <w:i/>
                                  <w:iCs/>
                                  <w:color w:val="222222"/>
                                  <w:kern w:val="0"/>
                                  <w:sz w:val="20"/>
                                  <w:szCs w:val="20"/>
                                  <w:lang w:eastAsia="en-GB"/>
                                  <w14:ligatures w14:val="none"/>
                                </w:rPr>
                                <w:t>14</w:t>
                              </w:r>
                              <w:r w:rsidRPr="00714273">
                                <w:rPr>
                                  <w:rFonts w:ascii="Arial" w:eastAsia="Times New Roman" w:hAnsi="Arial" w:cs="Arial"/>
                                  <w:color w:val="222222"/>
                                  <w:kern w:val="0"/>
                                  <w:sz w:val="20"/>
                                  <w:szCs w:val="20"/>
                                  <w:lang w:eastAsia="en-GB"/>
                                  <w14:ligatures w14:val="none"/>
                                </w:rPr>
                                <w:t>(1), pp.128-145.</w:t>
                              </w:r>
                            </w:p>
                          </w:tc>
                        </w:tr>
                        <w:tr w:rsidR="00714273" w:rsidRPr="00714273" w14:paraId="7353E7AE" w14:textId="77777777" w:rsidTr="00714273">
                          <w:tc>
                            <w:tcPr>
                              <w:tcW w:w="6564" w:type="dxa"/>
                              <w:shd w:val="clear" w:color="auto" w:fill="FFFFFF"/>
                              <w:noWrap/>
                              <w:tcMar>
                                <w:top w:w="120" w:type="dxa"/>
                                <w:left w:w="0" w:type="dxa"/>
                                <w:bottom w:w="120" w:type="dxa"/>
                                <w:right w:w="240" w:type="dxa"/>
                              </w:tcMar>
                              <w:hideMark/>
                            </w:tcPr>
                            <w:p w14:paraId="7460B30C" w14:textId="6A4F0E89" w:rsidR="00714273" w:rsidRPr="00714273" w:rsidRDefault="00714273" w:rsidP="006F7912">
                              <w:pPr>
                                <w:spacing w:after="0" w:line="240" w:lineRule="auto"/>
                                <w:rPr>
                                  <w:rFonts w:ascii="Arial" w:eastAsia="Times New Roman" w:hAnsi="Arial" w:cs="Arial"/>
                                  <w:color w:val="777777"/>
                                  <w:kern w:val="0"/>
                                  <w:sz w:val="20"/>
                                  <w:szCs w:val="20"/>
                                  <w:lang w:eastAsia="en-GB"/>
                                  <w14:ligatures w14:val="none"/>
                                </w:rPr>
                              </w:pPr>
                            </w:p>
                          </w:tc>
                          <w:tc>
                            <w:tcPr>
                              <w:tcW w:w="6" w:type="dxa"/>
                              <w:shd w:val="clear" w:color="auto" w:fill="FFFFFF"/>
                              <w:tcMar>
                                <w:top w:w="120" w:type="dxa"/>
                                <w:left w:w="0" w:type="dxa"/>
                                <w:bottom w:w="120" w:type="dxa"/>
                                <w:right w:w="0" w:type="dxa"/>
                              </w:tcMar>
                              <w:hideMark/>
                            </w:tcPr>
                            <w:p w14:paraId="3CC1D6A2" w14:textId="77777777" w:rsidR="00714273" w:rsidRPr="00714273" w:rsidRDefault="00714273" w:rsidP="00714273">
                              <w:pPr>
                                <w:spacing w:after="0" w:line="240" w:lineRule="auto"/>
                                <w:jc w:val="right"/>
                                <w:rPr>
                                  <w:rFonts w:ascii="Arial" w:eastAsia="Times New Roman" w:hAnsi="Arial" w:cs="Arial"/>
                                  <w:color w:val="777777"/>
                                  <w:kern w:val="0"/>
                                  <w:sz w:val="20"/>
                                  <w:szCs w:val="20"/>
                                  <w:lang w:eastAsia="en-GB"/>
                                  <w14:ligatures w14:val="none"/>
                                </w:rPr>
                              </w:pPr>
                            </w:p>
                          </w:tc>
                        </w:tr>
                        <w:tr w:rsidR="006F7912" w:rsidRPr="006F7912" w14:paraId="732AEF15" w14:textId="77777777" w:rsidTr="006F7912">
                          <w:trPr>
                            <w:gridAfter w:val="1"/>
                            <w:wAfter w:w="6" w:type="dxa"/>
                          </w:trPr>
                          <w:tc>
                            <w:tcPr>
                              <w:tcW w:w="6564" w:type="dxa"/>
                              <w:shd w:val="clear" w:color="auto" w:fill="FFFFFF"/>
                              <w:vAlign w:val="center"/>
                              <w:hideMark/>
                            </w:tcPr>
                            <w:p w14:paraId="78F1E6AA" w14:textId="77777777" w:rsidR="006F7912" w:rsidRPr="006F7912" w:rsidRDefault="006F7912" w:rsidP="006F7912">
                              <w:pPr>
                                <w:spacing w:after="0" w:line="240" w:lineRule="auto"/>
                                <w:rPr>
                                  <w:rFonts w:ascii="Times New Roman" w:eastAsia="Times New Roman" w:hAnsi="Times New Roman" w:cs="Times New Roman"/>
                                  <w:kern w:val="0"/>
                                  <w:sz w:val="24"/>
                                  <w:szCs w:val="24"/>
                                  <w:lang w:eastAsia="en-GB"/>
                                  <w14:ligatures w14:val="none"/>
                                </w:rPr>
                              </w:pPr>
                            </w:p>
                          </w:tc>
                        </w:tr>
                        <w:tr w:rsidR="006F7912" w:rsidRPr="006F7912" w14:paraId="42B9F745" w14:textId="77777777" w:rsidTr="006F7912">
                          <w:trPr>
                            <w:gridAfter w:val="1"/>
                            <w:wAfter w:w="6" w:type="dxa"/>
                          </w:trPr>
                          <w:tc>
                            <w:tcPr>
                              <w:tcW w:w="6564" w:type="dxa"/>
                              <w:shd w:val="clear" w:color="auto" w:fill="FFFFFF"/>
                              <w:tcMar>
                                <w:top w:w="120" w:type="dxa"/>
                                <w:left w:w="0" w:type="dxa"/>
                                <w:bottom w:w="120" w:type="dxa"/>
                                <w:right w:w="0" w:type="dxa"/>
                              </w:tcMar>
                              <w:hideMark/>
                            </w:tcPr>
                            <w:p w14:paraId="0611A877" w14:textId="77777777" w:rsidR="006F7912" w:rsidRDefault="006F7912" w:rsidP="006F7912">
                              <w:pPr>
                                <w:spacing w:after="0" w:line="240" w:lineRule="auto"/>
                                <w:rPr>
                                  <w:rFonts w:ascii="Arial" w:eastAsia="Times New Roman" w:hAnsi="Arial" w:cs="Arial"/>
                                  <w:color w:val="222222"/>
                                  <w:kern w:val="0"/>
                                  <w:sz w:val="20"/>
                                  <w:szCs w:val="20"/>
                                  <w:lang w:eastAsia="en-GB"/>
                                  <w14:ligatures w14:val="none"/>
                                </w:rPr>
                              </w:pPr>
                              <w:r w:rsidRPr="006F7912">
                                <w:rPr>
                                  <w:rFonts w:ascii="Arial" w:eastAsia="Times New Roman" w:hAnsi="Arial" w:cs="Arial"/>
                                  <w:color w:val="222222"/>
                                  <w:kern w:val="0"/>
                                  <w:sz w:val="20"/>
                                  <w:szCs w:val="20"/>
                                  <w:lang w:eastAsia="en-GB"/>
                                  <w14:ligatures w14:val="none"/>
                                </w:rPr>
                                <w:t xml:space="preserve">Hamill, J., 2020. Coronavirus: How Tesco, Primark, </w:t>
                              </w:r>
                              <w:proofErr w:type="gramStart"/>
                              <w:r w:rsidRPr="006F7912">
                                <w:rPr>
                                  <w:rFonts w:ascii="Arial" w:eastAsia="Times New Roman" w:hAnsi="Arial" w:cs="Arial"/>
                                  <w:color w:val="222222"/>
                                  <w:kern w:val="0"/>
                                  <w:sz w:val="20"/>
                                  <w:szCs w:val="20"/>
                                  <w:lang w:eastAsia="en-GB"/>
                                  <w14:ligatures w14:val="none"/>
                                </w:rPr>
                                <w:t>Sainsbury's</w:t>
                              </w:r>
                              <w:proofErr w:type="gramEnd"/>
                              <w:r w:rsidRPr="006F7912">
                                <w:rPr>
                                  <w:rFonts w:ascii="Arial" w:eastAsia="Times New Roman" w:hAnsi="Arial" w:cs="Arial"/>
                                  <w:color w:val="222222"/>
                                  <w:kern w:val="0"/>
                                  <w:sz w:val="20"/>
                                  <w:szCs w:val="20"/>
                                  <w:lang w:eastAsia="en-GB"/>
                                  <w14:ligatures w14:val="none"/>
                                </w:rPr>
                                <w:t xml:space="preserve"> and other retailers are reacting to Covid-19. </w:t>
                              </w:r>
                              <w:r w:rsidRPr="006F7912">
                                <w:rPr>
                                  <w:rFonts w:ascii="Arial" w:eastAsia="Times New Roman" w:hAnsi="Arial" w:cs="Arial"/>
                                  <w:i/>
                                  <w:iCs/>
                                  <w:color w:val="222222"/>
                                  <w:kern w:val="0"/>
                                  <w:sz w:val="20"/>
                                  <w:szCs w:val="20"/>
                                  <w:lang w:eastAsia="en-GB"/>
                                  <w14:ligatures w14:val="none"/>
                                </w:rPr>
                                <w:t>The Herald (Glasgow, Scotland)</w:t>
                              </w:r>
                              <w:r w:rsidRPr="006F7912">
                                <w:rPr>
                                  <w:rFonts w:ascii="Arial" w:eastAsia="Times New Roman" w:hAnsi="Arial" w:cs="Arial"/>
                                  <w:color w:val="222222"/>
                                  <w:kern w:val="0"/>
                                  <w:sz w:val="20"/>
                                  <w:szCs w:val="20"/>
                                  <w:lang w:eastAsia="en-GB"/>
                                  <w14:ligatures w14:val="none"/>
                                </w:rPr>
                                <w:t>.</w:t>
                              </w:r>
                            </w:p>
                            <w:p w14:paraId="1B560397" w14:textId="77777777" w:rsidR="005C24EE" w:rsidRDefault="005C24EE" w:rsidP="006F7912">
                              <w:pPr>
                                <w:spacing w:after="0" w:line="240" w:lineRule="auto"/>
                                <w:rPr>
                                  <w:rFonts w:ascii="Arial" w:eastAsia="Times New Roman" w:hAnsi="Arial" w:cs="Arial"/>
                                  <w:color w:val="222222"/>
                                  <w:kern w:val="0"/>
                                  <w:sz w:val="20"/>
                                  <w:szCs w:val="20"/>
                                  <w:lang w:eastAsia="en-GB"/>
                                  <w14:ligatures w14:val="none"/>
                                </w:rPr>
                              </w:pPr>
                            </w:p>
                            <w:tbl>
                              <w:tblPr>
                                <w:tblW w:w="6570" w:type="dxa"/>
                                <w:shd w:val="clear" w:color="auto" w:fill="FFFFFF"/>
                                <w:tblLayout w:type="fixed"/>
                                <w:tblCellMar>
                                  <w:left w:w="0" w:type="dxa"/>
                                  <w:right w:w="0" w:type="dxa"/>
                                </w:tblCellMar>
                                <w:tblLook w:val="04A0" w:firstRow="1" w:lastRow="0" w:firstColumn="1" w:lastColumn="0" w:noHBand="0" w:noVBand="1"/>
                              </w:tblPr>
                              <w:tblGrid>
                                <w:gridCol w:w="6550"/>
                                <w:gridCol w:w="20"/>
                              </w:tblGrid>
                              <w:tr w:rsidR="003C2563" w:rsidRPr="003C2563" w14:paraId="24D2E4A4" w14:textId="77777777" w:rsidTr="003C2563">
                                <w:trPr>
                                  <w:gridAfter w:val="1"/>
                                </w:trPr>
                                <w:tc>
                                  <w:tcPr>
                                    <w:tcW w:w="6564" w:type="dxa"/>
                                    <w:shd w:val="clear" w:color="auto" w:fill="FFFFFF"/>
                                    <w:vAlign w:val="center"/>
                                    <w:hideMark/>
                                  </w:tcPr>
                                  <w:p w14:paraId="7B7724FC" w14:textId="77777777" w:rsidR="003C2563" w:rsidRPr="003C2563" w:rsidRDefault="003C2563" w:rsidP="003C2563">
                                    <w:pPr>
                                      <w:spacing w:after="0" w:line="240" w:lineRule="auto"/>
                                      <w:rPr>
                                        <w:rFonts w:ascii="Times New Roman" w:eastAsia="Times New Roman" w:hAnsi="Times New Roman" w:cs="Times New Roman"/>
                                        <w:kern w:val="0"/>
                                        <w:sz w:val="24"/>
                                        <w:szCs w:val="24"/>
                                        <w:lang w:eastAsia="en-GB"/>
                                        <w14:ligatures w14:val="none"/>
                                      </w:rPr>
                                    </w:pPr>
                                  </w:p>
                                </w:tc>
                              </w:tr>
                              <w:tr w:rsidR="003C2563" w:rsidRPr="003C2563" w14:paraId="3A45E027" w14:textId="77777777" w:rsidTr="003C2563">
                                <w:trPr>
                                  <w:gridAfter w:val="1"/>
                                </w:trPr>
                                <w:tc>
                                  <w:tcPr>
                                    <w:tcW w:w="6564" w:type="dxa"/>
                                    <w:shd w:val="clear" w:color="auto" w:fill="FFFFFF"/>
                                    <w:tcMar>
                                      <w:top w:w="120" w:type="dxa"/>
                                      <w:left w:w="0" w:type="dxa"/>
                                      <w:bottom w:w="120" w:type="dxa"/>
                                      <w:right w:w="0" w:type="dxa"/>
                                    </w:tcMar>
                                    <w:hideMark/>
                                  </w:tcPr>
                                  <w:p w14:paraId="499A29E4" w14:textId="77777777" w:rsidR="003C2563" w:rsidRPr="003C2563" w:rsidRDefault="003C2563" w:rsidP="003C2563">
                                    <w:pPr>
                                      <w:spacing w:after="0" w:line="240" w:lineRule="auto"/>
                                      <w:rPr>
                                        <w:rFonts w:ascii="Arial" w:eastAsia="Times New Roman" w:hAnsi="Arial" w:cs="Arial"/>
                                        <w:color w:val="222222"/>
                                        <w:kern w:val="0"/>
                                        <w:sz w:val="20"/>
                                        <w:szCs w:val="20"/>
                                        <w:lang w:eastAsia="en-GB"/>
                                        <w14:ligatures w14:val="none"/>
                                      </w:rPr>
                                    </w:pPr>
                                    <w:r w:rsidRPr="003C2563">
                                      <w:rPr>
                                        <w:rFonts w:ascii="Arial" w:eastAsia="Times New Roman" w:hAnsi="Arial" w:cs="Arial"/>
                                        <w:color w:val="222222"/>
                                        <w:kern w:val="0"/>
                                        <w:sz w:val="20"/>
                                        <w:szCs w:val="20"/>
                                        <w:lang w:eastAsia="en-GB"/>
                                        <w14:ligatures w14:val="none"/>
                                      </w:rPr>
                                      <w:t xml:space="preserve">Li, X., Xu, M., Zeng, W., </w:t>
                                    </w:r>
                                    <w:proofErr w:type="spellStart"/>
                                    <w:r w:rsidRPr="003C2563">
                                      <w:rPr>
                                        <w:rFonts w:ascii="Arial" w:eastAsia="Times New Roman" w:hAnsi="Arial" w:cs="Arial"/>
                                        <w:color w:val="222222"/>
                                        <w:kern w:val="0"/>
                                        <w:sz w:val="20"/>
                                        <w:szCs w:val="20"/>
                                        <w:lang w:eastAsia="en-GB"/>
                                        <w14:ligatures w14:val="none"/>
                                      </w:rPr>
                                      <w:t>Tse</w:t>
                                    </w:r>
                                    <w:proofErr w:type="spellEnd"/>
                                    <w:r w:rsidRPr="003C2563">
                                      <w:rPr>
                                        <w:rFonts w:ascii="Arial" w:eastAsia="Times New Roman" w:hAnsi="Arial" w:cs="Arial"/>
                                        <w:color w:val="222222"/>
                                        <w:kern w:val="0"/>
                                        <w:sz w:val="20"/>
                                        <w:szCs w:val="20"/>
                                        <w:lang w:eastAsia="en-GB"/>
                                        <w14:ligatures w14:val="none"/>
                                      </w:rPr>
                                      <w:t>, Y.K. and Chan, H.K., Exploring the Top Customer Concerns Under the COVID-19 Crisis: A Social Media Analytics Study from the Retailer Industry. </w:t>
                                    </w:r>
                                    <w:r w:rsidRPr="003C2563">
                                      <w:rPr>
                                        <w:rFonts w:ascii="Arial" w:eastAsia="Times New Roman" w:hAnsi="Arial" w:cs="Arial"/>
                                        <w:i/>
                                        <w:iCs/>
                                        <w:color w:val="222222"/>
                                        <w:kern w:val="0"/>
                                        <w:sz w:val="20"/>
                                        <w:szCs w:val="20"/>
                                        <w:lang w:eastAsia="en-GB"/>
                                        <w14:ligatures w14:val="none"/>
                                      </w:rPr>
                                      <w:t>Available at SSRN 4133113</w:t>
                                    </w:r>
                                    <w:r w:rsidRPr="003C2563">
                                      <w:rPr>
                                        <w:rFonts w:ascii="Arial" w:eastAsia="Times New Roman" w:hAnsi="Arial" w:cs="Arial"/>
                                        <w:color w:val="222222"/>
                                        <w:kern w:val="0"/>
                                        <w:sz w:val="20"/>
                                        <w:szCs w:val="20"/>
                                        <w:lang w:eastAsia="en-GB"/>
                                        <w14:ligatures w14:val="none"/>
                                      </w:rPr>
                                      <w:t>.</w:t>
                                    </w:r>
                                  </w:p>
                                </w:tc>
                              </w:tr>
                              <w:tr w:rsidR="003C2563" w:rsidRPr="003C2563" w14:paraId="112D9A31" w14:textId="77777777" w:rsidTr="003C2563">
                                <w:tc>
                                  <w:tcPr>
                                    <w:tcW w:w="6564" w:type="dxa"/>
                                    <w:shd w:val="clear" w:color="auto" w:fill="FFFFFF"/>
                                    <w:noWrap/>
                                    <w:tcMar>
                                      <w:top w:w="120" w:type="dxa"/>
                                      <w:left w:w="0" w:type="dxa"/>
                                      <w:bottom w:w="120" w:type="dxa"/>
                                      <w:right w:w="240" w:type="dxa"/>
                                    </w:tcMar>
                                    <w:hideMark/>
                                  </w:tcPr>
                                  <w:tbl>
                                    <w:tblPr>
                                      <w:tblW w:w="6570" w:type="dxa"/>
                                      <w:shd w:val="clear" w:color="auto" w:fill="FFFFFF"/>
                                      <w:tblLayout w:type="fixed"/>
                                      <w:tblCellMar>
                                        <w:left w:w="0" w:type="dxa"/>
                                        <w:right w:w="0" w:type="dxa"/>
                                      </w:tblCellMar>
                                      <w:tblLook w:val="04A0" w:firstRow="1" w:lastRow="0" w:firstColumn="1" w:lastColumn="0" w:noHBand="0" w:noVBand="1"/>
                                    </w:tblPr>
                                    <w:tblGrid>
                                      <w:gridCol w:w="6550"/>
                                      <w:gridCol w:w="20"/>
                                    </w:tblGrid>
                                    <w:tr w:rsidR="00BD0E7F" w:rsidRPr="00BD0E7F" w14:paraId="15DA6CE3" w14:textId="77777777" w:rsidTr="00BD0E7F">
                                      <w:trPr>
                                        <w:gridAfter w:val="1"/>
                                      </w:trPr>
                                      <w:tc>
                                        <w:tcPr>
                                          <w:tcW w:w="6564" w:type="dxa"/>
                                          <w:shd w:val="clear" w:color="auto" w:fill="FFFFFF"/>
                                          <w:vAlign w:val="center"/>
                                          <w:hideMark/>
                                        </w:tcPr>
                                        <w:p w14:paraId="62955493" w14:textId="77777777" w:rsidR="00BD0E7F" w:rsidRPr="00BD0E7F" w:rsidRDefault="00BD0E7F" w:rsidP="00BD0E7F">
                                          <w:pPr>
                                            <w:spacing w:after="0" w:line="240" w:lineRule="auto"/>
                                            <w:rPr>
                                              <w:rFonts w:ascii="Times New Roman" w:eastAsia="Times New Roman" w:hAnsi="Times New Roman" w:cs="Times New Roman"/>
                                              <w:kern w:val="0"/>
                                              <w:sz w:val="24"/>
                                              <w:szCs w:val="24"/>
                                              <w:lang w:eastAsia="en-GB"/>
                                              <w14:ligatures w14:val="none"/>
                                            </w:rPr>
                                          </w:pPr>
                                        </w:p>
                                      </w:tc>
                                    </w:tr>
                                    <w:tr w:rsidR="00BD0E7F" w:rsidRPr="00BD0E7F" w14:paraId="6A5D0166" w14:textId="77777777" w:rsidTr="00BD0E7F">
                                      <w:trPr>
                                        <w:gridAfter w:val="1"/>
                                      </w:trPr>
                                      <w:tc>
                                        <w:tcPr>
                                          <w:tcW w:w="6564" w:type="dxa"/>
                                          <w:shd w:val="clear" w:color="auto" w:fill="FFFFFF"/>
                                          <w:tcMar>
                                            <w:top w:w="120" w:type="dxa"/>
                                            <w:left w:w="0" w:type="dxa"/>
                                            <w:bottom w:w="120" w:type="dxa"/>
                                            <w:right w:w="0" w:type="dxa"/>
                                          </w:tcMar>
                                          <w:hideMark/>
                                        </w:tcPr>
                                        <w:p w14:paraId="77900000" w14:textId="77777777" w:rsidR="00BD0E7F" w:rsidRPr="00BD0E7F" w:rsidRDefault="00BD0E7F" w:rsidP="00BD0E7F">
                                          <w:pPr>
                                            <w:spacing w:after="0" w:line="240" w:lineRule="auto"/>
                                            <w:rPr>
                                              <w:rFonts w:ascii="Arial" w:eastAsia="Times New Roman" w:hAnsi="Arial" w:cs="Arial"/>
                                              <w:color w:val="222222"/>
                                              <w:kern w:val="0"/>
                                              <w:sz w:val="20"/>
                                              <w:szCs w:val="20"/>
                                              <w:lang w:eastAsia="en-GB"/>
                                              <w14:ligatures w14:val="none"/>
                                            </w:rPr>
                                          </w:pPr>
                                          <w:r w:rsidRPr="00BD0E7F">
                                            <w:rPr>
                                              <w:rFonts w:ascii="Arial" w:eastAsia="Times New Roman" w:hAnsi="Arial" w:cs="Arial"/>
                                              <w:color w:val="222222"/>
                                              <w:kern w:val="0"/>
                                              <w:sz w:val="20"/>
                                              <w:szCs w:val="20"/>
                                              <w:lang w:eastAsia="en-GB"/>
                                              <w14:ligatures w14:val="none"/>
                                            </w:rPr>
                                            <w:t xml:space="preserve">Sharma, M., </w:t>
                                          </w:r>
                                          <w:proofErr w:type="spellStart"/>
                                          <w:r w:rsidRPr="00BD0E7F">
                                            <w:rPr>
                                              <w:rFonts w:ascii="Arial" w:eastAsia="Times New Roman" w:hAnsi="Arial" w:cs="Arial"/>
                                              <w:color w:val="222222"/>
                                              <w:kern w:val="0"/>
                                              <w:sz w:val="20"/>
                                              <w:szCs w:val="20"/>
                                              <w:lang w:eastAsia="en-GB"/>
                                              <w14:ligatures w14:val="none"/>
                                            </w:rPr>
                                            <w:t>Alkatheeri</w:t>
                                          </w:r>
                                          <w:proofErr w:type="spellEnd"/>
                                          <w:r w:rsidRPr="00BD0E7F">
                                            <w:rPr>
                                              <w:rFonts w:ascii="Arial" w:eastAsia="Times New Roman" w:hAnsi="Arial" w:cs="Arial"/>
                                              <w:color w:val="222222"/>
                                              <w:kern w:val="0"/>
                                              <w:sz w:val="20"/>
                                              <w:szCs w:val="20"/>
                                              <w:lang w:eastAsia="en-GB"/>
                                              <w14:ligatures w14:val="none"/>
                                            </w:rPr>
                                            <w:t xml:space="preserve">, H., Jabeen, F. and </w:t>
                                          </w:r>
                                          <w:proofErr w:type="spellStart"/>
                                          <w:r w:rsidRPr="00BD0E7F">
                                            <w:rPr>
                                              <w:rFonts w:ascii="Arial" w:eastAsia="Times New Roman" w:hAnsi="Arial" w:cs="Arial"/>
                                              <w:color w:val="222222"/>
                                              <w:kern w:val="0"/>
                                              <w:sz w:val="20"/>
                                              <w:szCs w:val="20"/>
                                              <w:lang w:eastAsia="en-GB"/>
                                              <w14:ligatures w14:val="none"/>
                                            </w:rPr>
                                            <w:t>Sehrawat</w:t>
                                          </w:r>
                                          <w:proofErr w:type="spellEnd"/>
                                          <w:r w:rsidRPr="00BD0E7F">
                                            <w:rPr>
                                              <w:rFonts w:ascii="Arial" w:eastAsia="Times New Roman" w:hAnsi="Arial" w:cs="Arial"/>
                                              <w:color w:val="222222"/>
                                              <w:kern w:val="0"/>
                                              <w:sz w:val="20"/>
                                              <w:szCs w:val="20"/>
                                              <w:lang w:eastAsia="en-GB"/>
                                              <w14:ligatures w14:val="none"/>
                                            </w:rPr>
                                            <w:t>, R., 2022. Impact of COVID-19 pandemic on perishable food supply chain management: a contingent Resource-Based View (RBV) perspective. </w:t>
                                          </w:r>
                                          <w:r w:rsidRPr="00BD0E7F">
                                            <w:rPr>
                                              <w:rFonts w:ascii="Arial" w:eastAsia="Times New Roman" w:hAnsi="Arial" w:cs="Arial"/>
                                              <w:i/>
                                              <w:iCs/>
                                              <w:color w:val="222222"/>
                                              <w:kern w:val="0"/>
                                              <w:sz w:val="20"/>
                                              <w:szCs w:val="20"/>
                                              <w:lang w:eastAsia="en-GB"/>
                                              <w14:ligatures w14:val="none"/>
                                            </w:rPr>
                                            <w:t>The International Journal of Logistics Management</w:t>
                                          </w:r>
                                          <w:r w:rsidRPr="00BD0E7F">
                                            <w:rPr>
                                              <w:rFonts w:ascii="Arial" w:eastAsia="Times New Roman" w:hAnsi="Arial" w:cs="Arial"/>
                                              <w:color w:val="222222"/>
                                              <w:kern w:val="0"/>
                                              <w:sz w:val="20"/>
                                              <w:szCs w:val="20"/>
                                              <w:lang w:eastAsia="en-GB"/>
                                              <w14:ligatures w14:val="none"/>
                                            </w:rPr>
                                            <w:t>.</w:t>
                                          </w:r>
                                        </w:p>
                                      </w:tc>
                                    </w:tr>
                                    <w:tr w:rsidR="00BD0E7F" w:rsidRPr="00BD0E7F" w14:paraId="500E49C0" w14:textId="77777777" w:rsidTr="00BD0E7F">
                                      <w:tc>
                                        <w:tcPr>
                                          <w:tcW w:w="6564" w:type="dxa"/>
                                          <w:shd w:val="clear" w:color="auto" w:fill="FFFFFF"/>
                                          <w:noWrap/>
                                          <w:tcMar>
                                            <w:top w:w="120" w:type="dxa"/>
                                            <w:left w:w="0" w:type="dxa"/>
                                            <w:bottom w:w="120" w:type="dxa"/>
                                            <w:right w:w="240" w:type="dxa"/>
                                          </w:tcMar>
                                          <w:hideMark/>
                                        </w:tcPr>
                                        <w:p w14:paraId="0D0B9A92" w14:textId="110488DA" w:rsidR="00BD0E7F" w:rsidRPr="00BD0E7F" w:rsidRDefault="00BD0E7F" w:rsidP="00BD0E7F">
                                          <w:pPr>
                                            <w:spacing w:after="0" w:line="240" w:lineRule="auto"/>
                                            <w:jc w:val="right"/>
                                            <w:rPr>
                                              <w:rFonts w:ascii="Arial" w:eastAsia="Times New Roman" w:hAnsi="Arial" w:cs="Arial"/>
                                              <w:color w:val="777777"/>
                                              <w:kern w:val="0"/>
                                              <w:sz w:val="20"/>
                                              <w:szCs w:val="20"/>
                                              <w:lang w:eastAsia="en-GB"/>
                                              <w14:ligatures w14:val="none"/>
                                            </w:rPr>
                                          </w:pPr>
                                        </w:p>
                                      </w:tc>
                                      <w:tc>
                                        <w:tcPr>
                                          <w:tcW w:w="6" w:type="dxa"/>
                                          <w:shd w:val="clear" w:color="auto" w:fill="FFFFFF"/>
                                          <w:tcMar>
                                            <w:top w:w="120" w:type="dxa"/>
                                            <w:left w:w="0" w:type="dxa"/>
                                            <w:bottom w:w="120" w:type="dxa"/>
                                            <w:right w:w="0" w:type="dxa"/>
                                          </w:tcMar>
                                          <w:hideMark/>
                                        </w:tcPr>
                                        <w:p w14:paraId="113597D4" w14:textId="77777777" w:rsidR="00BD0E7F" w:rsidRPr="00BD0E7F" w:rsidRDefault="00BD0E7F" w:rsidP="00BD0E7F">
                                          <w:pPr>
                                            <w:spacing w:after="0" w:line="240" w:lineRule="auto"/>
                                            <w:jc w:val="right"/>
                                            <w:rPr>
                                              <w:rFonts w:ascii="Arial" w:eastAsia="Times New Roman" w:hAnsi="Arial" w:cs="Arial"/>
                                              <w:color w:val="777777"/>
                                              <w:kern w:val="0"/>
                                              <w:sz w:val="20"/>
                                              <w:szCs w:val="20"/>
                                              <w:lang w:eastAsia="en-GB"/>
                                              <w14:ligatures w14:val="none"/>
                                            </w:rPr>
                                          </w:pPr>
                                        </w:p>
                                      </w:tc>
                                    </w:tr>
                                  </w:tbl>
                                  <w:p w14:paraId="25B50738" w14:textId="450D7654" w:rsidR="003C2563" w:rsidRPr="003C2563" w:rsidRDefault="003C2563" w:rsidP="00BD0E7F">
                                    <w:pPr>
                                      <w:spacing w:after="0" w:line="240" w:lineRule="auto"/>
                                      <w:rPr>
                                        <w:rFonts w:ascii="Arial" w:eastAsia="Times New Roman" w:hAnsi="Arial" w:cs="Arial"/>
                                        <w:color w:val="777777"/>
                                        <w:kern w:val="0"/>
                                        <w:sz w:val="20"/>
                                        <w:szCs w:val="20"/>
                                        <w:lang w:eastAsia="en-GB"/>
                                        <w14:ligatures w14:val="none"/>
                                      </w:rPr>
                                    </w:pPr>
                                  </w:p>
                                </w:tc>
                                <w:tc>
                                  <w:tcPr>
                                    <w:tcW w:w="6" w:type="dxa"/>
                                    <w:shd w:val="clear" w:color="auto" w:fill="FFFFFF"/>
                                    <w:tcMar>
                                      <w:top w:w="120" w:type="dxa"/>
                                      <w:left w:w="0" w:type="dxa"/>
                                      <w:bottom w:w="120" w:type="dxa"/>
                                      <w:right w:w="0" w:type="dxa"/>
                                    </w:tcMar>
                                    <w:hideMark/>
                                  </w:tcPr>
                                  <w:p w14:paraId="2CE2BB06" w14:textId="77777777" w:rsidR="003C2563" w:rsidRPr="003C2563" w:rsidRDefault="003C2563" w:rsidP="003C2563">
                                    <w:pPr>
                                      <w:spacing w:after="0" w:line="240" w:lineRule="auto"/>
                                      <w:jc w:val="right"/>
                                      <w:rPr>
                                        <w:rFonts w:ascii="Arial" w:eastAsia="Times New Roman" w:hAnsi="Arial" w:cs="Arial"/>
                                        <w:color w:val="777777"/>
                                        <w:kern w:val="0"/>
                                        <w:sz w:val="20"/>
                                        <w:szCs w:val="20"/>
                                        <w:lang w:eastAsia="en-GB"/>
                                        <w14:ligatures w14:val="none"/>
                                      </w:rPr>
                                    </w:pPr>
                                  </w:p>
                                </w:tc>
                              </w:tr>
                            </w:tbl>
                            <w:p w14:paraId="5122E50D" w14:textId="70A23EF4" w:rsidR="003C2563" w:rsidRPr="006F7912" w:rsidRDefault="003C2563" w:rsidP="006F7912">
                              <w:pPr>
                                <w:spacing w:after="0" w:line="240" w:lineRule="auto"/>
                                <w:rPr>
                                  <w:rFonts w:ascii="Arial" w:eastAsia="Times New Roman" w:hAnsi="Arial" w:cs="Arial"/>
                                  <w:color w:val="222222"/>
                                  <w:kern w:val="0"/>
                                  <w:sz w:val="20"/>
                                  <w:szCs w:val="20"/>
                                  <w:lang w:eastAsia="en-GB"/>
                                  <w14:ligatures w14:val="none"/>
                                </w:rPr>
                              </w:pPr>
                            </w:p>
                          </w:tc>
                        </w:tr>
                        <w:tr w:rsidR="006F7912" w:rsidRPr="006F7912" w14:paraId="1A8D5E75" w14:textId="77777777" w:rsidTr="006F7912">
                          <w:tc>
                            <w:tcPr>
                              <w:tcW w:w="6564" w:type="dxa"/>
                              <w:shd w:val="clear" w:color="auto" w:fill="FFFFFF"/>
                              <w:noWrap/>
                              <w:tcMar>
                                <w:top w:w="120" w:type="dxa"/>
                                <w:left w:w="0" w:type="dxa"/>
                                <w:bottom w:w="120" w:type="dxa"/>
                                <w:right w:w="240" w:type="dxa"/>
                              </w:tcMar>
                              <w:hideMark/>
                            </w:tcPr>
                            <w:p w14:paraId="734FD9D8" w14:textId="75ED840B" w:rsidR="006F7912" w:rsidRPr="006F7912" w:rsidRDefault="006F7912" w:rsidP="006F7912">
                              <w:pPr>
                                <w:spacing w:after="0" w:line="240" w:lineRule="auto"/>
                                <w:jc w:val="right"/>
                                <w:rPr>
                                  <w:rFonts w:ascii="Arial" w:eastAsia="Times New Roman" w:hAnsi="Arial" w:cs="Arial"/>
                                  <w:color w:val="777777"/>
                                  <w:kern w:val="0"/>
                                  <w:sz w:val="20"/>
                                  <w:szCs w:val="20"/>
                                  <w:lang w:eastAsia="en-GB"/>
                                  <w14:ligatures w14:val="none"/>
                                </w:rPr>
                              </w:pPr>
                            </w:p>
                          </w:tc>
                          <w:tc>
                            <w:tcPr>
                              <w:tcW w:w="6" w:type="dxa"/>
                              <w:shd w:val="clear" w:color="auto" w:fill="FFFFFF"/>
                              <w:tcMar>
                                <w:top w:w="120" w:type="dxa"/>
                                <w:left w:w="0" w:type="dxa"/>
                                <w:bottom w:w="120" w:type="dxa"/>
                                <w:right w:w="0" w:type="dxa"/>
                              </w:tcMar>
                              <w:hideMark/>
                            </w:tcPr>
                            <w:p w14:paraId="5965341F" w14:textId="77777777" w:rsidR="006F7912" w:rsidRPr="006F7912" w:rsidRDefault="006F7912" w:rsidP="006F7912">
                              <w:pPr>
                                <w:spacing w:after="0" w:line="240" w:lineRule="auto"/>
                                <w:jc w:val="right"/>
                                <w:rPr>
                                  <w:rFonts w:ascii="Arial" w:eastAsia="Times New Roman" w:hAnsi="Arial" w:cs="Arial"/>
                                  <w:color w:val="777777"/>
                                  <w:kern w:val="0"/>
                                  <w:sz w:val="20"/>
                                  <w:szCs w:val="20"/>
                                  <w:lang w:eastAsia="en-GB"/>
                                  <w14:ligatures w14:val="none"/>
                                </w:rPr>
                              </w:pPr>
                            </w:p>
                          </w:tc>
                        </w:tr>
                      </w:tbl>
                      <w:p w14:paraId="4AA0CC26" w14:textId="2C3660AF" w:rsidR="001146A2" w:rsidRPr="001146A2" w:rsidRDefault="001146A2" w:rsidP="00714273">
                        <w:pPr>
                          <w:spacing w:after="0" w:line="240" w:lineRule="auto"/>
                          <w:rPr>
                            <w:rFonts w:ascii="Arial" w:eastAsia="Times New Roman" w:hAnsi="Arial" w:cs="Arial"/>
                            <w:color w:val="777777"/>
                            <w:kern w:val="0"/>
                            <w:sz w:val="20"/>
                            <w:szCs w:val="20"/>
                            <w:lang w:eastAsia="en-GB"/>
                            <w14:ligatures w14:val="none"/>
                          </w:rPr>
                        </w:pPr>
                      </w:p>
                    </w:tc>
                    <w:tc>
                      <w:tcPr>
                        <w:tcW w:w="6" w:type="dxa"/>
                        <w:shd w:val="clear" w:color="auto" w:fill="FFFFFF"/>
                        <w:tcMar>
                          <w:top w:w="120" w:type="dxa"/>
                          <w:left w:w="0" w:type="dxa"/>
                          <w:bottom w:w="120" w:type="dxa"/>
                          <w:right w:w="0" w:type="dxa"/>
                        </w:tcMar>
                        <w:hideMark/>
                      </w:tcPr>
                      <w:p w14:paraId="15C4A1F4" w14:textId="77777777" w:rsidR="001146A2" w:rsidRPr="001146A2" w:rsidRDefault="001146A2" w:rsidP="001146A2">
                        <w:pPr>
                          <w:spacing w:after="0" w:line="240" w:lineRule="auto"/>
                          <w:jc w:val="right"/>
                          <w:rPr>
                            <w:rFonts w:ascii="Arial" w:eastAsia="Times New Roman" w:hAnsi="Arial" w:cs="Arial"/>
                            <w:color w:val="777777"/>
                            <w:kern w:val="0"/>
                            <w:sz w:val="20"/>
                            <w:szCs w:val="20"/>
                            <w:lang w:eastAsia="en-GB"/>
                            <w14:ligatures w14:val="none"/>
                          </w:rPr>
                        </w:pPr>
                      </w:p>
                    </w:tc>
                  </w:tr>
                </w:tbl>
                <w:p w14:paraId="37DFA0DC" w14:textId="4BDE2FD0" w:rsidR="00B7785D" w:rsidRPr="00B7785D" w:rsidRDefault="00B7785D" w:rsidP="001146A2">
                  <w:pPr>
                    <w:spacing w:after="0" w:line="240" w:lineRule="auto"/>
                    <w:rPr>
                      <w:rFonts w:ascii="Arial" w:eastAsia="Times New Roman" w:hAnsi="Arial" w:cs="Arial"/>
                      <w:color w:val="777777"/>
                      <w:kern w:val="0"/>
                      <w:sz w:val="20"/>
                      <w:szCs w:val="20"/>
                      <w:lang w:eastAsia="en-GB"/>
                      <w14:ligatures w14:val="none"/>
                    </w:rPr>
                  </w:pPr>
                </w:p>
              </w:tc>
              <w:tc>
                <w:tcPr>
                  <w:tcW w:w="6" w:type="dxa"/>
                  <w:shd w:val="clear" w:color="auto" w:fill="FFFFFF"/>
                  <w:tcMar>
                    <w:top w:w="120" w:type="dxa"/>
                    <w:left w:w="0" w:type="dxa"/>
                    <w:bottom w:w="120" w:type="dxa"/>
                    <w:right w:w="0" w:type="dxa"/>
                  </w:tcMar>
                  <w:hideMark/>
                </w:tcPr>
                <w:p w14:paraId="192AEAB8" w14:textId="77777777" w:rsidR="00B7785D" w:rsidRPr="00B7785D" w:rsidRDefault="00B7785D" w:rsidP="00B7785D">
                  <w:pPr>
                    <w:spacing w:after="0" w:line="240" w:lineRule="auto"/>
                    <w:jc w:val="right"/>
                    <w:rPr>
                      <w:rFonts w:ascii="Arial" w:eastAsia="Times New Roman" w:hAnsi="Arial" w:cs="Arial"/>
                      <w:color w:val="777777"/>
                      <w:kern w:val="0"/>
                      <w:sz w:val="20"/>
                      <w:szCs w:val="20"/>
                      <w:lang w:eastAsia="en-GB"/>
                      <w14:ligatures w14:val="none"/>
                    </w:rPr>
                  </w:pPr>
                </w:p>
              </w:tc>
            </w:tr>
          </w:tbl>
          <w:p w14:paraId="6876AB89" w14:textId="5435A80D" w:rsidR="00B7785D" w:rsidRPr="00F446CC" w:rsidRDefault="00B7785D" w:rsidP="00F446CC">
            <w:pPr>
              <w:spacing w:after="0" w:line="240" w:lineRule="auto"/>
              <w:rPr>
                <w:rFonts w:ascii="Arial" w:eastAsia="Times New Roman" w:hAnsi="Arial" w:cs="Arial"/>
                <w:color w:val="222222"/>
                <w:kern w:val="0"/>
                <w:sz w:val="20"/>
                <w:szCs w:val="20"/>
                <w:lang w:eastAsia="en-GB"/>
                <w14:ligatures w14:val="none"/>
              </w:rPr>
            </w:pPr>
          </w:p>
        </w:tc>
      </w:tr>
      <w:tr w:rsidR="00F446CC" w:rsidRPr="00F446CC" w14:paraId="2119EE19" w14:textId="77777777" w:rsidTr="00773CEF">
        <w:tc>
          <w:tcPr>
            <w:tcW w:w="6565" w:type="dxa"/>
            <w:shd w:val="clear" w:color="auto" w:fill="FFFFFF"/>
            <w:noWrap/>
            <w:tcMar>
              <w:top w:w="120" w:type="dxa"/>
              <w:left w:w="0" w:type="dxa"/>
              <w:bottom w:w="120" w:type="dxa"/>
              <w:right w:w="240" w:type="dxa"/>
            </w:tcMar>
            <w:hideMark/>
          </w:tcPr>
          <w:p w14:paraId="23B65415" w14:textId="28E8FBA0" w:rsidR="00F446CC" w:rsidRPr="00F446CC" w:rsidRDefault="00F446CC" w:rsidP="00F446CC">
            <w:pPr>
              <w:spacing w:after="0" w:line="240" w:lineRule="auto"/>
              <w:jc w:val="right"/>
              <w:rPr>
                <w:rFonts w:ascii="Arial" w:eastAsia="Times New Roman" w:hAnsi="Arial" w:cs="Arial"/>
                <w:color w:val="777777"/>
                <w:kern w:val="0"/>
                <w:sz w:val="20"/>
                <w:szCs w:val="20"/>
                <w:lang w:eastAsia="en-GB"/>
                <w14:ligatures w14:val="none"/>
              </w:rPr>
            </w:pPr>
          </w:p>
        </w:tc>
        <w:tc>
          <w:tcPr>
            <w:tcW w:w="6" w:type="dxa"/>
            <w:shd w:val="clear" w:color="auto" w:fill="FFFFFF"/>
            <w:tcMar>
              <w:top w:w="120" w:type="dxa"/>
              <w:left w:w="0" w:type="dxa"/>
              <w:bottom w:w="120" w:type="dxa"/>
              <w:right w:w="0" w:type="dxa"/>
            </w:tcMar>
            <w:hideMark/>
          </w:tcPr>
          <w:p w14:paraId="24C47DC6" w14:textId="77777777" w:rsidR="00F446CC" w:rsidRPr="00F446CC" w:rsidRDefault="00F446CC" w:rsidP="00F446CC">
            <w:pPr>
              <w:spacing w:after="0" w:line="240" w:lineRule="auto"/>
              <w:jc w:val="right"/>
              <w:rPr>
                <w:rFonts w:ascii="Arial" w:eastAsia="Times New Roman" w:hAnsi="Arial" w:cs="Arial"/>
                <w:color w:val="777777"/>
                <w:kern w:val="0"/>
                <w:sz w:val="20"/>
                <w:szCs w:val="20"/>
                <w:lang w:eastAsia="en-GB"/>
                <w14:ligatures w14:val="none"/>
              </w:rPr>
            </w:pPr>
          </w:p>
        </w:tc>
      </w:tr>
    </w:tbl>
    <w:p w14:paraId="27A56D19" w14:textId="77777777" w:rsidR="00A26D1D" w:rsidRPr="00610A33" w:rsidRDefault="00A26D1D" w:rsidP="00610A33"/>
    <w:sectPr w:rsidR="00A26D1D" w:rsidRPr="00610A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F287E" w14:textId="77777777" w:rsidR="0081236D" w:rsidRDefault="0081236D" w:rsidP="0081236D">
      <w:pPr>
        <w:spacing w:after="0" w:line="240" w:lineRule="auto"/>
      </w:pPr>
      <w:r>
        <w:separator/>
      </w:r>
    </w:p>
  </w:endnote>
  <w:endnote w:type="continuationSeparator" w:id="0">
    <w:p w14:paraId="787B427E" w14:textId="77777777" w:rsidR="0081236D" w:rsidRDefault="0081236D" w:rsidP="00812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9176C" w14:textId="77777777" w:rsidR="0081236D" w:rsidRDefault="0081236D" w:rsidP="0081236D">
      <w:pPr>
        <w:spacing w:after="0" w:line="240" w:lineRule="auto"/>
      </w:pPr>
      <w:r>
        <w:separator/>
      </w:r>
    </w:p>
  </w:footnote>
  <w:footnote w:type="continuationSeparator" w:id="0">
    <w:p w14:paraId="7DCE7139" w14:textId="77777777" w:rsidR="0081236D" w:rsidRDefault="0081236D" w:rsidP="008123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A47"/>
    <w:rsid w:val="000B41BC"/>
    <w:rsid w:val="000C3A70"/>
    <w:rsid w:val="000F20B3"/>
    <w:rsid w:val="001146A2"/>
    <w:rsid w:val="00213C3B"/>
    <w:rsid w:val="00231F37"/>
    <w:rsid w:val="002358AE"/>
    <w:rsid w:val="00256632"/>
    <w:rsid w:val="002F415E"/>
    <w:rsid w:val="0036129E"/>
    <w:rsid w:val="003C2563"/>
    <w:rsid w:val="003D45E4"/>
    <w:rsid w:val="003E4E98"/>
    <w:rsid w:val="0044359C"/>
    <w:rsid w:val="004F32F3"/>
    <w:rsid w:val="00577A47"/>
    <w:rsid w:val="005C24EE"/>
    <w:rsid w:val="00605A24"/>
    <w:rsid w:val="00610A33"/>
    <w:rsid w:val="00647FD3"/>
    <w:rsid w:val="006F7912"/>
    <w:rsid w:val="00714273"/>
    <w:rsid w:val="00773CEF"/>
    <w:rsid w:val="0081236D"/>
    <w:rsid w:val="0081375C"/>
    <w:rsid w:val="00947965"/>
    <w:rsid w:val="009632AE"/>
    <w:rsid w:val="0096337D"/>
    <w:rsid w:val="00991ADC"/>
    <w:rsid w:val="009D4D82"/>
    <w:rsid w:val="00A26D1D"/>
    <w:rsid w:val="00A93643"/>
    <w:rsid w:val="00AC6DA2"/>
    <w:rsid w:val="00AE4040"/>
    <w:rsid w:val="00B7477D"/>
    <w:rsid w:val="00B7785D"/>
    <w:rsid w:val="00BD0E7F"/>
    <w:rsid w:val="00C10D62"/>
    <w:rsid w:val="00C875F9"/>
    <w:rsid w:val="00D75C35"/>
    <w:rsid w:val="00E341F8"/>
    <w:rsid w:val="00ED0D73"/>
    <w:rsid w:val="00F446CC"/>
    <w:rsid w:val="00F77F91"/>
    <w:rsid w:val="00FB63BE"/>
    <w:rsid w:val="00FB63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F347D"/>
  <w15:chartTrackingRefBased/>
  <w15:docId w15:val="{C43C8B29-F74D-4AD0-A126-CD4E9AEE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5C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812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36D"/>
  </w:style>
  <w:style w:type="paragraph" w:styleId="Footer">
    <w:name w:val="footer"/>
    <w:basedOn w:val="Normal"/>
    <w:link w:val="FooterChar"/>
    <w:uiPriority w:val="99"/>
    <w:unhideWhenUsed/>
    <w:rsid w:val="00812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8751">
      <w:bodyDiv w:val="1"/>
      <w:marLeft w:val="0"/>
      <w:marRight w:val="0"/>
      <w:marTop w:val="0"/>
      <w:marBottom w:val="0"/>
      <w:divBdr>
        <w:top w:val="none" w:sz="0" w:space="0" w:color="auto"/>
        <w:left w:val="none" w:sz="0" w:space="0" w:color="auto"/>
        <w:bottom w:val="none" w:sz="0" w:space="0" w:color="auto"/>
        <w:right w:val="none" w:sz="0" w:space="0" w:color="auto"/>
      </w:divBdr>
      <w:divsChild>
        <w:div w:id="2053071910">
          <w:marLeft w:val="0"/>
          <w:marRight w:val="0"/>
          <w:marTop w:val="0"/>
          <w:marBottom w:val="0"/>
          <w:divBdr>
            <w:top w:val="none" w:sz="0" w:space="0" w:color="auto"/>
            <w:left w:val="none" w:sz="0" w:space="0" w:color="auto"/>
            <w:bottom w:val="none" w:sz="0" w:space="0" w:color="auto"/>
            <w:right w:val="none" w:sz="0" w:space="0" w:color="auto"/>
          </w:divBdr>
        </w:div>
      </w:divsChild>
    </w:div>
    <w:div w:id="104430184">
      <w:bodyDiv w:val="1"/>
      <w:marLeft w:val="0"/>
      <w:marRight w:val="0"/>
      <w:marTop w:val="0"/>
      <w:marBottom w:val="0"/>
      <w:divBdr>
        <w:top w:val="none" w:sz="0" w:space="0" w:color="auto"/>
        <w:left w:val="none" w:sz="0" w:space="0" w:color="auto"/>
        <w:bottom w:val="none" w:sz="0" w:space="0" w:color="auto"/>
        <w:right w:val="none" w:sz="0" w:space="0" w:color="auto"/>
      </w:divBdr>
      <w:divsChild>
        <w:div w:id="467631202">
          <w:marLeft w:val="0"/>
          <w:marRight w:val="0"/>
          <w:marTop w:val="0"/>
          <w:marBottom w:val="0"/>
          <w:divBdr>
            <w:top w:val="none" w:sz="0" w:space="0" w:color="auto"/>
            <w:left w:val="none" w:sz="0" w:space="0" w:color="auto"/>
            <w:bottom w:val="none" w:sz="0" w:space="0" w:color="auto"/>
            <w:right w:val="none" w:sz="0" w:space="0" w:color="auto"/>
          </w:divBdr>
        </w:div>
      </w:divsChild>
    </w:div>
    <w:div w:id="114296234">
      <w:bodyDiv w:val="1"/>
      <w:marLeft w:val="0"/>
      <w:marRight w:val="0"/>
      <w:marTop w:val="0"/>
      <w:marBottom w:val="0"/>
      <w:divBdr>
        <w:top w:val="none" w:sz="0" w:space="0" w:color="auto"/>
        <w:left w:val="none" w:sz="0" w:space="0" w:color="auto"/>
        <w:bottom w:val="none" w:sz="0" w:space="0" w:color="auto"/>
        <w:right w:val="none" w:sz="0" w:space="0" w:color="auto"/>
      </w:divBdr>
    </w:div>
    <w:div w:id="335112111">
      <w:bodyDiv w:val="1"/>
      <w:marLeft w:val="0"/>
      <w:marRight w:val="0"/>
      <w:marTop w:val="0"/>
      <w:marBottom w:val="0"/>
      <w:divBdr>
        <w:top w:val="none" w:sz="0" w:space="0" w:color="auto"/>
        <w:left w:val="none" w:sz="0" w:space="0" w:color="auto"/>
        <w:bottom w:val="none" w:sz="0" w:space="0" w:color="auto"/>
        <w:right w:val="none" w:sz="0" w:space="0" w:color="auto"/>
      </w:divBdr>
    </w:div>
    <w:div w:id="722408720">
      <w:bodyDiv w:val="1"/>
      <w:marLeft w:val="0"/>
      <w:marRight w:val="0"/>
      <w:marTop w:val="0"/>
      <w:marBottom w:val="0"/>
      <w:divBdr>
        <w:top w:val="none" w:sz="0" w:space="0" w:color="auto"/>
        <w:left w:val="none" w:sz="0" w:space="0" w:color="auto"/>
        <w:bottom w:val="none" w:sz="0" w:space="0" w:color="auto"/>
        <w:right w:val="none" w:sz="0" w:space="0" w:color="auto"/>
      </w:divBdr>
      <w:divsChild>
        <w:div w:id="1777291015">
          <w:marLeft w:val="0"/>
          <w:marRight w:val="0"/>
          <w:marTop w:val="0"/>
          <w:marBottom w:val="0"/>
          <w:divBdr>
            <w:top w:val="none" w:sz="0" w:space="0" w:color="auto"/>
            <w:left w:val="none" w:sz="0" w:space="0" w:color="auto"/>
            <w:bottom w:val="none" w:sz="0" w:space="0" w:color="auto"/>
            <w:right w:val="none" w:sz="0" w:space="0" w:color="auto"/>
          </w:divBdr>
        </w:div>
      </w:divsChild>
    </w:div>
    <w:div w:id="923419659">
      <w:bodyDiv w:val="1"/>
      <w:marLeft w:val="0"/>
      <w:marRight w:val="0"/>
      <w:marTop w:val="0"/>
      <w:marBottom w:val="0"/>
      <w:divBdr>
        <w:top w:val="none" w:sz="0" w:space="0" w:color="auto"/>
        <w:left w:val="none" w:sz="0" w:space="0" w:color="auto"/>
        <w:bottom w:val="none" w:sz="0" w:space="0" w:color="auto"/>
        <w:right w:val="none" w:sz="0" w:space="0" w:color="auto"/>
      </w:divBdr>
      <w:divsChild>
        <w:div w:id="865286567">
          <w:marLeft w:val="0"/>
          <w:marRight w:val="0"/>
          <w:marTop w:val="0"/>
          <w:marBottom w:val="0"/>
          <w:divBdr>
            <w:top w:val="none" w:sz="0" w:space="0" w:color="auto"/>
            <w:left w:val="none" w:sz="0" w:space="0" w:color="auto"/>
            <w:bottom w:val="none" w:sz="0" w:space="0" w:color="auto"/>
            <w:right w:val="none" w:sz="0" w:space="0" w:color="auto"/>
          </w:divBdr>
        </w:div>
      </w:divsChild>
    </w:div>
    <w:div w:id="992298258">
      <w:bodyDiv w:val="1"/>
      <w:marLeft w:val="0"/>
      <w:marRight w:val="0"/>
      <w:marTop w:val="0"/>
      <w:marBottom w:val="0"/>
      <w:divBdr>
        <w:top w:val="none" w:sz="0" w:space="0" w:color="auto"/>
        <w:left w:val="none" w:sz="0" w:space="0" w:color="auto"/>
        <w:bottom w:val="none" w:sz="0" w:space="0" w:color="auto"/>
        <w:right w:val="none" w:sz="0" w:space="0" w:color="auto"/>
      </w:divBdr>
    </w:div>
    <w:div w:id="1174567035">
      <w:bodyDiv w:val="1"/>
      <w:marLeft w:val="0"/>
      <w:marRight w:val="0"/>
      <w:marTop w:val="0"/>
      <w:marBottom w:val="0"/>
      <w:divBdr>
        <w:top w:val="none" w:sz="0" w:space="0" w:color="auto"/>
        <w:left w:val="none" w:sz="0" w:space="0" w:color="auto"/>
        <w:bottom w:val="none" w:sz="0" w:space="0" w:color="auto"/>
        <w:right w:val="none" w:sz="0" w:space="0" w:color="auto"/>
      </w:divBdr>
    </w:div>
    <w:div w:id="1313372063">
      <w:bodyDiv w:val="1"/>
      <w:marLeft w:val="0"/>
      <w:marRight w:val="0"/>
      <w:marTop w:val="0"/>
      <w:marBottom w:val="0"/>
      <w:divBdr>
        <w:top w:val="none" w:sz="0" w:space="0" w:color="auto"/>
        <w:left w:val="none" w:sz="0" w:space="0" w:color="auto"/>
        <w:bottom w:val="none" w:sz="0" w:space="0" w:color="auto"/>
        <w:right w:val="none" w:sz="0" w:space="0" w:color="auto"/>
      </w:divBdr>
    </w:div>
    <w:div w:id="1400320985">
      <w:bodyDiv w:val="1"/>
      <w:marLeft w:val="0"/>
      <w:marRight w:val="0"/>
      <w:marTop w:val="0"/>
      <w:marBottom w:val="0"/>
      <w:divBdr>
        <w:top w:val="none" w:sz="0" w:space="0" w:color="auto"/>
        <w:left w:val="none" w:sz="0" w:space="0" w:color="auto"/>
        <w:bottom w:val="none" w:sz="0" w:space="0" w:color="auto"/>
        <w:right w:val="none" w:sz="0" w:space="0" w:color="auto"/>
      </w:divBdr>
      <w:divsChild>
        <w:div w:id="969282630">
          <w:marLeft w:val="0"/>
          <w:marRight w:val="0"/>
          <w:marTop w:val="0"/>
          <w:marBottom w:val="0"/>
          <w:divBdr>
            <w:top w:val="none" w:sz="0" w:space="0" w:color="auto"/>
            <w:left w:val="none" w:sz="0" w:space="0" w:color="auto"/>
            <w:bottom w:val="none" w:sz="0" w:space="0" w:color="auto"/>
            <w:right w:val="none" w:sz="0" w:space="0" w:color="auto"/>
          </w:divBdr>
        </w:div>
      </w:divsChild>
    </w:div>
    <w:div w:id="1517112806">
      <w:bodyDiv w:val="1"/>
      <w:marLeft w:val="0"/>
      <w:marRight w:val="0"/>
      <w:marTop w:val="0"/>
      <w:marBottom w:val="0"/>
      <w:divBdr>
        <w:top w:val="none" w:sz="0" w:space="0" w:color="auto"/>
        <w:left w:val="none" w:sz="0" w:space="0" w:color="auto"/>
        <w:bottom w:val="none" w:sz="0" w:space="0" w:color="auto"/>
        <w:right w:val="none" w:sz="0" w:space="0" w:color="auto"/>
      </w:divBdr>
      <w:divsChild>
        <w:div w:id="1352950629">
          <w:marLeft w:val="0"/>
          <w:marRight w:val="0"/>
          <w:marTop w:val="0"/>
          <w:marBottom w:val="0"/>
          <w:divBdr>
            <w:top w:val="none" w:sz="0" w:space="0" w:color="auto"/>
            <w:left w:val="none" w:sz="0" w:space="0" w:color="auto"/>
            <w:bottom w:val="none" w:sz="0" w:space="0" w:color="auto"/>
            <w:right w:val="none" w:sz="0" w:space="0" w:color="auto"/>
          </w:divBdr>
        </w:div>
      </w:divsChild>
    </w:div>
    <w:div w:id="1789857374">
      <w:bodyDiv w:val="1"/>
      <w:marLeft w:val="0"/>
      <w:marRight w:val="0"/>
      <w:marTop w:val="0"/>
      <w:marBottom w:val="0"/>
      <w:divBdr>
        <w:top w:val="none" w:sz="0" w:space="0" w:color="auto"/>
        <w:left w:val="none" w:sz="0" w:space="0" w:color="auto"/>
        <w:bottom w:val="none" w:sz="0" w:space="0" w:color="auto"/>
        <w:right w:val="none" w:sz="0" w:space="0" w:color="auto"/>
      </w:divBdr>
      <w:divsChild>
        <w:div w:id="564951790">
          <w:marLeft w:val="0"/>
          <w:marRight w:val="0"/>
          <w:marTop w:val="0"/>
          <w:marBottom w:val="0"/>
          <w:divBdr>
            <w:top w:val="none" w:sz="0" w:space="0" w:color="auto"/>
            <w:left w:val="none" w:sz="0" w:space="0" w:color="auto"/>
            <w:bottom w:val="none" w:sz="0" w:space="0" w:color="auto"/>
            <w:right w:val="none" w:sz="0" w:space="0" w:color="auto"/>
          </w:divBdr>
        </w:div>
      </w:divsChild>
    </w:div>
    <w:div w:id="1837987454">
      <w:bodyDiv w:val="1"/>
      <w:marLeft w:val="0"/>
      <w:marRight w:val="0"/>
      <w:marTop w:val="0"/>
      <w:marBottom w:val="0"/>
      <w:divBdr>
        <w:top w:val="none" w:sz="0" w:space="0" w:color="auto"/>
        <w:left w:val="none" w:sz="0" w:space="0" w:color="auto"/>
        <w:bottom w:val="none" w:sz="0" w:space="0" w:color="auto"/>
        <w:right w:val="none" w:sz="0" w:space="0" w:color="auto"/>
      </w:divBdr>
      <w:divsChild>
        <w:div w:id="1360011810">
          <w:marLeft w:val="0"/>
          <w:marRight w:val="0"/>
          <w:marTop w:val="0"/>
          <w:marBottom w:val="0"/>
          <w:divBdr>
            <w:top w:val="single" w:sz="2" w:space="0" w:color="auto"/>
            <w:left w:val="single" w:sz="2" w:space="0" w:color="auto"/>
            <w:bottom w:val="single" w:sz="6" w:space="0" w:color="auto"/>
            <w:right w:val="single" w:sz="2" w:space="0" w:color="auto"/>
          </w:divBdr>
          <w:divsChild>
            <w:div w:id="406348972">
              <w:marLeft w:val="0"/>
              <w:marRight w:val="0"/>
              <w:marTop w:val="100"/>
              <w:marBottom w:val="100"/>
              <w:divBdr>
                <w:top w:val="single" w:sz="2" w:space="0" w:color="D9D9E3"/>
                <w:left w:val="single" w:sz="2" w:space="0" w:color="D9D9E3"/>
                <w:bottom w:val="single" w:sz="2" w:space="0" w:color="D9D9E3"/>
                <w:right w:val="single" w:sz="2" w:space="0" w:color="D9D9E3"/>
              </w:divBdr>
              <w:divsChild>
                <w:div w:id="1518156211">
                  <w:marLeft w:val="0"/>
                  <w:marRight w:val="0"/>
                  <w:marTop w:val="0"/>
                  <w:marBottom w:val="0"/>
                  <w:divBdr>
                    <w:top w:val="single" w:sz="2" w:space="0" w:color="D9D9E3"/>
                    <w:left w:val="single" w:sz="2" w:space="0" w:color="D9D9E3"/>
                    <w:bottom w:val="single" w:sz="2" w:space="0" w:color="D9D9E3"/>
                    <w:right w:val="single" w:sz="2" w:space="0" w:color="D9D9E3"/>
                  </w:divBdr>
                  <w:divsChild>
                    <w:div w:id="1322658731">
                      <w:marLeft w:val="0"/>
                      <w:marRight w:val="0"/>
                      <w:marTop w:val="0"/>
                      <w:marBottom w:val="0"/>
                      <w:divBdr>
                        <w:top w:val="single" w:sz="2" w:space="0" w:color="D9D9E3"/>
                        <w:left w:val="single" w:sz="2" w:space="0" w:color="D9D9E3"/>
                        <w:bottom w:val="single" w:sz="2" w:space="0" w:color="D9D9E3"/>
                        <w:right w:val="single" w:sz="2" w:space="0" w:color="D9D9E3"/>
                      </w:divBdr>
                      <w:divsChild>
                        <w:div w:id="627971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6320488">
          <w:marLeft w:val="0"/>
          <w:marRight w:val="0"/>
          <w:marTop w:val="0"/>
          <w:marBottom w:val="0"/>
          <w:divBdr>
            <w:top w:val="single" w:sz="2" w:space="0" w:color="auto"/>
            <w:left w:val="single" w:sz="2" w:space="0" w:color="auto"/>
            <w:bottom w:val="single" w:sz="6" w:space="0" w:color="auto"/>
            <w:right w:val="single" w:sz="2" w:space="0" w:color="auto"/>
          </w:divBdr>
          <w:divsChild>
            <w:div w:id="951135809">
              <w:marLeft w:val="0"/>
              <w:marRight w:val="0"/>
              <w:marTop w:val="100"/>
              <w:marBottom w:val="100"/>
              <w:divBdr>
                <w:top w:val="single" w:sz="2" w:space="0" w:color="D9D9E3"/>
                <w:left w:val="single" w:sz="2" w:space="0" w:color="D9D9E3"/>
                <w:bottom w:val="single" w:sz="2" w:space="0" w:color="D9D9E3"/>
                <w:right w:val="single" w:sz="2" w:space="0" w:color="D9D9E3"/>
              </w:divBdr>
              <w:divsChild>
                <w:div w:id="801535983">
                  <w:marLeft w:val="0"/>
                  <w:marRight w:val="0"/>
                  <w:marTop w:val="0"/>
                  <w:marBottom w:val="0"/>
                  <w:divBdr>
                    <w:top w:val="single" w:sz="2" w:space="0" w:color="D9D9E3"/>
                    <w:left w:val="single" w:sz="2" w:space="0" w:color="D9D9E3"/>
                    <w:bottom w:val="single" w:sz="2" w:space="0" w:color="D9D9E3"/>
                    <w:right w:val="single" w:sz="2" w:space="0" w:color="D9D9E3"/>
                  </w:divBdr>
                  <w:divsChild>
                    <w:div w:id="475610004">
                      <w:marLeft w:val="0"/>
                      <w:marRight w:val="0"/>
                      <w:marTop w:val="0"/>
                      <w:marBottom w:val="0"/>
                      <w:divBdr>
                        <w:top w:val="single" w:sz="2" w:space="0" w:color="D9D9E3"/>
                        <w:left w:val="single" w:sz="2" w:space="0" w:color="D9D9E3"/>
                        <w:bottom w:val="single" w:sz="2" w:space="0" w:color="D9D9E3"/>
                        <w:right w:val="single" w:sz="2" w:space="0" w:color="D9D9E3"/>
                      </w:divBdr>
                      <w:divsChild>
                        <w:div w:id="1237009523">
                          <w:marLeft w:val="0"/>
                          <w:marRight w:val="0"/>
                          <w:marTop w:val="0"/>
                          <w:marBottom w:val="0"/>
                          <w:divBdr>
                            <w:top w:val="single" w:sz="2" w:space="0" w:color="D9D9E3"/>
                            <w:left w:val="single" w:sz="2" w:space="0" w:color="D9D9E3"/>
                            <w:bottom w:val="single" w:sz="2" w:space="0" w:color="D9D9E3"/>
                            <w:right w:val="single" w:sz="2" w:space="0" w:color="D9D9E3"/>
                          </w:divBdr>
                          <w:divsChild>
                            <w:div w:id="94399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1040005">
      <w:bodyDiv w:val="1"/>
      <w:marLeft w:val="0"/>
      <w:marRight w:val="0"/>
      <w:marTop w:val="0"/>
      <w:marBottom w:val="0"/>
      <w:divBdr>
        <w:top w:val="none" w:sz="0" w:space="0" w:color="auto"/>
        <w:left w:val="none" w:sz="0" w:space="0" w:color="auto"/>
        <w:bottom w:val="none" w:sz="0" w:space="0" w:color="auto"/>
        <w:right w:val="none" w:sz="0" w:space="0" w:color="auto"/>
      </w:divBdr>
    </w:div>
    <w:div w:id="2053308973">
      <w:bodyDiv w:val="1"/>
      <w:marLeft w:val="0"/>
      <w:marRight w:val="0"/>
      <w:marTop w:val="0"/>
      <w:marBottom w:val="0"/>
      <w:divBdr>
        <w:top w:val="none" w:sz="0" w:space="0" w:color="auto"/>
        <w:left w:val="none" w:sz="0" w:space="0" w:color="auto"/>
        <w:bottom w:val="none" w:sz="0" w:space="0" w:color="auto"/>
        <w:right w:val="none" w:sz="0" w:space="0" w:color="auto"/>
      </w:divBdr>
    </w:div>
    <w:div w:id="2137868820">
      <w:bodyDiv w:val="1"/>
      <w:marLeft w:val="0"/>
      <w:marRight w:val="0"/>
      <w:marTop w:val="0"/>
      <w:marBottom w:val="0"/>
      <w:divBdr>
        <w:top w:val="none" w:sz="0" w:space="0" w:color="auto"/>
        <w:left w:val="none" w:sz="0" w:space="0" w:color="auto"/>
        <w:bottom w:val="none" w:sz="0" w:space="0" w:color="auto"/>
        <w:right w:val="none" w:sz="0" w:space="0" w:color="auto"/>
      </w:divBdr>
    </w:div>
    <w:div w:id="2145804569">
      <w:bodyDiv w:val="1"/>
      <w:marLeft w:val="0"/>
      <w:marRight w:val="0"/>
      <w:marTop w:val="0"/>
      <w:marBottom w:val="0"/>
      <w:divBdr>
        <w:top w:val="none" w:sz="0" w:space="0" w:color="auto"/>
        <w:left w:val="none" w:sz="0" w:space="0" w:color="auto"/>
        <w:bottom w:val="none" w:sz="0" w:space="0" w:color="auto"/>
        <w:right w:val="none" w:sz="0" w:space="0" w:color="auto"/>
      </w:divBdr>
      <w:divsChild>
        <w:div w:id="1393852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2510</Words>
  <Characters>14309</Characters>
  <Application>Microsoft Office Word</Application>
  <DocSecurity>0</DocSecurity>
  <Lines>119</Lines>
  <Paragraphs>33</Paragraphs>
  <ScaleCrop>false</ScaleCrop>
  <Company/>
  <LinksUpToDate>false</LinksUpToDate>
  <CharactersWithSpaces>16786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Sulaiman</dc:creator>
  <cp:keywords/>
  <dc:description/>
  <cp:lastModifiedBy>Waleed Sulaiman</cp:lastModifiedBy>
  <cp:revision>41</cp:revision>
  <dcterms:created xsi:type="dcterms:W3CDTF">2023-04-24T20:04:00Z</dcterms:created>
  <dcterms:modified xsi:type="dcterms:W3CDTF">2023-04-24T21:06:00Z</dcterms:modified>
</cp:coreProperties>
</file>