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891EF" w14:textId="6D6EB844" w:rsidR="00FB41CD" w:rsidRPr="00FB41CD" w:rsidRDefault="00FB41CD" w:rsidP="00FB41CD">
      <w:pPr>
        <w:jc w:val="center"/>
        <w:rPr>
          <w:rFonts w:ascii="Arial" w:hAnsi="Arial" w:cs="Arial"/>
          <w:sz w:val="24"/>
          <w:szCs w:val="24"/>
        </w:rPr>
      </w:pPr>
      <w:r w:rsidRPr="00FB41CD">
        <w:rPr>
          <w:rFonts w:ascii="Arial" w:hAnsi="Arial" w:cs="Arial"/>
          <w:sz w:val="24"/>
          <w:szCs w:val="24"/>
        </w:rPr>
        <w:t xml:space="preserve">I acknowledge the use of Grammarly (https://www.grammarly.com/) on </w:t>
      </w:r>
      <w:r w:rsidR="00113393">
        <w:rPr>
          <w:rFonts w:ascii="Arial" w:hAnsi="Arial" w:cs="Arial"/>
          <w:sz w:val="24"/>
          <w:szCs w:val="24"/>
        </w:rPr>
        <w:t>24</w:t>
      </w:r>
      <w:r w:rsidR="00113393" w:rsidRPr="00113393">
        <w:rPr>
          <w:rFonts w:ascii="Arial" w:hAnsi="Arial" w:cs="Arial"/>
          <w:sz w:val="24"/>
          <w:szCs w:val="24"/>
          <w:vertAlign w:val="superscript"/>
        </w:rPr>
        <w:t>th</w:t>
      </w:r>
      <w:r w:rsidR="00113393">
        <w:rPr>
          <w:rFonts w:ascii="Arial" w:hAnsi="Arial" w:cs="Arial"/>
          <w:sz w:val="24"/>
          <w:szCs w:val="24"/>
        </w:rPr>
        <w:t xml:space="preserve"> February 2025</w:t>
      </w:r>
      <w:r w:rsidRPr="00FB41CD">
        <w:rPr>
          <w:rFonts w:ascii="Arial" w:hAnsi="Arial" w:cs="Arial"/>
          <w:sz w:val="24"/>
          <w:szCs w:val="24"/>
        </w:rPr>
        <w:t xml:space="preserve"> to check my work using the automated grammar and punctuation. I confirm that I have not presented any AI generated text as my own work. I confirm I have copies of my drafts, notes, and other resources I used before, and after the use of AI tools which I may be asked to provide in evidence.</w:t>
      </w:r>
    </w:p>
    <w:p w14:paraId="66E34D05" w14:textId="77777777" w:rsidR="00FB41CD" w:rsidRPr="00FB41CD" w:rsidRDefault="00FB41CD" w:rsidP="00FB41CD">
      <w:pPr>
        <w:jc w:val="center"/>
        <w:rPr>
          <w:rFonts w:ascii="Arial" w:hAnsi="Arial" w:cs="Arial"/>
          <w:sz w:val="24"/>
          <w:szCs w:val="24"/>
        </w:rPr>
      </w:pPr>
    </w:p>
    <w:p w14:paraId="390EB8CB" w14:textId="491219CC" w:rsidR="00FB41CD" w:rsidRPr="00FB41CD" w:rsidRDefault="00FB41CD" w:rsidP="00FB41CD">
      <w:pPr>
        <w:jc w:val="center"/>
        <w:rPr>
          <w:rFonts w:ascii="Arial" w:hAnsi="Arial" w:cs="Arial"/>
          <w:sz w:val="24"/>
          <w:szCs w:val="24"/>
        </w:rPr>
      </w:pPr>
      <w:r w:rsidRPr="00FB41CD">
        <w:rPr>
          <w:rFonts w:ascii="Arial" w:hAnsi="Arial" w:cs="Arial"/>
          <w:sz w:val="24"/>
          <w:szCs w:val="24"/>
        </w:rPr>
        <w:t xml:space="preserve">I acknowledge the use of google scholar (https://scholar.google.com/) between the dates of the </w:t>
      </w:r>
      <w:r w:rsidR="00821002">
        <w:rPr>
          <w:rFonts w:ascii="Arial" w:hAnsi="Arial" w:cs="Arial"/>
          <w:sz w:val="24"/>
          <w:szCs w:val="24"/>
        </w:rPr>
        <w:t>22</w:t>
      </w:r>
      <w:r w:rsidR="00821002" w:rsidRPr="00821002">
        <w:rPr>
          <w:rFonts w:ascii="Arial" w:hAnsi="Arial" w:cs="Arial"/>
          <w:sz w:val="24"/>
          <w:szCs w:val="24"/>
          <w:vertAlign w:val="superscript"/>
        </w:rPr>
        <w:t>nd</w:t>
      </w:r>
      <w:r w:rsidR="00821002">
        <w:rPr>
          <w:rFonts w:ascii="Arial" w:hAnsi="Arial" w:cs="Arial"/>
          <w:sz w:val="24"/>
          <w:szCs w:val="24"/>
        </w:rPr>
        <w:t xml:space="preserve"> January 2025 and 24</w:t>
      </w:r>
      <w:r w:rsidR="00821002" w:rsidRPr="00821002">
        <w:rPr>
          <w:rFonts w:ascii="Arial" w:hAnsi="Arial" w:cs="Arial"/>
          <w:sz w:val="24"/>
          <w:szCs w:val="24"/>
          <w:vertAlign w:val="superscript"/>
        </w:rPr>
        <w:t>th</w:t>
      </w:r>
      <w:r w:rsidR="00821002">
        <w:rPr>
          <w:rFonts w:ascii="Arial" w:hAnsi="Arial" w:cs="Arial"/>
          <w:sz w:val="24"/>
          <w:szCs w:val="24"/>
        </w:rPr>
        <w:t xml:space="preserve"> February 2025</w:t>
      </w:r>
      <w:r w:rsidRPr="00FB41CD">
        <w:rPr>
          <w:rFonts w:ascii="Arial" w:hAnsi="Arial" w:cs="Arial"/>
          <w:sz w:val="24"/>
          <w:szCs w:val="24"/>
        </w:rPr>
        <w:t xml:space="preserve"> to search for relevant papers for </w:t>
      </w:r>
      <w:r w:rsidR="005D021E">
        <w:rPr>
          <w:rFonts w:ascii="Arial" w:hAnsi="Arial" w:cs="Arial"/>
          <w:sz w:val="24"/>
          <w:szCs w:val="24"/>
        </w:rPr>
        <w:t>Journals</w:t>
      </w:r>
      <w:r w:rsidR="00220697">
        <w:rPr>
          <w:rFonts w:ascii="Arial" w:hAnsi="Arial" w:cs="Arial"/>
          <w:sz w:val="24"/>
          <w:szCs w:val="24"/>
        </w:rPr>
        <w:t xml:space="preserve"> for the essay</w:t>
      </w:r>
      <w:r w:rsidRPr="005D021E">
        <w:rPr>
          <w:rFonts w:ascii="Arial" w:hAnsi="Arial" w:cs="Arial"/>
          <w:sz w:val="24"/>
          <w:szCs w:val="24"/>
        </w:rPr>
        <w:t xml:space="preserve">. </w:t>
      </w:r>
      <w:r w:rsidRPr="00FB41CD">
        <w:rPr>
          <w:rFonts w:ascii="Arial" w:hAnsi="Arial" w:cs="Arial"/>
          <w:sz w:val="24"/>
          <w:szCs w:val="24"/>
        </w:rPr>
        <w:t>I confirm that I have not presented any AI generated materials as my own work. I confirm I have copies of my drafts, notes, and other resources I used before, and after the use of AI tools which I may be asked to provide in evidence.</w:t>
      </w:r>
    </w:p>
    <w:p w14:paraId="04D426E1" w14:textId="77777777" w:rsidR="00FB41CD" w:rsidRPr="00FB41CD" w:rsidRDefault="00FB41CD" w:rsidP="00FB41CD">
      <w:pPr>
        <w:jc w:val="center"/>
        <w:rPr>
          <w:rFonts w:ascii="Arial" w:hAnsi="Arial" w:cs="Arial"/>
          <w:sz w:val="24"/>
          <w:szCs w:val="24"/>
          <w:u w:val="single"/>
        </w:rPr>
      </w:pPr>
    </w:p>
    <w:p w14:paraId="59E44520" w14:textId="1BE36ECA" w:rsidR="00FB41CD" w:rsidRPr="00FB41CD" w:rsidRDefault="00FB41CD" w:rsidP="00FB41CD">
      <w:pPr>
        <w:jc w:val="center"/>
        <w:rPr>
          <w:rFonts w:ascii="Arial" w:hAnsi="Arial" w:cs="Arial"/>
          <w:sz w:val="24"/>
          <w:szCs w:val="24"/>
        </w:rPr>
      </w:pPr>
      <w:r w:rsidRPr="00FB41CD">
        <w:rPr>
          <w:rFonts w:ascii="Arial" w:hAnsi="Arial" w:cs="Arial"/>
          <w:sz w:val="24"/>
          <w:szCs w:val="24"/>
        </w:rPr>
        <w:t xml:space="preserve">I acknowledge the use of google (https://www.google.com/) between the </w:t>
      </w:r>
      <w:r w:rsidRPr="00220697">
        <w:rPr>
          <w:rFonts w:ascii="Arial" w:hAnsi="Arial" w:cs="Arial"/>
          <w:sz w:val="24"/>
          <w:szCs w:val="24"/>
        </w:rPr>
        <w:t xml:space="preserve">dates of the </w:t>
      </w:r>
      <w:r w:rsidR="00220697">
        <w:rPr>
          <w:rFonts w:ascii="Arial" w:hAnsi="Arial" w:cs="Arial"/>
          <w:sz w:val="24"/>
          <w:szCs w:val="24"/>
        </w:rPr>
        <w:t>22</w:t>
      </w:r>
      <w:r w:rsidR="00220697" w:rsidRPr="00220697">
        <w:rPr>
          <w:rFonts w:ascii="Arial" w:hAnsi="Arial" w:cs="Arial"/>
          <w:sz w:val="24"/>
          <w:szCs w:val="24"/>
          <w:vertAlign w:val="superscript"/>
        </w:rPr>
        <w:t>nd</w:t>
      </w:r>
      <w:r w:rsidR="00220697">
        <w:rPr>
          <w:rFonts w:ascii="Arial" w:hAnsi="Arial" w:cs="Arial"/>
          <w:sz w:val="24"/>
          <w:szCs w:val="24"/>
        </w:rPr>
        <w:t xml:space="preserve"> January </w:t>
      </w:r>
      <w:r w:rsidRPr="00220697">
        <w:rPr>
          <w:rFonts w:ascii="Arial" w:hAnsi="Arial" w:cs="Arial"/>
          <w:sz w:val="24"/>
          <w:szCs w:val="24"/>
        </w:rPr>
        <w:t>20</w:t>
      </w:r>
      <w:r w:rsidR="00220697">
        <w:rPr>
          <w:rFonts w:ascii="Arial" w:hAnsi="Arial" w:cs="Arial"/>
          <w:sz w:val="24"/>
          <w:szCs w:val="24"/>
        </w:rPr>
        <w:t>25</w:t>
      </w:r>
      <w:r w:rsidRPr="00220697">
        <w:rPr>
          <w:rFonts w:ascii="Arial" w:hAnsi="Arial" w:cs="Arial"/>
          <w:sz w:val="24"/>
          <w:szCs w:val="24"/>
        </w:rPr>
        <w:t xml:space="preserve"> to the </w:t>
      </w:r>
      <w:r w:rsidR="00220697">
        <w:rPr>
          <w:rFonts w:ascii="Arial" w:hAnsi="Arial" w:cs="Arial"/>
          <w:sz w:val="24"/>
          <w:szCs w:val="24"/>
        </w:rPr>
        <w:t>24</w:t>
      </w:r>
      <w:r w:rsidR="00220697" w:rsidRPr="00220697">
        <w:rPr>
          <w:rFonts w:ascii="Arial" w:hAnsi="Arial" w:cs="Arial"/>
          <w:sz w:val="24"/>
          <w:szCs w:val="24"/>
          <w:vertAlign w:val="superscript"/>
        </w:rPr>
        <w:t>th</w:t>
      </w:r>
      <w:r w:rsidR="00220697">
        <w:rPr>
          <w:rFonts w:ascii="Arial" w:hAnsi="Arial" w:cs="Arial"/>
          <w:sz w:val="24"/>
          <w:szCs w:val="24"/>
        </w:rPr>
        <w:t xml:space="preserve"> February 2025</w:t>
      </w:r>
      <w:r w:rsidRPr="00220697">
        <w:rPr>
          <w:rFonts w:ascii="Arial" w:hAnsi="Arial" w:cs="Arial"/>
          <w:sz w:val="24"/>
          <w:szCs w:val="24"/>
        </w:rPr>
        <w:t xml:space="preserve"> to search for relevant </w:t>
      </w:r>
      <w:r w:rsidR="00642E93">
        <w:rPr>
          <w:rFonts w:ascii="Arial" w:hAnsi="Arial" w:cs="Arial"/>
          <w:sz w:val="24"/>
          <w:szCs w:val="24"/>
        </w:rPr>
        <w:t>papers and information on therapeutic play</w:t>
      </w:r>
      <w:r w:rsidRPr="00FB41CD">
        <w:rPr>
          <w:rFonts w:ascii="Arial" w:hAnsi="Arial" w:cs="Arial"/>
          <w:sz w:val="24"/>
          <w:szCs w:val="24"/>
        </w:rPr>
        <w:t>. I confirm that I have not presented any AI generated materials as my own work. I confirm I have copies of my drafts, notes, and other resources I used before, and after the use of AI tools which I may be asked to provide in evidence.</w:t>
      </w:r>
    </w:p>
    <w:p w14:paraId="253CD017" w14:textId="77777777" w:rsidR="00FB41CD" w:rsidRPr="00A20E08" w:rsidRDefault="00FB41CD" w:rsidP="00FB41CD">
      <w:pPr>
        <w:rPr>
          <w:rFonts w:ascii="Arial" w:hAnsi="Arial" w:cs="Arial"/>
          <w:u w:val="single"/>
        </w:rPr>
      </w:pPr>
    </w:p>
    <w:p w14:paraId="69ABF17A" w14:textId="77777777" w:rsidR="00D46C68" w:rsidRDefault="00D46C68" w:rsidP="00A872BF">
      <w:pPr>
        <w:spacing w:line="480" w:lineRule="auto"/>
        <w:ind w:firstLine="720"/>
        <w:rPr>
          <w:rFonts w:ascii="Arial" w:hAnsi="Arial" w:cs="Arial"/>
          <w:sz w:val="24"/>
          <w:szCs w:val="24"/>
          <w:u w:val="single"/>
        </w:rPr>
      </w:pPr>
    </w:p>
    <w:p w14:paraId="52324651" w14:textId="352FE77C" w:rsidR="00D46C68" w:rsidRDefault="00D46C68" w:rsidP="007C29A9">
      <w:pPr>
        <w:tabs>
          <w:tab w:val="left" w:pos="5715"/>
        </w:tabs>
        <w:rPr>
          <w:rFonts w:ascii="Arial" w:hAnsi="Arial" w:cs="Arial"/>
          <w:sz w:val="24"/>
          <w:szCs w:val="24"/>
          <w:u w:val="single"/>
        </w:rPr>
      </w:pPr>
    </w:p>
    <w:p w14:paraId="5AFD460C" w14:textId="1EC7E281" w:rsidR="00D46C68" w:rsidRDefault="00D46C68">
      <w:pPr>
        <w:rPr>
          <w:rFonts w:ascii="Arial" w:hAnsi="Arial" w:cs="Arial"/>
          <w:sz w:val="24"/>
          <w:szCs w:val="24"/>
          <w:u w:val="single"/>
        </w:rPr>
      </w:pPr>
    </w:p>
    <w:p w14:paraId="1D26D8D9" w14:textId="77777777" w:rsidR="00D46C68" w:rsidRDefault="00D46C68">
      <w:pPr>
        <w:rPr>
          <w:rFonts w:ascii="Arial" w:hAnsi="Arial" w:cs="Arial"/>
          <w:sz w:val="24"/>
          <w:szCs w:val="24"/>
          <w:u w:val="single"/>
        </w:rPr>
      </w:pPr>
      <w:r>
        <w:rPr>
          <w:rFonts w:ascii="Arial" w:hAnsi="Arial" w:cs="Arial"/>
          <w:sz w:val="24"/>
          <w:szCs w:val="24"/>
          <w:u w:val="single"/>
        </w:rPr>
        <w:br w:type="page"/>
      </w:r>
    </w:p>
    <w:p w14:paraId="60724C14" w14:textId="77777777" w:rsidR="00D46C68" w:rsidRDefault="00D46C68">
      <w:pPr>
        <w:rPr>
          <w:rFonts w:ascii="Arial" w:hAnsi="Arial" w:cs="Arial"/>
          <w:sz w:val="24"/>
          <w:szCs w:val="24"/>
          <w:u w:val="single"/>
        </w:rPr>
      </w:pPr>
    </w:p>
    <w:p w14:paraId="526D646A" w14:textId="77777777" w:rsidR="008420C2" w:rsidRPr="008420C2" w:rsidRDefault="008420C2" w:rsidP="008420C2">
      <w:pPr>
        <w:spacing w:line="480" w:lineRule="auto"/>
        <w:jc w:val="center"/>
        <w:rPr>
          <w:rFonts w:ascii="Arial" w:hAnsi="Arial" w:cs="Arial"/>
          <w:color w:val="000000" w:themeColor="text1"/>
          <w:sz w:val="24"/>
          <w:szCs w:val="24"/>
          <w:u w:val="single"/>
        </w:rPr>
      </w:pPr>
      <w:r w:rsidRPr="008420C2">
        <w:rPr>
          <w:rFonts w:ascii="Arial" w:hAnsi="Arial" w:cs="Arial"/>
          <w:color w:val="000000" w:themeColor="text1"/>
          <w:sz w:val="24"/>
          <w:szCs w:val="24"/>
          <w:u w:val="single"/>
        </w:rPr>
        <w:t>Essay: Critically discuss the benefits and efficacy of therapeutic play</w:t>
      </w:r>
    </w:p>
    <w:p w14:paraId="49B223C1" w14:textId="77777777" w:rsidR="008420C2" w:rsidRPr="008420C2" w:rsidRDefault="008420C2" w:rsidP="008420C2">
      <w:pPr>
        <w:spacing w:line="480" w:lineRule="auto"/>
        <w:ind w:firstLine="720"/>
        <w:rPr>
          <w:rFonts w:ascii="Arial" w:hAnsi="Arial" w:cs="Arial"/>
          <w:color w:val="000000" w:themeColor="text1"/>
          <w:sz w:val="24"/>
          <w:szCs w:val="24"/>
        </w:rPr>
      </w:pPr>
      <w:r w:rsidRPr="008420C2">
        <w:rPr>
          <w:rFonts w:ascii="Arial" w:hAnsi="Arial" w:cs="Arial"/>
          <w:color w:val="000000" w:themeColor="text1"/>
          <w:sz w:val="24"/>
          <w:szCs w:val="24"/>
        </w:rPr>
        <w:t>Critically discussing the benefits and efficacy of therapeutic play requires a comprehensive analysis of the underlying theoretical frameworks, empirical evidence, and practical considerations that have emerged over recent decades. Therapeutic play involves structured activities designed to support the emotional and psychological well</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being of children, particularly those experiencing adversity (Jennings &amp; Holmwood, 2021). These activities are specifically designed to reduce stress, enhance coping mechanisms, and promote positive emotional development. As therapeutic play becomes increasingly widespread in child and adolescent mental health interventions, it is essential to critically evaluate its efficacy to ensure that the approach is both evidence</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based and appropriately applied within real</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world settings. Some studies report significant benefits, such as improved emotional regulation, trauma recovery, and enhanced social skills. Whilst others highlight methodological limitations, inconsistent findings, and difficulties in measuring long</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term outcomes. Without rigorous scrutiny, there is a risk that therapeutic play may be implemented without sufficient empirical support, thereby potentially limiting its effectiveness.</w:t>
      </w:r>
    </w:p>
    <w:p w14:paraId="52127682" w14:textId="77777777" w:rsidR="008420C2" w:rsidRPr="008420C2" w:rsidRDefault="008420C2" w:rsidP="008420C2">
      <w:pPr>
        <w:spacing w:line="480" w:lineRule="auto"/>
        <w:ind w:firstLine="720"/>
        <w:rPr>
          <w:rFonts w:ascii="Arial" w:hAnsi="Arial" w:cs="Arial"/>
          <w:color w:val="000000" w:themeColor="text1"/>
          <w:sz w:val="24"/>
          <w:szCs w:val="24"/>
        </w:rPr>
      </w:pPr>
      <w:r w:rsidRPr="008420C2">
        <w:rPr>
          <w:rFonts w:ascii="Arial" w:hAnsi="Arial" w:cs="Arial"/>
          <w:color w:val="000000" w:themeColor="text1"/>
          <w:sz w:val="24"/>
          <w:szCs w:val="24"/>
        </w:rPr>
        <w:t xml:space="preserve">A substantial body of research suggests that therapeutic play offers benefits that extend far beyond merely alleviating immediate emotional distress. Numerous studies indicate that therapeutic play fosters cognitive development by promoting critical thinking skills, creativity, and executive functioning. For instance, research has demonstrated that children who engage in structured therapeutic play exhibit improvements in planning, organising, and behavioural regulation. A study by Whitebread et al. (2017) examined the effects of directed play on 150 children, aged </w:t>
      </w:r>
      <w:r w:rsidRPr="008420C2">
        <w:rPr>
          <w:rFonts w:ascii="Arial" w:hAnsi="Arial" w:cs="Arial"/>
          <w:color w:val="000000" w:themeColor="text1"/>
          <w:sz w:val="24"/>
          <w:szCs w:val="24"/>
        </w:rPr>
        <w:lastRenderedPageBreak/>
        <w:t>four to six, the study found that structured interventions significantly enhanced executive functioning skills compared to free play. These findings imply that therapeutic play interventions support emotional well</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being while also playing a crucial role in cognitive and behavioural development. However, it is important to note that while these initial findings are promising, there remains a pressing need for larger, longitudinal studies that can assess the long</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term impact of such interventions across diverse populations.</w:t>
      </w:r>
    </w:p>
    <w:p w14:paraId="29593970" w14:textId="77777777" w:rsidR="008420C2" w:rsidRPr="008420C2" w:rsidRDefault="008420C2" w:rsidP="008420C2">
      <w:pPr>
        <w:spacing w:line="480" w:lineRule="auto"/>
        <w:ind w:firstLine="720"/>
        <w:rPr>
          <w:rFonts w:ascii="Arial" w:hAnsi="Arial" w:cs="Arial"/>
          <w:color w:val="000000" w:themeColor="text1"/>
          <w:sz w:val="24"/>
          <w:szCs w:val="24"/>
        </w:rPr>
      </w:pPr>
      <w:r w:rsidRPr="008420C2">
        <w:rPr>
          <w:rFonts w:ascii="Arial" w:hAnsi="Arial" w:cs="Arial"/>
          <w:color w:val="000000" w:themeColor="text1"/>
          <w:sz w:val="24"/>
          <w:szCs w:val="24"/>
        </w:rPr>
        <w:t>Therapeutic play is also widely recognised as an effective intervention for children who have experienced trauma. Exposure to traumatic events such as abuse, neglect, or the loss of a caregiver can have profound and enduring effects on a child’s psychological health. Research suggests that engaging in structured therapeutic play allows children to process their experiences in a safe and non</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threatening environment, thereby facilitating emotional healing and fostering resilience (</w:t>
      </w:r>
      <w:proofErr w:type="spellStart"/>
      <w:r w:rsidRPr="008420C2">
        <w:rPr>
          <w:rFonts w:ascii="Arial" w:hAnsi="Arial" w:cs="Arial"/>
          <w:color w:val="000000" w:themeColor="text1"/>
          <w:sz w:val="24"/>
          <w:szCs w:val="24"/>
        </w:rPr>
        <w:t>KouKourikos</w:t>
      </w:r>
      <w:proofErr w:type="spellEnd"/>
      <w:r w:rsidRPr="008420C2">
        <w:rPr>
          <w:rFonts w:ascii="Arial" w:hAnsi="Arial" w:cs="Arial"/>
          <w:color w:val="000000" w:themeColor="text1"/>
          <w:sz w:val="24"/>
          <w:szCs w:val="24"/>
        </w:rPr>
        <w:t xml:space="preserve"> et al., 2021). A systematic literature review by Humble et al. (2019) evaluated the effectiveness of therapeutic play for youths who have experienced traumatic events. This review, which included seven peer</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reviewed studies focusing on treatment outcomes related to internalising problems, self</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concept, and self</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competence, indicated that therapeutic play could lead to improvements in these areas. Nevertheless, significant variability in outcome measures and study methodologies was noted, which has impacted the overall conclusions regarding therapeutic play’s efficacy for trauma</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exposed children. The researchers emphasised the need for standardised protocols and more rigorous research designs to establish stronger evidence for therapeutic play’s effectiveness within this vulnerable population.</w:t>
      </w:r>
    </w:p>
    <w:p w14:paraId="5EFD39DA" w14:textId="77777777" w:rsidR="008420C2" w:rsidRPr="008420C2" w:rsidRDefault="008420C2" w:rsidP="008420C2">
      <w:pPr>
        <w:spacing w:line="480" w:lineRule="auto"/>
        <w:ind w:firstLine="720"/>
        <w:rPr>
          <w:rFonts w:ascii="Arial" w:hAnsi="Arial" w:cs="Arial"/>
          <w:color w:val="000000" w:themeColor="text1"/>
          <w:sz w:val="24"/>
          <w:szCs w:val="24"/>
        </w:rPr>
      </w:pPr>
      <w:r w:rsidRPr="008420C2">
        <w:rPr>
          <w:rFonts w:ascii="Arial" w:hAnsi="Arial" w:cs="Arial"/>
          <w:color w:val="000000" w:themeColor="text1"/>
          <w:sz w:val="24"/>
          <w:szCs w:val="24"/>
        </w:rPr>
        <w:lastRenderedPageBreak/>
        <w:t>Likewise, a study by Ray et al. (2020) investigated the impact of therapeutic play on children who have experienced adverse childhood experiences - ACEs This study involved a diverse sample of children aged three to five years with a history of multiple ACEs. The participants who underwent therapeutic play demonstrated significant improvements in empathy, self</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regulation, responsibility, and social competence compared to a waitlist control group. These findings suggest that therapeutic play may be a viable intervention for enhancing social–emotional assets in young children affected by trauma, and they highlight the importance of implementing culturally inclusive practices to address the unique needs of children from diverse backgrounds.</w:t>
      </w:r>
    </w:p>
    <w:p w14:paraId="33A15AEE" w14:textId="77777777" w:rsidR="008420C2" w:rsidRPr="008420C2" w:rsidRDefault="008420C2" w:rsidP="008420C2">
      <w:pPr>
        <w:spacing w:line="480" w:lineRule="auto"/>
        <w:ind w:firstLine="720"/>
        <w:rPr>
          <w:rFonts w:ascii="Arial" w:hAnsi="Arial" w:cs="Arial"/>
          <w:color w:val="000000" w:themeColor="text1"/>
          <w:sz w:val="24"/>
          <w:szCs w:val="24"/>
        </w:rPr>
      </w:pPr>
      <w:r w:rsidRPr="008420C2">
        <w:rPr>
          <w:rFonts w:ascii="Arial" w:hAnsi="Arial" w:cs="Arial"/>
          <w:color w:val="000000" w:themeColor="text1"/>
          <w:sz w:val="24"/>
          <w:szCs w:val="24"/>
        </w:rPr>
        <w:t>Furthermore, another key benefit of therapeutic play is its capacity to support emotional regulation, which is particularly critical for children who have experienced adversity. Empirical research has demonstrated that structured play interventions help children to identify, express, and manage their emotions within a safe and supportive environment. For example, a study by Stavrou (2019) examined the effects of sociodramatic play on a four</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year</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old boy with limited emotional regulation. Over a three</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month school</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based intervention, the child showed improved emotional control and enhanced coping mechanisms. Similarly, Daniel et al. (2023) conducted a single</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case pilot intervention study that combined Child</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Centred Play Therapy and Rhythmic Relating with a five</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year</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old autistic boy. Over 10 months, this child demonstrated significant improvements in emotion regulation, suggesting the efficacy of therapeutic play in enhancing emotional well</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 xml:space="preserve">being, particularly among children with developmental challenges. Despite these positive findings, the methodological limitations of such studies; often relying on small sample sizes, </w:t>
      </w:r>
      <w:r w:rsidRPr="008420C2">
        <w:rPr>
          <w:rFonts w:ascii="Arial" w:hAnsi="Arial" w:cs="Arial"/>
          <w:color w:val="000000" w:themeColor="text1"/>
          <w:sz w:val="24"/>
          <w:szCs w:val="24"/>
        </w:rPr>
        <w:lastRenderedPageBreak/>
        <w:t>single</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case designs, or lacking long</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term follow</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 xml:space="preserve">up, raise concerns about the generalisability of their conclusions (Drisko et al., 2020; </w:t>
      </w:r>
      <w:proofErr w:type="spellStart"/>
      <w:r w:rsidRPr="008420C2">
        <w:rPr>
          <w:rFonts w:ascii="Arial" w:hAnsi="Arial" w:cs="Arial"/>
          <w:color w:val="000000" w:themeColor="text1"/>
          <w:sz w:val="24"/>
          <w:szCs w:val="24"/>
        </w:rPr>
        <w:t>Schottelkorb</w:t>
      </w:r>
      <w:proofErr w:type="spellEnd"/>
      <w:r w:rsidRPr="008420C2">
        <w:rPr>
          <w:rFonts w:ascii="Arial" w:hAnsi="Arial" w:cs="Arial"/>
          <w:color w:val="000000" w:themeColor="text1"/>
          <w:sz w:val="24"/>
          <w:szCs w:val="24"/>
        </w:rPr>
        <w:t>, 2023).</w:t>
      </w:r>
    </w:p>
    <w:p w14:paraId="502A242B" w14:textId="77777777" w:rsidR="008420C2" w:rsidRPr="008420C2" w:rsidRDefault="008420C2" w:rsidP="008420C2">
      <w:pPr>
        <w:spacing w:line="480" w:lineRule="auto"/>
        <w:ind w:firstLine="720"/>
        <w:rPr>
          <w:rFonts w:ascii="Arial" w:hAnsi="Arial" w:cs="Arial"/>
          <w:color w:val="000000" w:themeColor="text1"/>
          <w:sz w:val="24"/>
          <w:szCs w:val="24"/>
        </w:rPr>
      </w:pPr>
      <w:r w:rsidRPr="008420C2">
        <w:rPr>
          <w:rFonts w:ascii="Arial" w:hAnsi="Arial" w:cs="Arial"/>
          <w:color w:val="000000" w:themeColor="text1"/>
          <w:sz w:val="24"/>
          <w:szCs w:val="24"/>
        </w:rPr>
        <w:t>Beyond addressing immediate emotional challenges, therapeutic play also contributes significantly to the development of resilience and the establishment of protective factors. Resilience, defined as the capacity to adapt and thrive in the face of adversity, is a critical outcome for many therapeutic interventions. A meta</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analysis by Sánchez et al. (2022) assessed the impact of structured play interventions on children exposed to ACEs and found that therapeutic play significantly improved emotional resilience, problem</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 xml:space="preserve">solving abilities, and the quality of peer relationships. However, the review also noted substantial variation in intervention length and therapeutic approaches, which complicates the determination of the most effective methodologies. Adding to this, a systematic review by </w:t>
      </w:r>
      <w:proofErr w:type="spellStart"/>
      <w:r w:rsidRPr="008420C2">
        <w:rPr>
          <w:rFonts w:ascii="Arial" w:hAnsi="Arial" w:cs="Arial"/>
          <w:color w:val="000000" w:themeColor="text1"/>
          <w:sz w:val="24"/>
          <w:szCs w:val="24"/>
        </w:rPr>
        <w:t>Gkintoni</w:t>
      </w:r>
      <w:proofErr w:type="spellEnd"/>
      <w:r w:rsidRPr="008420C2">
        <w:rPr>
          <w:rFonts w:ascii="Arial" w:hAnsi="Arial" w:cs="Arial"/>
          <w:color w:val="000000" w:themeColor="text1"/>
          <w:sz w:val="24"/>
          <w:szCs w:val="24"/>
        </w:rPr>
        <w:t xml:space="preserve"> et al. (2024) evaluated psychotherapeutic interventions for post</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traumatic stress disorder - PTSD in children and adolescents, revealing significant improvements in both emotional regulation and social reciprocity. These studies underscore the idea that fostering resilience through therapeutic play is particularly beneficial for children from disadvantaged backgrounds, as it can help mitigate the negative psychological effects of environmental stressors. Additionally, a systematic review by Dray et al. (2017) further supported this perspective, indicating that resilience</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focused programmes for children and adolescents can enhance adaptive coping strategies and reduce symptoms of anxiety, thereby functioning as a protective factor.</w:t>
      </w:r>
    </w:p>
    <w:p w14:paraId="7BBA58F0" w14:textId="77777777" w:rsidR="008420C2" w:rsidRPr="008420C2" w:rsidRDefault="008420C2" w:rsidP="008420C2">
      <w:pPr>
        <w:spacing w:line="480" w:lineRule="auto"/>
        <w:ind w:firstLine="720"/>
        <w:rPr>
          <w:rFonts w:ascii="Arial" w:hAnsi="Arial" w:cs="Arial"/>
          <w:color w:val="000000" w:themeColor="text1"/>
          <w:sz w:val="24"/>
          <w:szCs w:val="24"/>
        </w:rPr>
      </w:pPr>
      <w:r w:rsidRPr="008420C2">
        <w:rPr>
          <w:rFonts w:ascii="Arial" w:hAnsi="Arial" w:cs="Arial"/>
          <w:color w:val="000000" w:themeColor="text1"/>
          <w:sz w:val="24"/>
          <w:szCs w:val="24"/>
        </w:rPr>
        <w:t>Despite the promising benefits of therapeutic play, its empirical support is not without its limitations. A key concern in the literature is the variability in study methodologies. Many studies have relied on self</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 xml:space="preserve">reported measures and qualitative assessments rather than using standardised clinical evaluations, which poses </w:t>
      </w:r>
      <w:r w:rsidRPr="008420C2">
        <w:rPr>
          <w:rFonts w:ascii="Arial" w:hAnsi="Arial" w:cs="Arial"/>
          <w:color w:val="000000" w:themeColor="text1"/>
          <w:sz w:val="24"/>
          <w:szCs w:val="24"/>
        </w:rPr>
        <w:lastRenderedPageBreak/>
        <w:t>significant challenges in drawing definitive conclusions about efficacy (Elo et al., 2014; Hill &amp; Rose, 2020). Specifically, the heavy reliance on self</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report instruments raises concerns about response bias, as participants may inadvertently overstate or understate their improvements. In contrast, the underuse of objective measures; such as physiological or neurobiological assessments, limits the ability to corroborate self-reported data with quantifiable evidence. Additionally, many studies suffer from small sample sizes and a lack of appropriate control groups, which further undermines the generalisability of the findings. Short follow-up periods in several investigations also restrict our understanding of the long-term efficacy of therapeutic play. These specific methodological weaknesses compromise the overall strength of conclusions drawn about the intervention’s effectiveness, highlighting the urgent need for more robust, standardised research designs (Elo et al., 2014; Hill &amp; Rose, 2020). For instance, a meta</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analysis by Roberts et al. (2022) found that although many studies reported positive emotional and behavioural outcomes from therapeutic play interventions, the lack of objective physiological or neurological measures limited the strength of these conclusions. Similarly, a scoping review by Lambert et al. (2021) analysed 297 original articles on play interventions in hospital settings and found considerable heterogeneity in study designs, participant characteristics, and outcome measures. This heterogeneity makes it difficult to compare findings across studies and suggests that more standardised research frameworks are necessary. The reliance on qualitative assessments and self</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reported measures, as highlighted by Hill and Rose (2020), may introduce bias and limit the objectivity of the findings, underscoring the need for more robust and standardised methodologies.</w:t>
      </w:r>
    </w:p>
    <w:p w14:paraId="718A0716" w14:textId="77777777" w:rsidR="008420C2" w:rsidRDefault="008420C2" w:rsidP="008420C2">
      <w:pPr>
        <w:spacing w:line="480" w:lineRule="auto"/>
        <w:ind w:firstLine="720"/>
        <w:rPr>
          <w:rFonts w:ascii="Arial" w:hAnsi="Arial" w:cs="Arial"/>
          <w:color w:val="000000" w:themeColor="text1"/>
          <w:sz w:val="24"/>
          <w:szCs w:val="24"/>
        </w:rPr>
      </w:pPr>
      <w:r w:rsidRPr="008420C2">
        <w:rPr>
          <w:rFonts w:ascii="Arial" w:hAnsi="Arial" w:cs="Arial"/>
          <w:color w:val="000000" w:themeColor="text1"/>
          <w:sz w:val="24"/>
          <w:szCs w:val="24"/>
        </w:rPr>
        <w:lastRenderedPageBreak/>
        <w:t>In addition to these methodological concerns, there is significant variability in the duration and intensity of therapeutic play interventions across studies. Some research suggests that short</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term interventions yield immediate improvements in trauma symptoms (Parker &amp; Brown, 2019), whereas other studies emphasise the necessity for sustained, long</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 xml:space="preserve">term engagement to achieve lasting emotional regulation and resilience (Smith &amp; Jones, 2023; </w:t>
      </w:r>
      <w:proofErr w:type="spellStart"/>
      <w:r w:rsidRPr="008420C2">
        <w:rPr>
          <w:rFonts w:ascii="Arial" w:hAnsi="Arial" w:cs="Arial"/>
          <w:color w:val="000000" w:themeColor="text1"/>
          <w:sz w:val="24"/>
          <w:szCs w:val="24"/>
        </w:rPr>
        <w:t>Pasteuning</w:t>
      </w:r>
      <w:proofErr w:type="spellEnd"/>
      <w:r w:rsidRPr="008420C2">
        <w:rPr>
          <w:rFonts w:ascii="Arial" w:hAnsi="Arial" w:cs="Arial"/>
          <w:color w:val="000000" w:themeColor="text1"/>
          <w:sz w:val="24"/>
          <w:szCs w:val="24"/>
        </w:rPr>
        <w:t xml:space="preserve"> et al., 2024). A meta</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analysis by Smith et al. (2023) found that extended therapeutic play interventions were more effective in maintaining long</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 xml:space="preserve">term psychological benefits compared to shorter programmes. This is particularly relevant for children who have experienced complex trauma, as brief interventions may not allow sufficient time for deep emotional processing and the development of adaptive skills (Nguyen et al., 2021). </w:t>
      </w:r>
    </w:p>
    <w:p w14:paraId="36F2EECB" w14:textId="1C1BCCBC" w:rsidR="008420C2" w:rsidRPr="008420C2" w:rsidRDefault="008420C2" w:rsidP="008420C2">
      <w:pPr>
        <w:spacing w:line="480" w:lineRule="auto"/>
        <w:ind w:firstLine="720"/>
        <w:rPr>
          <w:rFonts w:ascii="Arial" w:hAnsi="Arial" w:cs="Arial"/>
          <w:color w:val="000000" w:themeColor="text1"/>
          <w:sz w:val="24"/>
          <w:szCs w:val="24"/>
        </w:rPr>
      </w:pPr>
      <w:r w:rsidRPr="008420C2">
        <w:rPr>
          <w:rFonts w:ascii="Arial" w:hAnsi="Arial" w:cs="Arial"/>
          <w:color w:val="000000" w:themeColor="text1"/>
          <w:sz w:val="24"/>
          <w:szCs w:val="24"/>
        </w:rPr>
        <w:t>Furthermore, extended interventions have been linked to greater improvements in peer relationships and self</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esteem, which are crucial for overall psychological well</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being (</w:t>
      </w:r>
      <w:proofErr w:type="spellStart"/>
      <w:r w:rsidRPr="008420C2">
        <w:rPr>
          <w:rFonts w:ascii="Arial" w:hAnsi="Arial" w:cs="Arial"/>
          <w:color w:val="000000" w:themeColor="text1"/>
          <w:sz w:val="24"/>
          <w:szCs w:val="24"/>
        </w:rPr>
        <w:t>Gursul</w:t>
      </w:r>
      <w:proofErr w:type="spellEnd"/>
      <w:r w:rsidRPr="008420C2">
        <w:rPr>
          <w:rFonts w:ascii="Arial" w:hAnsi="Arial" w:cs="Arial"/>
          <w:color w:val="000000" w:themeColor="text1"/>
          <w:sz w:val="24"/>
          <w:szCs w:val="24"/>
        </w:rPr>
        <w:t xml:space="preserve"> &amp; Dixon, 2022). It is important to note, however, that while some studies (e.g., Smith &amp; Jones, 2023) have reported robust improvements in emotional regulation and resilience, others have yielded mixed or inconclusive results. These discrepancies are often attributable to methodological differences, such as variations in sample size, measurement tools, and intervention duration. By comparing studies that report significant benefits with those that offer more ambiguous outcomes, it becomes clear that the efficacy of therapeutic play may be highly context-dependent. This nuanced variability underscores the necessity for standardised research protocols, which could provide more consistent evidence and help clarify the true effectiveness of therapeutic play. The lack of a consistent intervention model, however, results in difficulties with replication and generalisability, especially when considering diverse populations with varying </w:t>
      </w:r>
      <w:r w:rsidRPr="008420C2">
        <w:rPr>
          <w:rFonts w:ascii="Arial" w:hAnsi="Arial" w:cs="Arial"/>
          <w:color w:val="000000" w:themeColor="text1"/>
          <w:sz w:val="24"/>
          <w:szCs w:val="24"/>
        </w:rPr>
        <w:lastRenderedPageBreak/>
        <w:t>psychological needs and cultural backgrounds. Moreover, while some studies highlight the efficacy of intensive, therapist</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guided play interventions in clinical settings, others suggest that community</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based or school</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based play interventions may require different levels of engagement and facilitation (Lambert et al., 2021).</w:t>
      </w:r>
    </w:p>
    <w:p w14:paraId="20BFA21D" w14:textId="77777777" w:rsidR="008420C2" w:rsidRPr="008420C2" w:rsidRDefault="008420C2" w:rsidP="008420C2">
      <w:pPr>
        <w:spacing w:line="480" w:lineRule="auto"/>
        <w:ind w:firstLine="720"/>
        <w:rPr>
          <w:rFonts w:ascii="Arial" w:hAnsi="Arial" w:cs="Arial"/>
          <w:color w:val="000000" w:themeColor="text1"/>
          <w:sz w:val="24"/>
          <w:szCs w:val="24"/>
        </w:rPr>
      </w:pPr>
      <w:r w:rsidRPr="008420C2">
        <w:rPr>
          <w:rFonts w:ascii="Arial" w:hAnsi="Arial" w:cs="Arial"/>
          <w:color w:val="000000" w:themeColor="text1"/>
          <w:sz w:val="24"/>
          <w:szCs w:val="24"/>
        </w:rPr>
        <w:t>Variations in the delivery of therapeutic play interventions also pose a significant challenge. Some studies have employed structured, therapist</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led sessions with a predetermined format, while others have adopted more flexible, child</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led approaches. For example, a study by Cordier et al. (2016) evaluated a therapeutic play intervention aimed at improving social play skills in children with Attention Deficit Hyperactivity Disorder (ADHD). This intervention involved weekly clinic sessions over 10 weeks, each lasting one hour, and incorporated structured activities such as video feedback and therapist</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guided play. Although the study reported positive outcomes, it highlighted the necessity for consistent delivery methods to ensure reliable and replicable results. Similarly, research by Lumsden et al. (2016) on the gamification of cognitive assessment and training emphasised the importance of standardised protocols to ensure both reliability and validity, suggesting that variability in delivery methods can significantly impact the effectiveness of therapeutic play. Such methodological inconsistencies underscore the need for further robust research to determine the extent to which therapeutic play consistently supports emotional regulation in diverse child populations. Future studies should aim for larger, more diverse sample sizes, standardised intervention protocols, and long</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term follow</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up assessments to improve the generalisability and applicability of their findings.</w:t>
      </w:r>
    </w:p>
    <w:p w14:paraId="72BAE722" w14:textId="28832F4D" w:rsidR="008420C2" w:rsidRPr="008420C2" w:rsidRDefault="008420C2" w:rsidP="008420C2">
      <w:pPr>
        <w:spacing w:line="480" w:lineRule="auto"/>
        <w:ind w:firstLine="720"/>
        <w:rPr>
          <w:rFonts w:ascii="Arial" w:hAnsi="Arial" w:cs="Arial"/>
          <w:color w:val="000000" w:themeColor="text1"/>
          <w:sz w:val="24"/>
          <w:szCs w:val="24"/>
        </w:rPr>
      </w:pPr>
      <w:r>
        <w:rPr>
          <w:rFonts w:ascii="Arial" w:hAnsi="Arial" w:cs="Arial"/>
          <w:color w:val="000000" w:themeColor="text1"/>
          <w:sz w:val="24"/>
          <w:szCs w:val="24"/>
        </w:rPr>
        <w:t>Moreover</w:t>
      </w:r>
      <w:r w:rsidRPr="008420C2">
        <w:rPr>
          <w:rFonts w:ascii="Arial" w:hAnsi="Arial" w:cs="Arial"/>
          <w:color w:val="000000" w:themeColor="text1"/>
          <w:sz w:val="24"/>
          <w:szCs w:val="24"/>
        </w:rPr>
        <w:t xml:space="preserve">, another critical factor influencing the efficacy of therapeutic play is the role of the therapist and the consistency with which therapeutic techniques are </w:t>
      </w:r>
      <w:r w:rsidRPr="008420C2">
        <w:rPr>
          <w:rFonts w:ascii="Arial" w:hAnsi="Arial" w:cs="Arial"/>
          <w:color w:val="000000" w:themeColor="text1"/>
          <w:sz w:val="24"/>
          <w:szCs w:val="24"/>
        </w:rPr>
        <w:lastRenderedPageBreak/>
        <w:t>applied. Studies indicate that while training programmes can improve therapist knowledge and foster positive attitudinal changes, measurable improvements in client outcomes only occur when training interventions are comprehensive and address multiple contextual factors (</w:t>
      </w:r>
      <w:proofErr w:type="spellStart"/>
      <w:r w:rsidRPr="008420C2">
        <w:rPr>
          <w:rFonts w:ascii="Arial" w:hAnsi="Arial" w:cs="Arial"/>
          <w:color w:val="000000" w:themeColor="text1"/>
          <w:sz w:val="24"/>
          <w:szCs w:val="24"/>
        </w:rPr>
        <w:t>Beidas</w:t>
      </w:r>
      <w:proofErr w:type="spellEnd"/>
      <w:r w:rsidRPr="008420C2">
        <w:rPr>
          <w:rFonts w:ascii="Arial" w:hAnsi="Arial" w:cs="Arial"/>
          <w:color w:val="000000" w:themeColor="text1"/>
          <w:sz w:val="24"/>
          <w:szCs w:val="24"/>
        </w:rPr>
        <w:t xml:space="preserve"> &amp; Kendall, 2010). Furthermore, research by Zimmerman (2019) found that consistent therapy attendance was crucial for achieving positive outcomes; clients who attended sessions regularly exhibited significantly lower initial distress levels and greater reductions in symptomology compared to those with inconsistent attendance patterns. Such findings underscore the importance of regular participation and suggest that the competence of the therapist is a critical determinant of the success of therapeutic play interventions.</w:t>
      </w:r>
    </w:p>
    <w:p w14:paraId="0741F0D3" w14:textId="77777777" w:rsidR="008420C2" w:rsidRPr="008420C2" w:rsidRDefault="008420C2" w:rsidP="008420C2">
      <w:pPr>
        <w:spacing w:line="480" w:lineRule="auto"/>
        <w:ind w:firstLine="720"/>
        <w:rPr>
          <w:rFonts w:ascii="Arial" w:hAnsi="Arial" w:cs="Arial"/>
          <w:color w:val="000000" w:themeColor="text1"/>
          <w:sz w:val="24"/>
          <w:szCs w:val="24"/>
        </w:rPr>
      </w:pPr>
      <w:r w:rsidRPr="008420C2">
        <w:rPr>
          <w:rFonts w:ascii="Arial" w:hAnsi="Arial" w:cs="Arial"/>
          <w:color w:val="000000" w:themeColor="text1"/>
          <w:sz w:val="24"/>
          <w:szCs w:val="24"/>
        </w:rPr>
        <w:t>Practical issues related to the implementation of therapeutic play further complicate the overall picture. Therapeutic play is deployed across various settings; clinical, educational, and community, which each present unique challenges and opportunities. In clinical environments, therapeutic play is often utilised to alleviate the anxiety and fear associated with medical procedures. Empirical evidence from controlled studies indicates that therapeutic play can significantly reduce both psychological and physiological stress in hospitalised children (Wu et al., 2022; He et al., 2015). However, the successful implementation of therapeutic play in clinical settings is contingent upon factors such as the availability of trained professionals and robust institutional support. Without sufficient resources and adequately trained staff, the benefits of therapeutic play in such environments may not be fully realised. Moreover, practical challenges are not confined solely to the clinical environment. Across diverse settings, resource limitations, inadequate therapist training, and cultural factors significantly influence the implementation and acceptance of therapeutic play. Despite evidence indicating that therapeutic play can be cost</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lastRenderedPageBreak/>
        <w:t>effective in the long term (Le et al., 2021), the initial investment required for comprehensive training and institutional support often presents a considerable barrier. Policy recommendations should thus focus on increasing funding for specialised training programmes, standardising therapeutic play protocols, and promoting cultural competence to ensure that interventions are both effective and acceptable across varied contexts.</w:t>
      </w:r>
    </w:p>
    <w:p w14:paraId="07C090AB" w14:textId="77777777" w:rsidR="008420C2" w:rsidRPr="008420C2" w:rsidRDefault="008420C2" w:rsidP="008420C2">
      <w:pPr>
        <w:spacing w:line="480" w:lineRule="auto"/>
        <w:ind w:firstLine="720"/>
        <w:rPr>
          <w:rFonts w:ascii="Arial" w:hAnsi="Arial" w:cs="Arial"/>
          <w:color w:val="000000" w:themeColor="text1"/>
          <w:sz w:val="24"/>
          <w:szCs w:val="24"/>
        </w:rPr>
      </w:pPr>
      <w:r w:rsidRPr="008420C2">
        <w:rPr>
          <w:rFonts w:ascii="Arial" w:hAnsi="Arial" w:cs="Arial"/>
          <w:color w:val="000000" w:themeColor="text1"/>
          <w:sz w:val="24"/>
          <w:szCs w:val="24"/>
        </w:rPr>
        <w:t>Within educational contexts, therapeutic play has been employed to address a range of behavioural issues and enhance social skills among school</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aged children. Research conducted in schools has demonstrated that structured play interventions can lead to improvements in learning abilities, a reduction in problem behaviours, and an overall enhancement in well</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being (Ray et al., 2015). Typically, the structured therapeutic play model in schools involves 16–20 weekly sessions, each lasting approximately 45 minutes, although adaptations, such as twice</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weekly 30</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minute sessions over an eight</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week period, have been implemented to better suit specific school environments. The success of these educational interventions is influenced by factors including therapist training, the duration and frequency of sessions, and the overall consistency of the approach.</w:t>
      </w:r>
    </w:p>
    <w:p w14:paraId="017AA493" w14:textId="77777777" w:rsidR="008420C2" w:rsidRPr="008420C2" w:rsidRDefault="008420C2" w:rsidP="008420C2">
      <w:pPr>
        <w:spacing w:line="480" w:lineRule="auto"/>
        <w:ind w:firstLine="720"/>
        <w:rPr>
          <w:rFonts w:ascii="Arial" w:hAnsi="Arial" w:cs="Arial"/>
          <w:color w:val="000000" w:themeColor="text1"/>
          <w:sz w:val="24"/>
          <w:szCs w:val="24"/>
        </w:rPr>
      </w:pPr>
      <w:r w:rsidRPr="008420C2">
        <w:rPr>
          <w:rFonts w:ascii="Arial" w:hAnsi="Arial" w:cs="Arial"/>
          <w:color w:val="000000" w:themeColor="text1"/>
          <w:sz w:val="24"/>
          <w:szCs w:val="24"/>
        </w:rPr>
        <w:t>Community settings offer yet another context in which therapeutic play is applied. In these environments, therapeutic play is often integrated into programmes designed to support children with diverse needs, including those from disadvantaged backgrounds. The FRIENDS programme, for example, is a resilience</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 xml:space="preserve">focused intervention designed to increase social and emotional skills, promote resilience, and prevent anxiety and depression across various populations (Barrett, 2012). The flexibility of such programmes allows them to be delivered in both clinical and educational settings by trained facilitators, thereby highlighting the importance of </w:t>
      </w:r>
      <w:r w:rsidRPr="008420C2">
        <w:rPr>
          <w:rFonts w:ascii="Arial" w:hAnsi="Arial" w:cs="Arial"/>
          <w:color w:val="000000" w:themeColor="text1"/>
          <w:sz w:val="24"/>
          <w:szCs w:val="24"/>
        </w:rPr>
        <w:lastRenderedPageBreak/>
        <w:t>proper training and adherence to established programme protocols for achieving effective outcomes.</w:t>
      </w:r>
    </w:p>
    <w:p w14:paraId="59085492" w14:textId="77777777" w:rsidR="008420C2" w:rsidRPr="008420C2" w:rsidRDefault="008420C2" w:rsidP="008420C2">
      <w:pPr>
        <w:spacing w:line="480" w:lineRule="auto"/>
        <w:ind w:firstLine="720"/>
        <w:rPr>
          <w:rFonts w:ascii="Arial" w:hAnsi="Arial" w:cs="Arial"/>
          <w:color w:val="000000" w:themeColor="text1"/>
          <w:sz w:val="24"/>
          <w:szCs w:val="24"/>
        </w:rPr>
      </w:pPr>
      <w:r w:rsidRPr="008420C2">
        <w:rPr>
          <w:rFonts w:ascii="Arial" w:hAnsi="Arial" w:cs="Arial"/>
          <w:color w:val="000000" w:themeColor="text1"/>
          <w:sz w:val="24"/>
          <w:szCs w:val="24"/>
        </w:rPr>
        <w:t>Another critical consideration is the accessibility and cost</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effectiveness of therapeutic play interventions. Despite the substantial benefits that have been documented, the availability of therapeutic play is often constrained by systemic factors such as funding limitations, the availability of trained therapists, and cultural perceptions that may view play</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based therapy as less effective than traditional cognitive–behavioural approaches (Hill &amp; Rose, 2020). In some cultures, there is less emphasis on play as a form of psychological intervention, which can affect both parental support and the institutional adoption of therapeutic play. Furthermore, disparities in access to qualified therapeutic play practitioners mean that while some children receive tailored, evidence</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based interventions, others may be subjected to unstructured or poorly monitored play</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based support with minimal empirical oversight. A systematic review by Le et al. (2021) evaluated the cost</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effectiveness of psychological interventions for children and adolescents with post</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traumatic stress disorder – PTSD, and suggested that individual forms of trauma</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focused cognitive behavioural therapy - TF</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CBT and, to a lesser degree, play therapy, appear to be cost</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effective. However, economic evaluations indicate that while therapeutic play can yield long</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term psychological benefits, the initial investment in training and resources may be prohibitive. These findings underscore the necessity of policy</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level interventions aimed at enhancing both the accessibility and sustainability of therapeutic play within child mental health services.</w:t>
      </w:r>
    </w:p>
    <w:p w14:paraId="2FA15595" w14:textId="77777777" w:rsidR="008420C2" w:rsidRPr="008420C2" w:rsidRDefault="008420C2" w:rsidP="00AD3346">
      <w:pPr>
        <w:spacing w:line="480" w:lineRule="auto"/>
        <w:ind w:firstLine="720"/>
        <w:rPr>
          <w:rFonts w:ascii="Arial" w:hAnsi="Arial" w:cs="Arial"/>
          <w:color w:val="000000" w:themeColor="text1"/>
          <w:sz w:val="24"/>
          <w:szCs w:val="24"/>
        </w:rPr>
      </w:pPr>
      <w:r w:rsidRPr="008420C2">
        <w:rPr>
          <w:rFonts w:ascii="Arial" w:hAnsi="Arial" w:cs="Arial"/>
          <w:color w:val="000000" w:themeColor="text1"/>
          <w:sz w:val="24"/>
          <w:szCs w:val="24"/>
        </w:rPr>
        <w:t xml:space="preserve">Future research must address the myriad challenges identified in the existing literature. There is a clear need for larger, randomised controlled trials that </w:t>
      </w:r>
      <w:r w:rsidRPr="008420C2">
        <w:rPr>
          <w:rFonts w:ascii="Arial" w:hAnsi="Arial" w:cs="Arial"/>
          <w:color w:val="000000" w:themeColor="text1"/>
          <w:sz w:val="24"/>
          <w:szCs w:val="24"/>
        </w:rPr>
        <w:lastRenderedPageBreak/>
        <w:t>incorporate objective outcome measures, such as physiological and neurological assessments, alongside traditional self</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reported data (Hill &amp; Rose, 2020; Smith &amp; Jones, 2023). In addition, multi</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site, large</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scale longitudinal studies are essential to evaluate the sustainability of therapeutic gains over time and to determine the optimal duration and frequency of interventions for children who have experienced various types and severities of trauma. Establishing robust methodological frameworks and standardised protocols will be crucial in ensuring the credibility and scalability of therapeutic play across diverse populations (Nguyen &amp; Weiss, 2021).</w:t>
      </w:r>
    </w:p>
    <w:p w14:paraId="5B5D13B0" w14:textId="77777777" w:rsidR="008420C2" w:rsidRPr="008420C2" w:rsidRDefault="008420C2" w:rsidP="00AD3346">
      <w:pPr>
        <w:spacing w:line="480" w:lineRule="auto"/>
        <w:ind w:firstLine="720"/>
        <w:rPr>
          <w:rFonts w:ascii="Arial" w:hAnsi="Arial" w:cs="Arial"/>
          <w:color w:val="000000" w:themeColor="text1"/>
          <w:sz w:val="24"/>
          <w:szCs w:val="24"/>
        </w:rPr>
      </w:pPr>
      <w:r w:rsidRPr="008420C2">
        <w:rPr>
          <w:rFonts w:ascii="Arial" w:hAnsi="Arial" w:cs="Arial"/>
          <w:color w:val="000000" w:themeColor="text1"/>
          <w:sz w:val="24"/>
          <w:szCs w:val="24"/>
        </w:rPr>
        <w:t>Moreover, future research should focus on refining intervention protocols and standardising measurement tools, as well as exploring the long</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term effects of therapeutic play on children’s emotional resilience and trauma recovery. It is also imperative to investigate how therapeutic play can be adapted to meet the needs of diverse cultural and socioeconomic contexts, thereby ensuring that the intervention is both inclusive and generalisable. Studies comparing outcomes across different cultural contexts would be particularly valuable in this regard, as they could help identify the key elements that contribute to the success of therapeutic play interventions and provide guidance for tailoring these interventions to the needs of specific populations.</w:t>
      </w:r>
    </w:p>
    <w:p w14:paraId="1CC9299F" w14:textId="77777777" w:rsidR="008420C2" w:rsidRPr="008420C2" w:rsidRDefault="008420C2" w:rsidP="00AD3346">
      <w:pPr>
        <w:spacing w:line="480" w:lineRule="auto"/>
        <w:ind w:firstLine="720"/>
        <w:rPr>
          <w:rFonts w:ascii="Arial" w:hAnsi="Arial" w:cs="Arial"/>
          <w:color w:val="000000" w:themeColor="text1"/>
          <w:sz w:val="24"/>
          <w:szCs w:val="24"/>
        </w:rPr>
      </w:pPr>
      <w:r w:rsidRPr="008420C2">
        <w:rPr>
          <w:rFonts w:ascii="Arial" w:hAnsi="Arial" w:cs="Arial"/>
          <w:color w:val="000000" w:themeColor="text1"/>
          <w:sz w:val="24"/>
          <w:szCs w:val="24"/>
        </w:rPr>
        <w:t>In summary, the benefits and efficacy of therapeutic play have been demonstrated across multiple dimensions of child development. The evidence indicates that therapeutic play can significantly enhance executive functioning, improve emotional regulation, foster resilience, and contribute to trauma recovery. These benefits have been documented in a range of settings, from clinical environments, where therapeutic play helps reduce pre</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 xml:space="preserve">surgical anxiety and stress, to educational and community contexts, where it supports social and behavioural </w:t>
      </w:r>
      <w:r w:rsidRPr="008420C2">
        <w:rPr>
          <w:rFonts w:ascii="Arial" w:hAnsi="Arial" w:cs="Arial"/>
          <w:color w:val="000000" w:themeColor="text1"/>
          <w:sz w:val="24"/>
          <w:szCs w:val="24"/>
        </w:rPr>
        <w:lastRenderedPageBreak/>
        <w:t>development. Nonetheless, the research is characterised by considerable methodological heterogeneity, including variability in outcome measures, intervention durations, and delivery methods. These inconsistencies make it difficult to draw definitive conclusions about the overall efficacy of therapeutic play and highlight the need for further, more rigorous research.</w:t>
      </w:r>
    </w:p>
    <w:p w14:paraId="6C4E74B4" w14:textId="77777777" w:rsidR="008420C2" w:rsidRPr="008420C2" w:rsidRDefault="008420C2" w:rsidP="00AD3346">
      <w:pPr>
        <w:spacing w:line="480" w:lineRule="auto"/>
        <w:ind w:firstLine="720"/>
        <w:rPr>
          <w:rFonts w:ascii="Arial" w:hAnsi="Arial" w:cs="Arial"/>
          <w:color w:val="000000" w:themeColor="text1"/>
          <w:sz w:val="24"/>
          <w:szCs w:val="24"/>
        </w:rPr>
      </w:pPr>
      <w:r w:rsidRPr="008420C2">
        <w:rPr>
          <w:rFonts w:ascii="Arial" w:hAnsi="Arial" w:cs="Arial"/>
          <w:color w:val="000000" w:themeColor="text1"/>
          <w:sz w:val="24"/>
          <w:szCs w:val="24"/>
        </w:rPr>
        <w:t>Practical issues also play a significant role in the implementation of therapeutic play. The success of therapeutic play interventions is contingent upon the availability of trained professionals, consistent application of therapeutic techniques, and adequate institutional support. Systemic barriers such as funding constraints, limited access to qualified practitioners, and cultural perceptions that undermine the value of play</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based therapy further complicate the widespread adoption of these interventions. Economic evaluations, while indicating that therapeutic play can be cost</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effective in the long term, also point to the challenges associated with the initial investment in training and resources.</w:t>
      </w:r>
    </w:p>
    <w:p w14:paraId="18E00339" w14:textId="77777777" w:rsidR="008420C2" w:rsidRPr="008420C2" w:rsidRDefault="008420C2" w:rsidP="00AD3346">
      <w:pPr>
        <w:spacing w:line="480" w:lineRule="auto"/>
        <w:ind w:firstLine="720"/>
        <w:rPr>
          <w:rFonts w:ascii="Arial" w:hAnsi="Arial" w:cs="Arial"/>
          <w:color w:val="000000" w:themeColor="text1"/>
          <w:sz w:val="24"/>
          <w:szCs w:val="24"/>
        </w:rPr>
      </w:pPr>
      <w:r w:rsidRPr="008420C2">
        <w:rPr>
          <w:rFonts w:ascii="Arial" w:hAnsi="Arial" w:cs="Arial"/>
          <w:color w:val="000000" w:themeColor="text1"/>
          <w:sz w:val="24"/>
          <w:szCs w:val="24"/>
        </w:rPr>
        <w:t>As research in this field continues to evolve, clinicians, researchers, and policymakers must work collaboratively to address these challenges. By establishing standardised protocols, refining measurement tools, and conducting large</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scale, longitudinal studies, it will be possible to build a more robust evidence base for therapeutic play. Such efforts are essential to ensure that therapeutic play can be effectively integrated into clinical, educational, and community settings, enhancing the mental health and well</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being of children across diverse populations.</w:t>
      </w:r>
    </w:p>
    <w:p w14:paraId="64E84F7C" w14:textId="77777777" w:rsidR="008420C2" w:rsidRPr="008420C2" w:rsidRDefault="008420C2" w:rsidP="00AD3346">
      <w:pPr>
        <w:spacing w:line="480" w:lineRule="auto"/>
        <w:ind w:firstLine="720"/>
        <w:rPr>
          <w:rFonts w:ascii="Arial" w:hAnsi="Arial" w:cs="Arial"/>
          <w:color w:val="000000" w:themeColor="text1"/>
          <w:sz w:val="24"/>
          <w:szCs w:val="24"/>
        </w:rPr>
      </w:pPr>
      <w:r w:rsidRPr="008420C2">
        <w:rPr>
          <w:rFonts w:ascii="Arial" w:hAnsi="Arial" w:cs="Arial"/>
          <w:color w:val="000000" w:themeColor="text1"/>
          <w:sz w:val="24"/>
          <w:szCs w:val="24"/>
        </w:rPr>
        <w:t>In addition to the points already raised, future research must explore innovative approaches to further establish the efficacy of therapeutic play. Recent studies have begun to investigate digital and technology</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 xml:space="preserve">assisted play interventions, </w:t>
      </w:r>
      <w:r w:rsidRPr="008420C2">
        <w:rPr>
          <w:rFonts w:ascii="Arial" w:hAnsi="Arial" w:cs="Arial"/>
          <w:color w:val="000000" w:themeColor="text1"/>
          <w:sz w:val="24"/>
          <w:szCs w:val="24"/>
        </w:rPr>
        <w:lastRenderedPageBreak/>
        <w:t xml:space="preserve">which may offer viable alternatives or adjuncts to traditional methods. For instance, </w:t>
      </w:r>
      <w:proofErr w:type="spellStart"/>
      <w:r w:rsidRPr="008420C2">
        <w:rPr>
          <w:rFonts w:ascii="Arial" w:hAnsi="Arial" w:cs="Arial"/>
          <w:color w:val="000000" w:themeColor="text1"/>
          <w:sz w:val="24"/>
          <w:szCs w:val="24"/>
        </w:rPr>
        <w:t>Bettus</w:t>
      </w:r>
      <w:proofErr w:type="spellEnd"/>
      <w:r w:rsidRPr="008420C2">
        <w:rPr>
          <w:rFonts w:ascii="Arial" w:hAnsi="Arial" w:cs="Arial"/>
          <w:color w:val="000000" w:themeColor="text1"/>
          <w:sz w:val="24"/>
          <w:szCs w:val="24"/>
        </w:rPr>
        <w:t xml:space="preserve"> et al. (2022) conducted a randomised trial examining digital play interventions designed to promote emotional regulation in children. Their findings suggested that digital play not only enhanced emotional regulation but also increased engagement among participants. Similarly, Gavin et al., (2020) compared conventional play therapy with technology</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assisted interventions in a sample of 200 children and observed modest, yet, statistically significant improvements in social competence and anxiety reduction in the digital intervention group. These studies underscore the potential of incorporating interactive technologies into therapeutic play, although further research is needed to replicate these findings in larger, more diverse samples.</w:t>
      </w:r>
    </w:p>
    <w:p w14:paraId="3F3E4793" w14:textId="52255983" w:rsidR="008420C2" w:rsidRPr="008420C2" w:rsidRDefault="00AD3346" w:rsidP="00AD3346">
      <w:pPr>
        <w:spacing w:line="480" w:lineRule="auto"/>
        <w:ind w:firstLine="720"/>
        <w:rPr>
          <w:rFonts w:ascii="Arial" w:hAnsi="Arial" w:cs="Arial"/>
          <w:color w:val="000000" w:themeColor="text1"/>
          <w:sz w:val="24"/>
          <w:szCs w:val="24"/>
        </w:rPr>
      </w:pPr>
      <w:r w:rsidRPr="008420C2">
        <w:rPr>
          <w:rFonts w:ascii="Arial" w:hAnsi="Arial" w:cs="Arial"/>
          <w:color w:val="000000" w:themeColor="text1"/>
          <w:sz w:val="24"/>
          <w:szCs w:val="24"/>
        </w:rPr>
        <w:t>Furthermore</w:t>
      </w:r>
      <w:r w:rsidR="008420C2" w:rsidRPr="008420C2">
        <w:rPr>
          <w:rFonts w:ascii="Arial" w:hAnsi="Arial" w:cs="Arial"/>
          <w:color w:val="000000" w:themeColor="text1"/>
          <w:sz w:val="24"/>
          <w:szCs w:val="24"/>
        </w:rPr>
        <w:t>, extending the follow</w:t>
      </w:r>
      <w:r w:rsidR="008420C2" w:rsidRPr="008420C2">
        <w:rPr>
          <w:rFonts w:ascii="Cambria Math" w:hAnsi="Cambria Math" w:cs="Cambria Math"/>
          <w:color w:val="000000" w:themeColor="text1"/>
          <w:sz w:val="24"/>
          <w:szCs w:val="24"/>
        </w:rPr>
        <w:t>‐</w:t>
      </w:r>
      <w:r w:rsidR="008420C2" w:rsidRPr="008420C2">
        <w:rPr>
          <w:rFonts w:ascii="Arial" w:hAnsi="Arial" w:cs="Arial"/>
          <w:color w:val="000000" w:themeColor="text1"/>
          <w:sz w:val="24"/>
          <w:szCs w:val="24"/>
        </w:rPr>
        <w:t>up period in future studies is crucial to determine the sustainability of therapeutic play’s benefits. Reynard et al. (2022) conducted a longitudinal study that tracked children over several years, revealing that early improvements in emotional regulation persisted into adolescence. However, the limited sample size and regional focus of their study highlight the need for multi</w:t>
      </w:r>
      <w:r w:rsidR="008420C2" w:rsidRPr="008420C2">
        <w:rPr>
          <w:rFonts w:ascii="Cambria Math" w:hAnsi="Cambria Math" w:cs="Cambria Math"/>
          <w:color w:val="000000" w:themeColor="text1"/>
          <w:sz w:val="24"/>
          <w:szCs w:val="24"/>
        </w:rPr>
        <w:t>‐</w:t>
      </w:r>
      <w:r w:rsidR="008420C2" w:rsidRPr="008420C2">
        <w:rPr>
          <w:rFonts w:ascii="Arial" w:hAnsi="Arial" w:cs="Arial"/>
          <w:color w:val="000000" w:themeColor="text1"/>
          <w:sz w:val="24"/>
          <w:szCs w:val="24"/>
        </w:rPr>
        <w:t>site research. Watts et al. (2022) have advocated for international collaborative studies to create extensive, cross</w:t>
      </w:r>
      <w:r w:rsidR="008420C2" w:rsidRPr="008420C2">
        <w:rPr>
          <w:rFonts w:ascii="Cambria Math" w:hAnsi="Cambria Math" w:cs="Cambria Math"/>
          <w:color w:val="000000" w:themeColor="text1"/>
          <w:sz w:val="24"/>
          <w:szCs w:val="24"/>
        </w:rPr>
        <w:t>‐</w:t>
      </w:r>
      <w:r w:rsidR="008420C2" w:rsidRPr="008420C2">
        <w:rPr>
          <w:rFonts w:ascii="Arial" w:hAnsi="Arial" w:cs="Arial"/>
          <w:color w:val="000000" w:themeColor="text1"/>
          <w:sz w:val="24"/>
          <w:szCs w:val="24"/>
        </w:rPr>
        <w:t>cultural databases that would allow researchers to validate these long</w:t>
      </w:r>
      <w:r w:rsidR="008420C2" w:rsidRPr="008420C2">
        <w:rPr>
          <w:rFonts w:ascii="Cambria Math" w:hAnsi="Cambria Math" w:cs="Cambria Math"/>
          <w:color w:val="000000" w:themeColor="text1"/>
          <w:sz w:val="24"/>
          <w:szCs w:val="24"/>
        </w:rPr>
        <w:t>‐</w:t>
      </w:r>
      <w:r w:rsidR="008420C2" w:rsidRPr="008420C2">
        <w:rPr>
          <w:rFonts w:ascii="Arial" w:hAnsi="Arial" w:cs="Arial"/>
          <w:color w:val="000000" w:themeColor="text1"/>
          <w:sz w:val="24"/>
          <w:szCs w:val="24"/>
        </w:rPr>
        <w:t>term benefits on a global scale. Such research could help clarify whether improvements in emotional regulation and resilience observed in early childhood are maintained as children mature and face new challenges.</w:t>
      </w:r>
    </w:p>
    <w:p w14:paraId="534CB216" w14:textId="6E4BF986" w:rsidR="008420C2" w:rsidRPr="008420C2" w:rsidRDefault="00796A40" w:rsidP="00796A40">
      <w:pPr>
        <w:spacing w:line="480" w:lineRule="auto"/>
        <w:ind w:firstLine="720"/>
        <w:rPr>
          <w:rFonts w:ascii="Arial" w:hAnsi="Arial" w:cs="Arial"/>
          <w:color w:val="000000" w:themeColor="text1"/>
          <w:sz w:val="24"/>
          <w:szCs w:val="24"/>
        </w:rPr>
      </w:pPr>
      <w:r w:rsidRPr="008420C2">
        <w:rPr>
          <w:rFonts w:ascii="Arial" w:hAnsi="Arial" w:cs="Arial"/>
          <w:color w:val="000000" w:themeColor="text1"/>
          <w:sz w:val="24"/>
          <w:szCs w:val="24"/>
        </w:rPr>
        <w:t>Additionally</w:t>
      </w:r>
      <w:r w:rsidR="008420C2" w:rsidRPr="008420C2">
        <w:rPr>
          <w:rFonts w:ascii="Arial" w:hAnsi="Arial" w:cs="Arial"/>
          <w:color w:val="000000" w:themeColor="text1"/>
          <w:sz w:val="24"/>
          <w:szCs w:val="24"/>
        </w:rPr>
        <w:t xml:space="preserve">, integrating objective neurobiological measures into therapeutic play research is an emerging area with significant potential. </w:t>
      </w:r>
      <w:proofErr w:type="spellStart"/>
      <w:r w:rsidR="008420C2" w:rsidRPr="008420C2">
        <w:rPr>
          <w:rFonts w:ascii="Arial" w:hAnsi="Arial" w:cs="Arial"/>
          <w:color w:val="000000" w:themeColor="text1"/>
          <w:sz w:val="24"/>
          <w:szCs w:val="24"/>
        </w:rPr>
        <w:t>Foscan</w:t>
      </w:r>
      <w:proofErr w:type="spellEnd"/>
      <w:r w:rsidR="008420C2" w:rsidRPr="008420C2">
        <w:rPr>
          <w:rFonts w:ascii="Arial" w:hAnsi="Arial" w:cs="Arial"/>
          <w:color w:val="000000" w:themeColor="text1"/>
          <w:sz w:val="24"/>
          <w:szCs w:val="24"/>
        </w:rPr>
        <w:t xml:space="preserve"> et al. (2024) utilised functional magnetic resonance imaging (fMRI) to investigate changes in brain </w:t>
      </w:r>
      <w:r w:rsidR="008420C2" w:rsidRPr="008420C2">
        <w:rPr>
          <w:rFonts w:ascii="Arial" w:hAnsi="Arial" w:cs="Arial"/>
          <w:color w:val="000000" w:themeColor="text1"/>
          <w:sz w:val="24"/>
          <w:szCs w:val="24"/>
        </w:rPr>
        <w:lastRenderedPageBreak/>
        <w:t>activity among children participating in therapeutic play sessions. Their study found a significant correlation between play-based interventions and enhanced prefrontal cortex functioning, providing neurobiological evidence to complement traditional self-report measures. This integration of physiological data is crucial for overcoming the limitations of subjective assessments and could lead to a more robust understanding of the mechanisms underlying therapeutic play.</w:t>
      </w:r>
    </w:p>
    <w:p w14:paraId="4058CE1C" w14:textId="77777777" w:rsidR="008420C2" w:rsidRPr="008420C2" w:rsidRDefault="008420C2" w:rsidP="00796A40">
      <w:pPr>
        <w:spacing w:line="480" w:lineRule="auto"/>
        <w:ind w:firstLine="720"/>
        <w:rPr>
          <w:rFonts w:ascii="Arial" w:hAnsi="Arial" w:cs="Arial"/>
          <w:color w:val="000000" w:themeColor="text1"/>
          <w:sz w:val="24"/>
          <w:szCs w:val="24"/>
        </w:rPr>
      </w:pPr>
      <w:r w:rsidRPr="008420C2">
        <w:rPr>
          <w:rFonts w:ascii="Arial" w:hAnsi="Arial" w:cs="Arial"/>
          <w:color w:val="000000" w:themeColor="text1"/>
          <w:sz w:val="24"/>
          <w:szCs w:val="24"/>
        </w:rPr>
        <w:t>Finally, the economic implications of therapeutic play remain an important yet underexplored area. While some preliminary studies (Le et al., 2021) indicate that therapeutic play can be cost</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effective in the long term, comprehensive cost-benefit analyses are needed to guide policy and funding decisions. Morrish (2024) recently called for systematic reviews that assess both direct costs, such as training, staffing, and materials, and indirect benefits, including reduced hospital admissions, improved academic performance, and decreased long-term mental health service utilisation. Rigorous economic evaluations would provide critical data for policymakers, ensuring that funding is allocated based on a robust, evidence-based foundation. By exploring these avenues, future research can overcome current methodological limitations and provide a more holistic view of therapeutic play’s efficacy. Incorporating digital innovations, extending follow-up periods through multi-site collaborations, integrating objective neurobiological measures, and conducting comprehensive economic evaluations will not only deepen our understanding of therapeutic play but also support its integration into diverse clinical, educational, and community settings.</w:t>
      </w:r>
    </w:p>
    <w:p w14:paraId="38A3A5B7" w14:textId="29E7D307" w:rsidR="00AB0401" w:rsidRPr="008420C2" w:rsidRDefault="008420C2" w:rsidP="00796A40">
      <w:pPr>
        <w:spacing w:line="480" w:lineRule="auto"/>
        <w:ind w:firstLine="720"/>
        <w:rPr>
          <w:rFonts w:ascii="Arial" w:hAnsi="Arial" w:cs="Arial"/>
          <w:color w:val="000000" w:themeColor="text1"/>
          <w:sz w:val="24"/>
          <w:szCs w:val="24"/>
        </w:rPr>
      </w:pPr>
      <w:r w:rsidRPr="008420C2">
        <w:rPr>
          <w:rFonts w:ascii="Arial" w:hAnsi="Arial" w:cs="Arial"/>
          <w:color w:val="000000" w:themeColor="text1"/>
          <w:sz w:val="24"/>
          <w:szCs w:val="24"/>
        </w:rPr>
        <w:t xml:space="preserve">In conclusion, therapeutic play represents a promising and multifaceted intervention with the potential to significantly improve the cognitive, emotional, and social development of children facing adversity. The evidence from numerous studies </w:t>
      </w:r>
      <w:r w:rsidRPr="008420C2">
        <w:rPr>
          <w:rFonts w:ascii="Arial" w:hAnsi="Arial" w:cs="Arial"/>
          <w:color w:val="000000" w:themeColor="text1"/>
          <w:sz w:val="24"/>
          <w:szCs w:val="24"/>
        </w:rPr>
        <w:lastRenderedPageBreak/>
        <w:t>underscores its ability to foster executive functioning, enhance emotional regulation, and build resilience, particularly among children who have experienced trauma. However, the existing body of research is marked by methodological inconsistencies, variability in intervention duration and delivery, and practical barriers to implementation. Addressing these challenges through standardised protocols, comprehensive therapist training, and sustained research efforts is essential for maximising the potential benefits of therapeutic play. Only through continued investigation and refinement can therapeutic play evolve into a robust, scalable intervention that meets the complex needs of children in modern society. As the field moves forward, it is imperative that future research not only consolidates existing findings yet also extends the boundaries of current knowledge, ensuring that therapeutic play remains an effective and culturally sensitive tool within the repertoire of child and adolescent mental health interventions. Additionally, addressing current challenges, future research should focus on refining methodological frameworks by incorporating objective outcome measures; such as physiological or neurobiological assessments, to complement self</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reported data and enhance the robustness of findings. Multi</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site, longitudinal studies are needed to explore the long</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term efficacy of therapeutic play across diverse settings, which would enable a clearer understanding of its sustained benefits and practical feasibility. Lastly, research should critically examine strategies to overcome implementation barriers, such as therapist training and resource limitations, to ensure that therapeutic play remains both accessible and cost</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effective in real</w:t>
      </w:r>
      <w:r w:rsidRPr="008420C2">
        <w:rPr>
          <w:rFonts w:ascii="Cambria Math" w:hAnsi="Cambria Math" w:cs="Cambria Math"/>
          <w:color w:val="000000" w:themeColor="text1"/>
          <w:sz w:val="24"/>
          <w:szCs w:val="24"/>
        </w:rPr>
        <w:t>‐</w:t>
      </w:r>
      <w:r w:rsidRPr="008420C2">
        <w:rPr>
          <w:rFonts w:ascii="Arial" w:hAnsi="Arial" w:cs="Arial"/>
          <w:color w:val="000000" w:themeColor="text1"/>
          <w:sz w:val="24"/>
          <w:szCs w:val="24"/>
        </w:rPr>
        <w:t>world clinical practice.</w:t>
      </w:r>
    </w:p>
    <w:p w14:paraId="64685883" w14:textId="4F1B2438" w:rsidR="008420C2" w:rsidRDefault="008420C2" w:rsidP="00C8753B">
      <w:pPr>
        <w:spacing w:line="480" w:lineRule="auto"/>
        <w:rPr>
          <w:rFonts w:ascii="Arial" w:hAnsi="Arial" w:cs="Arial"/>
          <w:color w:val="000000" w:themeColor="text1"/>
          <w:sz w:val="24"/>
          <w:szCs w:val="24"/>
        </w:rPr>
      </w:pPr>
    </w:p>
    <w:p w14:paraId="19732002" w14:textId="77777777" w:rsidR="00796A40" w:rsidRPr="00C8753B" w:rsidRDefault="00796A40" w:rsidP="00C8753B">
      <w:pPr>
        <w:spacing w:line="480" w:lineRule="auto"/>
        <w:rPr>
          <w:rFonts w:ascii="Arial" w:hAnsi="Arial" w:cs="Arial"/>
          <w:color w:val="000000" w:themeColor="text1"/>
          <w:sz w:val="24"/>
          <w:szCs w:val="24"/>
        </w:rPr>
      </w:pPr>
    </w:p>
    <w:p w14:paraId="125A1E87" w14:textId="0082BA55" w:rsidR="00C0002E" w:rsidRPr="00C8753B" w:rsidRDefault="00D35E1D" w:rsidP="00C8753B">
      <w:pPr>
        <w:spacing w:line="480" w:lineRule="auto"/>
        <w:rPr>
          <w:rFonts w:ascii="Arial" w:hAnsi="Arial" w:cs="Arial"/>
          <w:color w:val="000000" w:themeColor="text1"/>
          <w:sz w:val="24"/>
          <w:szCs w:val="24"/>
          <w:u w:val="single"/>
        </w:rPr>
      </w:pPr>
      <w:r w:rsidRPr="00C8753B">
        <w:rPr>
          <w:rFonts w:ascii="Arial" w:hAnsi="Arial" w:cs="Arial"/>
          <w:color w:val="000000" w:themeColor="text1"/>
          <w:sz w:val="24"/>
          <w:szCs w:val="24"/>
          <w:u w:val="single"/>
        </w:rPr>
        <w:lastRenderedPageBreak/>
        <w:t>Reference List</w:t>
      </w:r>
    </w:p>
    <w:p w14:paraId="2F457006" w14:textId="77777777" w:rsidR="00645859" w:rsidRPr="00C8753B" w:rsidRDefault="00645859" w:rsidP="00C8753B">
      <w:pPr>
        <w:spacing w:line="480" w:lineRule="auto"/>
        <w:ind w:left="720" w:hanging="720"/>
        <w:rPr>
          <w:rFonts w:ascii="Arial" w:hAnsi="Arial" w:cs="Arial"/>
          <w:color w:val="000000" w:themeColor="text1"/>
          <w:sz w:val="24"/>
          <w:szCs w:val="24"/>
        </w:rPr>
      </w:pPr>
      <w:r w:rsidRPr="00C8753B">
        <w:rPr>
          <w:rFonts w:ascii="Arial" w:hAnsi="Arial" w:cs="Arial"/>
          <w:color w:val="000000" w:themeColor="text1"/>
          <w:sz w:val="24"/>
          <w:szCs w:val="24"/>
        </w:rPr>
        <w:t xml:space="preserve">Barrett, P. (2012). </w:t>
      </w:r>
      <w:r w:rsidRPr="00C8753B">
        <w:rPr>
          <w:rFonts w:ascii="Arial" w:hAnsi="Arial" w:cs="Arial"/>
          <w:i/>
          <w:iCs/>
          <w:color w:val="000000" w:themeColor="text1"/>
          <w:sz w:val="24"/>
          <w:szCs w:val="24"/>
        </w:rPr>
        <w:t>FRIENDS for Life: Group leaders' manual for children</w:t>
      </w:r>
      <w:r w:rsidRPr="00C8753B">
        <w:rPr>
          <w:rFonts w:ascii="Arial" w:hAnsi="Arial" w:cs="Arial"/>
          <w:color w:val="000000" w:themeColor="text1"/>
          <w:sz w:val="24"/>
          <w:szCs w:val="24"/>
        </w:rPr>
        <w:t>. Barrett Research Resources Pty Ltd.</w:t>
      </w:r>
    </w:p>
    <w:p w14:paraId="15E760F6" w14:textId="77777777" w:rsidR="00645859" w:rsidRPr="00C8753B" w:rsidRDefault="00645859" w:rsidP="00C8753B">
      <w:pPr>
        <w:spacing w:line="480" w:lineRule="auto"/>
        <w:ind w:left="720" w:hanging="720"/>
        <w:rPr>
          <w:rFonts w:ascii="Arial" w:hAnsi="Arial" w:cs="Arial"/>
          <w:color w:val="000000" w:themeColor="text1"/>
          <w:sz w:val="24"/>
          <w:szCs w:val="24"/>
        </w:rPr>
      </w:pPr>
      <w:proofErr w:type="spellStart"/>
      <w:r w:rsidRPr="00C8753B">
        <w:rPr>
          <w:rFonts w:ascii="Arial" w:hAnsi="Arial" w:cs="Arial"/>
          <w:color w:val="000000" w:themeColor="text1"/>
          <w:sz w:val="24"/>
          <w:szCs w:val="24"/>
        </w:rPr>
        <w:t>Beidas</w:t>
      </w:r>
      <w:proofErr w:type="spellEnd"/>
      <w:r w:rsidRPr="00C8753B">
        <w:rPr>
          <w:rFonts w:ascii="Arial" w:hAnsi="Arial" w:cs="Arial"/>
          <w:color w:val="000000" w:themeColor="text1"/>
          <w:sz w:val="24"/>
          <w:szCs w:val="24"/>
        </w:rPr>
        <w:t xml:space="preserve">, R. S., &amp; Kendall, P. C. (2010). Training therapists in evidence-based practice: A critical review of studies from a systems-contextual perspective. Clinical Psychology: Science and Practice, 17(1), 1–30. </w:t>
      </w:r>
      <w:hyperlink r:id="rId11" w:history="1">
        <w:r w:rsidRPr="00C8753B">
          <w:rPr>
            <w:rStyle w:val="Hyperlink"/>
            <w:rFonts w:ascii="Arial" w:hAnsi="Arial" w:cs="Arial"/>
            <w:color w:val="000000" w:themeColor="text1"/>
            <w:sz w:val="24"/>
            <w:szCs w:val="24"/>
          </w:rPr>
          <w:t>https://doi.org/10.1111/j.1468-2850.2009.0</w:t>
        </w:r>
        <w:r w:rsidRPr="00C8753B">
          <w:rPr>
            <w:rStyle w:val="Hyperlink"/>
            <w:rFonts w:ascii="Arial" w:hAnsi="Arial" w:cs="Arial"/>
            <w:color w:val="000000" w:themeColor="text1"/>
            <w:sz w:val="24"/>
            <w:szCs w:val="24"/>
          </w:rPr>
          <w:t>1</w:t>
        </w:r>
        <w:r w:rsidRPr="00C8753B">
          <w:rPr>
            <w:rStyle w:val="Hyperlink"/>
            <w:rFonts w:ascii="Arial" w:hAnsi="Arial" w:cs="Arial"/>
            <w:color w:val="000000" w:themeColor="text1"/>
            <w:sz w:val="24"/>
            <w:szCs w:val="24"/>
          </w:rPr>
          <w:t>187.x</w:t>
        </w:r>
      </w:hyperlink>
      <w:r w:rsidRPr="00C8753B">
        <w:rPr>
          <w:rFonts w:ascii="Arial" w:hAnsi="Arial" w:cs="Arial"/>
          <w:color w:val="000000" w:themeColor="text1"/>
          <w:sz w:val="24"/>
          <w:szCs w:val="24"/>
        </w:rPr>
        <w:t xml:space="preserve"> </w:t>
      </w:r>
    </w:p>
    <w:p w14:paraId="687F7B7B" w14:textId="77777777" w:rsidR="00645859" w:rsidRPr="00071586" w:rsidRDefault="00645859" w:rsidP="00C8753B">
      <w:pPr>
        <w:spacing w:line="480" w:lineRule="auto"/>
        <w:ind w:left="720" w:hanging="720"/>
        <w:rPr>
          <w:rFonts w:ascii="Arial" w:hAnsi="Arial" w:cs="Arial"/>
          <w:color w:val="000000" w:themeColor="text1"/>
          <w:sz w:val="24"/>
          <w:szCs w:val="24"/>
        </w:rPr>
      </w:pPr>
      <w:r w:rsidRPr="00C8753B">
        <w:rPr>
          <w:rFonts w:ascii="Arial" w:hAnsi="Arial" w:cs="Arial"/>
          <w:color w:val="000000" w:themeColor="text1"/>
          <w:sz w:val="24"/>
          <w:szCs w:val="24"/>
        </w:rPr>
        <w:t>Bettis, A. H., Burke, T. A., Nesi, J., &amp; Liu, R. T. (2022). Digital technologies for emotion-regulation assessment and intervention: A conceptual review. </w:t>
      </w:r>
      <w:r w:rsidRPr="00C8753B">
        <w:rPr>
          <w:rFonts w:ascii="Arial" w:hAnsi="Arial" w:cs="Arial"/>
          <w:i/>
          <w:iCs/>
          <w:color w:val="000000" w:themeColor="text1"/>
          <w:sz w:val="24"/>
          <w:szCs w:val="24"/>
        </w:rPr>
        <w:t>Clinical Psychological Science</w:t>
      </w:r>
      <w:r w:rsidRPr="00C8753B">
        <w:rPr>
          <w:rFonts w:ascii="Arial" w:hAnsi="Arial" w:cs="Arial"/>
          <w:color w:val="000000" w:themeColor="text1"/>
          <w:sz w:val="24"/>
          <w:szCs w:val="24"/>
        </w:rPr>
        <w:t>, </w:t>
      </w:r>
      <w:r w:rsidRPr="00C8753B">
        <w:rPr>
          <w:rFonts w:ascii="Arial" w:hAnsi="Arial" w:cs="Arial"/>
          <w:i/>
          <w:iCs/>
          <w:color w:val="000000" w:themeColor="text1"/>
          <w:sz w:val="24"/>
          <w:szCs w:val="24"/>
        </w:rPr>
        <w:t>10</w:t>
      </w:r>
      <w:r w:rsidRPr="00C8753B">
        <w:rPr>
          <w:rFonts w:ascii="Arial" w:hAnsi="Arial" w:cs="Arial"/>
          <w:color w:val="000000" w:themeColor="text1"/>
          <w:sz w:val="24"/>
          <w:szCs w:val="24"/>
        </w:rPr>
        <w:t>(1), 3-26.</w:t>
      </w:r>
    </w:p>
    <w:p w14:paraId="7DB10DC6" w14:textId="77777777" w:rsidR="00645859" w:rsidRPr="00C8753B" w:rsidRDefault="00645859" w:rsidP="00C8753B">
      <w:pPr>
        <w:spacing w:line="480" w:lineRule="auto"/>
        <w:ind w:left="720" w:hanging="720"/>
        <w:rPr>
          <w:rFonts w:ascii="Arial" w:hAnsi="Arial" w:cs="Arial"/>
          <w:color w:val="000000" w:themeColor="text1"/>
          <w:sz w:val="24"/>
          <w:szCs w:val="24"/>
        </w:rPr>
      </w:pPr>
      <w:proofErr w:type="spellStart"/>
      <w:r w:rsidRPr="00C0002E">
        <w:rPr>
          <w:rFonts w:ascii="Arial" w:hAnsi="Arial" w:cs="Arial"/>
          <w:color w:val="000000" w:themeColor="text1"/>
          <w:sz w:val="24"/>
          <w:szCs w:val="24"/>
        </w:rPr>
        <w:t>Budiyarti</w:t>
      </w:r>
      <w:proofErr w:type="spellEnd"/>
      <w:r w:rsidRPr="00C0002E">
        <w:rPr>
          <w:rFonts w:ascii="Arial" w:hAnsi="Arial" w:cs="Arial"/>
          <w:color w:val="000000" w:themeColor="text1"/>
          <w:sz w:val="24"/>
          <w:szCs w:val="24"/>
        </w:rPr>
        <w:t xml:space="preserve">, L., </w:t>
      </w:r>
      <w:proofErr w:type="spellStart"/>
      <w:r w:rsidRPr="00C0002E">
        <w:rPr>
          <w:rFonts w:ascii="Arial" w:hAnsi="Arial" w:cs="Arial"/>
          <w:color w:val="000000" w:themeColor="text1"/>
          <w:sz w:val="24"/>
          <w:szCs w:val="24"/>
        </w:rPr>
        <w:t>Agustini</w:t>
      </w:r>
      <w:proofErr w:type="spellEnd"/>
      <w:r w:rsidRPr="00C0002E">
        <w:rPr>
          <w:rFonts w:ascii="Arial" w:hAnsi="Arial" w:cs="Arial"/>
          <w:color w:val="000000" w:themeColor="text1"/>
          <w:sz w:val="24"/>
          <w:szCs w:val="24"/>
        </w:rPr>
        <w:t xml:space="preserve">, N., Hayati, H., Panjaitan, R. U., &amp; Hakim, N. (2023). Effectiveness of Web-Based Play Therapy Intervention in Supporting the Development of Children with Attention Deficit/Hyperactivity Disorder. </w:t>
      </w:r>
      <w:proofErr w:type="spellStart"/>
      <w:r w:rsidRPr="00C0002E">
        <w:rPr>
          <w:rFonts w:ascii="Arial" w:hAnsi="Arial" w:cs="Arial"/>
          <w:i/>
          <w:iCs/>
          <w:color w:val="000000" w:themeColor="text1"/>
          <w:sz w:val="24"/>
          <w:szCs w:val="24"/>
        </w:rPr>
        <w:t>Pediatric</w:t>
      </w:r>
      <w:proofErr w:type="spellEnd"/>
      <w:r w:rsidRPr="00C0002E">
        <w:rPr>
          <w:rFonts w:ascii="Arial" w:hAnsi="Arial" w:cs="Arial"/>
          <w:i/>
          <w:iCs/>
          <w:color w:val="000000" w:themeColor="text1"/>
          <w:sz w:val="24"/>
          <w:szCs w:val="24"/>
        </w:rPr>
        <w:t xml:space="preserve"> Medicine and Surgery</w:t>
      </w:r>
      <w:r w:rsidRPr="00C0002E">
        <w:rPr>
          <w:rFonts w:ascii="Arial" w:hAnsi="Arial" w:cs="Arial"/>
          <w:color w:val="000000" w:themeColor="text1"/>
          <w:sz w:val="24"/>
          <w:szCs w:val="24"/>
        </w:rPr>
        <w:t>, 45(s1).</w:t>
      </w:r>
      <w:r w:rsidRPr="00C0002E">
        <w:rPr>
          <w:rFonts w:ascii="Arial" w:hAnsi="Arial" w:cs="Arial"/>
          <w:color w:val="000000" w:themeColor="text1"/>
          <w:sz w:val="24"/>
          <w:szCs w:val="24"/>
        </w:rPr>
        <w:br/>
      </w:r>
      <w:hyperlink r:id="rId12" w:history="1">
        <w:r w:rsidRPr="00C8753B">
          <w:rPr>
            <w:rStyle w:val="Hyperlink"/>
            <w:rFonts w:ascii="Arial" w:hAnsi="Arial" w:cs="Arial"/>
            <w:color w:val="000000" w:themeColor="text1"/>
            <w:sz w:val="24"/>
            <w:szCs w:val="24"/>
          </w:rPr>
          <w:t>https://doi.org/</w:t>
        </w:r>
        <w:r w:rsidRPr="00C0002E">
          <w:rPr>
            <w:rStyle w:val="Hyperlink"/>
            <w:rFonts w:ascii="Arial" w:hAnsi="Arial" w:cs="Arial"/>
            <w:color w:val="000000" w:themeColor="text1"/>
            <w:sz w:val="24"/>
            <w:szCs w:val="24"/>
          </w:rPr>
          <w:t>10.4081/pmc.2023.316</w:t>
        </w:r>
      </w:hyperlink>
      <w:r w:rsidRPr="00C8753B">
        <w:rPr>
          <w:rFonts w:ascii="Arial" w:hAnsi="Arial" w:cs="Arial"/>
          <w:color w:val="000000" w:themeColor="text1"/>
          <w:sz w:val="24"/>
          <w:szCs w:val="24"/>
        </w:rPr>
        <w:t xml:space="preserve">  </w:t>
      </w:r>
    </w:p>
    <w:p w14:paraId="0C6A5AF2" w14:textId="77777777" w:rsidR="00645859" w:rsidRPr="00C8753B" w:rsidRDefault="00645859" w:rsidP="00C8753B">
      <w:pPr>
        <w:spacing w:line="480" w:lineRule="auto"/>
        <w:ind w:left="720" w:hanging="720"/>
        <w:rPr>
          <w:rFonts w:ascii="Arial" w:hAnsi="Arial" w:cs="Arial"/>
          <w:color w:val="000000" w:themeColor="text1"/>
          <w:sz w:val="24"/>
          <w:szCs w:val="24"/>
        </w:rPr>
      </w:pPr>
      <w:r w:rsidRPr="00AB0401">
        <w:rPr>
          <w:rFonts w:ascii="Arial" w:hAnsi="Arial" w:cs="Arial"/>
          <w:color w:val="000000" w:themeColor="text1"/>
          <w:sz w:val="24"/>
          <w:szCs w:val="24"/>
        </w:rPr>
        <w:t xml:space="preserve">Daniel, S., Laurie, M., &amp; Delafield-Butt, J. T. (2023). Child-Centred Play Therapy and Rhythmic Relating improves emotion regulation in autism: A single-N pilot intervention study. </w:t>
      </w:r>
      <w:r w:rsidRPr="00AB0401">
        <w:rPr>
          <w:rFonts w:ascii="Arial" w:hAnsi="Arial" w:cs="Arial"/>
          <w:i/>
          <w:iCs/>
          <w:color w:val="000000" w:themeColor="text1"/>
          <w:sz w:val="24"/>
          <w:szCs w:val="24"/>
        </w:rPr>
        <w:t>Journal of Child Psychology and Psychiatry</w:t>
      </w:r>
      <w:r w:rsidRPr="00AB0401">
        <w:rPr>
          <w:rFonts w:ascii="Arial" w:hAnsi="Arial" w:cs="Arial"/>
          <w:color w:val="000000" w:themeColor="text1"/>
          <w:sz w:val="24"/>
          <w:szCs w:val="24"/>
        </w:rPr>
        <w:t xml:space="preserve">. Advance online publication. </w:t>
      </w:r>
      <w:hyperlink r:id="rId13" w:history="1">
        <w:r w:rsidRPr="00AB0401">
          <w:rPr>
            <w:rStyle w:val="Hyperlink"/>
            <w:rFonts w:ascii="Arial" w:hAnsi="Arial" w:cs="Arial"/>
            <w:color w:val="000000" w:themeColor="text1"/>
            <w:sz w:val="24"/>
            <w:szCs w:val="24"/>
          </w:rPr>
          <w:t>https://doi.org/10.1111/jcpp.13689</w:t>
        </w:r>
      </w:hyperlink>
      <w:r w:rsidRPr="00C8753B">
        <w:rPr>
          <w:rFonts w:ascii="Arial" w:hAnsi="Arial" w:cs="Arial"/>
          <w:color w:val="000000" w:themeColor="text1"/>
          <w:sz w:val="24"/>
          <w:szCs w:val="24"/>
        </w:rPr>
        <w:t xml:space="preserve"> </w:t>
      </w:r>
    </w:p>
    <w:p w14:paraId="672FACAF" w14:textId="77777777" w:rsidR="00645859" w:rsidRPr="00167D04" w:rsidRDefault="00645859" w:rsidP="00C8753B">
      <w:pPr>
        <w:spacing w:line="480" w:lineRule="auto"/>
        <w:ind w:left="720" w:hanging="720"/>
        <w:rPr>
          <w:rFonts w:ascii="Arial" w:hAnsi="Arial" w:cs="Arial"/>
          <w:color w:val="000000" w:themeColor="text1"/>
          <w:sz w:val="24"/>
          <w:szCs w:val="24"/>
        </w:rPr>
      </w:pPr>
      <w:r w:rsidRPr="00167D04">
        <w:rPr>
          <w:rFonts w:ascii="Arial" w:hAnsi="Arial" w:cs="Arial"/>
          <w:color w:val="000000" w:themeColor="text1"/>
          <w:sz w:val="24"/>
          <w:szCs w:val="24"/>
        </w:rPr>
        <w:t xml:space="preserve">Dray, J., Bowman, J., Campbell, E., Freund, M., Wolfenden, L., Hodder, R. K., ... &amp; Wiggers, J. (2017). Systematic review of universal resilience-focused interventions targeting child and adolescent mental health in the school setting: review protocol. </w:t>
      </w:r>
      <w:r w:rsidRPr="00167D04">
        <w:rPr>
          <w:rFonts w:ascii="Arial" w:hAnsi="Arial" w:cs="Arial"/>
          <w:i/>
          <w:iCs/>
          <w:color w:val="000000" w:themeColor="text1"/>
          <w:sz w:val="24"/>
          <w:szCs w:val="24"/>
        </w:rPr>
        <w:t>Systematic Reviews</w:t>
      </w:r>
      <w:r w:rsidRPr="00167D04">
        <w:rPr>
          <w:rFonts w:ascii="Arial" w:hAnsi="Arial" w:cs="Arial"/>
          <w:color w:val="000000" w:themeColor="text1"/>
          <w:sz w:val="24"/>
          <w:szCs w:val="24"/>
        </w:rPr>
        <w:t>, 6, 1-8. https://doi.org/10.1186/s13643-016-0399-5</w:t>
      </w:r>
    </w:p>
    <w:p w14:paraId="2B00AD50" w14:textId="77777777" w:rsidR="00645859" w:rsidRPr="00C8753B" w:rsidRDefault="00645859" w:rsidP="00C8753B">
      <w:pPr>
        <w:spacing w:line="480" w:lineRule="auto"/>
        <w:ind w:left="720" w:hanging="720"/>
        <w:rPr>
          <w:rFonts w:ascii="Arial" w:hAnsi="Arial" w:cs="Arial"/>
          <w:color w:val="000000" w:themeColor="text1"/>
          <w:sz w:val="24"/>
          <w:szCs w:val="24"/>
        </w:rPr>
      </w:pPr>
      <w:r w:rsidRPr="00AB0401">
        <w:rPr>
          <w:rFonts w:ascii="Arial" w:hAnsi="Arial" w:cs="Arial"/>
          <w:color w:val="000000" w:themeColor="text1"/>
          <w:sz w:val="24"/>
          <w:szCs w:val="24"/>
        </w:rPr>
        <w:lastRenderedPageBreak/>
        <w:t xml:space="preserve">Drisko, J., Corvino, P., Kelly, L., &amp; Nielson, J. (2020). Is individual child play therapy effective? </w:t>
      </w:r>
      <w:r w:rsidRPr="00AB0401">
        <w:rPr>
          <w:rFonts w:ascii="Arial" w:hAnsi="Arial" w:cs="Arial"/>
          <w:i/>
          <w:iCs/>
          <w:color w:val="000000" w:themeColor="text1"/>
          <w:sz w:val="24"/>
          <w:szCs w:val="24"/>
        </w:rPr>
        <w:t>Clinical Child Psychology and Psychiatry</w:t>
      </w:r>
      <w:r w:rsidRPr="00AB0401">
        <w:rPr>
          <w:rFonts w:ascii="Arial" w:hAnsi="Arial" w:cs="Arial"/>
          <w:color w:val="000000" w:themeColor="text1"/>
          <w:sz w:val="24"/>
          <w:szCs w:val="24"/>
        </w:rPr>
        <w:t xml:space="preserve">, 25(4), 1002–1018. </w:t>
      </w:r>
      <w:hyperlink r:id="rId14" w:history="1">
        <w:r w:rsidRPr="00AB0401">
          <w:rPr>
            <w:rStyle w:val="Hyperlink"/>
            <w:rFonts w:ascii="Arial" w:hAnsi="Arial" w:cs="Arial"/>
            <w:color w:val="000000" w:themeColor="text1"/>
            <w:sz w:val="24"/>
            <w:szCs w:val="24"/>
          </w:rPr>
          <w:t>https://doi.org/10.1177/1359104520937373</w:t>
        </w:r>
      </w:hyperlink>
      <w:r w:rsidRPr="00C8753B">
        <w:rPr>
          <w:rFonts w:ascii="Arial" w:hAnsi="Arial" w:cs="Arial"/>
          <w:color w:val="000000" w:themeColor="text1"/>
          <w:sz w:val="24"/>
          <w:szCs w:val="24"/>
        </w:rPr>
        <w:t xml:space="preserve"> </w:t>
      </w:r>
    </w:p>
    <w:p w14:paraId="54059394" w14:textId="77777777" w:rsidR="00645859" w:rsidRPr="00C0002E" w:rsidRDefault="00645859" w:rsidP="00C8753B">
      <w:pPr>
        <w:spacing w:line="480" w:lineRule="auto"/>
        <w:ind w:left="720" w:hanging="720"/>
        <w:rPr>
          <w:rFonts w:ascii="Arial" w:hAnsi="Arial" w:cs="Arial"/>
          <w:color w:val="000000" w:themeColor="text1"/>
          <w:sz w:val="24"/>
          <w:szCs w:val="24"/>
        </w:rPr>
      </w:pPr>
      <w:r w:rsidRPr="00C8753B">
        <w:rPr>
          <w:rFonts w:ascii="Arial" w:hAnsi="Arial" w:cs="Arial"/>
          <w:color w:val="000000" w:themeColor="text1"/>
          <w:sz w:val="24"/>
          <w:szCs w:val="24"/>
        </w:rPr>
        <w:t xml:space="preserve">Elo, S., Kääriäinen, M., </w:t>
      </w:r>
      <w:proofErr w:type="spellStart"/>
      <w:r w:rsidRPr="00C8753B">
        <w:rPr>
          <w:rFonts w:ascii="Arial" w:hAnsi="Arial" w:cs="Arial"/>
          <w:color w:val="000000" w:themeColor="text1"/>
          <w:sz w:val="24"/>
          <w:szCs w:val="24"/>
        </w:rPr>
        <w:t>Kanste</w:t>
      </w:r>
      <w:proofErr w:type="spellEnd"/>
      <w:r w:rsidRPr="00C8753B">
        <w:rPr>
          <w:rFonts w:ascii="Arial" w:hAnsi="Arial" w:cs="Arial"/>
          <w:color w:val="000000" w:themeColor="text1"/>
          <w:sz w:val="24"/>
          <w:szCs w:val="24"/>
        </w:rPr>
        <w:t xml:space="preserve">, O., </w:t>
      </w:r>
      <w:proofErr w:type="spellStart"/>
      <w:r w:rsidRPr="00C8753B">
        <w:rPr>
          <w:rFonts w:ascii="Arial" w:hAnsi="Arial" w:cs="Arial"/>
          <w:color w:val="000000" w:themeColor="text1"/>
          <w:sz w:val="24"/>
          <w:szCs w:val="24"/>
        </w:rPr>
        <w:t>Pölkki</w:t>
      </w:r>
      <w:proofErr w:type="spellEnd"/>
      <w:r w:rsidRPr="00C8753B">
        <w:rPr>
          <w:rFonts w:ascii="Arial" w:hAnsi="Arial" w:cs="Arial"/>
          <w:color w:val="000000" w:themeColor="text1"/>
          <w:sz w:val="24"/>
          <w:szCs w:val="24"/>
        </w:rPr>
        <w:t xml:space="preserve">, T., Utriainen, K., &amp; Kyngäs, H. (2014). Qualitative Content Analysis: A Focus on Trustworthiness. Sage Open, 4(1). </w:t>
      </w:r>
      <w:hyperlink r:id="rId15" w:history="1">
        <w:r w:rsidRPr="00C8753B">
          <w:rPr>
            <w:rStyle w:val="Hyperlink"/>
            <w:rFonts w:ascii="Arial" w:hAnsi="Arial" w:cs="Arial"/>
            <w:color w:val="000000" w:themeColor="text1"/>
            <w:sz w:val="24"/>
            <w:szCs w:val="24"/>
          </w:rPr>
          <w:t>https://doi.org/10.1177/2158244014522633</w:t>
        </w:r>
      </w:hyperlink>
      <w:r w:rsidRPr="00C8753B">
        <w:rPr>
          <w:rFonts w:ascii="Arial" w:hAnsi="Arial" w:cs="Arial"/>
          <w:color w:val="000000" w:themeColor="text1"/>
          <w:sz w:val="24"/>
          <w:szCs w:val="24"/>
        </w:rPr>
        <w:t xml:space="preserve"> </w:t>
      </w:r>
    </w:p>
    <w:p w14:paraId="74FB7379" w14:textId="77777777" w:rsidR="00645859" w:rsidRPr="00C8753B" w:rsidRDefault="00645859" w:rsidP="00C8753B">
      <w:pPr>
        <w:spacing w:line="480" w:lineRule="auto"/>
        <w:ind w:left="720" w:hanging="720"/>
        <w:rPr>
          <w:rFonts w:ascii="Arial" w:hAnsi="Arial" w:cs="Arial"/>
          <w:color w:val="000000" w:themeColor="text1"/>
          <w:sz w:val="24"/>
          <w:szCs w:val="24"/>
        </w:rPr>
      </w:pPr>
      <w:proofErr w:type="spellStart"/>
      <w:r w:rsidRPr="00C8753B">
        <w:rPr>
          <w:rFonts w:ascii="Arial" w:hAnsi="Arial" w:cs="Arial"/>
          <w:color w:val="000000" w:themeColor="text1"/>
          <w:sz w:val="24"/>
          <w:szCs w:val="24"/>
        </w:rPr>
        <w:t>Foscan</w:t>
      </w:r>
      <w:proofErr w:type="spellEnd"/>
      <w:r w:rsidRPr="00C8753B">
        <w:rPr>
          <w:rFonts w:ascii="Arial" w:hAnsi="Arial" w:cs="Arial"/>
          <w:color w:val="000000" w:themeColor="text1"/>
          <w:sz w:val="24"/>
          <w:szCs w:val="24"/>
        </w:rPr>
        <w:t xml:space="preserve">, M., </w:t>
      </w:r>
      <w:proofErr w:type="spellStart"/>
      <w:r w:rsidRPr="00C8753B">
        <w:rPr>
          <w:rFonts w:ascii="Arial" w:hAnsi="Arial" w:cs="Arial"/>
          <w:color w:val="000000" w:themeColor="text1"/>
          <w:sz w:val="24"/>
          <w:szCs w:val="24"/>
        </w:rPr>
        <w:t>Luparia</w:t>
      </w:r>
      <w:proofErr w:type="spellEnd"/>
      <w:r w:rsidRPr="00C8753B">
        <w:rPr>
          <w:rFonts w:ascii="Arial" w:hAnsi="Arial" w:cs="Arial"/>
          <w:color w:val="000000" w:themeColor="text1"/>
          <w:sz w:val="24"/>
          <w:szCs w:val="24"/>
        </w:rPr>
        <w:t xml:space="preserve">, A., Molteni, F., Bianchi, E., </w:t>
      </w:r>
      <w:proofErr w:type="spellStart"/>
      <w:r w:rsidRPr="00C8753B">
        <w:rPr>
          <w:rFonts w:ascii="Arial" w:hAnsi="Arial" w:cs="Arial"/>
          <w:color w:val="000000" w:themeColor="text1"/>
          <w:sz w:val="24"/>
          <w:szCs w:val="24"/>
        </w:rPr>
        <w:t>Gandelli</w:t>
      </w:r>
      <w:proofErr w:type="spellEnd"/>
      <w:r w:rsidRPr="00C8753B">
        <w:rPr>
          <w:rFonts w:ascii="Arial" w:hAnsi="Arial" w:cs="Arial"/>
          <w:color w:val="000000" w:themeColor="text1"/>
          <w:sz w:val="24"/>
          <w:szCs w:val="24"/>
        </w:rPr>
        <w:t>, S., Pagliano, E., &amp; Fedrizzi, E. (2024). Development of a Play-Based Motor Learning Approach (A. MO. GIOCO) in Children with Bilateral Cerebral Palsy: Theoretical Framework and Intervention Methodology. </w:t>
      </w:r>
      <w:r w:rsidRPr="00C8753B">
        <w:rPr>
          <w:rFonts w:ascii="Arial" w:hAnsi="Arial" w:cs="Arial"/>
          <w:i/>
          <w:iCs/>
          <w:color w:val="000000" w:themeColor="text1"/>
          <w:sz w:val="24"/>
          <w:szCs w:val="24"/>
        </w:rPr>
        <w:t>Children</w:t>
      </w:r>
      <w:r w:rsidRPr="00C8753B">
        <w:rPr>
          <w:rFonts w:ascii="Arial" w:hAnsi="Arial" w:cs="Arial"/>
          <w:color w:val="000000" w:themeColor="text1"/>
          <w:sz w:val="24"/>
          <w:szCs w:val="24"/>
        </w:rPr>
        <w:t>, </w:t>
      </w:r>
      <w:r w:rsidRPr="00C8753B">
        <w:rPr>
          <w:rFonts w:ascii="Arial" w:hAnsi="Arial" w:cs="Arial"/>
          <w:i/>
          <w:iCs/>
          <w:color w:val="000000" w:themeColor="text1"/>
          <w:sz w:val="24"/>
          <w:szCs w:val="24"/>
        </w:rPr>
        <w:t>11</w:t>
      </w:r>
      <w:r w:rsidRPr="00C8753B">
        <w:rPr>
          <w:rFonts w:ascii="Arial" w:hAnsi="Arial" w:cs="Arial"/>
          <w:color w:val="000000" w:themeColor="text1"/>
          <w:sz w:val="24"/>
          <w:szCs w:val="24"/>
        </w:rPr>
        <w:t>(1), 127.</w:t>
      </w:r>
      <w:r w:rsidRPr="00C8753B">
        <w:rPr>
          <w:rFonts w:ascii="Arial" w:hAnsi="Arial" w:cs="Arial"/>
          <w:color w:val="000000" w:themeColor="text1"/>
          <w:sz w:val="24"/>
          <w:szCs w:val="24"/>
        </w:rPr>
        <w:t xml:space="preserve"> </w:t>
      </w:r>
    </w:p>
    <w:p w14:paraId="6D89D992" w14:textId="77777777" w:rsidR="00645859" w:rsidRPr="00C8753B" w:rsidRDefault="00645859" w:rsidP="00C8753B">
      <w:pPr>
        <w:spacing w:line="480" w:lineRule="auto"/>
        <w:ind w:left="720" w:hanging="720"/>
        <w:rPr>
          <w:rFonts w:ascii="Arial" w:hAnsi="Arial" w:cs="Arial"/>
          <w:color w:val="000000" w:themeColor="text1"/>
          <w:sz w:val="24"/>
          <w:szCs w:val="24"/>
        </w:rPr>
      </w:pPr>
      <w:r w:rsidRPr="00C8753B">
        <w:rPr>
          <w:rFonts w:ascii="Arial" w:hAnsi="Arial" w:cs="Arial"/>
          <w:color w:val="000000" w:themeColor="text1"/>
          <w:sz w:val="24"/>
          <w:szCs w:val="24"/>
        </w:rPr>
        <w:t>Gavin, S., Meany-Walen, K. K., Murray, M., Christians, A., Barrett, M., &amp; Kottman, T. (2020). Play therapists’ attitudes toward using technology in the playroom. </w:t>
      </w:r>
      <w:r w:rsidRPr="00C8753B">
        <w:rPr>
          <w:rFonts w:ascii="Arial" w:hAnsi="Arial" w:cs="Arial"/>
          <w:i/>
          <w:iCs/>
          <w:color w:val="000000" w:themeColor="text1"/>
          <w:sz w:val="24"/>
          <w:szCs w:val="24"/>
        </w:rPr>
        <w:t>International Journal of Play Therapy</w:t>
      </w:r>
      <w:r w:rsidRPr="00C8753B">
        <w:rPr>
          <w:rFonts w:ascii="Arial" w:hAnsi="Arial" w:cs="Arial"/>
          <w:color w:val="000000" w:themeColor="text1"/>
          <w:sz w:val="24"/>
          <w:szCs w:val="24"/>
        </w:rPr>
        <w:t>, </w:t>
      </w:r>
      <w:r w:rsidRPr="00C8753B">
        <w:rPr>
          <w:rFonts w:ascii="Arial" w:hAnsi="Arial" w:cs="Arial"/>
          <w:i/>
          <w:iCs/>
          <w:color w:val="000000" w:themeColor="text1"/>
          <w:sz w:val="24"/>
          <w:szCs w:val="24"/>
        </w:rPr>
        <w:t>29</w:t>
      </w:r>
      <w:r w:rsidRPr="00C8753B">
        <w:rPr>
          <w:rFonts w:ascii="Arial" w:hAnsi="Arial" w:cs="Arial"/>
          <w:color w:val="000000" w:themeColor="text1"/>
          <w:sz w:val="24"/>
          <w:szCs w:val="24"/>
        </w:rPr>
        <w:t>(1), 1.</w:t>
      </w:r>
    </w:p>
    <w:p w14:paraId="5C6CB68A" w14:textId="77777777" w:rsidR="00645859" w:rsidRPr="00167D04" w:rsidRDefault="00645859" w:rsidP="00C8753B">
      <w:pPr>
        <w:spacing w:line="480" w:lineRule="auto"/>
        <w:ind w:left="720" w:hanging="720"/>
        <w:rPr>
          <w:rFonts w:ascii="Arial" w:hAnsi="Arial" w:cs="Arial"/>
          <w:color w:val="000000" w:themeColor="text1"/>
          <w:sz w:val="24"/>
          <w:szCs w:val="24"/>
        </w:rPr>
      </w:pPr>
      <w:proofErr w:type="spellStart"/>
      <w:r w:rsidRPr="00167D04">
        <w:rPr>
          <w:rFonts w:ascii="Arial" w:hAnsi="Arial" w:cs="Arial"/>
          <w:color w:val="000000" w:themeColor="text1"/>
          <w:sz w:val="24"/>
          <w:szCs w:val="24"/>
        </w:rPr>
        <w:t>Gkintoni</w:t>
      </w:r>
      <w:proofErr w:type="spellEnd"/>
      <w:r w:rsidRPr="00167D04">
        <w:rPr>
          <w:rFonts w:ascii="Arial" w:hAnsi="Arial" w:cs="Arial"/>
          <w:color w:val="000000" w:themeColor="text1"/>
          <w:sz w:val="24"/>
          <w:szCs w:val="24"/>
        </w:rPr>
        <w:t xml:space="preserve">, E., </w:t>
      </w:r>
      <w:proofErr w:type="spellStart"/>
      <w:r w:rsidRPr="00167D04">
        <w:rPr>
          <w:rFonts w:ascii="Arial" w:hAnsi="Arial" w:cs="Arial"/>
          <w:color w:val="000000" w:themeColor="text1"/>
          <w:sz w:val="24"/>
          <w:szCs w:val="24"/>
        </w:rPr>
        <w:t>Kourkoutas</w:t>
      </w:r>
      <w:proofErr w:type="spellEnd"/>
      <w:r w:rsidRPr="00167D04">
        <w:rPr>
          <w:rFonts w:ascii="Arial" w:hAnsi="Arial" w:cs="Arial"/>
          <w:color w:val="000000" w:themeColor="text1"/>
          <w:sz w:val="24"/>
          <w:szCs w:val="24"/>
        </w:rPr>
        <w:t xml:space="preserve">, E., </w:t>
      </w:r>
      <w:proofErr w:type="spellStart"/>
      <w:r w:rsidRPr="00167D04">
        <w:rPr>
          <w:rFonts w:ascii="Arial" w:hAnsi="Arial" w:cs="Arial"/>
          <w:color w:val="000000" w:themeColor="text1"/>
          <w:sz w:val="24"/>
          <w:szCs w:val="24"/>
        </w:rPr>
        <w:t>Yotsidi</w:t>
      </w:r>
      <w:proofErr w:type="spellEnd"/>
      <w:r w:rsidRPr="00167D04">
        <w:rPr>
          <w:rFonts w:ascii="Arial" w:hAnsi="Arial" w:cs="Arial"/>
          <w:color w:val="000000" w:themeColor="text1"/>
          <w:sz w:val="24"/>
          <w:szCs w:val="24"/>
        </w:rPr>
        <w:t xml:space="preserve">, V., Stavrou, P. D., &amp; </w:t>
      </w:r>
      <w:proofErr w:type="spellStart"/>
      <w:r w:rsidRPr="00167D04">
        <w:rPr>
          <w:rFonts w:ascii="Arial" w:hAnsi="Arial" w:cs="Arial"/>
          <w:color w:val="000000" w:themeColor="text1"/>
          <w:sz w:val="24"/>
          <w:szCs w:val="24"/>
        </w:rPr>
        <w:t>Prinianaki</w:t>
      </w:r>
      <w:proofErr w:type="spellEnd"/>
      <w:r w:rsidRPr="00167D04">
        <w:rPr>
          <w:rFonts w:ascii="Arial" w:hAnsi="Arial" w:cs="Arial"/>
          <w:color w:val="000000" w:themeColor="text1"/>
          <w:sz w:val="24"/>
          <w:szCs w:val="24"/>
        </w:rPr>
        <w:t xml:space="preserve">, D. (2024). Clinical efficacy of psychotherapeutic interventions for post-traumatic stress disorder in children and adolescents: A systematic review and analysis. </w:t>
      </w:r>
      <w:r w:rsidRPr="00167D04">
        <w:rPr>
          <w:rFonts w:ascii="Arial" w:hAnsi="Arial" w:cs="Arial"/>
          <w:i/>
          <w:iCs/>
          <w:color w:val="000000" w:themeColor="text1"/>
          <w:sz w:val="24"/>
          <w:szCs w:val="24"/>
        </w:rPr>
        <w:t>Children</w:t>
      </w:r>
      <w:r w:rsidRPr="00167D04">
        <w:rPr>
          <w:rFonts w:ascii="Arial" w:hAnsi="Arial" w:cs="Arial"/>
          <w:color w:val="000000" w:themeColor="text1"/>
          <w:sz w:val="24"/>
          <w:szCs w:val="24"/>
        </w:rPr>
        <w:t>, 11(5), 579. https://doi.org/10.3390/children11050579</w:t>
      </w:r>
    </w:p>
    <w:p w14:paraId="51A3B9C1" w14:textId="77777777" w:rsidR="00645859" w:rsidRPr="00071586" w:rsidRDefault="00645859" w:rsidP="00C8753B">
      <w:pPr>
        <w:spacing w:line="480" w:lineRule="auto"/>
        <w:ind w:left="720" w:hanging="720"/>
        <w:rPr>
          <w:rFonts w:ascii="Arial" w:hAnsi="Arial" w:cs="Arial"/>
          <w:color w:val="000000" w:themeColor="text1"/>
          <w:sz w:val="24"/>
          <w:szCs w:val="24"/>
        </w:rPr>
      </w:pPr>
      <w:proofErr w:type="spellStart"/>
      <w:r w:rsidRPr="00071586">
        <w:rPr>
          <w:rFonts w:ascii="Arial" w:hAnsi="Arial" w:cs="Arial"/>
          <w:color w:val="000000" w:themeColor="text1"/>
          <w:sz w:val="24"/>
          <w:szCs w:val="24"/>
        </w:rPr>
        <w:t>Gursul</w:t>
      </w:r>
      <w:proofErr w:type="spellEnd"/>
      <w:r w:rsidRPr="00071586">
        <w:rPr>
          <w:rFonts w:ascii="Arial" w:hAnsi="Arial" w:cs="Arial"/>
          <w:color w:val="000000" w:themeColor="text1"/>
          <w:sz w:val="24"/>
          <w:szCs w:val="24"/>
        </w:rPr>
        <w:t xml:space="preserve">, D., &amp; Dixon, L. (2022). Play-based interventions for mental health: A systematic review and meta-analysis. </w:t>
      </w:r>
      <w:r w:rsidRPr="00071586">
        <w:rPr>
          <w:rFonts w:ascii="Arial" w:hAnsi="Arial" w:cs="Arial"/>
          <w:i/>
          <w:iCs/>
          <w:color w:val="000000" w:themeColor="text1"/>
          <w:sz w:val="24"/>
          <w:szCs w:val="24"/>
        </w:rPr>
        <w:t>Frontiers in Psychiatry</w:t>
      </w:r>
      <w:r w:rsidRPr="00071586">
        <w:rPr>
          <w:rFonts w:ascii="Arial" w:hAnsi="Arial" w:cs="Arial"/>
          <w:color w:val="000000" w:themeColor="text1"/>
          <w:sz w:val="24"/>
          <w:szCs w:val="24"/>
        </w:rPr>
        <w:t xml:space="preserve">, </w:t>
      </w:r>
      <w:r w:rsidRPr="00071586">
        <w:rPr>
          <w:rFonts w:ascii="Arial" w:hAnsi="Arial" w:cs="Arial"/>
          <w:i/>
          <w:iCs/>
          <w:color w:val="000000" w:themeColor="text1"/>
          <w:sz w:val="24"/>
          <w:szCs w:val="24"/>
        </w:rPr>
        <w:t>13</w:t>
      </w:r>
      <w:r w:rsidRPr="00071586">
        <w:rPr>
          <w:rFonts w:ascii="Arial" w:hAnsi="Arial" w:cs="Arial"/>
          <w:color w:val="000000" w:themeColor="text1"/>
          <w:sz w:val="24"/>
          <w:szCs w:val="24"/>
        </w:rPr>
        <w:t>, 968516. https://doi.org/10.3389/fpsyt.2022.968516</w:t>
      </w:r>
    </w:p>
    <w:p w14:paraId="1119F0FD" w14:textId="77777777" w:rsidR="00645859" w:rsidRPr="00C8753B" w:rsidRDefault="00645859" w:rsidP="00C8753B">
      <w:pPr>
        <w:spacing w:line="480" w:lineRule="auto"/>
        <w:ind w:left="720" w:hanging="720"/>
        <w:rPr>
          <w:rFonts w:ascii="Arial" w:hAnsi="Arial" w:cs="Arial"/>
          <w:color w:val="000000" w:themeColor="text1"/>
          <w:sz w:val="24"/>
          <w:szCs w:val="24"/>
        </w:rPr>
      </w:pPr>
      <w:r w:rsidRPr="00C8753B">
        <w:rPr>
          <w:rFonts w:ascii="Arial" w:hAnsi="Arial" w:cs="Arial"/>
          <w:color w:val="000000" w:themeColor="text1"/>
          <w:sz w:val="24"/>
          <w:szCs w:val="24"/>
        </w:rPr>
        <w:t xml:space="preserve">He, H. G., Zhu, L., Chan, S. W. C., Liam, J. L. T., Li, H. C. W., Ko, S. S. M., &amp; </w:t>
      </w:r>
      <w:proofErr w:type="spellStart"/>
      <w:r w:rsidRPr="00C8753B">
        <w:rPr>
          <w:rFonts w:ascii="Arial" w:hAnsi="Arial" w:cs="Arial"/>
          <w:color w:val="000000" w:themeColor="text1"/>
          <w:sz w:val="24"/>
          <w:szCs w:val="24"/>
        </w:rPr>
        <w:t>Klainin-Yobas</w:t>
      </w:r>
      <w:proofErr w:type="spellEnd"/>
      <w:r w:rsidRPr="00C8753B">
        <w:rPr>
          <w:rFonts w:ascii="Arial" w:hAnsi="Arial" w:cs="Arial"/>
          <w:color w:val="000000" w:themeColor="text1"/>
          <w:sz w:val="24"/>
          <w:szCs w:val="24"/>
        </w:rPr>
        <w:t xml:space="preserve">, P. (2015). Therapeutic play intervention on children's perioperative anxiety, negative emotional manifestation and postoperative pain: A </w:t>
      </w:r>
      <w:r w:rsidRPr="00C8753B">
        <w:rPr>
          <w:rFonts w:ascii="Arial" w:hAnsi="Arial" w:cs="Arial"/>
          <w:color w:val="000000" w:themeColor="text1"/>
          <w:sz w:val="24"/>
          <w:szCs w:val="24"/>
        </w:rPr>
        <w:lastRenderedPageBreak/>
        <w:t xml:space="preserve">randomised controlled trial. Journal of Advanced Nursing, 71(5), 1032–1043. </w:t>
      </w:r>
      <w:hyperlink r:id="rId16" w:history="1">
        <w:r w:rsidRPr="00C8753B">
          <w:rPr>
            <w:rStyle w:val="Hyperlink"/>
            <w:rFonts w:ascii="Arial" w:hAnsi="Arial" w:cs="Arial"/>
            <w:color w:val="000000" w:themeColor="text1"/>
            <w:sz w:val="24"/>
            <w:szCs w:val="24"/>
          </w:rPr>
          <w:t>https://doi.org/10.1111/jan.12608</w:t>
        </w:r>
      </w:hyperlink>
      <w:r w:rsidRPr="00C8753B">
        <w:rPr>
          <w:rFonts w:ascii="Arial" w:hAnsi="Arial" w:cs="Arial"/>
          <w:color w:val="000000" w:themeColor="text1"/>
          <w:sz w:val="24"/>
          <w:szCs w:val="24"/>
        </w:rPr>
        <w:t xml:space="preserve"> </w:t>
      </w:r>
    </w:p>
    <w:p w14:paraId="2B3EE584" w14:textId="77777777" w:rsidR="00645859" w:rsidRPr="00C8753B" w:rsidRDefault="00645859" w:rsidP="00C8753B">
      <w:pPr>
        <w:spacing w:line="480" w:lineRule="auto"/>
        <w:ind w:left="720" w:hanging="720"/>
        <w:rPr>
          <w:rFonts w:ascii="Arial" w:hAnsi="Arial" w:cs="Arial"/>
          <w:color w:val="000000" w:themeColor="text1"/>
          <w:sz w:val="24"/>
          <w:szCs w:val="24"/>
        </w:rPr>
      </w:pPr>
      <w:r w:rsidRPr="00071586">
        <w:rPr>
          <w:rFonts w:ascii="Arial" w:hAnsi="Arial" w:cs="Arial"/>
          <w:color w:val="000000" w:themeColor="text1"/>
          <w:sz w:val="24"/>
          <w:szCs w:val="24"/>
        </w:rPr>
        <w:t xml:space="preserve">Hill, C., &amp; Rose, J. (2020). Play therapy as an intervention in hospitalised children: A systematic review. </w:t>
      </w:r>
      <w:r w:rsidRPr="00071586">
        <w:rPr>
          <w:rFonts w:ascii="Arial" w:hAnsi="Arial" w:cs="Arial"/>
          <w:i/>
          <w:iCs/>
          <w:color w:val="000000" w:themeColor="text1"/>
          <w:sz w:val="24"/>
          <w:szCs w:val="24"/>
        </w:rPr>
        <w:t>Children</w:t>
      </w:r>
      <w:r w:rsidRPr="00071586">
        <w:rPr>
          <w:rFonts w:ascii="Arial" w:hAnsi="Arial" w:cs="Arial"/>
          <w:color w:val="000000" w:themeColor="text1"/>
          <w:sz w:val="24"/>
          <w:szCs w:val="24"/>
        </w:rPr>
        <w:t xml:space="preserve">, </w:t>
      </w:r>
      <w:r w:rsidRPr="00071586">
        <w:rPr>
          <w:rFonts w:ascii="Arial" w:hAnsi="Arial" w:cs="Arial"/>
          <w:i/>
          <w:iCs/>
          <w:color w:val="000000" w:themeColor="text1"/>
          <w:sz w:val="24"/>
          <w:szCs w:val="24"/>
        </w:rPr>
        <w:t>7</w:t>
      </w:r>
      <w:r w:rsidRPr="00071586">
        <w:rPr>
          <w:rFonts w:ascii="Arial" w:hAnsi="Arial" w:cs="Arial"/>
          <w:color w:val="000000" w:themeColor="text1"/>
          <w:sz w:val="24"/>
          <w:szCs w:val="24"/>
        </w:rPr>
        <w:t xml:space="preserve">(12), 120. </w:t>
      </w:r>
      <w:hyperlink r:id="rId17" w:history="1">
        <w:r w:rsidRPr="00071586">
          <w:rPr>
            <w:rStyle w:val="Hyperlink"/>
            <w:rFonts w:ascii="Arial" w:hAnsi="Arial" w:cs="Arial"/>
            <w:color w:val="000000" w:themeColor="text1"/>
            <w:sz w:val="24"/>
            <w:szCs w:val="24"/>
          </w:rPr>
          <w:t>https://doi.org/10.3390/children7120120</w:t>
        </w:r>
      </w:hyperlink>
    </w:p>
    <w:p w14:paraId="26F7B6FF" w14:textId="77777777" w:rsidR="00645859" w:rsidRPr="00AB0401" w:rsidRDefault="00645859" w:rsidP="00C8753B">
      <w:pPr>
        <w:spacing w:line="480" w:lineRule="auto"/>
        <w:ind w:left="720" w:hanging="720"/>
        <w:rPr>
          <w:rFonts w:ascii="Arial" w:hAnsi="Arial" w:cs="Arial"/>
          <w:color w:val="000000" w:themeColor="text1"/>
          <w:sz w:val="24"/>
          <w:szCs w:val="24"/>
        </w:rPr>
      </w:pPr>
      <w:r w:rsidRPr="00C8753B">
        <w:rPr>
          <w:rFonts w:ascii="Arial" w:hAnsi="Arial" w:cs="Arial"/>
          <w:color w:val="000000" w:themeColor="text1"/>
          <w:sz w:val="24"/>
          <w:szCs w:val="24"/>
        </w:rPr>
        <w:t>Humble, J. J., Summers, N. L., Villarreal, V., Styck, K. M., Sullivan, J. R., Hechler, J. M., &amp; Warren, B. S. (2018). Child-Centered Play Therapy for Youths Who Have Experienced Trauma: a Systematic Literature Review. </w:t>
      </w:r>
      <w:r w:rsidRPr="00C8753B">
        <w:rPr>
          <w:rFonts w:ascii="Arial" w:hAnsi="Arial" w:cs="Arial"/>
          <w:i/>
          <w:iCs/>
          <w:color w:val="000000" w:themeColor="text1"/>
          <w:sz w:val="24"/>
          <w:szCs w:val="24"/>
        </w:rPr>
        <w:t>Journal of child &amp; adolescent trauma</w:t>
      </w:r>
      <w:r w:rsidRPr="00C8753B">
        <w:rPr>
          <w:rFonts w:ascii="Arial" w:hAnsi="Arial" w:cs="Arial"/>
          <w:color w:val="000000" w:themeColor="text1"/>
          <w:sz w:val="24"/>
          <w:szCs w:val="24"/>
        </w:rPr>
        <w:t>, </w:t>
      </w:r>
      <w:r w:rsidRPr="00C8753B">
        <w:rPr>
          <w:rFonts w:ascii="Arial" w:hAnsi="Arial" w:cs="Arial"/>
          <w:i/>
          <w:iCs/>
          <w:color w:val="000000" w:themeColor="text1"/>
          <w:sz w:val="24"/>
          <w:szCs w:val="24"/>
        </w:rPr>
        <w:t>12</w:t>
      </w:r>
      <w:r w:rsidRPr="00C8753B">
        <w:rPr>
          <w:rFonts w:ascii="Arial" w:hAnsi="Arial" w:cs="Arial"/>
          <w:color w:val="000000" w:themeColor="text1"/>
          <w:sz w:val="24"/>
          <w:szCs w:val="24"/>
        </w:rPr>
        <w:t xml:space="preserve">(3), 365–375. </w:t>
      </w:r>
      <w:hyperlink r:id="rId18" w:history="1">
        <w:r w:rsidRPr="00C8753B">
          <w:rPr>
            <w:rStyle w:val="Hyperlink"/>
            <w:rFonts w:ascii="Arial" w:hAnsi="Arial" w:cs="Arial"/>
            <w:color w:val="000000" w:themeColor="text1"/>
            <w:sz w:val="24"/>
            <w:szCs w:val="24"/>
          </w:rPr>
          <w:t>https://doi.org/10.1007/s40653-018-0235-7</w:t>
        </w:r>
      </w:hyperlink>
      <w:r w:rsidRPr="00C8753B">
        <w:rPr>
          <w:rFonts w:ascii="Arial" w:hAnsi="Arial" w:cs="Arial"/>
          <w:color w:val="000000" w:themeColor="text1"/>
          <w:sz w:val="24"/>
          <w:szCs w:val="24"/>
        </w:rPr>
        <w:t xml:space="preserve"> </w:t>
      </w:r>
    </w:p>
    <w:p w14:paraId="08341767" w14:textId="77777777" w:rsidR="00645859" w:rsidRPr="00C0002E" w:rsidRDefault="00645859" w:rsidP="00C8753B">
      <w:pPr>
        <w:spacing w:line="480" w:lineRule="auto"/>
        <w:ind w:left="720" w:hanging="720"/>
        <w:rPr>
          <w:rFonts w:ascii="Arial" w:hAnsi="Arial" w:cs="Arial"/>
          <w:color w:val="000000" w:themeColor="text1"/>
          <w:sz w:val="24"/>
          <w:szCs w:val="24"/>
        </w:rPr>
      </w:pPr>
      <w:r w:rsidRPr="00C0002E">
        <w:rPr>
          <w:rFonts w:ascii="Arial" w:hAnsi="Arial" w:cs="Arial"/>
          <w:color w:val="000000" w:themeColor="text1"/>
          <w:sz w:val="24"/>
          <w:szCs w:val="24"/>
        </w:rPr>
        <w:t xml:space="preserve">Jennings, S., &amp; Holmwood, C. (Eds.). (2020). </w:t>
      </w:r>
      <w:r w:rsidRPr="00C0002E">
        <w:rPr>
          <w:rFonts w:ascii="Arial" w:hAnsi="Arial" w:cs="Arial"/>
          <w:i/>
          <w:iCs/>
          <w:color w:val="000000" w:themeColor="text1"/>
          <w:sz w:val="24"/>
          <w:szCs w:val="24"/>
        </w:rPr>
        <w:t>Routledge International Handbook of Play, Therapeutic Play and Play Therapy</w:t>
      </w:r>
      <w:r w:rsidRPr="00C0002E">
        <w:rPr>
          <w:rFonts w:ascii="Arial" w:hAnsi="Arial" w:cs="Arial"/>
          <w:color w:val="000000" w:themeColor="text1"/>
          <w:sz w:val="24"/>
          <w:szCs w:val="24"/>
        </w:rPr>
        <w:t>. Routledge.</w:t>
      </w:r>
      <w:r w:rsidRPr="00C0002E">
        <w:rPr>
          <w:rFonts w:ascii="Arial" w:hAnsi="Arial" w:cs="Arial"/>
          <w:color w:val="000000" w:themeColor="text1"/>
          <w:sz w:val="24"/>
          <w:szCs w:val="24"/>
        </w:rPr>
        <w:br/>
      </w:r>
      <w:hyperlink r:id="rId19" w:history="1">
        <w:r w:rsidRPr="00C8753B">
          <w:rPr>
            <w:rStyle w:val="Hyperlink"/>
            <w:rFonts w:ascii="Arial" w:hAnsi="Arial" w:cs="Arial"/>
            <w:color w:val="000000" w:themeColor="text1"/>
            <w:sz w:val="24"/>
            <w:szCs w:val="24"/>
          </w:rPr>
          <w:t>https://doi.org/</w:t>
        </w:r>
        <w:r w:rsidRPr="00C0002E">
          <w:rPr>
            <w:rStyle w:val="Hyperlink"/>
            <w:rFonts w:ascii="Arial" w:hAnsi="Arial" w:cs="Arial"/>
            <w:color w:val="000000" w:themeColor="text1"/>
            <w:sz w:val="24"/>
            <w:szCs w:val="24"/>
          </w:rPr>
          <w:t>10.4324/9780429327230</w:t>
        </w:r>
      </w:hyperlink>
      <w:r w:rsidRPr="00C8753B">
        <w:rPr>
          <w:rFonts w:ascii="Arial" w:hAnsi="Arial" w:cs="Arial"/>
          <w:color w:val="000000" w:themeColor="text1"/>
          <w:sz w:val="24"/>
          <w:szCs w:val="24"/>
        </w:rPr>
        <w:t xml:space="preserve"> </w:t>
      </w:r>
    </w:p>
    <w:p w14:paraId="517277D3" w14:textId="77777777" w:rsidR="00645859" w:rsidRPr="00C8753B" w:rsidRDefault="00645859" w:rsidP="00C8753B">
      <w:pPr>
        <w:spacing w:line="480" w:lineRule="auto"/>
        <w:ind w:left="720" w:hanging="720"/>
        <w:rPr>
          <w:rFonts w:ascii="Arial" w:hAnsi="Arial" w:cs="Arial"/>
          <w:color w:val="000000" w:themeColor="text1"/>
          <w:sz w:val="24"/>
          <w:szCs w:val="24"/>
        </w:rPr>
      </w:pPr>
      <w:r w:rsidRPr="00C8753B">
        <w:rPr>
          <w:rFonts w:ascii="Arial" w:hAnsi="Arial" w:cs="Arial"/>
          <w:color w:val="000000" w:themeColor="text1"/>
          <w:sz w:val="24"/>
          <w:szCs w:val="24"/>
        </w:rPr>
        <w:t xml:space="preserve">Jennings, S., &amp; Holmwood, C. (Eds.). (2021). </w:t>
      </w:r>
      <w:r w:rsidRPr="00C8753B">
        <w:rPr>
          <w:rFonts w:ascii="Arial" w:hAnsi="Arial" w:cs="Arial"/>
          <w:i/>
          <w:iCs/>
          <w:color w:val="000000" w:themeColor="text1"/>
          <w:sz w:val="24"/>
          <w:szCs w:val="24"/>
        </w:rPr>
        <w:t>Routledge International Handbook of Play, Therapeutic Play and Play Therapy</w:t>
      </w:r>
      <w:r w:rsidRPr="00C8753B">
        <w:rPr>
          <w:rFonts w:ascii="Arial" w:hAnsi="Arial" w:cs="Arial"/>
          <w:color w:val="000000" w:themeColor="text1"/>
          <w:sz w:val="24"/>
          <w:szCs w:val="24"/>
        </w:rPr>
        <w:t>. Routledge.</w:t>
      </w:r>
    </w:p>
    <w:p w14:paraId="2F6BB657" w14:textId="77777777" w:rsidR="00645859" w:rsidRPr="00C8753B" w:rsidRDefault="00645859" w:rsidP="00C8753B">
      <w:pPr>
        <w:spacing w:line="480" w:lineRule="auto"/>
        <w:ind w:left="720" w:hanging="720"/>
        <w:rPr>
          <w:rFonts w:ascii="Arial" w:hAnsi="Arial" w:cs="Arial"/>
          <w:color w:val="000000" w:themeColor="text1"/>
          <w:sz w:val="24"/>
          <w:szCs w:val="24"/>
        </w:rPr>
      </w:pPr>
      <w:r w:rsidRPr="00C0002E">
        <w:rPr>
          <w:rFonts w:ascii="Arial" w:hAnsi="Arial" w:cs="Arial"/>
          <w:color w:val="000000" w:themeColor="text1"/>
          <w:sz w:val="24"/>
          <w:szCs w:val="24"/>
        </w:rPr>
        <w:t xml:space="preserve">Karbasi Amel, A., </w:t>
      </w:r>
      <w:proofErr w:type="spellStart"/>
      <w:r w:rsidRPr="00C0002E">
        <w:rPr>
          <w:rFonts w:ascii="Arial" w:hAnsi="Arial" w:cs="Arial"/>
          <w:color w:val="000000" w:themeColor="text1"/>
          <w:sz w:val="24"/>
          <w:szCs w:val="24"/>
        </w:rPr>
        <w:t>Rahnamaei</w:t>
      </w:r>
      <w:proofErr w:type="spellEnd"/>
      <w:r w:rsidRPr="00C0002E">
        <w:rPr>
          <w:rFonts w:ascii="Arial" w:hAnsi="Arial" w:cs="Arial"/>
          <w:color w:val="000000" w:themeColor="text1"/>
          <w:sz w:val="24"/>
          <w:szCs w:val="24"/>
        </w:rPr>
        <w:t xml:space="preserve">, H., &amp; Hashemi, Z. (2023). Play Therapy and Storytelling Intervention on Children's Social Skills with Attention Deficit-Hyperactivity Disorder. </w:t>
      </w:r>
      <w:r w:rsidRPr="00C0002E">
        <w:rPr>
          <w:rFonts w:ascii="Arial" w:hAnsi="Arial" w:cs="Arial"/>
          <w:i/>
          <w:iCs/>
          <w:color w:val="000000" w:themeColor="text1"/>
          <w:sz w:val="24"/>
          <w:szCs w:val="24"/>
        </w:rPr>
        <w:t>Journal of Education and Health Promotion</w:t>
      </w:r>
      <w:r w:rsidRPr="00C0002E">
        <w:rPr>
          <w:rFonts w:ascii="Arial" w:hAnsi="Arial" w:cs="Arial"/>
          <w:color w:val="000000" w:themeColor="text1"/>
          <w:sz w:val="24"/>
          <w:szCs w:val="24"/>
        </w:rPr>
        <w:t xml:space="preserve">, 12, 317. </w:t>
      </w:r>
      <w:hyperlink r:id="rId20" w:history="1">
        <w:r w:rsidRPr="00C8753B">
          <w:rPr>
            <w:rStyle w:val="Hyperlink"/>
            <w:rFonts w:ascii="Arial" w:hAnsi="Arial" w:cs="Arial"/>
            <w:color w:val="000000" w:themeColor="text1"/>
            <w:sz w:val="24"/>
            <w:szCs w:val="24"/>
          </w:rPr>
          <w:t>https://doi.org/</w:t>
        </w:r>
        <w:r w:rsidRPr="00C0002E">
          <w:rPr>
            <w:rStyle w:val="Hyperlink"/>
            <w:rFonts w:ascii="Arial" w:hAnsi="Arial" w:cs="Arial"/>
            <w:color w:val="000000" w:themeColor="text1"/>
            <w:sz w:val="24"/>
            <w:szCs w:val="24"/>
          </w:rPr>
          <w:t>10.4103/jehp.jehp_1104_22</w:t>
        </w:r>
      </w:hyperlink>
      <w:r w:rsidRPr="00C8753B">
        <w:rPr>
          <w:rFonts w:ascii="Arial" w:hAnsi="Arial" w:cs="Arial"/>
          <w:color w:val="000000" w:themeColor="text1"/>
          <w:sz w:val="24"/>
          <w:szCs w:val="24"/>
        </w:rPr>
        <w:t xml:space="preserve"> </w:t>
      </w:r>
    </w:p>
    <w:p w14:paraId="523EF588" w14:textId="77777777" w:rsidR="00645859" w:rsidRPr="00AB0401" w:rsidRDefault="00645859" w:rsidP="00C8753B">
      <w:pPr>
        <w:spacing w:line="480" w:lineRule="auto"/>
        <w:ind w:left="720" w:hanging="720"/>
        <w:rPr>
          <w:rFonts w:ascii="Arial" w:hAnsi="Arial" w:cs="Arial"/>
          <w:color w:val="000000" w:themeColor="text1"/>
          <w:sz w:val="24"/>
          <w:szCs w:val="24"/>
        </w:rPr>
      </w:pPr>
      <w:proofErr w:type="spellStart"/>
      <w:r w:rsidRPr="00C8753B">
        <w:rPr>
          <w:rFonts w:ascii="Arial" w:hAnsi="Arial" w:cs="Arial"/>
          <w:color w:val="000000" w:themeColor="text1"/>
          <w:sz w:val="24"/>
          <w:szCs w:val="24"/>
        </w:rPr>
        <w:t>Kazdin</w:t>
      </w:r>
      <w:proofErr w:type="spellEnd"/>
      <w:r w:rsidRPr="00C8753B">
        <w:rPr>
          <w:rFonts w:ascii="Arial" w:hAnsi="Arial" w:cs="Arial"/>
          <w:color w:val="000000" w:themeColor="text1"/>
          <w:sz w:val="24"/>
          <w:szCs w:val="24"/>
        </w:rPr>
        <w:t>, A.</w:t>
      </w:r>
      <w:r w:rsidRPr="00C8753B">
        <w:rPr>
          <w:rFonts w:ascii="Arial" w:hAnsi="Arial" w:cs="Arial"/>
          <w:color w:val="000000" w:themeColor="text1"/>
          <w:sz w:val="24"/>
          <w:szCs w:val="24"/>
        </w:rPr>
        <w:t xml:space="preserve"> </w:t>
      </w:r>
      <w:r w:rsidRPr="00C8753B">
        <w:rPr>
          <w:rFonts w:ascii="Arial" w:hAnsi="Arial" w:cs="Arial"/>
          <w:color w:val="000000" w:themeColor="text1"/>
          <w:sz w:val="24"/>
          <w:szCs w:val="24"/>
        </w:rPr>
        <w:t xml:space="preserve">E. (2021), Single-case experimental designs: Characteristics, changes, and challenges. </w:t>
      </w:r>
      <w:proofErr w:type="spellStart"/>
      <w:r w:rsidRPr="00C8753B">
        <w:rPr>
          <w:rFonts w:ascii="Arial" w:hAnsi="Arial" w:cs="Arial"/>
          <w:i/>
          <w:iCs/>
          <w:color w:val="000000" w:themeColor="text1"/>
          <w:sz w:val="24"/>
          <w:szCs w:val="24"/>
        </w:rPr>
        <w:t>Jrnl</w:t>
      </w:r>
      <w:proofErr w:type="spellEnd"/>
      <w:r w:rsidRPr="00C8753B">
        <w:rPr>
          <w:rFonts w:ascii="Arial" w:hAnsi="Arial" w:cs="Arial"/>
          <w:i/>
          <w:iCs/>
          <w:color w:val="000000" w:themeColor="text1"/>
          <w:sz w:val="24"/>
          <w:szCs w:val="24"/>
        </w:rPr>
        <w:t xml:space="preserve"> </w:t>
      </w:r>
      <w:proofErr w:type="spellStart"/>
      <w:r w:rsidRPr="00C8753B">
        <w:rPr>
          <w:rFonts w:ascii="Arial" w:hAnsi="Arial" w:cs="Arial"/>
          <w:i/>
          <w:iCs/>
          <w:color w:val="000000" w:themeColor="text1"/>
          <w:sz w:val="24"/>
          <w:szCs w:val="24"/>
        </w:rPr>
        <w:t>Exper</w:t>
      </w:r>
      <w:proofErr w:type="spellEnd"/>
      <w:r w:rsidRPr="00C8753B">
        <w:rPr>
          <w:rFonts w:ascii="Arial" w:hAnsi="Arial" w:cs="Arial"/>
          <w:i/>
          <w:iCs/>
          <w:color w:val="000000" w:themeColor="text1"/>
          <w:sz w:val="24"/>
          <w:szCs w:val="24"/>
        </w:rPr>
        <w:t xml:space="preserve"> Analysis Behavior, 115</w:t>
      </w:r>
      <w:r w:rsidRPr="00C8753B">
        <w:rPr>
          <w:rFonts w:ascii="Arial" w:hAnsi="Arial" w:cs="Arial"/>
          <w:color w:val="000000" w:themeColor="text1"/>
          <w:sz w:val="24"/>
          <w:szCs w:val="24"/>
        </w:rPr>
        <w:t xml:space="preserve">, </w:t>
      </w:r>
      <w:r w:rsidRPr="00C8753B">
        <w:rPr>
          <w:rFonts w:ascii="Arial" w:hAnsi="Arial" w:cs="Arial"/>
          <w:color w:val="000000" w:themeColor="text1"/>
          <w:sz w:val="24"/>
          <w:szCs w:val="24"/>
        </w:rPr>
        <w:t>56</w:t>
      </w:r>
      <w:r w:rsidRPr="00C8753B">
        <w:rPr>
          <w:rFonts w:ascii="Arial" w:hAnsi="Arial" w:cs="Arial"/>
          <w:color w:val="000000" w:themeColor="text1"/>
          <w:sz w:val="24"/>
          <w:szCs w:val="24"/>
        </w:rPr>
        <w:t xml:space="preserve"> </w:t>
      </w:r>
      <w:r w:rsidRPr="00C8753B">
        <w:rPr>
          <w:rFonts w:ascii="Arial" w:hAnsi="Arial" w:cs="Arial"/>
          <w:color w:val="000000" w:themeColor="text1"/>
          <w:sz w:val="24"/>
          <w:szCs w:val="24"/>
        </w:rPr>
        <w:t>85. </w:t>
      </w:r>
      <w:hyperlink r:id="rId21" w:history="1">
        <w:r w:rsidRPr="00C8753B">
          <w:rPr>
            <w:rStyle w:val="Hyperlink"/>
            <w:rFonts w:ascii="Arial" w:hAnsi="Arial" w:cs="Arial"/>
            <w:color w:val="000000" w:themeColor="text1"/>
            <w:sz w:val="24"/>
            <w:szCs w:val="24"/>
          </w:rPr>
          <w:t>https://doi.org/10.1002/jeab.638</w:t>
        </w:r>
      </w:hyperlink>
    </w:p>
    <w:p w14:paraId="545E38A6" w14:textId="77777777" w:rsidR="00645859" w:rsidRPr="00C8753B" w:rsidRDefault="00645859" w:rsidP="00C8753B">
      <w:pPr>
        <w:spacing w:line="480" w:lineRule="auto"/>
        <w:ind w:left="720" w:hanging="720"/>
        <w:rPr>
          <w:rFonts w:ascii="Arial" w:hAnsi="Arial" w:cs="Arial"/>
          <w:color w:val="000000" w:themeColor="text1"/>
          <w:sz w:val="24"/>
          <w:szCs w:val="24"/>
        </w:rPr>
      </w:pPr>
      <w:proofErr w:type="spellStart"/>
      <w:r w:rsidRPr="00C8753B">
        <w:rPr>
          <w:rFonts w:ascii="Arial" w:hAnsi="Arial" w:cs="Arial"/>
          <w:color w:val="000000" w:themeColor="text1"/>
          <w:sz w:val="24"/>
          <w:szCs w:val="24"/>
        </w:rPr>
        <w:lastRenderedPageBreak/>
        <w:t>Koukourikos</w:t>
      </w:r>
      <w:proofErr w:type="spellEnd"/>
      <w:r w:rsidRPr="00C8753B">
        <w:rPr>
          <w:rFonts w:ascii="Arial" w:hAnsi="Arial" w:cs="Arial"/>
          <w:color w:val="000000" w:themeColor="text1"/>
          <w:sz w:val="24"/>
          <w:szCs w:val="24"/>
        </w:rPr>
        <w:t xml:space="preserve">, K., </w:t>
      </w:r>
      <w:proofErr w:type="spellStart"/>
      <w:r w:rsidRPr="00C8753B">
        <w:rPr>
          <w:rFonts w:ascii="Arial" w:hAnsi="Arial" w:cs="Arial"/>
          <w:color w:val="000000" w:themeColor="text1"/>
          <w:sz w:val="24"/>
          <w:szCs w:val="24"/>
        </w:rPr>
        <w:t>Tsaloglidou</w:t>
      </w:r>
      <w:proofErr w:type="spellEnd"/>
      <w:r w:rsidRPr="00C8753B">
        <w:rPr>
          <w:rFonts w:ascii="Arial" w:hAnsi="Arial" w:cs="Arial"/>
          <w:color w:val="000000" w:themeColor="text1"/>
          <w:sz w:val="24"/>
          <w:szCs w:val="24"/>
        </w:rPr>
        <w:t xml:space="preserve">, A., </w:t>
      </w:r>
      <w:proofErr w:type="spellStart"/>
      <w:r w:rsidRPr="00C8753B">
        <w:rPr>
          <w:rFonts w:ascii="Arial" w:hAnsi="Arial" w:cs="Arial"/>
          <w:color w:val="000000" w:themeColor="text1"/>
          <w:sz w:val="24"/>
          <w:szCs w:val="24"/>
        </w:rPr>
        <w:t>Tzeha</w:t>
      </w:r>
      <w:proofErr w:type="spellEnd"/>
      <w:r w:rsidRPr="00C8753B">
        <w:rPr>
          <w:rFonts w:ascii="Arial" w:hAnsi="Arial" w:cs="Arial"/>
          <w:color w:val="000000" w:themeColor="text1"/>
          <w:sz w:val="24"/>
          <w:szCs w:val="24"/>
        </w:rPr>
        <w:t xml:space="preserve">, L., Iliadis, C., </w:t>
      </w:r>
      <w:proofErr w:type="spellStart"/>
      <w:r w:rsidRPr="00C8753B">
        <w:rPr>
          <w:rFonts w:ascii="Arial" w:hAnsi="Arial" w:cs="Arial"/>
          <w:color w:val="000000" w:themeColor="text1"/>
          <w:sz w:val="24"/>
          <w:szCs w:val="24"/>
        </w:rPr>
        <w:t>Frantzana</w:t>
      </w:r>
      <w:proofErr w:type="spellEnd"/>
      <w:r w:rsidRPr="00C8753B">
        <w:rPr>
          <w:rFonts w:ascii="Arial" w:hAnsi="Arial" w:cs="Arial"/>
          <w:color w:val="000000" w:themeColor="text1"/>
          <w:sz w:val="24"/>
          <w:szCs w:val="24"/>
        </w:rPr>
        <w:t xml:space="preserve">, A., </w:t>
      </w:r>
      <w:proofErr w:type="spellStart"/>
      <w:r w:rsidRPr="00C8753B">
        <w:rPr>
          <w:rFonts w:ascii="Arial" w:hAnsi="Arial" w:cs="Arial"/>
          <w:color w:val="000000" w:themeColor="text1"/>
          <w:sz w:val="24"/>
          <w:szCs w:val="24"/>
        </w:rPr>
        <w:t>Katsimbeli</w:t>
      </w:r>
      <w:proofErr w:type="spellEnd"/>
      <w:r w:rsidRPr="00C8753B">
        <w:rPr>
          <w:rFonts w:ascii="Arial" w:hAnsi="Arial" w:cs="Arial"/>
          <w:color w:val="000000" w:themeColor="text1"/>
          <w:sz w:val="24"/>
          <w:szCs w:val="24"/>
        </w:rPr>
        <w:t xml:space="preserve">, A., &amp; </w:t>
      </w:r>
      <w:proofErr w:type="spellStart"/>
      <w:r w:rsidRPr="00C8753B">
        <w:rPr>
          <w:rFonts w:ascii="Arial" w:hAnsi="Arial" w:cs="Arial"/>
          <w:color w:val="000000" w:themeColor="text1"/>
          <w:sz w:val="24"/>
          <w:szCs w:val="24"/>
        </w:rPr>
        <w:t>Kourkouta</w:t>
      </w:r>
      <w:proofErr w:type="spellEnd"/>
      <w:r w:rsidRPr="00C8753B">
        <w:rPr>
          <w:rFonts w:ascii="Arial" w:hAnsi="Arial" w:cs="Arial"/>
          <w:color w:val="000000" w:themeColor="text1"/>
          <w:sz w:val="24"/>
          <w:szCs w:val="24"/>
        </w:rPr>
        <w:t>, L. (2021). An Overview of Play Therapy. </w:t>
      </w:r>
      <w:r w:rsidRPr="00C8753B">
        <w:rPr>
          <w:rFonts w:ascii="Arial" w:hAnsi="Arial" w:cs="Arial"/>
          <w:i/>
          <w:iCs/>
          <w:color w:val="000000" w:themeColor="text1"/>
          <w:sz w:val="24"/>
          <w:szCs w:val="24"/>
        </w:rPr>
        <w:t>Materia socio-medica</w:t>
      </w:r>
      <w:r w:rsidRPr="00C8753B">
        <w:rPr>
          <w:rFonts w:ascii="Arial" w:hAnsi="Arial" w:cs="Arial"/>
          <w:color w:val="000000" w:themeColor="text1"/>
          <w:sz w:val="24"/>
          <w:szCs w:val="24"/>
        </w:rPr>
        <w:t>, </w:t>
      </w:r>
      <w:r w:rsidRPr="00C8753B">
        <w:rPr>
          <w:rFonts w:ascii="Arial" w:hAnsi="Arial" w:cs="Arial"/>
          <w:i/>
          <w:iCs/>
          <w:color w:val="000000" w:themeColor="text1"/>
          <w:sz w:val="24"/>
          <w:szCs w:val="24"/>
        </w:rPr>
        <w:t>33</w:t>
      </w:r>
      <w:r w:rsidRPr="00C8753B">
        <w:rPr>
          <w:rFonts w:ascii="Arial" w:hAnsi="Arial" w:cs="Arial"/>
          <w:color w:val="000000" w:themeColor="text1"/>
          <w:sz w:val="24"/>
          <w:szCs w:val="24"/>
        </w:rPr>
        <w:t xml:space="preserve">(4), 293–297. </w:t>
      </w:r>
      <w:hyperlink r:id="rId22" w:history="1">
        <w:r w:rsidRPr="00C8753B">
          <w:rPr>
            <w:rStyle w:val="Hyperlink"/>
            <w:rFonts w:ascii="Arial" w:hAnsi="Arial" w:cs="Arial"/>
            <w:color w:val="000000" w:themeColor="text1"/>
            <w:sz w:val="24"/>
            <w:szCs w:val="24"/>
          </w:rPr>
          <w:t>https://doi.org/10.5455/msm.2021.33.293-297</w:t>
        </w:r>
      </w:hyperlink>
      <w:r w:rsidRPr="00C8753B">
        <w:rPr>
          <w:rFonts w:ascii="Arial" w:hAnsi="Arial" w:cs="Arial"/>
          <w:color w:val="000000" w:themeColor="text1"/>
          <w:sz w:val="24"/>
          <w:szCs w:val="24"/>
        </w:rPr>
        <w:t xml:space="preserve"> </w:t>
      </w:r>
    </w:p>
    <w:p w14:paraId="3DB014C4" w14:textId="77777777" w:rsidR="00645859" w:rsidRPr="00C8753B" w:rsidRDefault="00645859" w:rsidP="00C8753B">
      <w:pPr>
        <w:spacing w:line="480" w:lineRule="auto"/>
        <w:ind w:left="720" w:hanging="720"/>
        <w:rPr>
          <w:rFonts w:ascii="Arial" w:hAnsi="Arial" w:cs="Arial"/>
          <w:color w:val="000000" w:themeColor="text1"/>
          <w:sz w:val="24"/>
          <w:szCs w:val="24"/>
        </w:rPr>
      </w:pPr>
      <w:r w:rsidRPr="00071586">
        <w:rPr>
          <w:rFonts w:ascii="Arial" w:hAnsi="Arial" w:cs="Arial"/>
          <w:color w:val="000000" w:themeColor="text1"/>
          <w:sz w:val="24"/>
          <w:szCs w:val="24"/>
        </w:rPr>
        <w:t xml:space="preserve">Lambert, V., Coad, J., &amp; Hicks, P. (2021). Play interventions for </w:t>
      </w:r>
      <w:proofErr w:type="spellStart"/>
      <w:r w:rsidRPr="00071586">
        <w:rPr>
          <w:rFonts w:ascii="Arial" w:hAnsi="Arial" w:cs="Arial"/>
          <w:color w:val="000000" w:themeColor="text1"/>
          <w:sz w:val="24"/>
          <w:szCs w:val="24"/>
        </w:rPr>
        <w:t>pediatric</w:t>
      </w:r>
      <w:proofErr w:type="spellEnd"/>
      <w:r w:rsidRPr="00071586">
        <w:rPr>
          <w:rFonts w:ascii="Arial" w:hAnsi="Arial" w:cs="Arial"/>
          <w:color w:val="000000" w:themeColor="text1"/>
          <w:sz w:val="24"/>
          <w:szCs w:val="24"/>
        </w:rPr>
        <w:t xml:space="preserve"> patients in hospital: A scoping review. </w:t>
      </w:r>
      <w:r w:rsidRPr="00071586">
        <w:rPr>
          <w:rFonts w:ascii="Arial" w:hAnsi="Arial" w:cs="Arial"/>
          <w:i/>
          <w:iCs/>
          <w:color w:val="000000" w:themeColor="text1"/>
          <w:sz w:val="24"/>
          <w:szCs w:val="24"/>
        </w:rPr>
        <w:t>BMJ Open</w:t>
      </w:r>
      <w:r w:rsidRPr="00071586">
        <w:rPr>
          <w:rFonts w:ascii="Arial" w:hAnsi="Arial" w:cs="Arial"/>
          <w:color w:val="000000" w:themeColor="text1"/>
          <w:sz w:val="24"/>
          <w:szCs w:val="24"/>
        </w:rPr>
        <w:t xml:space="preserve">, </w:t>
      </w:r>
      <w:r w:rsidRPr="00071586">
        <w:rPr>
          <w:rFonts w:ascii="Arial" w:hAnsi="Arial" w:cs="Arial"/>
          <w:i/>
          <w:iCs/>
          <w:color w:val="000000" w:themeColor="text1"/>
          <w:sz w:val="24"/>
          <w:szCs w:val="24"/>
        </w:rPr>
        <w:t>11</w:t>
      </w:r>
      <w:r w:rsidRPr="00071586">
        <w:rPr>
          <w:rFonts w:ascii="Arial" w:hAnsi="Arial" w:cs="Arial"/>
          <w:color w:val="000000" w:themeColor="text1"/>
          <w:sz w:val="24"/>
          <w:szCs w:val="24"/>
        </w:rPr>
        <w:t xml:space="preserve">(7), e051957. </w:t>
      </w:r>
      <w:hyperlink r:id="rId23" w:history="1">
        <w:r w:rsidRPr="00071586">
          <w:rPr>
            <w:rStyle w:val="Hyperlink"/>
            <w:rFonts w:ascii="Arial" w:hAnsi="Arial" w:cs="Arial"/>
            <w:color w:val="000000" w:themeColor="text1"/>
            <w:sz w:val="24"/>
            <w:szCs w:val="24"/>
          </w:rPr>
          <w:t>https://doi.org/10.1136/bmjopen-2021-051957</w:t>
        </w:r>
      </w:hyperlink>
    </w:p>
    <w:p w14:paraId="27198297" w14:textId="77777777" w:rsidR="00645859" w:rsidRPr="00167D04" w:rsidRDefault="00645859" w:rsidP="00C8753B">
      <w:pPr>
        <w:spacing w:line="480" w:lineRule="auto"/>
        <w:ind w:left="720" w:hanging="720"/>
        <w:rPr>
          <w:rFonts w:ascii="Arial" w:hAnsi="Arial" w:cs="Arial"/>
          <w:color w:val="000000" w:themeColor="text1"/>
          <w:sz w:val="24"/>
          <w:szCs w:val="24"/>
        </w:rPr>
      </w:pPr>
      <w:r w:rsidRPr="00167D04">
        <w:rPr>
          <w:rFonts w:ascii="Arial" w:hAnsi="Arial" w:cs="Arial"/>
          <w:color w:val="000000" w:themeColor="text1"/>
          <w:sz w:val="24"/>
          <w:szCs w:val="24"/>
        </w:rPr>
        <w:t xml:space="preserve">Le, L. K., Moreno-Betancur, M., Tran, T., &amp; Gold, L. (2021). Cost-effectiveness of psychological and pharmacological interventions for generalized anxiety disorder and major depressive disorder: A systematic review. </w:t>
      </w:r>
      <w:r w:rsidRPr="00167D04">
        <w:rPr>
          <w:rFonts w:ascii="Arial" w:hAnsi="Arial" w:cs="Arial"/>
          <w:i/>
          <w:iCs/>
          <w:color w:val="000000" w:themeColor="text1"/>
          <w:sz w:val="24"/>
          <w:szCs w:val="24"/>
        </w:rPr>
        <w:t>Journal of Affective Disorders</w:t>
      </w:r>
      <w:r w:rsidRPr="00167D04">
        <w:rPr>
          <w:rFonts w:ascii="Arial" w:hAnsi="Arial" w:cs="Arial"/>
          <w:color w:val="000000" w:themeColor="text1"/>
          <w:sz w:val="24"/>
          <w:szCs w:val="24"/>
        </w:rPr>
        <w:t>, 282, 1278-1290. https://doi.org/10.1016/j.jad.2020.12.186</w:t>
      </w:r>
    </w:p>
    <w:p w14:paraId="18B3971A" w14:textId="77777777" w:rsidR="00645859" w:rsidRPr="00C8753B" w:rsidRDefault="00645859" w:rsidP="00C8753B">
      <w:pPr>
        <w:spacing w:line="480" w:lineRule="auto"/>
        <w:ind w:left="720" w:hanging="720"/>
        <w:rPr>
          <w:rFonts w:ascii="Arial" w:hAnsi="Arial" w:cs="Arial"/>
          <w:color w:val="000000" w:themeColor="text1"/>
          <w:sz w:val="24"/>
          <w:szCs w:val="24"/>
        </w:rPr>
      </w:pPr>
      <w:r w:rsidRPr="00C8753B">
        <w:rPr>
          <w:rFonts w:ascii="Arial" w:hAnsi="Arial" w:cs="Arial"/>
          <w:color w:val="000000" w:themeColor="text1"/>
          <w:sz w:val="24"/>
          <w:szCs w:val="24"/>
        </w:rPr>
        <w:t xml:space="preserve">Lumsden, J., Edwards, E. A., Lawrence, N. S., Coyle, D., &amp; </w:t>
      </w:r>
      <w:proofErr w:type="spellStart"/>
      <w:r w:rsidRPr="00C8753B">
        <w:rPr>
          <w:rFonts w:ascii="Arial" w:hAnsi="Arial" w:cs="Arial"/>
          <w:color w:val="000000" w:themeColor="text1"/>
          <w:sz w:val="24"/>
          <w:szCs w:val="24"/>
        </w:rPr>
        <w:t>Munafò</w:t>
      </w:r>
      <w:proofErr w:type="spellEnd"/>
      <w:r w:rsidRPr="00C8753B">
        <w:rPr>
          <w:rFonts w:ascii="Arial" w:hAnsi="Arial" w:cs="Arial"/>
          <w:color w:val="000000" w:themeColor="text1"/>
          <w:sz w:val="24"/>
          <w:szCs w:val="24"/>
        </w:rPr>
        <w:t xml:space="preserve">, M. R. (2016). Gamification of Cognitive Assessment and Cognitive Training: A Systematic Review of Applications and Efficacy. </w:t>
      </w:r>
      <w:r w:rsidRPr="00C8753B">
        <w:rPr>
          <w:rFonts w:ascii="Arial" w:hAnsi="Arial" w:cs="Arial"/>
          <w:i/>
          <w:iCs/>
          <w:color w:val="000000" w:themeColor="text1"/>
          <w:sz w:val="24"/>
          <w:szCs w:val="24"/>
        </w:rPr>
        <w:t>JMIR Serious Games</w:t>
      </w:r>
      <w:r w:rsidRPr="00C8753B">
        <w:rPr>
          <w:rFonts w:ascii="Arial" w:hAnsi="Arial" w:cs="Arial"/>
          <w:color w:val="000000" w:themeColor="text1"/>
          <w:sz w:val="24"/>
          <w:szCs w:val="24"/>
        </w:rPr>
        <w:t xml:space="preserve">, 4(2), e11. </w:t>
      </w:r>
      <w:hyperlink r:id="rId24" w:history="1">
        <w:r w:rsidRPr="00C8753B">
          <w:rPr>
            <w:rStyle w:val="Hyperlink"/>
            <w:rFonts w:ascii="Arial" w:hAnsi="Arial" w:cs="Arial"/>
            <w:color w:val="000000" w:themeColor="text1"/>
            <w:sz w:val="24"/>
            <w:szCs w:val="24"/>
          </w:rPr>
          <w:t>https://doi.org/10.2196/games.5888</w:t>
        </w:r>
      </w:hyperlink>
      <w:r w:rsidRPr="00C8753B">
        <w:rPr>
          <w:rFonts w:ascii="Arial" w:hAnsi="Arial" w:cs="Arial"/>
          <w:color w:val="000000" w:themeColor="text1"/>
          <w:sz w:val="24"/>
          <w:szCs w:val="24"/>
        </w:rPr>
        <w:t xml:space="preserve"> </w:t>
      </w:r>
    </w:p>
    <w:p w14:paraId="3CB8756C" w14:textId="77777777" w:rsidR="00645859" w:rsidRPr="00C8753B" w:rsidRDefault="00645859" w:rsidP="00C8753B">
      <w:pPr>
        <w:spacing w:line="480" w:lineRule="auto"/>
        <w:ind w:left="720" w:hanging="720"/>
        <w:rPr>
          <w:rFonts w:ascii="Arial" w:hAnsi="Arial" w:cs="Arial"/>
          <w:color w:val="000000" w:themeColor="text1"/>
          <w:sz w:val="24"/>
          <w:szCs w:val="24"/>
        </w:rPr>
      </w:pPr>
      <w:r w:rsidRPr="00C8753B">
        <w:rPr>
          <w:rFonts w:ascii="Arial" w:hAnsi="Arial" w:cs="Arial"/>
          <w:color w:val="000000" w:themeColor="text1"/>
          <w:sz w:val="24"/>
          <w:szCs w:val="24"/>
        </w:rPr>
        <w:t>Morrish, N., Stallard, P., Whittle, K., Moore, E., Rhodes, S., Taylor, G., &amp; Medina-Lara, A. (2024). Cost-effectiveness of adding a smartphone app (</w:t>
      </w:r>
      <w:proofErr w:type="spellStart"/>
      <w:r w:rsidRPr="00C8753B">
        <w:rPr>
          <w:rFonts w:ascii="Arial" w:hAnsi="Arial" w:cs="Arial"/>
          <w:color w:val="000000" w:themeColor="text1"/>
          <w:sz w:val="24"/>
          <w:szCs w:val="24"/>
        </w:rPr>
        <w:t>BlueIce</w:t>
      </w:r>
      <w:proofErr w:type="spellEnd"/>
      <w:r w:rsidRPr="00C8753B">
        <w:rPr>
          <w:rFonts w:ascii="Arial" w:hAnsi="Arial" w:cs="Arial"/>
          <w:color w:val="000000" w:themeColor="text1"/>
          <w:sz w:val="24"/>
          <w:szCs w:val="24"/>
        </w:rPr>
        <w:t>) to the mental health care of adolescents who repeatedly self-harm. Psychiatry Research, 342, 116186.</w:t>
      </w:r>
    </w:p>
    <w:p w14:paraId="0B7D73D3" w14:textId="77777777" w:rsidR="00645859" w:rsidRPr="00C8753B" w:rsidRDefault="00645859" w:rsidP="00C8753B">
      <w:pPr>
        <w:spacing w:line="480" w:lineRule="auto"/>
        <w:ind w:left="720" w:hanging="720"/>
        <w:rPr>
          <w:rFonts w:ascii="Arial" w:hAnsi="Arial" w:cs="Arial"/>
          <w:color w:val="000000" w:themeColor="text1"/>
          <w:sz w:val="24"/>
          <w:szCs w:val="24"/>
        </w:rPr>
      </w:pPr>
      <w:proofErr w:type="spellStart"/>
      <w:r w:rsidRPr="00C0002E">
        <w:rPr>
          <w:rFonts w:ascii="Arial" w:hAnsi="Arial" w:cs="Arial"/>
          <w:color w:val="000000" w:themeColor="text1"/>
          <w:sz w:val="24"/>
          <w:szCs w:val="24"/>
        </w:rPr>
        <w:t>Nejati</w:t>
      </w:r>
      <w:proofErr w:type="spellEnd"/>
      <w:r w:rsidRPr="00C0002E">
        <w:rPr>
          <w:rFonts w:ascii="Arial" w:hAnsi="Arial" w:cs="Arial"/>
          <w:color w:val="000000" w:themeColor="text1"/>
          <w:sz w:val="24"/>
          <w:szCs w:val="24"/>
        </w:rPr>
        <w:t xml:space="preserve">, V., &amp; Derakhshan, Z. (2023). The Effect of Comprehensive Working Memory Training on Executive Functions and Behavioral Symptoms in Children with Attention Deficit-Hyperactivity Disorder (ADHD). </w:t>
      </w:r>
      <w:r w:rsidRPr="00C0002E">
        <w:rPr>
          <w:rFonts w:ascii="Arial" w:hAnsi="Arial" w:cs="Arial"/>
          <w:i/>
          <w:iCs/>
          <w:color w:val="000000" w:themeColor="text1"/>
          <w:sz w:val="24"/>
          <w:szCs w:val="24"/>
        </w:rPr>
        <w:t>Asian Journal of Psychiatry</w:t>
      </w:r>
      <w:r w:rsidRPr="00C0002E">
        <w:rPr>
          <w:rFonts w:ascii="Arial" w:hAnsi="Arial" w:cs="Arial"/>
          <w:color w:val="000000" w:themeColor="text1"/>
          <w:sz w:val="24"/>
          <w:szCs w:val="24"/>
        </w:rPr>
        <w:t>, 81, 103469.</w:t>
      </w:r>
      <w:r w:rsidRPr="00C8753B">
        <w:rPr>
          <w:rFonts w:ascii="Arial" w:hAnsi="Arial" w:cs="Arial"/>
          <w:color w:val="000000" w:themeColor="text1"/>
          <w:sz w:val="24"/>
          <w:szCs w:val="24"/>
        </w:rPr>
        <w:t xml:space="preserve"> </w:t>
      </w:r>
      <w:hyperlink r:id="rId25" w:history="1">
        <w:r w:rsidRPr="00C8753B">
          <w:rPr>
            <w:rStyle w:val="Hyperlink"/>
            <w:rFonts w:ascii="Arial" w:hAnsi="Arial" w:cs="Arial"/>
            <w:color w:val="000000" w:themeColor="text1"/>
            <w:sz w:val="24"/>
            <w:szCs w:val="24"/>
          </w:rPr>
          <w:t>https://doi.org/</w:t>
        </w:r>
        <w:r w:rsidRPr="00C0002E">
          <w:rPr>
            <w:rStyle w:val="Hyperlink"/>
            <w:rFonts w:ascii="Arial" w:hAnsi="Arial" w:cs="Arial"/>
            <w:color w:val="000000" w:themeColor="text1"/>
            <w:sz w:val="24"/>
            <w:szCs w:val="24"/>
          </w:rPr>
          <w:t>10.1016/j.ajp.2023.103469</w:t>
        </w:r>
      </w:hyperlink>
      <w:r w:rsidRPr="00C8753B">
        <w:rPr>
          <w:rFonts w:ascii="Arial" w:hAnsi="Arial" w:cs="Arial"/>
          <w:color w:val="000000" w:themeColor="text1"/>
          <w:sz w:val="24"/>
          <w:szCs w:val="24"/>
        </w:rPr>
        <w:t xml:space="preserve"> </w:t>
      </w:r>
    </w:p>
    <w:p w14:paraId="66D112FB" w14:textId="77777777" w:rsidR="00645859" w:rsidRPr="00C0002E" w:rsidRDefault="00645859" w:rsidP="00C8753B">
      <w:pPr>
        <w:spacing w:line="480" w:lineRule="auto"/>
        <w:ind w:left="720" w:hanging="720"/>
        <w:rPr>
          <w:rFonts w:ascii="Arial" w:hAnsi="Arial" w:cs="Arial"/>
          <w:color w:val="000000" w:themeColor="text1"/>
          <w:sz w:val="24"/>
          <w:szCs w:val="24"/>
        </w:rPr>
      </w:pPr>
      <w:proofErr w:type="spellStart"/>
      <w:r w:rsidRPr="00C0002E">
        <w:rPr>
          <w:rFonts w:ascii="Arial" w:hAnsi="Arial" w:cs="Arial"/>
          <w:color w:val="000000" w:themeColor="text1"/>
          <w:sz w:val="24"/>
          <w:szCs w:val="24"/>
        </w:rPr>
        <w:t>Nejati</w:t>
      </w:r>
      <w:proofErr w:type="spellEnd"/>
      <w:r w:rsidRPr="00C0002E">
        <w:rPr>
          <w:rFonts w:ascii="Arial" w:hAnsi="Arial" w:cs="Arial"/>
          <w:color w:val="000000" w:themeColor="text1"/>
          <w:sz w:val="24"/>
          <w:szCs w:val="24"/>
        </w:rPr>
        <w:t xml:space="preserve">, V., &amp; Derakhshan, Z. (2024). Attention Training Improves Executive Functions and Ameliorates Behavioral Symptoms in Children with Attention-Deficit </w:t>
      </w:r>
      <w:r w:rsidRPr="00C0002E">
        <w:rPr>
          <w:rFonts w:ascii="Arial" w:hAnsi="Arial" w:cs="Arial"/>
          <w:color w:val="000000" w:themeColor="text1"/>
          <w:sz w:val="24"/>
          <w:szCs w:val="24"/>
        </w:rPr>
        <w:lastRenderedPageBreak/>
        <w:t xml:space="preserve">Hyperactivity Disorder: Implication of Tele-Cognitive-Rehabilitation in the Era of Coronavirus Disease. </w:t>
      </w:r>
      <w:r w:rsidRPr="00C0002E">
        <w:rPr>
          <w:rFonts w:ascii="Arial" w:hAnsi="Arial" w:cs="Arial"/>
          <w:i/>
          <w:iCs/>
          <w:color w:val="000000" w:themeColor="text1"/>
          <w:sz w:val="24"/>
          <w:szCs w:val="24"/>
        </w:rPr>
        <w:t>Games for Health Journal</w:t>
      </w:r>
      <w:r w:rsidRPr="00C0002E">
        <w:rPr>
          <w:rFonts w:ascii="Arial" w:hAnsi="Arial" w:cs="Arial"/>
          <w:color w:val="000000" w:themeColor="text1"/>
          <w:sz w:val="24"/>
          <w:szCs w:val="24"/>
        </w:rPr>
        <w:t>, 13(1), 40-49.</w:t>
      </w:r>
      <w:r w:rsidRPr="00C0002E">
        <w:rPr>
          <w:rFonts w:ascii="Arial" w:hAnsi="Arial" w:cs="Arial"/>
          <w:color w:val="000000" w:themeColor="text1"/>
          <w:sz w:val="24"/>
          <w:szCs w:val="24"/>
        </w:rPr>
        <w:br/>
      </w:r>
      <w:hyperlink r:id="rId26" w:history="1">
        <w:r w:rsidRPr="00C8753B">
          <w:rPr>
            <w:rStyle w:val="Hyperlink"/>
            <w:rFonts w:ascii="Arial" w:hAnsi="Arial" w:cs="Arial"/>
            <w:color w:val="000000" w:themeColor="text1"/>
            <w:sz w:val="24"/>
            <w:szCs w:val="24"/>
          </w:rPr>
          <w:t>https://doi.org/</w:t>
        </w:r>
        <w:r w:rsidRPr="00C0002E">
          <w:rPr>
            <w:rStyle w:val="Hyperlink"/>
            <w:rFonts w:ascii="Arial" w:hAnsi="Arial" w:cs="Arial"/>
            <w:color w:val="000000" w:themeColor="text1"/>
            <w:sz w:val="24"/>
            <w:szCs w:val="24"/>
          </w:rPr>
          <w:t>10.1089/g4h.2023.0002</w:t>
        </w:r>
      </w:hyperlink>
      <w:r w:rsidRPr="00C8753B">
        <w:rPr>
          <w:rFonts w:ascii="Arial" w:hAnsi="Arial" w:cs="Arial"/>
          <w:color w:val="000000" w:themeColor="text1"/>
          <w:sz w:val="24"/>
          <w:szCs w:val="24"/>
        </w:rPr>
        <w:t xml:space="preserve"> </w:t>
      </w:r>
    </w:p>
    <w:p w14:paraId="7DD22343" w14:textId="77777777" w:rsidR="00645859" w:rsidRPr="00071586" w:rsidRDefault="00645859" w:rsidP="00C8753B">
      <w:pPr>
        <w:spacing w:line="480" w:lineRule="auto"/>
        <w:ind w:left="720" w:hanging="720"/>
        <w:rPr>
          <w:rFonts w:ascii="Arial" w:hAnsi="Arial" w:cs="Arial"/>
          <w:color w:val="000000" w:themeColor="text1"/>
          <w:sz w:val="24"/>
          <w:szCs w:val="24"/>
        </w:rPr>
      </w:pPr>
      <w:r w:rsidRPr="00071586">
        <w:rPr>
          <w:rFonts w:ascii="Arial" w:hAnsi="Arial" w:cs="Arial"/>
          <w:color w:val="000000" w:themeColor="text1"/>
          <w:sz w:val="24"/>
          <w:szCs w:val="24"/>
        </w:rPr>
        <w:t xml:space="preserve">Nguyen, A. J., &amp; Weiss, B. (2021). A systematic review of trauma-focused interventions for children in low-resource settings. </w:t>
      </w:r>
      <w:r w:rsidRPr="00071586">
        <w:rPr>
          <w:rFonts w:ascii="Arial" w:hAnsi="Arial" w:cs="Arial"/>
          <w:i/>
          <w:iCs/>
          <w:color w:val="000000" w:themeColor="text1"/>
          <w:sz w:val="24"/>
          <w:szCs w:val="24"/>
        </w:rPr>
        <w:t>Journal of Traumatic Stress</w:t>
      </w:r>
      <w:r w:rsidRPr="00071586">
        <w:rPr>
          <w:rFonts w:ascii="Arial" w:hAnsi="Arial" w:cs="Arial"/>
          <w:color w:val="000000" w:themeColor="text1"/>
          <w:sz w:val="24"/>
          <w:szCs w:val="24"/>
        </w:rPr>
        <w:t xml:space="preserve">, </w:t>
      </w:r>
      <w:r w:rsidRPr="00071586">
        <w:rPr>
          <w:rFonts w:ascii="Arial" w:hAnsi="Arial" w:cs="Arial"/>
          <w:i/>
          <w:iCs/>
          <w:color w:val="000000" w:themeColor="text1"/>
          <w:sz w:val="24"/>
          <w:szCs w:val="24"/>
        </w:rPr>
        <w:t>34</w:t>
      </w:r>
      <w:r w:rsidRPr="00071586">
        <w:rPr>
          <w:rFonts w:ascii="Arial" w:hAnsi="Arial" w:cs="Arial"/>
          <w:color w:val="000000" w:themeColor="text1"/>
          <w:sz w:val="24"/>
          <w:szCs w:val="24"/>
        </w:rPr>
        <w:t>(4), 710–726. https://doi.org/10.1002/jts.22630</w:t>
      </w:r>
    </w:p>
    <w:p w14:paraId="019FB9C1" w14:textId="77777777" w:rsidR="00645859" w:rsidRPr="00C8753B" w:rsidRDefault="00645859" w:rsidP="00C8753B">
      <w:pPr>
        <w:spacing w:line="480" w:lineRule="auto"/>
        <w:ind w:left="720" w:hanging="720"/>
        <w:rPr>
          <w:rFonts w:ascii="Arial" w:hAnsi="Arial" w:cs="Arial"/>
          <w:color w:val="000000" w:themeColor="text1"/>
          <w:sz w:val="24"/>
          <w:szCs w:val="24"/>
        </w:rPr>
      </w:pPr>
      <w:proofErr w:type="spellStart"/>
      <w:r w:rsidRPr="00C8753B">
        <w:rPr>
          <w:rFonts w:ascii="Arial" w:hAnsi="Arial" w:cs="Arial"/>
          <w:color w:val="000000" w:themeColor="text1"/>
          <w:sz w:val="24"/>
          <w:szCs w:val="24"/>
        </w:rPr>
        <w:t>Pasteuning</w:t>
      </w:r>
      <w:proofErr w:type="spellEnd"/>
      <w:r w:rsidRPr="00C8753B">
        <w:rPr>
          <w:rFonts w:ascii="Arial" w:hAnsi="Arial" w:cs="Arial"/>
          <w:color w:val="000000" w:themeColor="text1"/>
          <w:sz w:val="24"/>
          <w:szCs w:val="24"/>
        </w:rPr>
        <w:t xml:space="preserve">, J. M., </w:t>
      </w:r>
      <w:proofErr w:type="spellStart"/>
      <w:r w:rsidRPr="00C8753B">
        <w:rPr>
          <w:rFonts w:ascii="Arial" w:hAnsi="Arial" w:cs="Arial"/>
          <w:color w:val="000000" w:themeColor="text1"/>
          <w:sz w:val="24"/>
          <w:szCs w:val="24"/>
        </w:rPr>
        <w:t>Gathier</w:t>
      </w:r>
      <w:proofErr w:type="spellEnd"/>
      <w:r w:rsidRPr="00C8753B">
        <w:rPr>
          <w:rFonts w:ascii="Arial" w:hAnsi="Arial" w:cs="Arial"/>
          <w:color w:val="000000" w:themeColor="text1"/>
          <w:sz w:val="24"/>
          <w:szCs w:val="24"/>
        </w:rPr>
        <w:t xml:space="preserve">, A. W., </w:t>
      </w:r>
      <w:proofErr w:type="spellStart"/>
      <w:r w:rsidRPr="00C8753B">
        <w:rPr>
          <w:rFonts w:ascii="Arial" w:hAnsi="Arial" w:cs="Arial"/>
          <w:color w:val="000000" w:themeColor="text1"/>
          <w:sz w:val="24"/>
          <w:szCs w:val="24"/>
        </w:rPr>
        <w:t>Vinkers</w:t>
      </w:r>
      <w:proofErr w:type="spellEnd"/>
      <w:r w:rsidRPr="00C8753B">
        <w:rPr>
          <w:rFonts w:ascii="Arial" w:hAnsi="Arial" w:cs="Arial"/>
          <w:color w:val="000000" w:themeColor="text1"/>
          <w:sz w:val="24"/>
          <w:szCs w:val="24"/>
        </w:rPr>
        <w:t>, C. H., &amp; Sep, M. S. (2024). Resilience following childhood adversity: The need for a heuristic multilevel dynamic framework. </w:t>
      </w:r>
      <w:r w:rsidRPr="00C8753B">
        <w:rPr>
          <w:rFonts w:ascii="Arial" w:hAnsi="Arial" w:cs="Arial"/>
          <w:i/>
          <w:iCs/>
          <w:color w:val="000000" w:themeColor="text1"/>
          <w:sz w:val="24"/>
          <w:szCs w:val="24"/>
        </w:rPr>
        <w:t>Neuroscience Applied</w:t>
      </w:r>
      <w:r w:rsidRPr="00C8753B">
        <w:rPr>
          <w:rFonts w:ascii="Arial" w:hAnsi="Arial" w:cs="Arial"/>
          <w:color w:val="000000" w:themeColor="text1"/>
          <w:sz w:val="24"/>
          <w:szCs w:val="24"/>
        </w:rPr>
        <w:t>, </w:t>
      </w:r>
      <w:r w:rsidRPr="00C8753B">
        <w:rPr>
          <w:rFonts w:ascii="Arial" w:hAnsi="Arial" w:cs="Arial"/>
          <w:i/>
          <w:iCs/>
          <w:color w:val="000000" w:themeColor="text1"/>
          <w:sz w:val="24"/>
          <w:szCs w:val="24"/>
        </w:rPr>
        <w:t>3</w:t>
      </w:r>
      <w:r w:rsidRPr="00C8753B">
        <w:rPr>
          <w:rFonts w:ascii="Arial" w:hAnsi="Arial" w:cs="Arial"/>
          <w:color w:val="000000" w:themeColor="text1"/>
          <w:sz w:val="24"/>
          <w:szCs w:val="24"/>
        </w:rPr>
        <w:t>, 104069.</w:t>
      </w:r>
      <w:r w:rsidRPr="00C8753B">
        <w:rPr>
          <w:rFonts w:ascii="Arial" w:hAnsi="Arial" w:cs="Arial"/>
          <w:color w:val="000000" w:themeColor="text1"/>
          <w:sz w:val="24"/>
          <w:szCs w:val="24"/>
        </w:rPr>
        <w:t xml:space="preserve"> </w:t>
      </w:r>
      <w:hyperlink r:id="rId27" w:history="1">
        <w:r w:rsidRPr="00C8753B">
          <w:rPr>
            <w:rStyle w:val="Hyperlink"/>
            <w:rFonts w:ascii="Arial" w:hAnsi="Arial" w:cs="Arial"/>
            <w:color w:val="000000" w:themeColor="text1"/>
            <w:sz w:val="24"/>
            <w:szCs w:val="24"/>
          </w:rPr>
          <w:t>https://doi.org/10.1016/j.nsa.2024.104069</w:t>
        </w:r>
      </w:hyperlink>
      <w:r w:rsidRPr="00C8753B">
        <w:rPr>
          <w:rFonts w:ascii="Arial" w:hAnsi="Arial" w:cs="Arial"/>
          <w:color w:val="000000" w:themeColor="text1"/>
          <w:sz w:val="24"/>
          <w:szCs w:val="24"/>
        </w:rPr>
        <w:t xml:space="preserve"> </w:t>
      </w:r>
    </w:p>
    <w:p w14:paraId="67A5D0B1" w14:textId="77777777" w:rsidR="00645859" w:rsidRPr="00C8753B" w:rsidRDefault="00645859" w:rsidP="00C8753B">
      <w:pPr>
        <w:spacing w:line="480" w:lineRule="auto"/>
        <w:ind w:left="720" w:hanging="720"/>
        <w:rPr>
          <w:rFonts w:ascii="Arial" w:hAnsi="Arial" w:cs="Arial"/>
          <w:color w:val="000000" w:themeColor="text1"/>
          <w:sz w:val="24"/>
          <w:szCs w:val="24"/>
        </w:rPr>
      </w:pPr>
      <w:r w:rsidRPr="00C8753B">
        <w:rPr>
          <w:rFonts w:ascii="Arial" w:hAnsi="Arial" w:cs="Arial"/>
          <w:color w:val="000000" w:themeColor="text1"/>
          <w:sz w:val="24"/>
          <w:szCs w:val="24"/>
        </w:rPr>
        <w:t xml:space="preserve">Ray, D. C., Armstrong, S. A., Balkin, R. S., &amp; Jayne, K. M. (2015). Child-centred play therapy in the schools: Review and meta-analysis. Psychology in the Schools, 52(2), 107–123. </w:t>
      </w:r>
      <w:hyperlink r:id="rId28" w:history="1">
        <w:r w:rsidRPr="00C8753B">
          <w:rPr>
            <w:rStyle w:val="Hyperlink"/>
            <w:rFonts w:ascii="Arial" w:hAnsi="Arial" w:cs="Arial"/>
            <w:color w:val="000000" w:themeColor="text1"/>
            <w:sz w:val="24"/>
            <w:szCs w:val="24"/>
          </w:rPr>
          <w:t>https://doi.org/10.1002/pits.21798</w:t>
        </w:r>
      </w:hyperlink>
      <w:r w:rsidRPr="00C8753B">
        <w:rPr>
          <w:rFonts w:ascii="Arial" w:hAnsi="Arial" w:cs="Arial"/>
          <w:color w:val="000000" w:themeColor="text1"/>
          <w:sz w:val="24"/>
          <w:szCs w:val="24"/>
        </w:rPr>
        <w:t xml:space="preserve"> </w:t>
      </w:r>
    </w:p>
    <w:p w14:paraId="5F43FD40" w14:textId="77777777" w:rsidR="00645859" w:rsidRPr="00AB0401" w:rsidRDefault="00645859" w:rsidP="00C8753B">
      <w:pPr>
        <w:spacing w:line="480" w:lineRule="auto"/>
        <w:ind w:left="720" w:hanging="720"/>
        <w:rPr>
          <w:rFonts w:ascii="Arial" w:hAnsi="Arial" w:cs="Arial"/>
          <w:color w:val="000000" w:themeColor="text1"/>
          <w:sz w:val="24"/>
          <w:szCs w:val="24"/>
        </w:rPr>
      </w:pPr>
      <w:r w:rsidRPr="00C8753B">
        <w:rPr>
          <w:rFonts w:ascii="Arial" w:hAnsi="Arial" w:cs="Arial"/>
          <w:color w:val="000000" w:themeColor="text1"/>
          <w:sz w:val="24"/>
          <w:szCs w:val="24"/>
        </w:rPr>
        <w:t xml:space="preserve">Ray, D., Burgin, E., Gutierrez, D., Ceballos, P.., &amp; Lindo, N. (2021). Child-centered play therapy and adverse childhood experiences: A randomized controlled trial. Journal of </w:t>
      </w:r>
      <w:proofErr w:type="spellStart"/>
      <w:r w:rsidRPr="00C8753B">
        <w:rPr>
          <w:rFonts w:ascii="Arial" w:hAnsi="Arial" w:cs="Arial"/>
          <w:color w:val="000000" w:themeColor="text1"/>
          <w:sz w:val="24"/>
          <w:szCs w:val="24"/>
        </w:rPr>
        <w:t>Counseling</w:t>
      </w:r>
      <w:proofErr w:type="spellEnd"/>
      <w:r w:rsidRPr="00C8753B">
        <w:rPr>
          <w:rFonts w:ascii="Arial" w:hAnsi="Arial" w:cs="Arial"/>
          <w:color w:val="000000" w:themeColor="text1"/>
          <w:sz w:val="24"/>
          <w:szCs w:val="24"/>
        </w:rPr>
        <w:t xml:space="preserve"> &amp; Development, 100(2), 134-145. </w:t>
      </w:r>
      <w:hyperlink r:id="rId29" w:history="1">
        <w:r w:rsidRPr="00C8753B">
          <w:rPr>
            <w:rStyle w:val="Hyperlink"/>
            <w:rFonts w:ascii="Arial" w:hAnsi="Arial" w:cs="Arial"/>
            <w:color w:val="000000" w:themeColor="text1"/>
            <w:sz w:val="24"/>
            <w:szCs w:val="24"/>
          </w:rPr>
          <w:t>https://doi.org/10.1002/jcad.122412</w:t>
        </w:r>
      </w:hyperlink>
      <w:r w:rsidRPr="00C8753B">
        <w:rPr>
          <w:rFonts w:ascii="Arial" w:hAnsi="Arial" w:cs="Arial"/>
          <w:color w:val="000000" w:themeColor="text1"/>
          <w:sz w:val="24"/>
          <w:szCs w:val="24"/>
        </w:rPr>
        <w:t xml:space="preserve"> </w:t>
      </w:r>
    </w:p>
    <w:p w14:paraId="4E577B95" w14:textId="77777777" w:rsidR="00645859" w:rsidRPr="00C8753B" w:rsidRDefault="00645859" w:rsidP="00C8753B">
      <w:pPr>
        <w:spacing w:line="480" w:lineRule="auto"/>
        <w:ind w:left="720" w:hanging="720"/>
        <w:rPr>
          <w:rFonts w:ascii="Arial" w:hAnsi="Arial" w:cs="Arial"/>
          <w:color w:val="000000" w:themeColor="text1"/>
          <w:sz w:val="24"/>
          <w:szCs w:val="24"/>
        </w:rPr>
      </w:pPr>
      <w:r w:rsidRPr="00C8753B">
        <w:rPr>
          <w:rFonts w:ascii="Arial" w:hAnsi="Arial" w:cs="Arial"/>
          <w:color w:val="000000" w:themeColor="text1"/>
          <w:sz w:val="24"/>
          <w:szCs w:val="24"/>
        </w:rPr>
        <w:t>Ray, D. C., Burgin, E., Gutierrez, D., Ceballos, P., &amp; Lindo, N. (2022). Child-centered play therapy and adverse childhood experiences: A randomized controlled trial. </w:t>
      </w:r>
      <w:r w:rsidRPr="00C8753B">
        <w:rPr>
          <w:rFonts w:ascii="Arial" w:hAnsi="Arial" w:cs="Arial"/>
          <w:i/>
          <w:iCs/>
          <w:color w:val="000000" w:themeColor="text1"/>
          <w:sz w:val="24"/>
          <w:szCs w:val="24"/>
        </w:rPr>
        <w:t xml:space="preserve">Journal of </w:t>
      </w:r>
      <w:proofErr w:type="spellStart"/>
      <w:r w:rsidRPr="00C8753B">
        <w:rPr>
          <w:rFonts w:ascii="Arial" w:hAnsi="Arial" w:cs="Arial"/>
          <w:i/>
          <w:iCs/>
          <w:color w:val="000000" w:themeColor="text1"/>
          <w:sz w:val="24"/>
          <w:szCs w:val="24"/>
        </w:rPr>
        <w:t>Counseling</w:t>
      </w:r>
      <w:proofErr w:type="spellEnd"/>
      <w:r w:rsidRPr="00C8753B">
        <w:rPr>
          <w:rFonts w:ascii="Arial" w:hAnsi="Arial" w:cs="Arial"/>
          <w:i/>
          <w:iCs/>
          <w:color w:val="000000" w:themeColor="text1"/>
          <w:sz w:val="24"/>
          <w:szCs w:val="24"/>
        </w:rPr>
        <w:t xml:space="preserve"> &amp; Development</w:t>
      </w:r>
      <w:r w:rsidRPr="00C8753B">
        <w:rPr>
          <w:rFonts w:ascii="Arial" w:hAnsi="Arial" w:cs="Arial"/>
          <w:color w:val="000000" w:themeColor="text1"/>
          <w:sz w:val="24"/>
          <w:szCs w:val="24"/>
        </w:rPr>
        <w:t>, 100, 134–145. </w:t>
      </w:r>
      <w:hyperlink r:id="rId30" w:history="1">
        <w:r w:rsidRPr="00C8753B">
          <w:rPr>
            <w:rStyle w:val="Hyperlink"/>
            <w:rFonts w:ascii="Arial" w:hAnsi="Arial" w:cs="Arial"/>
            <w:color w:val="000000" w:themeColor="text1"/>
            <w:sz w:val="24"/>
            <w:szCs w:val="24"/>
          </w:rPr>
          <w:t>https://doi.org/10.1002/jcad.12412</w:t>
        </w:r>
      </w:hyperlink>
    </w:p>
    <w:p w14:paraId="0D2CDC39" w14:textId="77777777" w:rsidR="00645859" w:rsidRPr="00C8753B" w:rsidRDefault="00645859" w:rsidP="00C8753B">
      <w:pPr>
        <w:spacing w:line="480" w:lineRule="auto"/>
        <w:ind w:left="720" w:hanging="720"/>
        <w:rPr>
          <w:rFonts w:ascii="Arial" w:hAnsi="Arial" w:cs="Arial"/>
          <w:color w:val="000000" w:themeColor="text1"/>
          <w:sz w:val="24"/>
          <w:szCs w:val="24"/>
        </w:rPr>
      </w:pPr>
      <w:r w:rsidRPr="00C8753B">
        <w:rPr>
          <w:rFonts w:ascii="Arial" w:hAnsi="Arial" w:cs="Arial"/>
          <w:color w:val="000000" w:themeColor="text1"/>
          <w:sz w:val="24"/>
          <w:szCs w:val="24"/>
        </w:rPr>
        <w:t>Reynard, S., Dias, J., Mitic, M., Schrank, B., &amp; Woodcock, K. A. (2022). Digital interventions for emotion regulation in children and early adolescents: systematic review and meta-analysis. </w:t>
      </w:r>
      <w:r w:rsidRPr="00C8753B">
        <w:rPr>
          <w:rFonts w:ascii="Arial" w:hAnsi="Arial" w:cs="Arial"/>
          <w:i/>
          <w:iCs/>
          <w:color w:val="000000" w:themeColor="text1"/>
          <w:sz w:val="24"/>
          <w:szCs w:val="24"/>
        </w:rPr>
        <w:t>JMIR Serious Games</w:t>
      </w:r>
      <w:r w:rsidRPr="00C8753B">
        <w:rPr>
          <w:rFonts w:ascii="Arial" w:hAnsi="Arial" w:cs="Arial"/>
          <w:color w:val="000000" w:themeColor="text1"/>
          <w:sz w:val="24"/>
          <w:szCs w:val="24"/>
        </w:rPr>
        <w:t>, </w:t>
      </w:r>
      <w:r w:rsidRPr="00C8753B">
        <w:rPr>
          <w:rFonts w:ascii="Arial" w:hAnsi="Arial" w:cs="Arial"/>
          <w:i/>
          <w:iCs/>
          <w:color w:val="000000" w:themeColor="text1"/>
          <w:sz w:val="24"/>
          <w:szCs w:val="24"/>
        </w:rPr>
        <w:t>10</w:t>
      </w:r>
      <w:r w:rsidRPr="00C8753B">
        <w:rPr>
          <w:rFonts w:ascii="Arial" w:hAnsi="Arial" w:cs="Arial"/>
          <w:color w:val="000000" w:themeColor="text1"/>
          <w:sz w:val="24"/>
          <w:szCs w:val="24"/>
        </w:rPr>
        <w:t>(3), e31456.</w:t>
      </w:r>
    </w:p>
    <w:p w14:paraId="0D092910" w14:textId="77777777" w:rsidR="00645859" w:rsidRPr="00C8753B" w:rsidRDefault="00645859" w:rsidP="00C8753B">
      <w:pPr>
        <w:spacing w:line="480" w:lineRule="auto"/>
        <w:ind w:left="720" w:hanging="720"/>
        <w:rPr>
          <w:rFonts w:ascii="Arial" w:hAnsi="Arial" w:cs="Arial"/>
          <w:color w:val="000000" w:themeColor="text1"/>
          <w:sz w:val="24"/>
          <w:szCs w:val="24"/>
        </w:rPr>
      </w:pPr>
      <w:r w:rsidRPr="00C8753B">
        <w:rPr>
          <w:rFonts w:ascii="Arial" w:hAnsi="Arial" w:cs="Arial"/>
          <w:color w:val="000000" w:themeColor="text1"/>
          <w:sz w:val="24"/>
          <w:szCs w:val="24"/>
        </w:rPr>
        <w:lastRenderedPageBreak/>
        <w:t xml:space="preserve">Roberts, N. P., </w:t>
      </w:r>
      <w:proofErr w:type="spellStart"/>
      <w:r w:rsidRPr="00C8753B">
        <w:rPr>
          <w:rFonts w:ascii="Arial" w:hAnsi="Arial" w:cs="Arial"/>
          <w:color w:val="000000" w:themeColor="text1"/>
          <w:sz w:val="24"/>
          <w:szCs w:val="24"/>
        </w:rPr>
        <w:t>Lotzin</w:t>
      </w:r>
      <w:proofErr w:type="spellEnd"/>
      <w:r w:rsidRPr="00C8753B">
        <w:rPr>
          <w:rFonts w:ascii="Arial" w:hAnsi="Arial" w:cs="Arial"/>
          <w:color w:val="000000" w:themeColor="text1"/>
          <w:sz w:val="24"/>
          <w:szCs w:val="24"/>
        </w:rPr>
        <w:t xml:space="preserve">, A., &amp; Schäfer, I. (2022). A systematic review and meta-analysis of psychological interventions for comorbid post-traumatic stress disorder and substance use disorder. </w:t>
      </w:r>
      <w:r w:rsidRPr="00C8753B">
        <w:rPr>
          <w:rFonts w:ascii="Arial" w:hAnsi="Arial" w:cs="Arial"/>
          <w:i/>
          <w:iCs/>
          <w:color w:val="000000" w:themeColor="text1"/>
          <w:sz w:val="24"/>
          <w:szCs w:val="24"/>
        </w:rPr>
        <w:t xml:space="preserve">European Journal of </w:t>
      </w:r>
      <w:proofErr w:type="spellStart"/>
      <w:r w:rsidRPr="00C8753B">
        <w:rPr>
          <w:rFonts w:ascii="Arial" w:hAnsi="Arial" w:cs="Arial"/>
          <w:i/>
          <w:iCs/>
          <w:color w:val="000000" w:themeColor="text1"/>
          <w:sz w:val="24"/>
          <w:szCs w:val="24"/>
        </w:rPr>
        <w:t>Psychotraumatology</w:t>
      </w:r>
      <w:proofErr w:type="spellEnd"/>
      <w:r w:rsidRPr="00C8753B">
        <w:rPr>
          <w:rFonts w:ascii="Arial" w:hAnsi="Arial" w:cs="Arial"/>
          <w:i/>
          <w:iCs/>
          <w:color w:val="000000" w:themeColor="text1"/>
          <w:sz w:val="24"/>
          <w:szCs w:val="24"/>
        </w:rPr>
        <w:t>, 13</w:t>
      </w:r>
      <w:r w:rsidRPr="00C8753B">
        <w:rPr>
          <w:rFonts w:ascii="Arial" w:hAnsi="Arial" w:cs="Arial"/>
          <w:color w:val="000000" w:themeColor="text1"/>
          <w:sz w:val="24"/>
          <w:szCs w:val="24"/>
        </w:rPr>
        <w:t xml:space="preserve">(1), 2041831. </w:t>
      </w:r>
      <w:hyperlink r:id="rId31" w:history="1">
        <w:r w:rsidRPr="00C8753B">
          <w:rPr>
            <w:rStyle w:val="Hyperlink"/>
            <w:rFonts w:ascii="Arial" w:hAnsi="Arial" w:cs="Arial"/>
            <w:color w:val="000000" w:themeColor="text1"/>
            <w:sz w:val="24"/>
            <w:szCs w:val="24"/>
          </w:rPr>
          <w:t>https://doi.org/10.1080/20008198.2022.2041831</w:t>
        </w:r>
      </w:hyperlink>
    </w:p>
    <w:p w14:paraId="337900B0" w14:textId="77777777" w:rsidR="00645859" w:rsidRPr="00C8753B" w:rsidRDefault="00645859" w:rsidP="00C8753B">
      <w:pPr>
        <w:spacing w:line="480" w:lineRule="auto"/>
        <w:ind w:left="720" w:hanging="720"/>
        <w:rPr>
          <w:rFonts w:ascii="Arial" w:hAnsi="Arial" w:cs="Arial"/>
          <w:color w:val="000000" w:themeColor="text1"/>
          <w:sz w:val="24"/>
          <w:szCs w:val="24"/>
        </w:rPr>
      </w:pPr>
      <w:r w:rsidRPr="00167D04">
        <w:rPr>
          <w:rFonts w:ascii="Arial" w:hAnsi="Arial" w:cs="Arial"/>
          <w:color w:val="000000" w:themeColor="text1"/>
          <w:sz w:val="24"/>
          <w:szCs w:val="24"/>
        </w:rPr>
        <w:t xml:space="preserve">Sánchez, A., Pérez, M., &amp; Martínez, P. (2022). Meta-analysis of structured play interventions on children exposed to adverse childhood experiences. </w:t>
      </w:r>
      <w:r w:rsidRPr="00167D04">
        <w:rPr>
          <w:rFonts w:ascii="Arial" w:hAnsi="Arial" w:cs="Arial"/>
          <w:i/>
          <w:iCs/>
          <w:color w:val="000000" w:themeColor="text1"/>
          <w:sz w:val="24"/>
          <w:szCs w:val="24"/>
        </w:rPr>
        <w:t>Journal of Child Psychology and Psychiatry</w:t>
      </w:r>
      <w:r w:rsidRPr="00167D04">
        <w:rPr>
          <w:rFonts w:ascii="Arial" w:hAnsi="Arial" w:cs="Arial"/>
          <w:color w:val="000000" w:themeColor="text1"/>
          <w:sz w:val="24"/>
          <w:szCs w:val="24"/>
        </w:rPr>
        <w:t xml:space="preserve">, 63(4), 367-380. </w:t>
      </w:r>
      <w:hyperlink r:id="rId32" w:history="1">
        <w:r w:rsidRPr="00167D04">
          <w:rPr>
            <w:rStyle w:val="Hyperlink"/>
            <w:rFonts w:ascii="Arial" w:hAnsi="Arial" w:cs="Arial"/>
            <w:color w:val="000000" w:themeColor="text1"/>
            <w:sz w:val="24"/>
            <w:szCs w:val="24"/>
          </w:rPr>
          <w:t>https://doi.org/10.1111/jcpp.13456</w:t>
        </w:r>
      </w:hyperlink>
      <w:r w:rsidRPr="00C8753B">
        <w:rPr>
          <w:rFonts w:ascii="Arial" w:hAnsi="Arial" w:cs="Arial"/>
          <w:color w:val="000000" w:themeColor="text1"/>
          <w:sz w:val="24"/>
          <w:szCs w:val="24"/>
        </w:rPr>
        <w:t xml:space="preserve"> </w:t>
      </w:r>
    </w:p>
    <w:p w14:paraId="441C2A6B" w14:textId="77777777" w:rsidR="00645859" w:rsidRPr="00C8753B" w:rsidRDefault="00645859" w:rsidP="00C8753B">
      <w:pPr>
        <w:spacing w:line="480" w:lineRule="auto"/>
        <w:ind w:left="720" w:hanging="720"/>
        <w:rPr>
          <w:rFonts w:ascii="Arial" w:hAnsi="Arial" w:cs="Arial"/>
          <w:color w:val="000000" w:themeColor="text1"/>
          <w:sz w:val="24"/>
          <w:szCs w:val="24"/>
        </w:rPr>
      </w:pPr>
      <w:proofErr w:type="spellStart"/>
      <w:r w:rsidRPr="00AB0401">
        <w:rPr>
          <w:rFonts w:ascii="Arial" w:hAnsi="Arial" w:cs="Arial"/>
          <w:color w:val="000000" w:themeColor="text1"/>
          <w:sz w:val="24"/>
          <w:szCs w:val="24"/>
        </w:rPr>
        <w:t>Schottelkorb</w:t>
      </w:r>
      <w:proofErr w:type="spellEnd"/>
      <w:r w:rsidRPr="00AB0401">
        <w:rPr>
          <w:rFonts w:ascii="Arial" w:hAnsi="Arial" w:cs="Arial"/>
          <w:color w:val="000000" w:themeColor="text1"/>
          <w:sz w:val="24"/>
          <w:szCs w:val="24"/>
        </w:rPr>
        <w:t xml:space="preserve">, A. A. (2023). Single-case design: A primer for play therapists. </w:t>
      </w:r>
      <w:r w:rsidRPr="00AB0401">
        <w:rPr>
          <w:rFonts w:ascii="Arial" w:hAnsi="Arial" w:cs="Arial"/>
          <w:i/>
          <w:iCs/>
          <w:color w:val="000000" w:themeColor="text1"/>
          <w:sz w:val="24"/>
          <w:szCs w:val="24"/>
        </w:rPr>
        <w:t>International Journal of Play Therapy</w:t>
      </w:r>
      <w:r w:rsidRPr="00AB0401">
        <w:rPr>
          <w:rFonts w:ascii="Arial" w:hAnsi="Arial" w:cs="Arial"/>
          <w:color w:val="000000" w:themeColor="text1"/>
          <w:sz w:val="24"/>
          <w:szCs w:val="24"/>
        </w:rPr>
        <w:t xml:space="preserve">, 32(1), 1–12. </w:t>
      </w:r>
      <w:hyperlink r:id="rId33" w:history="1">
        <w:r w:rsidRPr="00AB0401">
          <w:rPr>
            <w:rStyle w:val="Hyperlink"/>
            <w:rFonts w:ascii="Arial" w:hAnsi="Arial" w:cs="Arial"/>
            <w:color w:val="000000" w:themeColor="text1"/>
            <w:sz w:val="24"/>
            <w:szCs w:val="24"/>
          </w:rPr>
          <w:t>https://doi.org/10.1037/pla0000178</w:t>
        </w:r>
      </w:hyperlink>
      <w:r w:rsidRPr="00C8753B">
        <w:rPr>
          <w:rFonts w:ascii="Arial" w:hAnsi="Arial" w:cs="Arial"/>
          <w:color w:val="000000" w:themeColor="text1"/>
          <w:sz w:val="24"/>
          <w:szCs w:val="24"/>
        </w:rPr>
        <w:t xml:space="preserve"> </w:t>
      </w:r>
    </w:p>
    <w:p w14:paraId="0794137B" w14:textId="77777777" w:rsidR="00645859" w:rsidRPr="00C0002E" w:rsidRDefault="00645859" w:rsidP="00C8753B">
      <w:pPr>
        <w:spacing w:line="480" w:lineRule="auto"/>
        <w:ind w:left="720" w:hanging="720"/>
        <w:rPr>
          <w:rFonts w:ascii="Arial" w:hAnsi="Arial" w:cs="Arial"/>
          <w:color w:val="000000" w:themeColor="text1"/>
          <w:sz w:val="24"/>
          <w:szCs w:val="24"/>
        </w:rPr>
      </w:pPr>
      <w:r w:rsidRPr="00C0002E">
        <w:rPr>
          <w:rFonts w:ascii="Arial" w:hAnsi="Arial" w:cs="Arial"/>
          <w:color w:val="000000" w:themeColor="text1"/>
          <w:sz w:val="24"/>
          <w:szCs w:val="24"/>
        </w:rPr>
        <w:t xml:space="preserve">Shams, A. (2024). The Effect of a Group-Based Play Therapy on Executive Function, Working Memory and Self-Efficacy in Children with ADHD. </w:t>
      </w:r>
      <w:r w:rsidRPr="00C0002E">
        <w:rPr>
          <w:rFonts w:ascii="Arial" w:hAnsi="Arial" w:cs="Arial"/>
          <w:i/>
          <w:iCs/>
          <w:color w:val="000000" w:themeColor="text1"/>
          <w:sz w:val="24"/>
          <w:szCs w:val="24"/>
        </w:rPr>
        <w:t>Physical Activity in Children</w:t>
      </w:r>
      <w:r w:rsidRPr="00C0002E">
        <w:rPr>
          <w:rFonts w:ascii="Arial" w:hAnsi="Arial" w:cs="Arial"/>
          <w:color w:val="000000" w:themeColor="text1"/>
          <w:sz w:val="24"/>
          <w:szCs w:val="24"/>
        </w:rPr>
        <w:t>, 1(2), 45-51.</w:t>
      </w:r>
      <w:r w:rsidRPr="00C0002E">
        <w:rPr>
          <w:rFonts w:ascii="Arial" w:hAnsi="Arial" w:cs="Arial"/>
          <w:color w:val="000000" w:themeColor="text1"/>
          <w:sz w:val="24"/>
          <w:szCs w:val="24"/>
        </w:rPr>
        <w:br/>
      </w:r>
      <w:hyperlink r:id="rId34" w:history="1">
        <w:r w:rsidRPr="00C8753B">
          <w:rPr>
            <w:rStyle w:val="Hyperlink"/>
            <w:rFonts w:ascii="Arial" w:hAnsi="Arial" w:cs="Arial"/>
            <w:color w:val="000000" w:themeColor="text1"/>
            <w:sz w:val="24"/>
            <w:szCs w:val="24"/>
          </w:rPr>
          <w:t>https://doi.org/</w:t>
        </w:r>
        <w:r w:rsidRPr="00C0002E">
          <w:rPr>
            <w:rStyle w:val="Hyperlink"/>
            <w:rFonts w:ascii="Arial" w:hAnsi="Arial" w:cs="Arial"/>
            <w:color w:val="000000" w:themeColor="text1"/>
            <w:sz w:val="24"/>
            <w:szCs w:val="24"/>
          </w:rPr>
          <w:t>10.61186/pach.2024.463981.1012</w:t>
        </w:r>
      </w:hyperlink>
      <w:r w:rsidRPr="00C8753B">
        <w:rPr>
          <w:rFonts w:ascii="Arial" w:hAnsi="Arial" w:cs="Arial"/>
          <w:color w:val="000000" w:themeColor="text1"/>
          <w:sz w:val="24"/>
          <w:szCs w:val="24"/>
        </w:rPr>
        <w:t xml:space="preserve"> </w:t>
      </w:r>
    </w:p>
    <w:p w14:paraId="56BC0988" w14:textId="77777777" w:rsidR="00645859" w:rsidRPr="00C8753B" w:rsidRDefault="00645859" w:rsidP="00C8753B">
      <w:pPr>
        <w:spacing w:line="480" w:lineRule="auto"/>
        <w:ind w:left="720" w:hanging="720"/>
        <w:rPr>
          <w:rFonts w:ascii="Arial" w:hAnsi="Arial" w:cs="Arial"/>
          <w:color w:val="000000" w:themeColor="text1"/>
          <w:sz w:val="24"/>
          <w:szCs w:val="24"/>
        </w:rPr>
      </w:pPr>
      <w:r w:rsidRPr="00C8753B">
        <w:rPr>
          <w:rFonts w:ascii="Arial" w:hAnsi="Arial" w:cs="Arial"/>
          <w:color w:val="000000" w:themeColor="text1"/>
          <w:sz w:val="24"/>
          <w:szCs w:val="24"/>
        </w:rPr>
        <w:t xml:space="preserve">Smith, S. R., &amp; Jones, R. M. (2023). Long-term effects of therapeutic play interventions: A meta-analytic review. </w:t>
      </w:r>
      <w:r w:rsidRPr="00C8753B">
        <w:rPr>
          <w:rFonts w:ascii="Arial" w:hAnsi="Arial" w:cs="Arial"/>
          <w:i/>
          <w:iCs/>
          <w:color w:val="000000" w:themeColor="text1"/>
          <w:sz w:val="24"/>
          <w:szCs w:val="24"/>
        </w:rPr>
        <w:t>Journal of Child Psychology and Psychiatry</w:t>
      </w:r>
      <w:r w:rsidRPr="00C8753B">
        <w:rPr>
          <w:rFonts w:ascii="Arial" w:hAnsi="Arial" w:cs="Arial"/>
          <w:color w:val="000000" w:themeColor="text1"/>
          <w:sz w:val="24"/>
          <w:szCs w:val="24"/>
        </w:rPr>
        <w:t xml:space="preserve">, </w:t>
      </w:r>
      <w:r w:rsidRPr="00C8753B">
        <w:rPr>
          <w:rFonts w:ascii="Arial" w:hAnsi="Arial" w:cs="Arial"/>
          <w:i/>
          <w:iCs/>
          <w:color w:val="000000" w:themeColor="text1"/>
          <w:sz w:val="24"/>
          <w:szCs w:val="24"/>
        </w:rPr>
        <w:t>64</w:t>
      </w:r>
      <w:r w:rsidRPr="00C8753B">
        <w:rPr>
          <w:rFonts w:ascii="Arial" w:hAnsi="Arial" w:cs="Arial"/>
          <w:color w:val="000000" w:themeColor="text1"/>
          <w:sz w:val="24"/>
          <w:szCs w:val="24"/>
        </w:rPr>
        <w:t>(2), 123–139. https://doi.org/10.1111/jcpp.13567</w:t>
      </w:r>
    </w:p>
    <w:p w14:paraId="06C69AEC" w14:textId="77777777" w:rsidR="00645859" w:rsidRPr="00C8753B" w:rsidRDefault="00645859" w:rsidP="00C8753B">
      <w:pPr>
        <w:spacing w:line="480" w:lineRule="auto"/>
        <w:ind w:left="720" w:hanging="720"/>
        <w:rPr>
          <w:rFonts w:ascii="Arial" w:hAnsi="Arial" w:cs="Arial"/>
          <w:color w:val="000000" w:themeColor="text1"/>
          <w:sz w:val="24"/>
          <w:szCs w:val="24"/>
        </w:rPr>
      </w:pPr>
      <w:r w:rsidRPr="00AB0401">
        <w:rPr>
          <w:rFonts w:ascii="Arial" w:hAnsi="Arial" w:cs="Arial"/>
          <w:color w:val="000000" w:themeColor="text1"/>
          <w:sz w:val="24"/>
          <w:szCs w:val="24"/>
        </w:rPr>
        <w:t xml:space="preserve">Stavrou, P.-D. (2019). The development of emotional regulation in pre-schoolers: The role of sociodramatic play. </w:t>
      </w:r>
      <w:r w:rsidRPr="00AB0401">
        <w:rPr>
          <w:rFonts w:ascii="Arial" w:hAnsi="Arial" w:cs="Arial"/>
          <w:i/>
          <w:iCs/>
          <w:color w:val="000000" w:themeColor="text1"/>
          <w:sz w:val="24"/>
          <w:szCs w:val="24"/>
        </w:rPr>
        <w:t>Psychology</w:t>
      </w:r>
      <w:r w:rsidRPr="00AB0401">
        <w:rPr>
          <w:rFonts w:ascii="Arial" w:hAnsi="Arial" w:cs="Arial"/>
          <w:color w:val="000000" w:themeColor="text1"/>
          <w:sz w:val="24"/>
          <w:szCs w:val="24"/>
        </w:rPr>
        <w:t xml:space="preserve">, 10(1), 62–78. </w:t>
      </w:r>
      <w:hyperlink r:id="rId35" w:history="1">
        <w:r w:rsidRPr="00AB0401">
          <w:rPr>
            <w:rStyle w:val="Hyperlink"/>
            <w:rFonts w:ascii="Arial" w:hAnsi="Arial" w:cs="Arial"/>
            <w:color w:val="000000" w:themeColor="text1"/>
            <w:sz w:val="24"/>
            <w:szCs w:val="24"/>
          </w:rPr>
          <w:t>https://doi.org/10.4236/psych.2019.101005</w:t>
        </w:r>
      </w:hyperlink>
      <w:r w:rsidRPr="00C8753B">
        <w:rPr>
          <w:rFonts w:ascii="Arial" w:hAnsi="Arial" w:cs="Arial"/>
          <w:color w:val="000000" w:themeColor="text1"/>
          <w:sz w:val="24"/>
          <w:szCs w:val="24"/>
        </w:rPr>
        <w:t xml:space="preserve"> </w:t>
      </w:r>
    </w:p>
    <w:p w14:paraId="0C321486" w14:textId="77777777" w:rsidR="00645859" w:rsidRPr="00167D04" w:rsidRDefault="00645859" w:rsidP="00C8753B">
      <w:pPr>
        <w:spacing w:line="480" w:lineRule="auto"/>
        <w:ind w:left="720" w:hanging="720"/>
        <w:rPr>
          <w:rFonts w:ascii="Arial" w:hAnsi="Arial" w:cs="Arial"/>
          <w:color w:val="000000" w:themeColor="text1"/>
          <w:sz w:val="24"/>
          <w:szCs w:val="24"/>
        </w:rPr>
      </w:pPr>
      <w:r w:rsidRPr="00C8753B">
        <w:rPr>
          <w:rFonts w:ascii="Arial" w:hAnsi="Arial" w:cs="Arial"/>
          <w:color w:val="000000" w:themeColor="text1"/>
          <w:sz w:val="24"/>
          <w:szCs w:val="24"/>
        </w:rPr>
        <w:lastRenderedPageBreak/>
        <w:t xml:space="preserve">Swan, K. L., &amp; Ray, D. C. (2014). Intensive short-term child-centred play therapy and externalising behaviours in children. International Journal of Play Therapy, 23(3), 166–188. </w:t>
      </w:r>
      <w:hyperlink r:id="rId36" w:history="1">
        <w:r w:rsidRPr="00C8753B">
          <w:rPr>
            <w:rStyle w:val="Hyperlink"/>
            <w:rFonts w:ascii="Arial" w:hAnsi="Arial" w:cs="Arial"/>
            <w:color w:val="000000" w:themeColor="text1"/>
            <w:sz w:val="24"/>
            <w:szCs w:val="24"/>
          </w:rPr>
          <w:t>https://doi.org/10.1037/a0036670</w:t>
        </w:r>
      </w:hyperlink>
      <w:r w:rsidRPr="00C8753B">
        <w:rPr>
          <w:rFonts w:ascii="Arial" w:hAnsi="Arial" w:cs="Arial"/>
          <w:color w:val="000000" w:themeColor="text1"/>
          <w:sz w:val="24"/>
          <w:szCs w:val="24"/>
        </w:rPr>
        <w:t xml:space="preserve"> </w:t>
      </w:r>
    </w:p>
    <w:p w14:paraId="784A0269" w14:textId="77777777" w:rsidR="00645859" w:rsidRPr="00C8753B" w:rsidRDefault="00645859" w:rsidP="00C8753B">
      <w:pPr>
        <w:spacing w:line="480" w:lineRule="auto"/>
        <w:ind w:left="720" w:hanging="720"/>
        <w:rPr>
          <w:rFonts w:ascii="Arial" w:hAnsi="Arial" w:cs="Arial"/>
          <w:color w:val="000000" w:themeColor="text1"/>
          <w:sz w:val="24"/>
          <w:szCs w:val="24"/>
        </w:rPr>
      </w:pPr>
      <w:r w:rsidRPr="00996967">
        <w:rPr>
          <w:rFonts w:ascii="Arial" w:hAnsi="Arial" w:cs="Arial"/>
          <w:color w:val="000000" w:themeColor="text1"/>
          <w:sz w:val="24"/>
          <w:szCs w:val="24"/>
        </w:rPr>
        <w:t xml:space="preserve">Temel Mert, Z., Akgül Gündoğdu, N., &amp; Selçuk Tosun, A. (2024). The effect of structured therapeutic play program on aggression, social emotional well-being and psychological resilience in preschool children. </w:t>
      </w:r>
      <w:r w:rsidRPr="00996967">
        <w:rPr>
          <w:rFonts w:ascii="Arial" w:hAnsi="Arial" w:cs="Arial"/>
          <w:i/>
          <w:iCs/>
          <w:color w:val="000000" w:themeColor="text1"/>
          <w:sz w:val="24"/>
          <w:szCs w:val="24"/>
        </w:rPr>
        <w:t>SSRN Electronic Journal</w:t>
      </w:r>
      <w:r w:rsidRPr="00996967">
        <w:rPr>
          <w:rFonts w:ascii="Arial" w:hAnsi="Arial" w:cs="Arial"/>
          <w:color w:val="000000" w:themeColor="text1"/>
          <w:sz w:val="24"/>
          <w:szCs w:val="24"/>
        </w:rPr>
        <w:t xml:space="preserve">. </w:t>
      </w:r>
      <w:hyperlink r:id="rId37" w:history="1">
        <w:r w:rsidRPr="00996967">
          <w:rPr>
            <w:rStyle w:val="Hyperlink"/>
            <w:rFonts w:ascii="Arial" w:hAnsi="Arial" w:cs="Arial"/>
            <w:color w:val="000000" w:themeColor="text1"/>
            <w:sz w:val="24"/>
            <w:szCs w:val="24"/>
          </w:rPr>
          <w:t>https://doi.org/10.2139/ssrn.4984573</w:t>
        </w:r>
      </w:hyperlink>
      <w:r w:rsidRPr="00C8753B">
        <w:rPr>
          <w:rFonts w:ascii="Arial" w:hAnsi="Arial" w:cs="Arial"/>
          <w:color w:val="000000" w:themeColor="text1"/>
          <w:sz w:val="24"/>
          <w:szCs w:val="24"/>
        </w:rPr>
        <w:t xml:space="preserve"> </w:t>
      </w:r>
    </w:p>
    <w:p w14:paraId="4A4B7D04" w14:textId="77777777" w:rsidR="00645859" w:rsidRPr="00C8753B" w:rsidRDefault="00645859" w:rsidP="00C8753B">
      <w:pPr>
        <w:spacing w:line="480" w:lineRule="auto"/>
        <w:ind w:left="720" w:hanging="720"/>
        <w:rPr>
          <w:rFonts w:ascii="Arial" w:hAnsi="Arial" w:cs="Arial"/>
          <w:color w:val="000000" w:themeColor="text1"/>
          <w:sz w:val="24"/>
          <w:szCs w:val="24"/>
        </w:rPr>
      </w:pPr>
      <w:r w:rsidRPr="00C8753B">
        <w:rPr>
          <w:rFonts w:ascii="Arial" w:hAnsi="Arial" w:cs="Arial"/>
          <w:color w:val="000000" w:themeColor="text1"/>
          <w:sz w:val="24"/>
          <w:szCs w:val="24"/>
        </w:rPr>
        <w:t xml:space="preserve">Trembath, D., Waddington, H., Sulek, R., </w:t>
      </w:r>
      <w:proofErr w:type="spellStart"/>
      <w:r w:rsidRPr="00C8753B">
        <w:rPr>
          <w:rFonts w:ascii="Arial" w:hAnsi="Arial" w:cs="Arial"/>
          <w:color w:val="000000" w:themeColor="text1"/>
          <w:sz w:val="24"/>
          <w:szCs w:val="24"/>
        </w:rPr>
        <w:t>Varcin</w:t>
      </w:r>
      <w:proofErr w:type="spellEnd"/>
      <w:r w:rsidRPr="00C8753B">
        <w:rPr>
          <w:rFonts w:ascii="Arial" w:hAnsi="Arial" w:cs="Arial"/>
          <w:color w:val="000000" w:themeColor="text1"/>
          <w:sz w:val="24"/>
          <w:szCs w:val="24"/>
        </w:rPr>
        <w:t>, K., Bent, C., Ashburner, J., &amp; Whitehouse, A. (2021). An evidence-based framework for determining the optimal amount of intervention for autistic children. </w:t>
      </w:r>
      <w:r w:rsidRPr="00C8753B">
        <w:rPr>
          <w:rFonts w:ascii="Arial" w:hAnsi="Arial" w:cs="Arial"/>
          <w:i/>
          <w:iCs/>
          <w:color w:val="000000" w:themeColor="text1"/>
          <w:sz w:val="24"/>
          <w:szCs w:val="24"/>
        </w:rPr>
        <w:t>The Lancet Child &amp; Adolescent Health</w:t>
      </w:r>
      <w:r w:rsidRPr="00C8753B">
        <w:rPr>
          <w:rFonts w:ascii="Arial" w:hAnsi="Arial" w:cs="Arial"/>
          <w:color w:val="000000" w:themeColor="text1"/>
          <w:sz w:val="24"/>
          <w:szCs w:val="24"/>
        </w:rPr>
        <w:t>, </w:t>
      </w:r>
      <w:r w:rsidRPr="00C8753B">
        <w:rPr>
          <w:rFonts w:ascii="Arial" w:hAnsi="Arial" w:cs="Arial"/>
          <w:i/>
          <w:iCs/>
          <w:color w:val="000000" w:themeColor="text1"/>
          <w:sz w:val="24"/>
          <w:szCs w:val="24"/>
        </w:rPr>
        <w:t>5</w:t>
      </w:r>
      <w:r w:rsidRPr="00C8753B">
        <w:rPr>
          <w:rFonts w:ascii="Arial" w:hAnsi="Arial" w:cs="Arial"/>
          <w:color w:val="000000" w:themeColor="text1"/>
          <w:sz w:val="24"/>
          <w:szCs w:val="24"/>
        </w:rPr>
        <w:t>(12), 896-904.</w:t>
      </w:r>
      <w:r w:rsidRPr="00C8753B">
        <w:rPr>
          <w:rFonts w:ascii="Arial" w:hAnsi="Arial" w:cs="Arial"/>
          <w:color w:val="000000" w:themeColor="text1"/>
          <w:sz w:val="24"/>
          <w:szCs w:val="24"/>
        </w:rPr>
        <w:t xml:space="preserve"> </w:t>
      </w:r>
      <w:hyperlink r:id="rId38" w:history="1">
        <w:r w:rsidRPr="00C8753B">
          <w:rPr>
            <w:rStyle w:val="Hyperlink"/>
            <w:rFonts w:ascii="Arial" w:hAnsi="Arial" w:cs="Arial"/>
            <w:color w:val="000000" w:themeColor="text1"/>
            <w:sz w:val="24"/>
            <w:szCs w:val="24"/>
          </w:rPr>
          <w:t>https://doi.org/10.1016/S2352-4642(21)00285-6</w:t>
        </w:r>
      </w:hyperlink>
      <w:r w:rsidRPr="00C8753B">
        <w:rPr>
          <w:rFonts w:ascii="Arial" w:hAnsi="Arial" w:cs="Arial"/>
          <w:color w:val="000000" w:themeColor="text1"/>
          <w:sz w:val="24"/>
          <w:szCs w:val="24"/>
        </w:rPr>
        <w:t xml:space="preserve"> </w:t>
      </w:r>
    </w:p>
    <w:p w14:paraId="4D07DA7E" w14:textId="77777777" w:rsidR="00645859" w:rsidRPr="00C8753B" w:rsidRDefault="00645859" w:rsidP="00C8753B">
      <w:pPr>
        <w:spacing w:line="480" w:lineRule="auto"/>
        <w:ind w:left="720" w:hanging="720"/>
        <w:rPr>
          <w:rFonts w:ascii="Arial" w:hAnsi="Arial" w:cs="Arial"/>
          <w:color w:val="000000" w:themeColor="text1"/>
          <w:sz w:val="24"/>
          <w:szCs w:val="24"/>
        </w:rPr>
      </w:pPr>
      <w:r w:rsidRPr="00C8753B">
        <w:rPr>
          <w:rFonts w:ascii="Arial" w:hAnsi="Arial" w:cs="Arial"/>
          <w:color w:val="000000" w:themeColor="text1"/>
          <w:sz w:val="24"/>
          <w:szCs w:val="24"/>
        </w:rPr>
        <w:t xml:space="preserve">Watts, J., Jackson, J. C., </w:t>
      </w:r>
      <w:proofErr w:type="spellStart"/>
      <w:r w:rsidRPr="00C8753B">
        <w:rPr>
          <w:rFonts w:ascii="Arial" w:hAnsi="Arial" w:cs="Arial"/>
          <w:color w:val="000000" w:themeColor="text1"/>
          <w:sz w:val="24"/>
          <w:szCs w:val="24"/>
        </w:rPr>
        <w:t>Arnison</w:t>
      </w:r>
      <w:proofErr w:type="spellEnd"/>
      <w:r w:rsidRPr="00C8753B">
        <w:rPr>
          <w:rFonts w:ascii="Arial" w:hAnsi="Arial" w:cs="Arial"/>
          <w:color w:val="000000" w:themeColor="text1"/>
          <w:sz w:val="24"/>
          <w:szCs w:val="24"/>
        </w:rPr>
        <w:t xml:space="preserve">, C., </w:t>
      </w:r>
      <w:proofErr w:type="spellStart"/>
      <w:r w:rsidRPr="00C8753B">
        <w:rPr>
          <w:rFonts w:ascii="Arial" w:hAnsi="Arial" w:cs="Arial"/>
          <w:color w:val="000000" w:themeColor="text1"/>
          <w:sz w:val="24"/>
          <w:szCs w:val="24"/>
        </w:rPr>
        <w:t>Hamerslag</w:t>
      </w:r>
      <w:proofErr w:type="spellEnd"/>
      <w:r w:rsidRPr="00C8753B">
        <w:rPr>
          <w:rFonts w:ascii="Arial" w:hAnsi="Arial" w:cs="Arial"/>
          <w:color w:val="000000" w:themeColor="text1"/>
          <w:sz w:val="24"/>
          <w:szCs w:val="24"/>
        </w:rPr>
        <w:t>, E. M., Shaver, J. H., &amp; Purzycki, B. G. (2022). Building quantitative cross-cultural databases from ethnographic records: promise, problems and principles. </w:t>
      </w:r>
      <w:r w:rsidRPr="00C8753B">
        <w:rPr>
          <w:rFonts w:ascii="Arial" w:hAnsi="Arial" w:cs="Arial"/>
          <w:i/>
          <w:iCs/>
          <w:color w:val="000000" w:themeColor="text1"/>
          <w:sz w:val="24"/>
          <w:szCs w:val="24"/>
        </w:rPr>
        <w:t>Cross-Cultural Research</w:t>
      </w:r>
      <w:r w:rsidRPr="00C8753B">
        <w:rPr>
          <w:rFonts w:ascii="Arial" w:hAnsi="Arial" w:cs="Arial"/>
          <w:color w:val="000000" w:themeColor="text1"/>
          <w:sz w:val="24"/>
          <w:szCs w:val="24"/>
        </w:rPr>
        <w:t>, </w:t>
      </w:r>
      <w:r w:rsidRPr="00C8753B">
        <w:rPr>
          <w:rFonts w:ascii="Arial" w:hAnsi="Arial" w:cs="Arial"/>
          <w:i/>
          <w:iCs/>
          <w:color w:val="000000" w:themeColor="text1"/>
          <w:sz w:val="24"/>
          <w:szCs w:val="24"/>
        </w:rPr>
        <w:t>56</w:t>
      </w:r>
      <w:r w:rsidRPr="00C8753B">
        <w:rPr>
          <w:rFonts w:ascii="Arial" w:hAnsi="Arial" w:cs="Arial"/>
          <w:color w:val="000000" w:themeColor="text1"/>
          <w:sz w:val="24"/>
          <w:szCs w:val="24"/>
        </w:rPr>
        <w:t>(1), 62-94.</w:t>
      </w:r>
    </w:p>
    <w:p w14:paraId="4155FE06" w14:textId="77777777" w:rsidR="00645859" w:rsidRPr="00996967" w:rsidRDefault="00645859" w:rsidP="00C8753B">
      <w:pPr>
        <w:spacing w:line="480" w:lineRule="auto"/>
        <w:ind w:left="720" w:hanging="720"/>
        <w:rPr>
          <w:rFonts w:ascii="Arial" w:hAnsi="Arial" w:cs="Arial"/>
          <w:color w:val="000000" w:themeColor="text1"/>
          <w:sz w:val="24"/>
          <w:szCs w:val="24"/>
        </w:rPr>
      </w:pPr>
      <w:r w:rsidRPr="00C8753B">
        <w:rPr>
          <w:rFonts w:ascii="Arial" w:hAnsi="Arial" w:cs="Arial"/>
          <w:color w:val="000000" w:themeColor="text1"/>
          <w:sz w:val="24"/>
          <w:szCs w:val="24"/>
        </w:rPr>
        <w:t xml:space="preserve">Whitebread, D., Basilio, M., </w:t>
      </w:r>
      <w:proofErr w:type="spellStart"/>
      <w:r w:rsidRPr="00C8753B">
        <w:rPr>
          <w:rFonts w:ascii="Arial" w:hAnsi="Arial" w:cs="Arial"/>
          <w:color w:val="000000" w:themeColor="text1"/>
          <w:sz w:val="24"/>
          <w:szCs w:val="24"/>
        </w:rPr>
        <w:t>Kuvalja</w:t>
      </w:r>
      <w:proofErr w:type="spellEnd"/>
      <w:r w:rsidRPr="00C8753B">
        <w:rPr>
          <w:rFonts w:ascii="Arial" w:hAnsi="Arial" w:cs="Arial"/>
          <w:color w:val="000000" w:themeColor="text1"/>
          <w:sz w:val="24"/>
          <w:szCs w:val="24"/>
        </w:rPr>
        <w:t xml:space="preserve">, M., &amp; Verma, M. (2012). </w:t>
      </w:r>
      <w:r w:rsidRPr="00C8753B">
        <w:rPr>
          <w:rFonts w:ascii="Arial" w:hAnsi="Arial" w:cs="Arial"/>
          <w:i/>
          <w:iCs/>
          <w:color w:val="000000" w:themeColor="text1"/>
          <w:sz w:val="24"/>
          <w:szCs w:val="24"/>
        </w:rPr>
        <w:t>The importance of play: A report on the value of children's play with a series of policy recommendations</w:t>
      </w:r>
      <w:r w:rsidRPr="00C8753B">
        <w:rPr>
          <w:rFonts w:ascii="Arial" w:hAnsi="Arial" w:cs="Arial"/>
          <w:color w:val="000000" w:themeColor="text1"/>
          <w:sz w:val="24"/>
          <w:szCs w:val="24"/>
        </w:rPr>
        <w:t>. Brussels: Toy Industries of Europe.</w:t>
      </w:r>
      <w:r w:rsidRPr="00C8753B">
        <w:rPr>
          <w:rFonts w:ascii="Arial" w:hAnsi="Arial" w:cs="Arial"/>
          <w:color w:val="000000" w:themeColor="text1"/>
          <w:sz w:val="24"/>
          <w:szCs w:val="24"/>
        </w:rPr>
        <w:t xml:space="preserve"> </w:t>
      </w:r>
    </w:p>
    <w:p w14:paraId="1AFEF563" w14:textId="77777777" w:rsidR="00645859" w:rsidRPr="00C8753B" w:rsidRDefault="00645859" w:rsidP="00C8753B">
      <w:pPr>
        <w:spacing w:line="480" w:lineRule="auto"/>
        <w:ind w:left="720" w:hanging="720"/>
        <w:rPr>
          <w:rFonts w:ascii="Arial" w:hAnsi="Arial" w:cs="Arial"/>
          <w:color w:val="000000" w:themeColor="text1"/>
          <w:sz w:val="24"/>
          <w:szCs w:val="24"/>
        </w:rPr>
      </w:pPr>
      <w:r w:rsidRPr="00C8753B">
        <w:rPr>
          <w:rFonts w:ascii="Arial" w:hAnsi="Arial" w:cs="Arial"/>
          <w:color w:val="000000" w:themeColor="text1"/>
          <w:sz w:val="24"/>
          <w:szCs w:val="24"/>
        </w:rPr>
        <w:t xml:space="preserve">Whitebread, D., Neale, D., Jensen, H., Liu, C., Solis, S. L., Hopkins, E., Hirsh-Pasek, K., &amp; </w:t>
      </w:r>
      <w:proofErr w:type="spellStart"/>
      <w:r w:rsidRPr="00C8753B">
        <w:rPr>
          <w:rFonts w:ascii="Arial" w:hAnsi="Arial" w:cs="Arial"/>
          <w:color w:val="000000" w:themeColor="text1"/>
          <w:sz w:val="24"/>
          <w:szCs w:val="24"/>
        </w:rPr>
        <w:t>Zosh</w:t>
      </w:r>
      <w:proofErr w:type="spellEnd"/>
      <w:r w:rsidRPr="00C8753B">
        <w:rPr>
          <w:rFonts w:ascii="Arial" w:hAnsi="Arial" w:cs="Arial"/>
          <w:color w:val="000000" w:themeColor="text1"/>
          <w:sz w:val="24"/>
          <w:szCs w:val="24"/>
        </w:rPr>
        <w:t xml:space="preserve">, J. M. (2017). </w:t>
      </w:r>
      <w:r w:rsidRPr="00C8753B">
        <w:rPr>
          <w:rFonts w:ascii="Arial" w:hAnsi="Arial" w:cs="Arial"/>
          <w:i/>
          <w:iCs/>
          <w:color w:val="000000" w:themeColor="text1"/>
          <w:sz w:val="24"/>
          <w:szCs w:val="24"/>
        </w:rPr>
        <w:t>The role of play in children's development: a review of the evidence</w:t>
      </w:r>
      <w:r w:rsidRPr="00C8753B">
        <w:rPr>
          <w:rFonts w:ascii="Arial" w:hAnsi="Arial" w:cs="Arial"/>
          <w:color w:val="000000" w:themeColor="text1"/>
          <w:sz w:val="24"/>
          <w:szCs w:val="24"/>
        </w:rPr>
        <w:t>. The LEGO Foundation</w:t>
      </w:r>
      <w:r w:rsidRPr="00C8753B">
        <w:rPr>
          <w:rFonts w:ascii="Arial" w:hAnsi="Arial" w:cs="Arial"/>
          <w:color w:val="000000" w:themeColor="text1"/>
          <w:sz w:val="24"/>
          <w:szCs w:val="24"/>
        </w:rPr>
        <w:t xml:space="preserve">. </w:t>
      </w:r>
    </w:p>
    <w:p w14:paraId="42189C33" w14:textId="77777777" w:rsidR="00645859" w:rsidRPr="00C8753B" w:rsidRDefault="00645859" w:rsidP="00C8753B">
      <w:pPr>
        <w:spacing w:line="480" w:lineRule="auto"/>
        <w:ind w:left="720" w:hanging="720"/>
        <w:rPr>
          <w:rFonts w:ascii="Arial" w:hAnsi="Arial" w:cs="Arial"/>
          <w:color w:val="000000" w:themeColor="text1"/>
          <w:sz w:val="24"/>
          <w:szCs w:val="24"/>
        </w:rPr>
      </w:pPr>
      <w:r w:rsidRPr="00C8753B">
        <w:rPr>
          <w:rFonts w:ascii="Arial" w:hAnsi="Arial" w:cs="Arial"/>
          <w:color w:val="000000" w:themeColor="text1"/>
          <w:sz w:val="24"/>
          <w:szCs w:val="24"/>
        </w:rPr>
        <w:t>Wilkes-Gillan</w:t>
      </w:r>
      <w:r w:rsidRPr="00C8753B">
        <w:rPr>
          <w:rFonts w:ascii="Arial" w:hAnsi="Arial" w:cs="Arial"/>
          <w:color w:val="000000" w:themeColor="text1"/>
          <w:sz w:val="24"/>
          <w:szCs w:val="24"/>
        </w:rPr>
        <w:t>,</w:t>
      </w:r>
      <w:r w:rsidRPr="00C8753B">
        <w:rPr>
          <w:rFonts w:ascii="Arial" w:hAnsi="Arial" w:cs="Arial"/>
          <w:color w:val="000000" w:themeColor="text1"/>
          <w:sz w:val="24"/>
          <w:szCs w:val="24"/>
        </w:rPr>
        <w:t> S</w:t>
      </w:r>
      <w:r w:rsidRPr="00C8753B">
        <w:rPr>
          <w:rFonts w:ascii="Arial" w:hAnsi="Arial" w:cs="Arial"/>
          <w:color w:val="000000" w:themeColor="text1"/>
          <w:sz w:val="24"/>
          <w:szCs w:val="24"/>
        </w:rPr>
        <w:t>.</w:t>
      </w:r>
      <w:r w:rsidRPr="00C8753B">
        <w:rPr>
          <w:rFonts w:ascii="Arial" w:hAnsi="Arial" w:cs="Arial"/>
          <w:color w:val="000000" w:themeColor="text1"/>
          <w:sz w:val="24"/>
          <w:szCs w:val="24"/>
        </w:rPr>
        <w:t>, Bundy</w:t>
      </w:r>
      <w:r w:rsidRPr="00C8753B">
        <w:rPr>
          <w:rFonts w:ascii="Arial" w:hAnsi="Arial" w:cs="Arial"/>
          <w:color w:val="000000" w:themeColor="text1"/>
          <w:sz w:val="24"/>
          <w:szCs w:val="24"/>
        </w:rPr>
        <w:t>,</w:t>
      </w:r>
      <w:r w:rsidRPr="00C8753B">
        <w:rPr>
          <w:rFonts w:ascii="Arial" w:hAnsi="Arial" w:cs="Arial"/>
          <w:color w:val="000000" w:themeColor="text1"/>
          <w:sz w:val="24"/>
          <w:szCs w:val="24"/>
        </w:rPr>
        <w:t> A</w:t>
      </w:r>
      <w:r w:rsidRPr="00C8753B">
        <w:rPr>
          <w:rFonts w:ascii="Arial" w:hAnsi="Arial" w:cs="Arial"/>
          <w:color w:val="000000" w:themeColor="text1"/>
          <w:sz w:val="24"/>
          <w:szCs w:val="24"/>
        </w:rPr>
        <w:t>.</w:t>
      </w:r>
      <w:r w:rsidRPr="00C8753B">
        <w:rPr>
          <w:rFonts w:ascii="Arial" w:hAnsi="Arial" w:cs="Arial"/>
          <w:color w:val="000000" w:themeColor="text1"/>
          <w:sz w:val="24"/>
          <w:szCs w:val="24"/>
        </w:rPr>
        <w:t>, Cordier</w:t>
      </w:r>
      <w:r w:rsidRPr="00C8753B">
        <w:rPr>
          <w:rFonts w:ascii="Arial" w:hAnsi="Arial" w:cs="Arial"/>
          <w:color w:val="000000" w:themeColor="text1"/>
          <w:sz w:val="24"/>
          <w:szCs w:val="24"/>
        </w:rPr>
        <w:t>,</w:t>
      </w:r>
      <w:r w:rsidRPr="00C8753B">
        <w:rPr>
          <w:rFonts w:ascii="Arial" w:hAnsi="Arial" w:cs="Arial"/>
          <w:color w:val="000000" w:themeColor="text1"/>
          <w:sz w:val="24"/>
          <w:szCs w:val="24"/>
        </w:rPr>
        <w:t> R</w:t>
      </w:r>
      <w:r w:rsidRPr="00C8753B">
        <w:rPr>
          <w:rFonts w:ascii="Arial" w:hAnsi="Arial" w:cs="Arial"/>
          <w:color w:val="000000" w:themeColor="text1"/>
          <w:sz w:val="24"/>
          <w:szCs w:val="24"/>
        </w:rPr>
        <w:t>.</w:t>
      </w:r>
      <w:r w:rsidRPr="00C8753B">
        <w:rPr>
          <w:rFonts w:ascii="Arial" w:hAnsi="Arial" w:cs="Arial"/>
          <w:color w:val="000000" w:themeColor="text1"/>
          <w:sz w:val="24"/>
          <w:szCs w:val="24"/>
        </w:rPr>
        <w:t>, Lincoln</w:t>
      </w:r>
      <w:r w:rsidRPr="00C8753B">
        <w:rPr>
          <w:rFonts w:ascii="Arial" w:hAnsi="Arial" w:cs="Arial"/>
          <w:color w:val="000000" w:themeColor="text1"/>
          <w:sz w:val="24"/>
          <w:szCs w:val="24"/>
        </w:rPr>
        <w:t>,</w:t>
      </w:r>
      <w:r w:rsidRPr="00C8753B">
        <w:rPr>
          <w:rFonts w:ascii="Arial" w:hAnsi="Arial" w:cs="Arial"/>
          <w:color w:val="000000" w:themeColor="text1"/>
          <w:sz w:val="24"/>
          <w:szCs w:val="24"/>
        </w:rPr>
        <w:t> M</w:t>
      </w:r>
      <w:r w:rsidRPr="00C8753B">
        <w:rPr>
          <w:rFonts w:ascii="Arial" w:hAnsi="Arial" w:cs="Arial"/>
          <w:color w:val="000000" w:themeColor="text1"/>
          <w:sz w:val="24"/>
          <w:szCs w:val="24"/>
        </w:rPr>
        <w:t>.</w:t>
      </w:r>
      <w:r w:rsidRPr="00C8753B">
        <w:rPr>
          <w:rFonts w:ascii="Arial" w:hAnsi="Arial" w:cs="Arial"/>
          <w:color w:val="000000" w:themeColor="text1"/>
          <w:sz w:val="24"/>
          <w:szCs w:val="24"/>
        </w:rPr>
        <w:t>,</w:t>
      </w:r>
      <w:r w:rsidRPr="00C8753B">
        <w:rPr>
          <w:rFonts w:ascii="Arial" w:hAnsi="Arial" w:cs="Arial"/>
          <w:color w:val="000000" w:themeColor="text1"/>
          <w:sz w:val="24"/>
          <w:szCs w:val="24"/>
        </w:rPr>
        <w:t xml:space="preserve"> &amp;</w:t>
      </w:r>
      <w:r w:rsidRPr="00C8753B">
        <w:rPr>
          <w:rFonts w:ascii="Arial" w:hAnsi="Arial" w:cs="Arial"/>
          <w:color w:val="000000" w:themeColor="text1"/>
          <w:sz w:val="24"/>
          <w:szCs w:val="24"/>
        </w:rPr>
        <w:t xml:space="preserve"> Chen</w:t>
      </w:r>
      <w:r w:rsidRPr="00C8753B">
        <w:rPr>
          <w:rFonts w:ascii="Arial" w:hAnsi="Arial" w:cs="Arial"/>
          <w:color w:val="000000" w:themeColor="text1"/>
          <w:sz w:val="24"/>
          <w:szCs w:val="24"/>
        </w:rPr>
        <w:t>,</w:t>
      </w:r>
      <w:r w:rsidRPr="00C8753B">
        <w:rPr>
          <w:rFonts w:ascii="Arial" w:hAnsi="Arial" w:cs="Arial"/>
          <w:color w:val="000000" w:themeColor="text1"/>
          <w:sz w:val="24"/>
          <w:szCs w:val="24"/>
        </w:rPr>
        <w:t> Y</w:t>
      </w:r>
      <w:r w:rsidRPr="00C8753B">
        <w:rPr>
          <w:rFonts w:ascii="Arial" w:hAnsi="Arial" w:cs="Arial"/>
          <w:color w:val="000000" w:themeColor="text1"/>
          <w:sz w:val="24"/>
          <w:szCs w:val="24"/>
        </w:rPr>
        <w:t xml:space="preserve">. </w:t>
      </w:r>
      <w:r w:rsidRPr="00C8753B">
        <w:rPr>
          <w:rFonts w:ascii="Arial" w:hAnsi="Arial" w:cs="Arial"/>
          <w:color w:val="000000" w:themeColor="text1"/>
          <w:sz w:val="24"/>
          <w:szCs w:val="24"/>
        </w:rPr>
        <w:t>W</w:t>
      </w:r>
      <w:r w:rsidRPr="00C8753B">
        <w:rPr>
          <w:rFonts w:ascii="Arial" w:hAnsi="Arial" w:cs="Arial"/>
          <w:color w:val="000000" w:themeColor="text1"/>
          <w:sz w:val="24"/>
          <w:szCs w:val="24"/>
        </w:rPr>
        <w:t xml:space="preserve">. </w:t>
      </w:r>
      <w:r w:rsidRPr="00C8753B">
        <w:rPr>
          <w:rFonts w:ascii="Arial" w:hAnsi="Arial" w:cs="Arial"/>
          <w:color w:val="000000" w:themeColor="text1"/>
          <w:sz w:val="24"/>
          <w:szCs w:val="24"/>
        </w:rPr>
        <w:t>(2016)</w:t>
      </w:r>
      <w:r w:rsidRPr="00C8753B">
        <w:rPr>
          <w:rFonts w:ascii="Arial" w:hAnsi="Arial" w:cs="Arial"/>
          <w:color w:val="000000" w:themeColor="text1"/>
          <w:sz w:val="24"/>
          <w:szCs w:val="24"/>
        </w:rPr>
        <w:t>.</w:t>
      </w:r>
      <w:r w:rsidRPr="00C8753B">
        <w:rPr>
          <w:rFonts w:ascii="Arial" w:hAnsi="Arial" w:cs="Arial"/>
          <w:color w:val="000000" w:themeColor="text1"/>
          <w:sz w:val="24"/>
          <w:szCs w:val="24"/>
        </w:rPr>
        <w:t xml:space="preserve"> A Randomised Controlled Trial of a Play-Based Intervention to Improve the </w:t>
      </w:r>
      <w:r w:rsidRPr="00C8753B">
        <w:rPr>
          <w:rFonts w:ascii="Arial" w:hAnsi="Arial" w:cs="Arial"/>
          <w:color w:val="000000" w:themeColor="text1"/>
          <w:sz w:val="24"/>
          <w:szCs w:val="24"/>
        </w:rPr>
        <w:lastRenderedPageBreak/>
        <w:t xml:space="preserve">Social Play Skills of Children with Attention Deficit Hyperactivity Disorder (ADHD). </w:t>
      </w:r>
      <w:r w:rsidRPr="00C8753B">
        <w:rPr>
          <w:rFonts w:ascii="Arial" w:hAnsi="Arial" w:cs="Arial"/>
          <w:i/>
          <w:iCs/>
          <w:color w:val="000000" w:themeColor="text1"/>
          <w:sz w:val="24"/>
          <w:szCs w:val="24"/>
        </w:rPr>
        <w:t>PLOS ONE 11</w:t>
      </w:r>
      <w:r w:rsidRPr="00C8753B">
        <w:rPr>
          <w:rFonts w:ascii="Arial" w:hAnsi="Arial" w:cs="Arial"/>
          <w:color w:val="000000" w:themeColor="text1"/>
          <w:sz w:val="24"/>
          <w:szCs w:val="24"/>
        </w:rPr>
        <w:t>(8): e0160558. </w:t>
      </w:r>
      <w:hyperlink r:id="rId39" w:history="1">
        <w:r w:rsidRPr="00C8753B">
          <w:rPr>
            <w:rStyle w:val="Hyperlink"/>
            <w:rFonts w:ascii="Arial" w:hAnsi="Arial" w:cs="Arial"/>
            <w:color w:val="000000" w:themeColor="text1"/>
            <w:sz w:val="24"/>
            <w:szCs w:val="24"/>
          </w:rPr>
          <w:t>https://doi.org/10.1371/journal.pone.0160558</w:t>
        </w:r>
      </w:hyperlink>
    </w:p>
    <w:p w14:paraId="452D2413" w14:textId="77777777" w:rsidR="00645859" w:rsidRPr="00C8753B" w:rsidRDefault="00645859" w:rsidP="00C8753B">
      <w:pPr>
        <w:spacing w:line="480" w:lineRule="auto"/>
        <w:ind w:left="720" w:hanging="720"/>
        <w:rPr>
          <w:rFonts w:ascii="Arial" w:hAnsi="Arial" w:cs="Arial"/>
          <w:color w:val="000000" w:themeColor="text1"/>
          <w:sz w:val="24"/>
          <w:szCs w:val="24"/>
        </w:rPr>
      </w:pPr>
      <w:r w:rsidRPr="00C8753B">
        <w:rPr>
          <w:rFonts w:ascii="Arial" w:hAnsi="Arial" w:cs="Arial"/>
          <w:color w:val="000000" w:themeColor="text1"/>
          <w:sz w:val="24"/>
          <w:szCs w:val="24"/>
        </w:rPr>
        <w:t xml:space="preserve">Wu, J., Yan, J., Zhang, L., Chen, J., Cheng, Y., Wang, Y., Zhu, M., Cheng, L., &amp; Zhang, L. (2022). The effectiveness of distraction as a preoperative anxiety management technique in </w:t>
      </w:r>
      <w:proofErr w:type="spellStart"/>
      <w:r w:rsidRPr="00C8753B">
        <w:rPr>
          <w:rFonts w:ascii="Arial" w:hAnsi="Arial" w:cs="Arial"/>
          <w:color w:val="000000" w:themeColor="text1"/>
          <w:sz w:val="24"/>
          <w:szCs w:val="24"/>
        </w:rPr>
        <w:t>pediatric</w:t>
      </w:r>
      <w:proofErr w:type="spellEnd"/>
      <w:r w:rsidRPr="00C8753B">
        <w:rPr>
          <w:rFonts w:ascii="Arial" w:hAnsi="Arial" w:cs="Arial"/>
          <w:color w:val="000000" w:themeColor="text1"/>
          <w:sz w:val="24"/>
          <w:szCs w:val="24"/>
        </w:rPr>
        <w:t xml:space="preserve"> patients: A systematic review and meta-analysis of randomized controlled trials. </w:t>
      </w:r>
      <w:r w:rsidRPr="00C8753B">
        <w:rPr>
          <w:rFonts w:ascii="Arial" w:hAnsi="Arial" w:cs="Arial"/>
          <w:i/>
          <w:iCs/>
          <w:color w:val="000000" w:themeColor="text1"/>
          <w:sz w:val="24"/>
          <w:szCs w:val="24"/>
        </w:rPr>
        <w:t>International Journal of Nursing Studies, 130</w:t>
      </w:r>
      <w:r w:rsidRPr="00C8753B">
        <w:rPr>
          <w:rFonts w:ascii="Arial" w:hAnsi="Arial" w:cs="Arial"/>
          <w:color w:val="000000" w:themeColor="text1"/>
          <w:sz w:val="24"/>
          <w:szCs w:val="24"/>
        </w:rPr>
        <w:t xml:space="preserve">, 104232. </w:t>
      </w:r>
      <w:hyperlink r:id="rId40" w:tgtFrame="_new" w:history="1">
        <w:r w:rsidRPr="00C8753B">
          <w:rPr>
            <w:rStyle w:val="Hyperlink"/>
            <w:rFonts w:ascii="Arial" w:hAnsi="Arial" w:cs="Arial"/>
            <w:color w:val="000000" w:themeColor="text1"/>
            <w:sz w:val="24"/>
            <w:szCs w:val="24"/>
          </w:rPr>
          <w:t>https://doi.org/10.1016/j.ijnurstu.2022.104232</w:t>
        </w:r>
      </w:hyperlink>
    </w:p>
    <w:p w14:paraId="6FCDB4AE" w14:textId="77777777" w:rsidR="00645859" w:rsidRPr="00C8753B" w:rsidRDefault="00645859" w:rsidP="00C8753B">
      <w:pPr>
        <w:spacing w:line="480" w:lineRule="auto"/>
        <w:ind w:left="720" w:hanging="720"/>
        <w:rPr>
          <w:rFonts w:ascii="Arial" w:hAnsi="Arial" w:cs="Arial"/>
          <w:color w:val="000000" w:themeColor="text1"/>
          <w:sz w:val="24"/>
          <w:szCs w:val="24"/>
        </w:rPr>
      </w:pPr>
      <w:r w:rsidRPr="00C8753B">
        <w:rPr>
          <w:rFonts w:ascii="Arial" w:hAnsi="Arial" w:cs="Arial"/>
          <w:color w:val="000000" w:themeColor="text1"/>
          <w:sz w:val="24"/>
          <w:szCs w:val="24"/>
        </w:rPr>
        <w:t xml:space="preserve">Zimmerman, E. L. (2019). </w:t>
      </w:r>
      <w:r w:rsidRPr="00C8753B">
        <w:rPr>
          <w:rFonts w:ascii="Arial" w:hAnsi="Arial" w:cs="Arial"/>
          <w:i/>
          <w:iCs/>
          <w:color w:val="000000" w:themeColor="text1"/>
          <w:sz w:val="24"/>
          <w:szCs w:val="24"/>
        </w:rPr>
        <w:t>The effect of inconsistent therapy attendance by client and therapist on therapeutic outcomes</w:t>
      </w:r>
      <w:r w:rsidRPr="00C8753B">
        <w:rPr>
          <w:rFonts w:ascii="Arial" w:hAnsi="Arial" w:cs="Arial"/>
          <w:color w:val="000000" w:themeColor="text1"/>
          <w:sz w:val="24"/>
          <w:szCs w:val="24"/>
        </w:rPr>
        <w:t xml:space="preserve"> (Doctoral dissertation). Brigham Young University. Retrieved from </w:t>
      </w:r>
      <w:hyperlink r:id="rId41" w:history="1">
        <w:r w:rsidRPr="00C8753B">
          <w:rPr>
            <w:rStyle w:val="Hyperlink"/>
            <w:rFonts w:ascii="Arial" w:hAnsi="Arial" w:cs="Arial"/>
            <w:color w:val="000000" w:themeColor="text1"/>
            <w:sz w:val="24"/>
            <w:szCs w:val="24"/>
          </w:rPr>
          <w:t>https://scholarsarchive.byu.edu/etd/8630</w:t>
        </w:r>
      </w:hyperlink>
      <w:r w:rsidRPr="00C8753B">
        <w:rPr>
          <w:rFonts w:ascii="Arial" w:hAnsi="Arial" w:cs="Arial"/>
          <w:color w:val="000000" w:themeColor="text1"/>
          <w:sz w:val="24"/>
          <w:szCs w:val="24"/>
        </w:rPr>
        <w:t xml:space="preserve"> </w:t>
      </w:r>
    </w:p>
    <w:sectPr w:rsidR="00645859" w:rsidRPr="00C8753B">
      <w:head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8BD647" w14:textId="77777777" w:rsidR="00627AF0" w:rsidRDefault="00627AF0" w:rsidP="00627AF0">
      <w:pPr>
        <w:spacing w:after="0" w:line="240" w:lineRule="auto"/>
      </w:pPr>
      <w:r>
        <w:separator/>
      </w:r>
    </w:p>
  </w:endnote>
  <w:endnote w:type="continuationSeparator" w:id="0">
    <w:p w14:paraId="36D20B7F" w14:textId="77777777" w:rsidR="00627AF0" w:rsidRDefault="00627AF0" w:rsidP="00627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BB695" w14:textId="77777777" w:rsidR="00627AF0" w:rsidRDefault="00627AF0" w:rsidP="00627AF0">
      <w:pPr>
        <w:spacing w:after="0" w:line="240" w:lineRule="auto"/>
      </w:pPr>
      <w:r>
        <w:separator/>
      </w:r>
    </w:p>
  </w:footnote>
  <w:footnote w:type="continuationSeparator" w:id="0">
    <w:p w14:paraId="676F120A" w14:textId="77777777" w:rsidR="00627AF0" w:rsidRDefault="00627AF0" w:rsidP="00627A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34F15" w14:textId="77777777" w:rsidR="00932DF3" w:rsidRDefault="00932DF3">
    <w:pPr>
      <w:pStyle w:val="Header"/>
    </w:pPr>
  </w:p>
  <w:p w14:paraId="7EE04FD7" w14:textId="77777777" w:rsidR="00932DF3" w:rsidRDefault="00932DF3">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57A67"/>
    <w:multiLevelType w:val="multilevel"/>
    <w:tmpl w:val="306CE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70293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E1D"/>
    <w:rsid w:val="00004FE8"/>
    <w:rsid w:val="0001438B"/>
    <w:rsid w:val="000159EE"/>
    <w:rsid w:val="00024607"/>
    <w:rsid w:val="00031E72"/>
    <w:rsid w:val="000412AD"/>
    <w:rsid w:val="000455B4"/>
    <w:rsid w:val="00047A21"/>
    <w:rsid w:val="00061EAB"/>
    <w:rsid w:val="00071586"/>
    <w:rsid w:val="0007701D"/>
    <w:rsid w:val="0009498B"/>
    <w:rsid w:val="00096A3D"/>
    <w:rsid w:val="000A1B2B"/>
    <w:rsid w:val="000A629B"/>
    <w:rsid w:val="000A697C"/>
    <w:rsid w:val="000B492E"/>
    <w:rsid w:val="000C2BEB"/>
    <w:rsid w:val="000E58DF"/>
    <w:rsid w:val="00113393"/>
    <w:rsid w:val="00137252"/>
    <w:rsid w:val="00142DD5"/>
    <w:rsid w:val="00143BC5"/>
    <w:rsid w:val="00166CE7"/>
    <w:rsid w:val="00167D04"/>
    <w:rsid w:val="001771A1"/>
    <w:rsid w:val="001902C7"/>
    <w:rsid w:val="0019627E"/>
    <w:rsid w:val="001C4D5D"/>
    <w:rsid w:val="001D6419"/>
    <w:rsid w:val="001F026C"/>
    <w:rsid w:val="001F0C40"/>
    <w:rsid w:val="001F36E9"/>
    <w:rsid w:val="001F4325"/>
    <w:rsid w:val="001F6D5A"/>
    <w:rsid w:val="00204D5E"/>
    <w:rsid w:val="00205E4E"/>
    <w:rsid w:val="00211915"/>
    <w:rsid w:val="00220697"/>
    <w:rsid w:val="002236A2"/>
    <w:rsid w:val="00230BAA"/>
    <w:rsid w:val="00233E3F"/>
    <w:rsid w:val="00257E2B"/>
    <w:rsid w:val="0027730E"/>
    <w:rsid w:val="00290024"/>
    <w:rsid w:val="00296120"/>
    <w:rsid w:val="002B2C86"/>
    <w:rsid w:val="002B3DC8"/>
    <w:rsid w:val="002D0A78"/>
    <w:rsid w:val="002E3C4D"/>
    <w:rsid w:val="002F1D3B"/>
    <w:rsid w:val="002F7253"/>
    <w:rsid w:val="003012D2"/>
    <w:rsid w:val="00321745"/>
    <w:rsid w:val="00322673"/>
    <w:rsid w:val="003265C0"/>
    <w:rsid w:val="00335285"/>
    <w:rsid w:val="00370A9F"/>
    <w:rsid w:val="00384259"/>
    <w:rsid w:val="003D48C3"/>
    <w:rsid w:val="003D6C78"/>
    <w:rsid w:val="003F3CB0"/>
    <w:rsid w:val="003F7894"/>
    <w:rsid w:val="004021C0"/>
    <w:rsid w:val="004354D4"/>
    <w:rsid w:val="00441097"/>
    <w:rsid w:val="004475CC"/>
    <w:rsid w:val="0044791C"/>
    <w:rsid w:val="00453B14"/>
    <w:rsid w:val="0048251E"/>
    <w:rsid w:val="004A10F9"/>
    <w:rsid w:val="004A1CDF"/>
    <w:rsid w:val="004C4E5E"/>
    <w:rsid w:val="004D136F"/>
    <w:rsid w:val="004D2E56"/>
    <w:rsid w:val="004E10DB"/>
    <w:rsid w:val="004E2763"/>
    <w:rsid w:val="00504701"/>
    <w:rsid w:val="00505B08"/>
    <w:rsid w:val="0051345E"/>
    <w:rsid w:val="00521096"/>
    <w:rsid w:val="00534813"/>
    <w:rsid w:val="00543BFB"/>
    <w:rsid w:val="0055304C"/>
    <w:rsid w:val="005663F9"/>
    <w:rsid w:val="0057727D"/>
    <w:rsid w:val="00583F85"/>
    <w:rsid w:val="00586F44"/>
    <w:rsid w:val="00591B39"/>
    <w:rsid w:val="00592086"/>
    <w:rsid w:val="00593556"/>
    <w:rsid w:val="00595DB9"/>
    <w:rsid w:val="005A355D"/>
    <w:rsid w:val="005B3130"/>
    <w:rsid w:val="005B6DE5"/>
    <w:rsid w:val="005C7C45"/>
    <w:rsid w:val="005D021E"/>
    <w:rsid w:val="005D47E7"/>
    <w:rsid w:val="005F322C"/>
    <w:rsid w:val="006025EF"/>
    <w:rsid w:val="00627AF0"/>
    <w:rsid w:val="00640728"/>
    <w:rsid w:val="00642E93"/>
    <w:rsid w:val="00645859"/>
    <w:rsid w:val="00655EF9"/>
    <w:rsid w:val="00663167"/>
    <w:rsid w:val="00682808"/>
    <w:rsid w:val="00686FFB"/>
    <w:rsid w:val="00696932"/>
    <w:rsid w:val="006A0044"/>
    <w:rsid w:val="006A2468"/>
    <w:rsid w:val="006B06D3"/>
    <w:rsid w:val="006C425B"/>
    <w:rsid w:val="007038DB"/>
    <w:rsid w:val="00705020"/>
    <w:rsid w:val="00707660"/>
    <w:rsid w:val="007324D7"/>
    <w:rsid w:val="007370CA"/>
    <w:rsid w:val="00741668"/>
    <w:rsid w:val="00772C56"/>
    <w:rsid w:val="00780109"/>
    <w:rsid w:val="00786D49"/>
    <w:rsid w:val="00796A40"/>
    <w:rsid w:val="007A38AA"/>
    <w:rsid w:val="007A5873"/>
    <w:rsid w:val="007B1083"/>
    <w:rsid w:val="007C29A9"/>
    <w:rsid w:val="007C2A6B"/>
    <w:rsid w:val="007C6B97"/>
    <w:rsid w:val="007C6E87"/>
    <w:rsid w:val="007F1B32"/>
    <w:rsid w:val="007F3690"/>
    <w:rsid w:val="007F3AA5"/>
    <w:rsid w:val="007F5B8D"/>
    <w:rsid w:val="00811EB4"/>
    <w:rsid w:val="00821002"/>
    <w:rsid w:val="00825DDB"/>
    <w:rsid w:val="00833847"/>
    <w:rsid w:val="008420C2"/>
    <w:rsid w:val="00842E02"/>
    <w:rsid w:val="00850653"/>
    <w:rsid w:val="00850982"/>
    <w:rsid w:val="00854EB1"/>
    <w:rsid w:val="00887B78"/>
    <w:rsid w:val="008A5DCB"/>
    <w:rsid w:val="008B025C"/>
    <w:rsid w:val="008D4996"/>
    <w:rsid w:val="008D49B1"/>
    <w:rsid w:val="008D50A4"/>
    <w:rsid w:val="00906360"/>
    <w:rsid w:val="00907627"/>
    <w:rsid w:val="00914ED6"/>
    <w:rsid w:val="00917F54"/>
    <w:rsid w:val="0092430D"/>
    <w:rsid w:val="0092705D"/>
    <w:rsid w:val="009329A0"/>
    <w:rsid w:val="00932DF3"/>
    <w:rsid w:val="00933190"/>
    <w:rsid w:val="00943644"/>
    <w:rsid w:val="00945170"/>
    <w:rsid w:val="009511BD"/>
    <w:rsid w:val="00952744"/>
    <w:rsid w:val="00960425"/>
    <w:rsid w:val="00976348"/>
    <w:rsid w:val="00977222"/>
    <w:rsid w:val="00985B04"/>
    <w:rsid w:val="00990910"/>
    <w:rsid w:val="00996967"/>
    <w:rsid w:val="009A44F9"/>
    <w:rsid w:val="009D4B1E"/>
    <w:rsid w:val="009E493F"/>
    <w:rsid w:val="009F0200"/>
    <w:rsid w:val="00A01881"/>
    <w:rsid w:val="00A2041B"/>
    <w:rsid w:val="00A312C5"/>
    <w:rsid w:val="00A36940"/>
    <w:rsid w:val="00A41F6C"/>
    <w:rsid w:val="00A55DD1"/>
    <w:rsid w:val="00A77E6B"/>
    <w:rsid w:val="00A86231"/>
    <w:rsid w:val="00A872BF"/>
    <w:rsid w:val="00A94DD9"/>
    <w:rsid w:val="00AB0401"/>
    <w:rsid w:val="00AB21AD"/>
    <w:rsid w:val="00AD3346"/>
    <w:rsid w:val="00AD66BD"/>
    <w:rsid w:val="00AE3FAF"/>
    <w:rsid w:val="00AE47D4"/>
    <w:rsid w:val="00AF47AD"/>
    <w:rsid w:val="00B045F7"/>
    <w:rsid w:val="00B353E4"/>
    <w:rsid w:val="00B372B9"/>
    <w:rsid w:val="00B4560F"/>
    <w:rsid w:val="00B55C77"/>
    <w:rsid w:val="00B87F46"/>
    <w:rsid w:val="00B9661A"/>
    <w:rsid w:val="00BB772C"/>
    <w:rsid w:val="00BE6DDA"/>
    <w:rsid w:val="00C0002E"/>
    <w:rsid w:val="00C05721"/>
    <w:rsid w:val="00C14E98"/>
    <w:rsid w:val="00C25CFD"/>
    <w:rsid w:val="00C3226E"/>
    <w:rsid w:val="00C37201"/>
    <w:rsid w:val="00C37832"/>
    <w:rsid w:val="00C429AE"/>
    <w:rsid w:val="00C43259"/>
    <w:rsid w:val="00C4426E"/>
    <w:rsid w:val="00C62F07"/>
    <w:rsid w:val="00C70A49"/>
    <w:rsid w:val="00C716D9"/>
    <w:rsid w:val="00C77901"/>
    <w:rsid w:val="00C86182"/>
    <w:rsid w:val="00C8753B"/>
    <w:rsid w:val="00C90B7A"/>
    <w:rsid w:val="00C97B39"/>
    <w:rsid w:val="00CA5756"/>
    <w:rsid w:val="00CC2A43"/>
    <w:rsid w:val="00CF3E7D"/>
    <w:rsid w:val="00D126D8"/>
    <w:rsid w:val="00D24E3C"/>
    <w:rsid w:val="00D35E1D"/>
    <w:rsid w:val="00D4106C"/>
    <w:rsid w:val="00D41614"/>
    <w:rsid w:val="00D4475C"/>
    <w:rsid w:val="00D46C68"/>
    <w:rsid w:val="00D47D82"/>
    <w:rsid w:val="00D56C65"/>
    <w:rsid w:val="00D61679"/>
    <w:rsid w:val="00D61E42"/>
    <w:rsid w:val="00D73B01"/>
    <w:rsid w:val="00D76FF6"/>
    <w:rsid w:val="00D87296"/>
    <w:rsid w:val="00D936A6"/>
    <w:rsid w:val="00D949FF"/>
    <w:rsid w:val="00DB655A"/>
    <w:rsid w:val="00DC05C1"/>
    <w:rsid w:val="00DC5B5B"/>
    <w:rsid w:val="00DD5BD5"/>
    <w:rsid w:val="00DE7C59"/>
    <w:rsid w:val="00DF2EBC"/>
    <w:rsid w:val="00E27F5C"/>
    <w:rsid w:val="00E30608"/>
    <w:rsid w:val="00E33B8C"/>
    <w:rsid w:val="00E35BE7"/>
    <w:rsid w:val="00E7147E"/>
    <w:rsid w:val="00E74DA8"/>
    <w:rsid w:val="00E83564"/>
    <w:rsid w:val="00E83C95"/>
    <w:rsid w:val="00E9702E"/>
    <w:rsid w:val="00EA4D6D"/>
    <w:rsid w:val="00EC0E72"/>
    <w:rsid w:val="00EF417B"/>
    <w:rsid w:val="00F07260"/>
    <w:rsid w:val="00F155F5"/>
    <w:rsid w:val="00F30BCF"/>
    <w:rsid w:val="00F339A0"/>
    <w:rsid w:val="00F45B26"/>
    <w:rsid w:val="00F51DBF"/>
    <w:rsid w:val="00F657B3"/>
    <w:rsid w:val="00F71255"/>
    <w:rsid w:val="00F731C6"/>
    <w:rsid w:val="00F86D1C"/>
    <w:rsid w:val="00F97328"/>
    <w:rsid w:val="00FB1607"/>
    <w:rsid w:val="00FB41CD"/>
    <w:rsid w:val="00FB6EDD"/>
    <w:rsid w:val="00FC7592"/>
    <w:rsid w:val="00FD53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BDA61"/>
  <w15:chartTrackingRefBased/>
  <w15:docId w15:val="{9AA25209-C86B-46B0-9428-38CAE347D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5E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5E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5E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5E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5E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5E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5E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5E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5E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5E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5E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5E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5E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5E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5E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5E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5E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5E1D"/>
    <w:rPr>
      <w:rFonts w:eastAsiaTheme="majorEastAsia" w:cstheme="majorBidi"/>
      <w:color w:val="272727" w:themeColor="text1" w:themeTint="D8"/>
    </w:rPr>
  </w:style>
  <w:style w:type="paragraph" w:styleId="Title">
    <w:name w:val="Title"/>
    <w:basedOn w:val="Normal"/>
    <w:next w:val="Normal"/>
    <w:link w:val="TitleChar"/>
    <w:uiPriority w:val="10"/>
    <w:qFormat/>
    <w:rsid w:val="00D35E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5E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5E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5E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5E1D"/>
    <w:pPr>
      <w:spacing w:before="160"/>
      <w:jc w:val="center"/>
    </w:pPr>
    <w:rPr>
      <w:i/>
      <w:iCs/>
      <w:color w:val="404040" w:themeColor="text1" w:themeTint="BF"/>
    </w:rPr>
  </w:style>
  <w:style w:type="character" w:customStyle="1" w:styleId="QuoteChar">
    <w:name w:val="Quote Char"/>
    <w:basedOn w:val="DefaultParagraphFont"/>
    <w:link w:val="Quote"/>
    <w:uiPriority w:val="29"/>
    <w:rsid w:val="00D35E1D"/>
    <w:rPr>
      <w:i/>
      <w:iCs/>
      <w:color w:val="404040" w:themeColor="text1" w:themeTint="BF"/>
    </w:rPr>
  </w:style>
  <w:style w:type="paragraph" w:styleId="ListParagraph">
    <w:name w:val="List Paragraph"/>
    <w:basedOn w:val="Normal"/>
    <w:uiPriority w:val="34"/>
    <w:qFormat/>
    <w:rsid w:val="00D35E1D"/>
    <w:pPr>
      <w:ind w:left="720"/>
      <w:contextualSpacing/>
    </w:pPr>
  </w:style>
  <w:style w:type="character" w:styleId="IntenseEmphasis">
    <w:name w:val="Intense Emphasis"/>
    <w:basedOn w:val="DefaultParagraphFont"/>
    <w:uiPriority w:val="21"/>
    <w:qFormat/>
    <w:rsid w:val="00D35E1D"/>
    <w:rPr>
      <w:i/>
      <w:iCs/>
      <w:color w:val="0F4761" w:themeColor="accent1" w:themeShade="BF"/>
    </w:rPr>
  </w:style>
  <w:style w:type="paragraph" w:styleId="IntenseQuote">
    <w:name w:val="Intense Quote"/>
    <w:basedOn w:val="Normal"/>
    <w:next w:val="Normal"/>
    <w:link w:val="IntenseQuoteChar"/>
    <w:uiPriority w:val="30"/>
    <w:qFormat/>
    <w:rsid w:val="00D35E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5E1D"/>
    <w:rPr>
      <w:i/>
      <w:iCs/>
      <w:color w:val="0F4761" w:themeColor="accent1" w:themeShade="BF"/>
    </w:rPr>
  </w:style>
  <w:style w:type="character" w:styleId="IntenseReference">
    <w:name w:val="Intense Reference"/>
    <w:basedOn w:val="DefaultParagraphFont"/>
    <w:uiPriority w:val="32"/>
    <w:qFormat/>
    <w:rsid w:val="00D35E1D"/>
    <w:rPr>
      <w:b/>
      <w:bCs/>
      <w:smallCaps/>
      <w:color w:val="0F4761" w:themeColor="accent1" w:themeShade="BF"/>
      <w:spacing w:val="5"/>
    </w:rPr>
  </w:style>
  <w:style w:type="character" w:styleId="Hyperlink">
    <w:name w:val="Hyperlink"/>
    <w:basedOn w:val="DefaultParagraphFont"/>
    <w:uiPriority w:val="99"/>
    <w:unhideWhenUsed/>
    <w:rsid w:val="00D35E1D"/>
    <w:rPr>
      <w:color w:val="467886" w:themeColor="hyperlink"/>
      <w:u w:val="single"/>
    </w:rPr>
  </w:style>
  <w:style w:type="character" w:styleId="UnresolvedMention">
    <w:name w:val="Unresolved Mention"/>
    <w:basedOn w:val="DefaultParagraphFont"/>
    <w:uiPriority w:val="99"/>
    <w:semiHidden/>
    <w:unhideWhenUsed/>
    <w:rsid w:val="00D35E1D"/>
    <w:rPr>
      <w:color w:val="605E5C"/>
      <w:shd w:val="clear" w:color="auto" w:fill="E1DFDD"/>
    </w:rPr>
  </w:style>
  <w:style w:type="character" w:styleId="FollowedHyperlink">
    <w:name w:val="FollowedHyperlink"/>
    <w:basedOn w:val="DefaultParagraphFont"/>
    <w:uiPriority w:val="99"/>
    <w:semiHidden/>
    <w:unhideWhenUsed/>
    <w:rsid w:val="00D35E1D"/>
    <w:rPr>
      <w:color w:val="96607D" w:themeColor="followedHyperlink"/>
      <w:u w:val="single"/>
    </w:rPr>
  </w:style>
  <w:style w:type="paragraph" w:styleId="NormalWeb">
    <w:name w:val="Normal (Web)"/>
    <w:basedOn w:val="Normal"/>
    <w:uiPriority w:val="99"/>
    <w:semiHidden/>
    <w:unhideWhenUsed/>
    <w:rsid w:val="00290024"/>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F45B26"/>
    <w:rPr>
      <w:sz w:val="16"/>
      <w:szCs w:val="16"/>
    </w:rPr>
  </w:style>
  <w:style w:type="paragraph" w:styleId="CommentText">
    <w:name w:val="annotation text"/>
    <w:basedOn w:val="Normal"/>
    <w:link w:val="CommentTextChar"/>
    <w:uiPriority w:val="99"/>
    <w:unhideWhenUsed/>
    <w:rsid w:val="00F45B26"/>
    <w:pPr>
      <w:spacing w:line="240" w:lineRule="auto"/>
    </w:pPr>
    <w:rPr>
      <w:sz w:val="20"/>
      <w:szCs w:val="20"/>
    </w:rPr>
  </w:style>
  <w:style w:type="character" w:customStyle="1" w:styleId="CommentTextChar">
    <w:name w:val="Comment Text Char"/>
    <w:basedOn w:val="DefaultParagraphFont"/>
    <w:link w:val="CommentText"/>
    <w:uiPriority w:val="99"/>
    <w:rsid w:val="00F45B26"/>
    <w:rPr>
      <w:sz w:val="20"/>
      <w:szCs w:val="20"/>
    </w:rPr>
  </w:style>
  <w:style w:type="paragraph" w:styleId="CommentSubject">
    <w:name w:val="annotation subject"/>
    <w:basedOn w:val="CommentText"/>
    <w:next w:val="CommentText"/>
    <w:link w:val="CommentSubjectChar"/>
    <w:uiPriority w:val="99"/>
    <w:semiHidden/>
    <w:unhideWhenUsed/>
    <w:rsid w:val="00F45B26"/>
    <w:rPr>
      <w:b/>
      <w:bCs/>
    </w:rPr>
  </w:style>
  <w:style w:type="character" w:customStyle="1" w:styleId="CommentSubjectChar">
    <w:name w:val="Comment Subject Char"/>
    <w:basedOn w:val="CommentTextChar"/>
    <w:link w:val="CommentSubject"/>
    <w:uiPriority w:val="99"/>
    <w:semiHidden/>
    <w:rsid w:val="00F45B26"/>
    <w:rPr>
      <w:b/>
      <w:bCs/>
      <w:sz w:val="20"/>
      <w:szCs w:val="20"/>
    </w:rPr>
  </w:style>
  <w:style w:type="paragraph" w:styleId="Header">
    <w:name w:val="header"/>
    <w:basedOn w:val="Normal"/>
    <w:link w:val="HeaderChar"/>
    <w:uiPriority w:val="99"/>
    <w:unhideWhenUsed/>
    <w:rsid w:val="00627A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7AF0"/>
  </w:style>
  <w:style w:type="paragraph" w:styleId="Footer">
    <w:name w:val="footer"/>
    <w:basedOn w:val="Normal"/>
    <w:link w:val="FooterChar"/>
    <w:uiPriority w:val="99"/>
    <w:unhideWhenUsed/>
    <w:rsid w:val="00627A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7A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773293">
      <w:bodyDiv w:val="1"/>
      <w:marLeft w:val="0"/>
      <w:marRight w:val="0"/>
      <w:marTop w:val="0"/>
      <w:marBottom w:val="0"/>
      <w:divBdr>
        <w:top w:val="none" w:sz="0" w:space="0" w:color="auto"/>
        <w:left w:val="none" w:sz="0" w:space="0" w:color="auto"/>
        <w:bottom w:val="none" w:sz="0" w:space="0" w:color="auto"/>
        <w:right w:val="none" w:sz="0" w:space="0" w:color="auto"/>
      </w:divBdr>
    </w:div>
    <w:div w:id="99642874">
      <w:bodyDiv w:val="1"/>
      <w:marLeft w:val="0"/>
      <w:marRight w:val="0"/>
      <w:marTop w:val="0"/>
      <w:marBottom w:val="0"/>
      <w:divBdr>
        <w:top w:val="none" w:sz="0" w:space="0" w:color="auto"/>
        <w:left w:val="none" w:sz="0" w:space="0" w:color="auto"/>
        <w:bottom w:val="none" w:sz="0" w:space="0" w:color="auto"/>
        <w:right w:val="none" w:sz="0" w:space="0" w:color="auto"/>
      </w:divBdr>
    </w:div>
    <w:div w:id="132599788">
      <w:bodyDiv w:val="1"/>
      <w:marLeft w:val="0"/>
      <w:marRight w:val="0"/>
      <w:marTop w:val="0"/>
      <w:marBottom w:val="0"/>
      <w:divBdr>
        <w:top w:val="none" w:sz="0" w:space="0" w:color="auto"/>
        <w:left w:val="none" w:sz="0" w:space="0" w:color="auto"/>
        <w:bottom w:val="none" w:sz="0" w:space="0" w:color="auto"/>
        <w:right w:val="none" w:sz="0" w:space="0" w:color="auto"/>
      </w:divBdr>
    </w:div>
    <w:div w:id="184684274">
      <w:bodyDiv w:val="1"/>
      <w:marLeft w:val="0"/>
      <w:marRight w:val="0"/>
      <w:marTop w:val="0"/>
      <w:marBottom w:val="0"/>
      <w:divBdr>
        <w:top w:val="none" w:sz="0" w:space="0" w:color="auto"/>
        <w:left w:val="none" w:sz="0" w:space="0" w:color="auto"/>
        <w:bottom w:val="none" w:sz="0" w:space="0" w:color="auto"/>
        <w:right w:val="none" w:sz="0" w:space="0" w:color="auto"/>
      </w:divBdr>
      <w:divsChild>
        <w:div w:id="1855074685">
          <w:marLeft w:val="0"/>
          <w:marRight w:val="0"/>
          <w:marTop w:val="0"/>
          <w:marBottom w:val="0"/>
          <w:divBdr>
            <w:top w:val="none" w:sz="0" w:space="0" w:color="auto"/>
            <w:left w:val="none" w:sz="0" w:space="0" w:color="auto"/>
            <w:bottom w:val="none" w:sz="0" w:space="0" w:color="auto"/>
            <w:right w:val="none" w:sz="0" w:space="0" w:color="auto"/>
          </w:divBdr>
        </w:div>
      </w:divsChild>
    </w:div>
    <w:div w:id="324748857">
      <w:bodyDiv w:val="1"/>
      <w:marLeft w:val="0"/>
      <w:marRight w:val="0"/>
      <w:marTop w:val="0"/>
      <w:marBottom w:val="0"/>
      <w:divBdr>
        <w:top w:val="none" w:sz="0" w:space="0" w:color="auto"/>
        <w:left w:val="none" w:sz="0" w:space="0" w:color="auto"/>
        <w:bottom w:val="none" w:sz="0" w:space="0" w:color="auto"/>
        <w:right w:val="none" w:sz="0" w:space="0" w:color="auto"/>
      </w:divBdr>
      <w:divsChild>
        <w:div w:id="1963996410">
          <w:marLeft w:val="0"/>
          <w:marRight w:val="0"/>
          <w:marTop w:val="0"/>
          <w:marBottom w:val="0"/>
          <w:divBdr>
            <w:top w:val="none" w:sz="0" w:space="0" w:color="auto"/>
            <w:left w:val="none" w:sz="0" w:space="0" w:color="auto"/>
            <w:bottom w:val="none" w:sz="0" w:space="0" w:color="auto"/>
            <w:right w:val="none" w:sz="0" w:space="0" w:color="auto"/>
          </w:divBdr>
        </w:div>
      </w:divsChild>
    </w:div>
    <w:div w:id="423645815">
      <w:bodyDiv w:val="1"/>
      <w:marLeft w:val="0"/>
      <w:marRight w:val="0"/>
      <w:marTop w:val="0"/>
      <w:marBottom w:val="0"/>
      <w:divBdr>
        <w:top w:val="none" w:sz="0" w:space="0" w:color="auto"/>
        <w:left w:val="none" w:sz="0" w:space="0" w:color="auto"/>
        <w:bottom w:val="none" w:sz="0" w:space="0" w:color="auto"/>
        <w:right w:val="none" w:sz="0" w:space="0" w:color="auto"/>
      </w:divBdr>
    </w:div>
    <w:div w:id="429474804">
      <w:bodyDiv w:val="1"/>
      <w:marLeft w:val="0"/>
      <w:marRight w:val="0"/>
      <w:marTop w:val="0"/>
      <w:marBottom w:val="0"/>
      <w:divBdr>
        <w:top w:val="none" w:sz="0" w:space="0" w:color="auto"/>
        <w:left w:val="none" w:sz="0" w:space="0" w:color="auto"/>
        <w:bottom w:val="none" w:sz="0" w:space="0" w:color="auto"/>
        <w:right w:val="none" w:sz="0" w:space="0" w:color="auto"/>
      </w:divBdr>
    </w:div>
    <w:div w:id="443234852">
      <w:bodyDiv w:val="1"/>
      <w:marLeft w:val="0"/>
      <w:marRight w:val="0"/>
      <w:marTop w:val="0"/>
      <w:marBottom w:val="0"/>
      <w:divBdr>
        <w:top w:val="none" w:sz="0" w:space="0" w:color="auto"/>
        <w:left w:val="none" w:sz="0" w:space="0" w:color="auto"/>
        <w:bottom w:val="none" w:sz="0" w:space="0" w:color="auto"/>
        <w:right w:val="none" w:sz="0" w:space="0" w:color="auto"/>
      </w:divBdr>
    </w:div>
    <w:div w:id="470750321">
      <w:bodyDiv w:val="1"/>
      <w:marLeft w:val="0"/>
      <w:marRight w:val="0"/>
      <w:marTop w:val="0"/>
      <w:marBottom w:val="0"/>
      <w:divBdr>
        <w:top w:val="none" w:sz="0" w:space="0" w:color="auto"/>
        <w:left w:val="none" w:sz="0" w:space="0" w:color="auto"/>
        <w:bottom w:val="none" w:sz="0" w:space="0" w:color="auto"/>
        <w:right w:val="none" w:sz="0" w:space="0" w:color="auto"/>
      </w:divBdr>
    </w:div>
    <w:div w:id="473377263">
      <w:bodyDiv w:val="1"/>
      <w:marLeft w:val="0"/>
      <w:marRight w:val="0"/>
      <w:marTop w:val="0"/>
      <w:marBottom w:val="0"/>
      <w:divBdr>
        <w:top w:val="none" w:sz="0" w:space="0" w:color="auto"/>
        <w:left w:val="none" w:sz="0" w:space="0" w:color="auto"/>
        <w:bottom w:val="none" w:sz="0" w:space="0" w:color="auto"/>
        <w:right w:val="none" w:sz="0" w:space="0" w:color="auto"/>
      </w:divBdr>
    </w:div>
    <w:div w:id="493837582">
      <w:bodyDiv w:val="1"/>
      <w:marLeft w:val="0"/>
      <w:marRight w:val="0"/>
      <w:marTop w:val="0"/>
      <w:marBottom w:val="0"/>
      <w:divBdr>
        <w:top w:val="none" w:sz="0" w:space="0" w:color="auto"/>
        <w:left w:val="none" w:sz="0" w:space="0" w:color="auto"/>
        <w:bottom w:val="none" w:sz="0" w:space="0" w:color="auto"/>
        <w:right w:val="none" w:sz="0" w:space="0" w:color="auto"/>
      </w:divBdr>
      <w:divsChild>
        <w:div w:id="1360082413">
          <w:marLeft w:val="0"/>
          <w:marRight w:val="0"/>
          <w:marTop w:val="0"/>
          <w:marBottom w:val="0"/>
          <w:divBdr>
            <w:top w:val="none" w:sz="0" w:space="0" w:color="auto"/>
            <w:left w:val="none" w:sz="0" w:space="0" w:color="auto"/>
            <w:bottom w:val="none" w:sz="0" w:space="0" w:color="auto"/>
            <w:right w:val="none" w:sz="0" w:space="0" w:color="auto"/>
          </w:divBdr>
        </w:div>
        <w:div w:id="1416824096">
          <w:marLeft w:val="0"/>
          <w:marRight w:val="0"/>
          <w:marTop w:val="0"/>
          <w:marBottom w:val="0"/>
          <w:divBdr>
            <w:top w:val="none" w:sz="0" w:space="0" w:color="auto"/>
            <w:left w:val="none" w:sz="0" w:space="0" w:color="auto"/>
            <w:bottom w:val="none" w:sz="0" w:space="0" w:color="auto"/>
            <w:right w:val="none" w:sz="0" w:space="0" w:color="auto"/>
          </w:divBdr>
        </w:div>
      </w:divsChild>
    </w:div>
    <w:div w:id="560019792">
      <w:bodyDiv w:val="1"/>
      <w:marLeft w:val="0"/>
      <w:marRight w:val="0"/>
      <w:marTop w:val="0"/>
      <w:marBottom w:val="0"/>
      <w:divBdr>
        <w:top w:val="none" w:sz="0" w:space="0" w:color="auto"/>
        <w:left w:val="none" w:sz="0" w:space="0" w:color="auto"/>
        <w:bottom w:val="none" w:sz="0" w:space="0" w:color="auto"/>
        <w:right w:val="none" w:sz="0" w:space="0" w:color="auto"/>
      </w:divBdr>
    </w:div>
    <w:div w:id="809325446">
      <w:bodyDiv w:val="1"/>
      <w:marLeft w:val="0"/>
      <w:marRight w:val="0"/>
      <w:marTop w:val="0"/>
      <w:marBottom w:val="0"/>
      <w:divBdr>
        <w:top w:val="none" w:sz="0" w:space="0" w:color="auto"/>
        <w:left w:val="none" w:sz="0" w:space="0" w:color="auto"/>
        <w:bottom w:val="none" w:sz="0" w:space="0" w:color="auto"/>
        <w:right w:val="none" w:sz="0" w:space="0" w:color="auto"/>
      </w:divBdr>
    </w:div>
    <w:div w:id="885143452">
      <w:bodyDiv w:val="1"/>
      <w:marLeft w:val="0"/>
      <w:marRight w:val="0"/>
      <w:marTop w:val="0"/>
      <w:marBottom w:val="0"/>
      <w:divBdr>
        <w:top w:val="none" w:sz="0" w:space="0" w:color="auto"/>
        <w:left w:val="none" w:sz="0" w:space="0" w:color="auto"/>
        <w:bottom w:val="none" w:sz="0" w:space="0" w:color="auto"/>
        <w:right w:val="none" w:sz="0" w:space="0" w:color="auto"/>
      </w:divBdr>
      <w:divsChild>
        <w:div w:id="1245381119">
          <w:marLeft w:val="0"/>
          <w:marRight w:val="0"/>
          <w:marTop w:val="0"/>
          <w:marBottom w:val="0"/>
          <w:divBdr>
            <w:top w:val="none" w:sz="0" w:space="0" w:color="auto"/>
            <w:left w:val="none" w:sz="0" w:space="0" w:color="auto"/>
            <w:bottom w:val="none" w:sz="0" w:space="0" w:color="auto"/>
            <w:right w:val="none" w:sz="0" w:space="0" w:color="auto"/>
          </w:divBdr>
        </w:div>
        <w:div w:id="172501723">
          <w:marLeft w:val="0"/>
          <w:marRight w:val="0"/>
          <w:marTop w:val="0"/>
          <w:marBottom w:val="0"/>
          <w:divBdr>
            <w:top w:val="none" w:sz="0" w:space="0" w:color="auto"/>
            <w:left w:val="none" w:sz="0" w:space="0" w:color="auto"/>
            <w:bottom w:val="none" w:sz="0" w:space="0" w:color="auto"/>
            <w:right w:val="none" w:sz="0" w:space="0" w:color="auto"/>
          </w:divBdr>
        </w:div>
      </w:divsChild>
    </w:div>
    <w:div w:id="935408149">
      <w:bodyDiv w:val="1"/>
      <w:marLeft w:val="0"/>
      <w:marRight w:val="0"/>
      <w:marTop w:val="0"/>
      <w:marBottom w:val="0"/>
      <w:divBdr>
        <w:top w:val="none" w:sz="0" w:space="0" w:color="auto"/>
        <w:left w:val="none" w:sz="0" w:space="0" w:color="auto"/>
        <w:bottom w:val="none" w:sz="0" w:space="0" w:color="auto"/>
        <w:right w:val="none" w:sz="0" w:space="0" w:color="auto"/>
      </w:divBdr>
    </w:div>
    <w:div w:id="971330601">
      <w:bodyDiv w:val="1"/>
      <w:marLeft w:val="0"/>
      <w:marRight w:val="0"/>
      <w:marTop w:val="0"/>
      <w:marBottom w:val="0"/>
      <w:divBdr>
        <w:top w:val="none" w:sz="0" w:space="0" w:color="auto"/>
        <w:left w:val="none" w:sz="0" w:space="0" w:color="auto"/>
        <w:bottom w:val="none" w:sz="0" w:space="0" w:color="auto"/>
        <w:right w:val="none" w:sz="0" w:space="0" w:color="auto"/>
      </w:divBdr>
    </w:div>
    <w:div w:id="980580383">
      <w:bodyDiv w:val="1"/>
      <w:marLeft w:val="0"/>
      <w:marRight w:val="0"/>
      <w:marTop w:val="0"/>
      <w:marBottom w:val="0"/>
      <w:divBdr>
        <w:top w:val="none" w:sz="0" w:space="0" w:color="auto"/>
        <w:left w:val="none" w:sz="0" w:space="0" w:color="auto"/>
        <w:bottom w:val="none" w:sz="0" w:space="0" w:color="auto"/>
        <w:right w:val="none" w:sz="0" w:space="0" w:color="auto"/>
      </w:divBdr>
    </w:div>
    <w:div w:id="1032337640">
      <w:bodyDiv w:val="1"/>
      <w:marLeft w:val="0"/>
      <w:marRight w:val="0"/>
      <w:marTop w:val="0"/>
      <w:marBottom w:val="0"/>
      <w:divBdr>
        <w:top w:val="none" w:sz="0" w:space="0" w:color="auto"/>
        <w:left w:val="none" w:sz="0" w:space="0" w:color="auto"/>
        <w:bottom w:val="none" w:sz="0" w:space="0" w:color="auto"/>
        <w:right w:val="none" w:sz="0" w:space="0" w:color="auto"/>
      </w:divBdr>
    </w:div>
    <w:div w:id="1109618739">
      <w:bodyDiv w:val="1"/>
      <w:marLeft w:val="0"/>
      <w:marRight w:val="0"/>
      <w:marTop w:val="0"/>
      <w:marBottom w:val="0"/>
      <w:divBdr>
        <w:top w:val="none" w:sz="0" w:space="0" w:color="auto"/>
        <w:left w:val="none" w:sz="0" w:space="0" w:color="auto"/>
        <w:bottom w:val="none" w:sz="0" w:space="0" w:color="auto"/>
        <w:right w:val="none" w:sz="0" w:space="0" w:color="auto"/>
      </w:divBdr>
    </w:div>
    <w:div w:id="1131240561">
      <w:bodyDiv w:val="1"/>
      <w:marLeft w:val="0"/>
      <w:marRight w:val="0"/>
      <w:marTop w:val="0"/>
      <w:marBottom w:val="0"/>
      <w:divBdr>
        <w:top w:val="none" w:sz="0" w:space="0" w:color="auto"/>
        <w:left w:val="none" w:sz="0" w:space="0" w:color="auto"/>
        <w:bottom w:val="none" w:sz="0" w:space="0" w:color="auto"/>
        <w:right w:val="none" w:sz="0" w:space="0" w:color="auto"/>
      </w:divBdr>
    </w:div>
    <w:div w:id="1161000182">
      <w:bodyDiv w:val="1"/>
      <w:marLeft w:val="0"/>
      <w:marRight w:val="0"/>
      <w:marTop w:val="0"/>
      <w:marBottom w:val="0"/>
      <w:divBdr>
        <w:top w:val="none" w:sz="0" w:space="0" w:color="auto"/>
        <w:left w:val="none" w:sz="0" w:space="0" w:color="auto"/>
        <w:bottom w:val="none" w:sz="0" w:space="0" w:color="auto"/>
        <w:right w:val="none" w:sz="0" w:space="0" w:color="auto"/>
      </w:divBdr>
    </w:div>
    <w:div w:id="1234658790">
      <w:bodyDiv w:val="1"/>
      <w:marLeft w:val="0"/>
      <w:marRight w:val="0"/>
      <w:marTop w:val="0"/>
      <w:marBottom w:val="0"/>
      <w:divBdr>
        <w:top w:val="none" w:sz="0" w:space="0" w:color="auto"/>
        <w:left w:val="none" w:sz="0" w:space="0" w:color="auto"/>
        <w:bottom w:val="none" w:sz="0" w:space="0" w:color="auto"/>
        <w:right w:val="none" w:sz="0" w:space="0" w:color="auto"/>
      </w:divBdr>
    </w:div>
    <w:div w:id="1258447567">
      <w:bodyDiv w:val="1"/>
      <w:marLeft w:val="0"/>
      <w:marRight w:val="0"/>
      <w:marTop w:val="0"/>
      <w:marBottom w:val="0"/>
      <w:divBdr>
        <w:top w:val="none" w:sz="0" w:space="0" w:color="auto"/>
        <w:left w:val="none" w:sz="0" w:space="0" w:color="auto"/>
        <w:bottom w:val="none" w:sz="0" w:space="0" w:color="auto"/>
        <w:right w:val="none" w:sz="0" w:space="0" w:color="auto"/>
      </w:divBdr>
    </w:div>
    <w:div w:id="1276475695">
      <w:bodyDiv w:val="1"/>
      <w:marLeft w:val="0"/>
      <w:marRight w:val="0"/>
      <w:marTop w:val="0"/>
      <w:marBottom w:val="0"/>
      <w:divBdr>
        <w:top w:val="none" w:sz="0" w:space="0" w:color="auto"/>
        <w:left w:val="none" w:sz="0" w:space="0" w:color="auto"/>
        <w:bottom w:val="none" w:sz="0" w:space="0" w:color="auto"/>
        <w:right w:val="none" w:sz="0" w:space="0" w:color="auto"/>
      </w:divBdr>
    </w:div>
    <w:div w:id="1327905523">
      <w:bodyDiv w:val="1"/>
      <w:marLeft w:val="0"/>
      <w:marRight w:val="0"/>
      <w:marTop w:val="0"/>
      <w:marBottom w:val="0"/>
      <w:divBdr>
        <w:top w:val="none" w:sz="0" w:space="0" w:color="auto"/>
        <w:left w:val="none" w:sz="0" w:space="0" w:color="auto"/>
        <w:bottom w:val="none" w:sz="0" w:space="0" w:color="auto"/>
        <w:right w:val="none" w:sz="0" w:space="0" w:color="auto"/>
      </w:divBdr>
    </w:div>
    <w:div w:id="1334646090">
      <w:bodyDiv w:val="1"/>
      <w:marLeft w:val="0"/>
      <w:marRight w:val="0"/>
      <w:marTop w:val="0"/>
      <w:marBottom w:val="0"/>
      <w:divBdr>
        <w:top w:val="none" w:sz="0" w:space="0" w:color="auto"/>
        <w:left w:val="none" w:sz="0" w:space="0" w:color="auto"/>
        <w:bottom w:val="none" w:sz="0" w:space="0" w:color="auto"/>
        <w:right w:val="none" w:sz="0" w:space="0" w:color="auto"/>
      </w:divBdr>
    </w:div>
    <w:div w:id="1336611462">
      <w:bodyDiv w:val="1"/>
      <w:marLeft w:val="0"/>
      <w:marRight w:val="0"/>
      <w:marTop w:val="0"/>
      <w:marBottom w:val="0"/>
      <w:divBdr>
        <w:top w:val="none" w:sz="0" w:space="0" w:color="auto"/>
        <w:left w:val="none" w:sz="0" w:space="0" w:color="auto"/>
        <w:bottom w:val="none" w:sz="0" w:space="0" w:color="auto"/>
        <w:right w:val="none" w:sz="0" w:space="0" w:color="auto"/>
      </w:divBdr>
    </w:div>
    <w:div w:id="1510487343">
      <w:bodyDiv w:val="1"/>
      <w:marLeft w:val="0"/>
      <w:marRight w:val="0"/>
      <w:marTop w:val="0"/>
      <w:marBottom w:val="0"/>
      <w:divBdr>
        <w:top w:val="none" w:sz="0" w:space="0" w:color="auto"/>
        <w:left w:val="none" w:sz="0" w:space="0" w:color="auto"/>
        <w:bottom w:val="none" w:sz="0" w:space="0" w:color="auto"/>
        <w:right w:val="none" w:sz="0" w:space="0" w:color="auto"/>
      </w:divBdr>
    </w:div>
    <w:div w:id="1526670693">
      <w:bodyDiv w:val="1"/>
      <w:marLeft w:val="0"/>
      <w:marRight w:val="0"/>
      <w:marTop w:val="0"/>
      <w:marBottom w:val="0"/>
      <w:divBdr>
        <w:top w:val="none" w:sz="0" w:space="0" w:color="auto"/>
        <w:left w:val="none" w:sz="0" w:space="0" w:color="auto"/>
        <w:bottom w:val="none" w:sz="0" w:space="0" w:color="auto"/>
        <w:right w:val="none" w:sz="0" w:space="0" w:color="auto"/>
      </w:divBdr>
    </w:div>
    <w:div w:id="1603685579">
      <w:bodyDiv w:val="1"/>
      <w:marLeft w:val="0"/>
      <w:marRight w:val="0"/>
      <w:marTop w:val="0"/>
      <w:marBottom w:val="0"/>
      <w:divBdr>
        <w:top w:val="none" w:sz="0" w:space="0" w:color="auto"/>
        <w:left w:val="none" w:sz="0" w:space="0" w:color="auto"/>
        <w:bottom w:val="none" w:sz="0" w:space="0" w:color="auto"/>
        <w:right w:val="none" w:sz="0" w:space="0" w:color="auto"/>
      </w:divBdr>
    </w:div>
    <w:div w:id="1708867458">
      <w:bodyDiv w:val="1"/>
      <w:marLeft w:val="0"/>
      <w:marRight w:val="0"/>
      <w:marTop w:val="0"/>
      <w:marBottom w:val="0"/>
      <w:divBdr>
        <w:top w:val="none" w:sz="0" w:space="0" w:color="auto"/>
        <w:left w:val="none" w:sz="0" w:space="0" w:color="auto"/>
        <w:bottom w:val="none" w:sz="0" w:space="0" w:color="auto"/>
        <w:right w:val="none" w:sz="0" w:space="0" w:color="auto"/>
      </w:divBdr>
    </w:div>
    <w:div w:id="1831217109">
      <w:bodyDiv w:val="1"/>
      <w:marLeft w:val="0"/>
      <w:marRight w:val="0"/>
      <w:marTop w:val="0"/>
      <w:marBottom w:val="0"/>
      <w:divBdr>
        <w:top w:val="none" w:sz="0" w:space="0" w:color="auto"/>
        <w:left w:val="none" w:sz="0" w:space="0" w:color="auto"/>
        <w:bottom w:val="none" w:sz="0" w:space="0" w:color="auto"/>
        <w:right w:val="none" w:sz="0" w:space="0" w:color="auto"/>
      </w:divBdr>
    </w:div>
    <w:div w:id="1888297496">
      <w:bodyDiv w:val="1"/>
      <w:marLeft w:val="0"/>
      <w:marRight w:val="0"/>
      <w:marTop w:val="0"/>
      <w:marBottom w:val="0"/>
      <w:divBdr>
        <w:top w:val="none" w:sz="0" w:space="0" w:color="auto"/>
        <w:left w:val="none" w:sz="0" w:space="0" w:color="auto"/>
        <w:bottom w:val="none" w:sz="0" w:space="0" w:color="auto"/>
        <w:right w:val="none" w:sz="0" w:space="0" w:color="auto"/>
      </w:divBdr>
    </w:div>
    <w:div w:id="1900818589">
      <w:bodyDiv w:val="1"/>
      <w:marLeft w:val="0"/>
      <w:marRight w:val="0"/>
      <w:marTop w:val="0"/>
      <w:marBottom w:val="0"/>
      <w:divBdr>
        <w:top w:val="none" w:sz="0" w:space="0" w:color="auto"/>
        <w:left w:val="none" w:sz="0" w:space="0" w:color="auto"/>
        <w:bottom w:val="none" w:sz="0" w:space="0" w:color="auto"/>
        <w:right w:val="none" w:sz="0" w:space="0" w:color="auto"/>
      </w:divBdr>
    </w:div>
    <w:div w:id="2024741809">
      <w:bodyDiv w:val="1"/>
      <w:marLeft w:val="0"/>
      <w:marRight w:val="0"/>
      <w:marTop w:val="0"/>
      <w:marBottom w:val="0"/>
      <w:divBdr>
        <w:top w:val="none" w:sz="0" w:space="0" w:color="auto"/>
        <w:left w:val="none" w:sz="0" w:space="0" w:color="auto"/>
        <w:bottom w:val="none" w:sz="0" w:space="0" w:color="auto"/>
        <w:right w:val="none" w:sz="0" w:space="0" w:color="auto"/>
      </w:divBdr>
    </w:div>
    <w:div w:id="2032953683">
      <w:bodyDiv w:val="1"/>
      <w:marLeft w:val="0"/>
      <w:marRight w:val="0"/>
      <w:marTop w:val="0"/>
      <w:marBottom w:val="0"/>
      <w:divBdr>
        <w:top w:val="none" w:sz="0" w:space="0" w:color="auto"/>
        <w:left w:val="none" w:sz="0" w:space="0" w:color="auto"/>
        <w:bottom w:val="none" w:sz="0" w:space="0" w:color="auto"/>
        <w:right w:val="none" w:sz="0" w:space="0" w:color="auto"/>
      </w:divBdr>
    </w:div>
    <w:div w:id="2085106829">
      <w:bodyDiv w:val="1"/>
      <w:marLeft w:val="0"/>
      <w:marRight w:val="0"/>
      <w:marTop w:val="0"/>
      <w:marBottom w:val="0"/>
      <w:divBdr>
        <w:top w:val="none" w:sz="0" w:space="0" w:color="auto"/>
        <w:left w:val="none" w:sz="0" w:space="0" w:color="auto"/>
        <w:bottom w:val="none" w:sz="0" w:space="0" w:color="auto"/>
        <w:right w:val="none" w:sz="0" w:space="0" w:color="auto"/>
      </w:divBdr>
    </w:div>
    <w:div w:id="2145198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11/jcpp.13689" TargetMode="External"/><Relationship Id="rId18" Type="http://schemas.openxmlformats.org/officeDocument/2006/relationships/hyperlink" Target="https://doi.org/10.1007/s40653-018-0235-7" TargetMode="External"/><Relationship Id="rId26" Type="http://schemas.openxmlformats.org/officeDocument/2006/relationships/hyperlink" Target="https://doi.org/10.1089/g4h.2023.0002" TargetMode="External"/><Relationship Id="rId39" Type="http://schemas.openxmlformats.org/officeDocument/2006/relationships/hyperlink" Target="https://doi.org/10.1371/journal.pone.0160558" TargetMode="External"/><Relationship Id="rId21" Type="http://schemas.openxmlformats.org/officeDocument/2006/relationships/hyperlink" Target="https://doi.org/10.1002/jeab.638" TargetMode="External"/><Relationship Id="rId34" Type="http://schemas.openxmlformats.org/officeDocument/2006/relationships/hyperlink" Target="https://doi.org/10.61186/pach.2024.463981.1012" TargetMode="External"/><Relationship Id="rId42"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i.org/10.1111/jan.12608" TargetMode="External"/><Relationship Id="rId29" Type="http://schemas.openxmlformats.org/officeDocument/2006/relationships/hyperlink" Target="https://doi.org/10.1002/jcad.12241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111/j.1468-2850.2009.01187.x" TargetMode="External"/><Relationship Id="rId24" Type="http://schemas.openxmlformats.org/officeDocument/2006/relationships/hyperlink" Target="https://doi.org/10.2196/games.5888" TargetMode="External"/><Relationship Id="rId32" Type="http://schemas.openxmlformats.org/officeDocument/2006/relationships/hyperlink" Target="https://doi.org/10.1111/jcpp.13456" TargetMode="External"/><Relationship Id="rId37" Type="http://schemas.openxmlformats.org/officeDocument/2006/relationships/hyperlink" Target="https://doi.org/10.2139/ssrn.4984573" TargetMode="External"/><Relationship Id="rId40" Type="http://schemas.openxmlformats.org/officeDocument/2006/relationships/hyperlink" Target="https://doi.org/10.1016/j.ijnurstu.2022.104232" TargetMode="External"/><Relationship Id="rId45"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s://doi.org/10.1177/2158244014522633" TargetMode="External"/><Relationship Id="rId23" Type="http://schemas.openxmlformats.org/officeDocument/2006/relationships/hyperlink" Target="https://doi.org/10.1136/bmjopen-2021-051957" TargetMode="External"/><Relationship Id="rId28" Type="http://schemas.openxmlformats.org/officeDocument/2006/relationships/hyperlink" Target="https://doi.org/10.1002/pits.21798" TargetMode="External"/><Relationship Id="rId36" Type="http://schemas.openxmlformats.org/officeDocument/2006/relationships/hyperlink" Target="https://doi.org/10.1037/a0036670" TargetMode="External"/><Relationship Id="rId10" Type="http://schemas.openxmlformats.org/officeDocument/2006/relationships/endnotes" Target="endnotes.xml"/><Relationship Id="rId19" Type="http://schemas.openxmlformats.org/officeDocument/2006/relationships/hyperlink" Target="https://doi.org/10.4324/9780429327230" TargetMode="External"/><Relationship Id="rId31" Type="http://schemas.openxmlformats.org/officeDocument/2006/relationships/hyperlink" Target="https://doi.org/10.1080/20008198.2022.2041831"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177/1359104520937373" TargetMode="External"/><Relationship Id="rId22" Type="http://schemas.openxmlformats.org/officeDocument/2006/relationships/hyperlink" Target="https://doi.org/10.5455/msm.2021.33.293-297" TargetMode="External"/><Relationship Id="rId27" Type="http://schemas.openxmlformats.org/officeDocument/2006/relationships/hyperlink" Target="https://doi.org/10.1016/j.nsa.2024.104069" TargetMode="External"/><Relationship Id="rId30" Type="http://schemas.openxmlformats.org/officeDocument/2006/relationships/hyperlink" Target="https://doi.org/10.1002/jcad.12412" TargetMode="External"/><Relationship Id="rId35" Type="http://schemas.openxmlformats.org/officeDocument/2006/relationships/hyperlink" Target="https://doi.org/10.4236/psych.2019.101005"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doi.org/10.4081/pmc.2023.316" TargetMode="External"/><Relationship Id="rId17" Type="http://schemas.openxmlformats.org/officeDocument/2006/relationships/hyperlink" Target="https://doi.org/10.3390/children7120120" TargetMode="External"/><Relationship Id="rId25" Type="http://schemas.openxmlformats.org/officeDocument/2006/relationships/hyperlink" Target="https://doi.org/10.1016/j.ajp.2023.103469" TargetMode="External"/><Relationship Id="rId33" Type="http://schemas.openxmlformats.org/officeDocument/2006/relationships/hyperlink" Target="https://doi.org/10.1037/pla0000178" TargetMode="External"/><Relationship Id="rId38" Type="http://schemas.openxmlformats.org/officeDocument/2006/relationships/hyperlink" Target="https://doi.org/10.1016/S2352-4642(21)00285-6" TargetMode="External"/><Relationship Id="rId20" Type="http://schemas.openxmlformats.org/officeDocument/2006/relationships/hyperlink" Target="https://doi.org/10.4103/jehp.jehp_1104_22" TargetMode="External"/><Relationship Id="rId41" Type="http://schemas.openxmlformats.org/officeDocument/2006/relationships/hyperlink" Target="https://scholarsarchive.byu.edu/etd/86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6" ma:contentTypeDescription="Create a new document." ma:contentTypeScope="" ma:versionID="ec9a3938bd32933fb4e5dccad78a4795">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cf7834119eee4685d6b9aa048246b779"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B07F9E-1EC4-4969-B482-EBD9C0BD21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9A37B2-92F7-4017-AA4C-2F7952CC67D5}">
  <ds:schemaRefs>
    <ds:schemaRef ds:uri="http://schemas.microsoft.com/sharepoint/v3/contenttype/forms"/>
  </ds:schemaRefs>
</ds:datastoreItem>
</file>

<file path=customXml/itemProps3.xml><?xml version="1.0" encoding="utf-8"?>
<ds:datastoreItem xmlns:ds="http://schemas.openxmlformats.org/officeDocument/2006/customXml" ds:itemID="{2B778445-8876-491F-8D68-E0B343818F91}">
  <ds:schemaRefs>
    <ds:schemaRef ds:uri="http://schemas.microsoft.com/office/2006/metadata/properties"/>
    <ds:schemaRef ds:uri="be49ff73-cec0-4379-9da8-63ff3cc411bb"/>
    <ds:schemaRef ds:uri="http://purl.org/dc/dcmitype/"/>
    <ds:schemaRef ds:uri="http://purl.org/dc/terms/"/>
    <ds:schemaRef ds:uri="90b58af8-24e5-4252-ab67-b2f2985aee88"/>
    <ds:schemaRef ds:uri="http://purl.org/dc/elements/1.1/"/>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9BCBBE65-047B-4E7C-9F8B-0934B630A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7712</TotalTime>
  <Pages>24</Pages>
  <Words>6451</Words>
  <Characters>36776</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Varallo (2100048)</dc:creator>
  <cp:keywords/>
  <dc:description/>
  <cp:lastModifiedBy>Claudia Varallo (2100048)</cp:lastModifiedBy>
  <cp:revision>257</cp:revision>
  <dcterms:created xsi:type="dcterms:W3CDTF">2025-02-17T15:19:00Z</dcterms:created>
  <dcterms:modified xsi:type="dcterms:W3CDTF">2025-02-24T22:31:00Z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