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left="720" w:leftChars="0" w:firstLine="720" w:firstLineChars="0"/>
        <w:jc w:val="both"/>
        <w:rPr>
          <w:rFonts w:cstheme="minorHAnsi"/>
        </w:rPr>
      </w:pPr>
      <w:r>
        <w:rPr>
          <w:rFonts w:cstheme="minorHAnsi"/>
          <w:lang w:eastAsia="en-IN"/>
        </w:rPr>
        <w:drawing>
          <wp:inline distT="0" distB="0" distL="0" distR="0">
            <wp:extent cx="3909060" cy="1322070"/>
            <wp:effectExtent l="0" t="0" r="2540" b="11430"/>
            <wp:docPr id="3" name="Picture 3"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praxisauril.org.u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4226135" cy="1429789"/>
                    </a:xfrm>
                    <a:prstGeom prst="rect">
                      <a:avLst/>
                    </a:prstGeom>
                    <a:noFill/>
                    <a:ln>
                      <a:noFill/>
                    </a:ln>
                  </pic:spPr>
                </pic:pic>
              </a:graphicData>
            </a:graphic>
          </wp:inline>
        </w:drawing>
      </w:r>
    </w:p>
    <w:p>
      <w:pPr>
        <w:jc w:val="center"/>
        <w:rPr>
          <w:rFonts w:cstheme="minorHAnsi"/>
        </w:rPr>
      </w:pPr>
    </w:p>
    <w:p>
      <w:pPr>
        <w:jc w:val="center"/>
        <w:rPr>
          <w:rFonts w:cstheme="minorHAnsi"/>
        </w:rPr>
      </w:pPr>
    </w:p>
    <w:p>
      <w:pPr>
        <w:jc w:val="center"/>
        <w:rPr>
          <w:rFonts w:hint="default" w:cstheme="minorHAnsi"/>
          <w:lang w:val="en-US"/>
        </w:rPr>
      </w:pPr>
      <w:r>
        <w:rPr>
          <w:rFonts w:cstheme="minorHAnsi"/>
        </w:rPr>
        <w:t xml:space="preserve">NAME: </w:t>
      </w:r>
      <w:r>
        <w:rPr>
          <w:rFonts w:hint="default" w:cstheme="minorHAnsi"/>
          <w:lang w:val="en-US"/>
        </w:rPr>
        <w:t>NIHITH KISHORE MEDURI</w:t>
      </w:r>
    </w:p>
    <w:p>
      <w:pPr>
        <w:jc w:val="center"/>
        <w:rPr>
          <w:rFonts w:hint="default" w:cstheme="minorHAnsi"/>
          <w:lang w:val="en-US"/>
        </w:rPr>
      </w:pPr>
      <w:r>
        <w:rPr>
          <w:rFonts w:cstheme="minorHAnsi"/>
        </w:rPr>
        <w:t xml:space="preserve">STUDENT NUMBER: </w:t>
      </w:r>
      <w:r>
        <w:rPr>
          <w:rFonts w:hint="default" w:cstheme="minorHAnsi"/>
          <w:lang w:val="en-US"/>
        </w:rPr>
        <w:t>2212393</w:t>
      </w:r>
    </w:p>
    <w:p>
      <w:pPr>
        <w:jc w:val="center"/>
        <w:rPr>
          <w:rFonts w:cstheme="minorHAnsi"/>
        </w:rPr>
      </w:pPr>
    </w:p>
    <w:p>
      <w:pPr>
        <w:jc w:val="center"/>
        <w:rPr>
          <w:rFonts w:cstheme="minorHAnsi"/>
        </w:rPr>
      </w:pPr>
      <w:r>
        <w:rPr>
          <w:rFonts w:cstheme="minorHAnsi"/>
        </w:rPr>
        <w:t>MODULE: LCBM7001</w:t>
      </w:r>
    </w:p>
    <w:p>
      <w:pPr>
        <w:jc w:val="center"/>
        <w:rPr>
          <w:rFonts w:cstheme="minorHAnsi"/>
        </w:rPr>
      </w:pPr>
    </w:p>
    <w:p>
      <w:pPr>
        <w:jc w:val="center"/>
        <w:rPr>
          <w:rFonts w:cstheme="minorHAnsi"/>
        </w:rPr>
      </w:pPr>
      <w:r>
        <w:rPr>
          <w:rFonts w:hint="default" w:cstheme="minorHAnsi"/>
          <w:lang w:val="en-US"/>
        </w:rPr>
        <w:t xml:space="preserve">   </w:t>
      </w:r>
      <w:r>
        <w:rPr>
          <w:rFonts w:cstheme="minorHAnsi"/>
        </w:rPr>
        <w:t>TITLE: MARKETING MANAGEMENT ASSESSMENT 2</w:t>
      </w:r>
    </w:p>
    <w:p>
      <w:pPr>
        <w:jc w:val="center"/>
        <w:rPr>
          <w:rFonts w:cstheme="minorHAnsi"/>
        </w:rPr>
      </w:pPr>
      <w:r>
        <w:rPr>
          <w:rFonts w:cstheme="minorHAnsi"/>
        </w:rPr>
        <w:t xml:space="preserve"> </w:t>
      </w:r>
    </w:p>
    <w:p>
      <w:pPr>
        <w:jc w:val="center"/>
        <w:rPr>
          <w:rFonts w:cstheme="minorHAnsi"/>
        </w:rPr>
      </w:pPr>
      <w:r>
        <w:rPr>
          <w:rFonts w:cstheme="minorHAnsi"/>
        </w:rPr>
        <w:t>LECTURER: TUSHARA BALENDRAN</w:t>
      </w:r>
    </w:p>
    <w:p>
      <w:pPr>
        <w:jc w:val="center"/>
        <w:rPr>
          <w:rFonts w:cstheme="minorHAnsi"/>
        </w:rPr>
      </w:pPr>
    </w:p>
    <w:p>
      <w:pPr>
        <w:jc w:val="center"/>
        <w:rPr>
          <w:rFonts w:cstheme="minorHAnsi"/>
        </w:rPr>
      </w:pPr>
      <w:r>
        <w:rPr>
          <w:rFonts w:cstheme="minorHAnsi"/>
        </w:rPr>
        <w:t>WORD COUNT: 2000 WORDS OR EQUIVALENT</w:t>
      </w:r>
    </w:p>
    <w:p>
      <w:pPr>
        <w:jc w:val="center"/>
        <w:rPr>
          <w:rFonts w:cstheme="minorHAnsi"/>
        </w:rPr>
      </w:pPr>
    </w:p>
    <w:p>
      <w:pPr>
        <w:jc w:val="center"/>
        <w:rPr>
          <w:rFonts w:cstheme="minorHAnsi"/>
        </w:rPr>
      </w:pPr>
      <w:r>
        <w:rPr>
          <w:rFonts w:cstheme="minorHAnsi"/>
        </w:rPr>
        <w:t>SUBMISSION DATE: 12/01/2023</w:t>
      </w:r>
    </w:p>
    <w:p>
      <w:pPr>
        <w:jc w:val="center"/>
        <w:rPr>
          <w:rFonts w:cstheme="minorHAnsi"/>
        </w:rPr>
      </w:pPr>
    </w:p>
    <w:p>
      <w:pPr>
        <w:spacing w:line="360" w:lineRule="auto"/>
        <w:jc w:val="center"/>
        <w:rPr>
          <w:rFonts w:hint="default" w:ascii="Calibri" w:hAnsi="Calibri" w:cs="Calibri"/>
          <w:b/>
          <w:i w:val="0"/>
          <w:iCs w:val="0"/>
          <w:sz w:val="24"/>
          <w:szCs w:val="24"/>
          <w:u w:val="none"/>
        </w:rPr>
      </w:pPr>
    </w:p>
    <w:p>
      <w:pPr>
        <w:spacing w:line="360" w:lineRule="auto"/>
        <w:jc w:val="center"/>
        <w:rPr>
          <w:rFonts w:hint="default" w:ascii="Calibri" w:hAnsi="Calibri" w:cs="Calibri"/>
          <w:b/>
          <w:i w:val="0"/>
          <w:iCs w:val="0"/>
          <w:sz w:val="24"/>
          <w:szCs w:val="24"/>
          <w:u w:val="none"/>
        </w:rPr>
      </w:pPr>
    </w:p>
    <w:p>
      <w:pPr>
        <w:spacing w:after="0" w:line="360" w:lineRule="auto"/>
        <w:jc w:val="both"/>
        <w:rPr>
          <w:rFonts w:hint="default" w:ascii="Calibri" w:hAnsi="Calibri" w:cs="Calibri"/>
          <w:b/>
          <w:i w:val="0"/>
          <w:iCs w:val="0"/>
          <w:sz w:val="24"/>
          <w:szCs w:val="24"/>
          <w:u w:val="none"/>
        </w:rPr>
      </w:pPr>
    </w:p>
    <w:p>
      <w:pPr>
        <w:spacing w:after="0" w:line="360" w:lineRule="auto"/>
        <w:jc w:val="both"/>
        <w:rPr>
          <w:rFonts w:hint="default" w:ascii="Calibri" w:hAnsi="Calibri" w:cs="Calibri"/>
          <w:b/>
          <w:i w:val="0"/>
          <w:iCs w:val="0"/>
          <w:sz w:val="24"/>
          <w:szCs w:val="24"/>
          <w:u w:val="none"/>
        </w:rPr>
      </w:pPr>
    </w:p>
    <w:p>
      <w:pPr>
        <w:spacing w:after="0" w:line="360" w:lineRule="auto"/>
        <w:jc w:val="both"/>
        <w:rPr>
          <w:rFonts w:hint="default" w:ascii="Calibri" w:hAnsi="Calibri" w:cs="Calibri"/>
          <w:b/>
          <w:i w:val="0"/>
          <w:iCs w:val="0"/>
          <w:sz w:val="24"/>
          <w:szCs w:val="24"/>
          <w:u w:val="none"/>
        </w:rPr>
      </w:pPr>
    </w:p>
    <w:p>
      <w:pPr>
        <w:spacing w:after="0" w:line="360" w:lineRule="auto"/>
        <w:jc w:val="both"/>
        <w:rPr>
          <w:rFonts w:hint="default" w:ascii="Calibri" w:hAnsi="Calibri" w:cs="Calibri"/>
          <w:b/>
          <w:i w:val="0"/>
          <w:iCs w:val="0"/>
          <w:sz w:val="24"/>
          <w:szCs w:val="24"/>
          <w:u w:val="none"/>
        </w:rPr>
      </w:pPr>
    </w:p>
    <w:p>
      <w:pPr>
        <w:spacing w:after="0" w:line="360" w:lineRule="auto"/>
        <w:jc w:val="both"/>
        <w:rPr>
          <w:rFonts w:hint="default" w:ascii="Calibri" w:hAnsi="Calibri" w:cs="Calibri"/>
          <w:b/>
          <w:i w:val="0"/>
          <w:iCs w:val="0"/>
          <w:sz w:val="24"/>
          <w:szCs w:val="24"/>
          <w:u w:val="none"/>
        </w:rPr>
      </w:pPr>
    </w:p>
    <w:p>
      <w:pPr>
        <w:spacing w:after="0" w:line="360" w:lineRule="auto"/>
        <w:jc w:val="both"/>
        <w:rPr>
          <w:rFonts w:hint="default" w:ascii="Calibri" w:hAnsi="Calibri" w:cs="Calibri"/>
          <w:b/>
          <w:i w:val="0"/>
          <w:iCs w:val="0"/>
          <w:sz w:val="24"/>
          <w:szCs w:val="24"/>
          <w:u w:val="none"/>
        </w:rPr>
      </w:pPr>
    </w:p>
    <w:p>
      <w:pPr>
        <w:spacing w:after="0" w:line="360" w:lineRule="auto"/>
        <w:jc w:val="both"/>
        <w:rPr>
          <w:rFonts w:hint="default" w:ascii="Calibri" w:hAnsi="Calibri" w:cs="Calibri"/>
          <w:b/>
          <w:i w:val="0"/>
          <w:iCs w:val="0"/>
          <w:sz w:val="24"/>
          <w:szCs w:val="24"/>
          <w:u w:val="none"/>
        </w:rPr>
      </w:pPr>
    </w:p>
    <w:p>
      <w:pPr>
        <w:spacing w:after="0" w:line="360" w:lineRule="auto"/>
        <w:jc w:val="both"/>
        <w:rPr>
          <w:rFonts w:hint="default" w:ascii="Calibri" w:hAnsi="Calibri" w:cs="Calibri"/>
          <w:b/>
          <w:i w:val="0"/>
          <w:iCs w:val="0"/>
          <w:sz w:val="24"/>
          <w:szCs w:val="24"/>
          <w:u w:val="none"/>
        </w:rPr>
      </w:pPr>
      <w:bookmarkStart w:id="14" w:name="_GoBack"/>
      <w:bookmarkEnd w:id="14"/>
      <w:r>
        <w:rPr>
          <w:rFonts w:hint="default" w:ascii="Calibri" w:hAnsi="Calibri" w:cs="Calibri"/>
          <w:b/>
          <w:i w:val="0"/>
          <w:iCs w:val="0"/>
          <w:sz w:val="24"/>
          <w:szCs w:val="24"/>
          <w:u w:val="none"/>
        </w:rPr>
        <w:t>Executive summary</w:t>
      </w:r>
    </w:p>
    <w:p>
      <w:pPr>
        <w:spacing w:after="0" w:line="360" w:lineRule="auto"/>
        <w:jc w:val="both"/>
        <w:rPr>
          <w:rFonts w:hint="default" w:ascii="Calibri" w:hAnsi="Calibri" w:cs="Calibri"/>
          <w:b/>
          <w:i w:val="0"/>
          <w:iCs w:val="0"/>
          <w:sz w:val="24"/>
          <w:szCs w:val="24"/>
          <w:u w:val="none"/>
        </w:rPr>
      </w:pPr>
      <w:r>
        <w:rPr>
          <w:rFonts w:hint="default" w:ascii="Calibri" w:hAnsi="Calibri" w:cs="Calibri"/>
          <w:i w:val="0"/>
          <w:iCs w:val="0"/>
          <w:sz w:val="24"/>
          <w:szCs w:val="24"/>
          <w:u w:val="none"/>
        </w:rPr>
        <w:t>Business management refers to effective management of all the business activities that help the company to achieve its strategic business objectives. This report gives an overview of the business management procedure of the reputed multinational retail company Tesco. In this context, </w:t>
      </w:r>
      <w:r>
        <w:rPr>
          <w:rFonts w:hint="default" w:ascii="Calibri" w:hAnsi="Calibri" w:cs="Calibri"/>
          <w:b/>
          <w:i w:val="0"/>
          <w:iCs w:val="0"/>
          <w:sz w:val="24"/>
          <w:szCs w:val="24"/>
          <w:u w:val="none"/>
        </w:rPr>
        <w:t xml:space="preserve">“PESTLE analysis” </w:t>
      </w:r>
      <w:r>
        <w:rPr>
          <w:rFonts w:hint="default" w:ascii="Calibri" w:hAnsi="Calibri" w:cs="Calibri"/>
          <w:i w:val="0"/>
          <w:iCs w:val="0"/>
          <w:sz w:val="24"/>
          <w:szCs w:val="24"/>
          <w:u w:val="none"/>
        </w:rPr>
        <w:t>and</w:t>
      </w:r>
      <w:r>
        <w:rPr>
          <w:rFonts w:hint="default" w:ascii="Calibri" w:hAnsi="Calibri" w:cs="Calibri"/>
          <w:b/>
          <w:i w:val="0"/>
          <w:iCs w:val="0"/>
          <w:sz w:val="24"/>
          <w:szCs w:val="24"/>
          <w:u w:val="none"/>
        </w:rPr>
        <w:t xml:space="preserve"> “SWOT analysis” </w:t>
      </w:r>
      <w:r>
        <w:rPr>
          <w:rFonts w:hint="default" w:ascii="Calibri" w:hAnsi="Calibri" w:cs="Calibri"/>
          <w:i w:val="0"/>
          <w:iCs w:val="0"/>
          <w:sz w:val="24"/>
          <w:szCs w:val="24"/>
          <w:u w:val="none"/>
        </w:rPr>
        <w:t>has been used to examine the external and internal business factors. Furthermore, </w:t>
      </w:r>
      <w:r>
        <w:rPr>
          <w:rFonts w:hint="default" w:ascii="Calibri" w:hAnsi="Calibri" w:cs="Calibri"/>
          <w:b/>
          <w:i w:val="0"/>
          <w:iCs w:val="0"/>
          <w:sz w:val="24"/>
          <w:szCs w:val="24"/>
          <w:u w:val="none"/>
        </w:rPr>
        <w:t>“Porter’s Five Forces Model”</w:t>
      </w:r>
      <w:r>
        <w:rPr>
          <w:rFonts w:hint="default" w:ascii="Calibri" w:hAnsi="Calibri" w:cs="Calibri"/>
          <w:i w:val="0"/>
          <w:iCs w:val="0"/>
          <w:sz w:val="24"/>
          <w:szCs w:val="24"/>
          <w:u w:val="none"/>
        </w:rPr>
        <w:t xml:space="preserve"> has been used to figure out the main competitive forces of the retail industry. The </w:t>
      </w:r>
      <w:r>
        <w:rPr>
          <w:rFonts w:hint="default" w:ascii="Calibri" w:hAnsi="Calibri" w:cs="Calibri"/>
          <w:b/>
          <w:i w:val="0"/>
          <w:iCs w:val="0"/>
          <w:sz w:val="24"/>
          <w:szCs w:val="24"/>
          <w:u w:val="none"/>
        </w:rPr>
        <w:t>“4Ps Marketing mix strategy”</w:t>
      </w:r>
      <w:r>
        <w:rPr>
          <w:rFonts w:hint="default" w:ascii="Calibri" w:hAnsi="Calibri" w:cs="Calibri"/>
          <w:i w:val="0"/>
          <w:iCs w:val="0"/>
          <w:sz w:val="24"/>
          <w:szCs w:val="24"/>
          <w:u w:val="none"/>
        </w:rPr>
        <w:t xml:space="preserve"> has been used to identify the product, promotion styles, place and pricing styles followed by Tesco. Along with this, the market position of Tesco has been included in this report. The finding shows that the financial stability, good market position and brand reputation of Tesco help the company to make the business sustainable. Finally, a set of recommendations such as following a </w:t>
      </w:r>
      <w:r>
        <w:rPr>
          <w:rFonts w:hint="default" w:ascii="Calibri" w:hAnsi="Calibri" w:cs="Calibri"/>
          <w:b/>
          <w:i w:val="0"/>
          <w:iCs w:val="0"/>
          <w:sz w:val="24"/>
          <w:szCs w:val="24"/>
          <w:u w:val="none"/>
        </w:rPr>
        <w:t>“competitive pricing strategy”</w:t>
      </w:r>
      <w:r>
        <w:rPr>
          <w:rFonts w:hint="default" w:ascii="Calibri" w:hAnsi="Calibri" w:cs="Calibri"/>
          <w:i w:val="0"/>
          <w:iCs w:val="0"/>
          <w:sz w:val="24"/>
          <w:szCs w:val="24"/>
          <w:u w:val="none"/>
        </w:rPr>
        <w:t xml:space="preserve"> and choosing an effective supplier has been included that help the company to improve business performance. </w:t>
      </w:r>
    </w:p>
    <w:p>
      <w:pPr>
        <w:spacing w:after="0" w:line="360" w:lineRule="auto"/>
        <w:rPr>
          <w:rFonts w:hint="default" w:ascii="Calibri" w:hAnsi="Calibri" w:cs="Calibri"/>
          <w:b/>
          <w:i w:val="0"/>
          <w:iCs w:val="0"/>
          <w:sz w:val="24"/>
          <w:szCs w:val="24"/>
          <w:u w:val="none"/>
        </w:rPr>
      </w:pPr>
    </w:p>
    <w:p>
      <w:pPr>
        <w:spacing w:line="360" w:lineRule="auto"/>
        <w:rPr>
          <w:rFonts w:hint="default" w:ascii="Calibri" w:hAnsi="Calibri" w:cs="Calibri"/>
          <w:i w:val="0"/>
          <w:iCs w:val="0"/>
          <w:sz w:val="24"/>
          <w:szCs w:val="24"/>
          <w:u w:val="none"/>
        </w:rPr>
      </w:pPr>
      <w:r>
        <w:rPr>
          <w:rFonts w:hint="default" w:ascii="Calibri" w:hAnsi="Calibri" w:cs="Calibri"/>
          <w:i w:val="0"/>
          <w:iCs w:val="0"/>
          <w:sz w:val="24"/>
          <w:szCs w:val="24"/>
          <w:u w:val="none"/>
        </w:rPr>
        <w:br w:type="page"/>
      </w:r>
    </w:p>
    <w:sdt>
      <w:sdtPr>
        <w:rPr>
          <w:rFonts w:hint="default" w:ascii="Calibri" w:hAnsi="Calibri" w:cs="Calibri" w:eastAsiaTheme="minorEastAsia"/>
          <w:b w:val="0"/>
          <w:bCs w:val="0"/>
          <w:i w:val="0"/>
          <w:iCs w:val="0"/>
          <w:color w:val="000000" w:themeColor="text1"/>
          <w:sz w:val="24"/>
          <w:szCs w:val="24"/>
          <w:u w:val="none"/>
        </w:rPr>
        <w:id w:val="2404707"/>
        <w:docPartObj>
          <w:docPartGallery w:val="Table of Contents"/>
          <w:docPartUnique/>
        </w:docPartObj>
      </w:sdtPr>
      <w:sdtEndPr>
        <w:rPr>
          <w:rFonts w:hint="default" w:ascii="Calibri" w:hAnsi="Calibri" w:cs="Calibri" w:eastAsiaTheme="minorEastAsia"/>
          <w:b w:val="0"/>
          <w:bCs w:val="0"/>
          <w:i w:val="0"/>
          <w:iCs w:val="0"/>
          <w:color w:val="auto"/>
          <w:sz w:val="24"/>
          <w:szCs w:val="24"/>
          <w:u w:val="none"/>
        </w:rPr>
      </w:sdtEndPr>
      <w:sdtContent>
        <w:p>
          <w:pPr>
            <w:pStyle w:val="23"/>
            <w:spacing w:before="0" w:line="360" w:lineRule="auto"/>
            <w:jc w:val="center"/>
            <w:rPr>
              <w:rFonts w:hint="default" w:ascii="Calibri" w:hAnsi="Calibri" w:cs="Calibri"/>
              <w:i w:val="0"/>
              <w:iCs w:val="0"/>
              <w:color w:val="000000" w:themeColor="text1"/>
              <w:sz w:val="24"/>
              <w:szCs w:val="24"/>
              <w:u w:val="none"/>
            </w:rPr>
          </w:pPr>
          <w:r>
            <w:rPr>
              <w:rFonts w:hint="default" w:ascii="Calibri" w:hAnsi="Calibri" w:cs="Calibri"/>
              <w:i w:val="0"/>
              <w:iCs w:val="0"/>
              <w:color w:val="000000" w:themeColor="text1"/>
              <w:sz w:val="24"/>
              <w:szCs w:val="24"/>
              <w:u w:val="none"/>
            </w:rPr>
            <w:t>Table of Contents</w:t>
          </w:r>
        </w:p>
        <w:p>
          <w:pPr>
            <w:pStyle w:val="13"/>
            <w:tabs>
              <w:tab w:val="right" w:leader="dot" w:pos="9350"/>
            </w:tabs>
            <w:spacing w:after="120" w:line="360" w:lineRule="auto"/>
            <w:jc w:val="both"/>
            <w:rPr>
              <w:rFonts w:hint="default" w:ascii="Calibri" w:hAnsi="Calibri" w:cs="Calibri"/>
              <w:i w:val="0"/>
              <w:iCs w:val="0"/>
              <w:sz w:val="24"/>
              <w:szCs w:val="24"/>
              <w:u w:val="none"/>
            </w:rPr>
          </w:pPr>
          <w:r>
            <w:rPr>
              <w:rFonts w:hint="default" w:ascii="Calibri" w:hAnsi="Calibri" w:cs="Calibri"/>
              <w:i w:val="0"/>
              <w:iCs w:val="0"/>
              <w:sz w:val="24"/>
              <w:szCs w:val="24"/>
              <w:u w:val="none"/>
            </w:rPr>
            <w:fldChar w:fldCharType="begin"/>
          </w:r>
          <w:r>
            <w:rPr>
              <w:rFonts w:hint="default" w:ascii="Calibri" w:hAnsi="Calibri" w:cs="Calibri"/>
              <w:i w:val="0"/>
              <w:iCs w:val="0"/>
              <w:sz w:val="24"/>
              <w:szCs w:val="24"/>
              <w:u w:val="none"/>
            </w:rPr>
            <w:instrText xml:space="preserve"> TOC \o "1-3" \h \z \u </w:instrText>
          </w:r>
          <w:r>
            <w:rPr>
              <w:rFonts w:hint="default" w:ascii="Calibri" w:hAnsi="Calibri" w:cs="Calibri"/>
              <w:i w:val="0"/>
              <w:iCs w:val="0"/>
              <w:sz w:val="24"/>
              <w:szCs w:val="24"/>
              <w:u w:val="none"/>
            </w:rPr>
            <w:fldChar w:fldCharType="separate"/>
          </w: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\l "_Toc122095100" </w:instrText>
          </w:r>
          <w:r>
            <w:rPr>
              <w:rFonts w:hint="default" w:ascii="Calibri" w:hAnsi="Calibri" w:cs="Calibri"/>
              <w:i w:val="0"/>
              <w:iCs w:val="0"/>
              <w:u w:val="none"/>
            </w:rPr>
            <w:fldChar w:fldCharType="separate"/>
          </w:r>
          <w:r>
            <w:rPr>
              <w:rStyle w:val="10"/>
              <w:rFonts w:hint="default" w:ascii="Calibri" w:hAnsi="Calibri" w:cs="Calibri"/>
              <w:i w:val="0"/>
              <w:iCs w:val="0"/>
              <w:sz w:val="24"/>
              <w:szCs w:val="24"/>
              <w:u w:val="none"/>
            </w:rPr>
            <w:t>Question A</w:t>
          </w:r>
          <w:r>
            <w:rPr>
              <w:rFonts w:hint="default" w:ascii="Calibri" w:hAnsi="Calibri" w:cs="Calibri"/>
              <w:i w:val="0"/>
              <w:iCs w:val="0"/>
              <w:sz w:val="24"/>
              <w:szCs w:val="24"/>
              <w:u w:val="none"/>
            </w:rPr>
            <w:tab/>
          </w:r>
          <w:r>
            <w:rPr>
              <w:rFonts w:hint="default" w:ascii="Calibri" w:hAnsi="Calibri" w:cs="Calibri"/>
              <w:i w:val="0"/>
              <w:iCs w:val="0"/>
              <w:sz w:val="24"/>
              <w:szCs w:val="24"/>
              <w:u w:val="none"/>
            </w:rPr>
            <w:fldChar w:fldCharType="begin"/>
          </w:r>
          <w:r>
            <w:rPr>
              <w:rFonts w:hint="default" w:ascii="Calibri" w:hAnsi="Calibri" w:cs="Calibri"/>
              <w:i w:val="0"/>
              <w:iCs w:val="0"/>
              <w:sz w:val="24"/>
              <w:szCs w:val="24"/>
              <w:u w:val="none"/>
            </w:rPr>
            <w:instrText xml:space="preserve"> PAGEREF _Toc122095100 \h </w:instrText>
          </w:r>
          <w:r>
            <w:rPr>
              <w:rFonts w:hint="default" w:ascii="Calibri" w:hAnsi="Calibri" w:cs="Calibri"/>
              <w:i w:val="0"/>
              <w:iCs w:val="0"/>
              <w:sz w:val="24"/>
              <w:szCs w:val="24"/>
              <w:u w:val="none"/>
            </w:rPr>
            <w:fldChar w:fldCharType="separate"/>
          </w:r>
          <w:r>
            <w:rPr>
              <w:rFonts w:hint="default" w:ascii="Calibri" w:hAnsi="Calibri" w:cs="Calibri"/>
              <w:i w:val="0"/>
              <w:iCs w:val="0"/>
              <w:sz w:val="24"/>
              <w:szCs w:val="24"/>
              <w:u w:val="none"/>
            </w:rPr>
            <w:t>4</w:t>
          </w:r>
          <w:r>
            <w:rPr>
              <w:rFonts w:hint="default" w:ascii="Calibri" w:hAnsi="Calibri" w:cs="Calibri"/>
              <w:i w:val="0"/>
              <w:iCs w:val="0"/>
              <w:sz w:val="24"/>
              <w:szCs w:val="24"/>
              <w:u w:val="none"/>
            </w:rPr>
            <w:fldChar w:fldCharType="end"/>
          </w:r>
          <w:r>
            <w:rPr>
              <w:rFonts w:hint="default" w:ascii="Calibri" w:hAnsi="Calibri" w:cs="Calibri"/>
              <w:i w:val="0"/>
              <w:iCs w:val="0"/>
              <w:sz w:val="24"/>
              <w:szCs w:val="24"/>
              <w:u w:val="none"/>
            </w:rPr>
            <w:fldChar w:fldCharType="end"/>
          </w:r>
        </w:p>
        <w:p>
          <w:pPr>
            <w:pStyle w:val="14"/>
            <w:tabs>
              <w:tab w:val="right" w:leader="dot" w:pos="9350"/>
            </w:tabs>
            <w:spacing w:after="120" w:line="360" w:lineRule="auto"/>
            <w:jc w:val="both"/>
            <w:rPr>
              <w:rFonts w:hint="default" w:ascii="Calibri" w:hAnsi="Calibri" w:cs="Calibri"/>
              <w:i w:val="0"/>
              <w:iCs w:val="0"/>
              <w:sz w:val="24"/>
              <w:szCs w:val="24"/>
              <w:u w:val="none"/>
            </w:rPr>
          </w:pP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\l "_Toc122095101" </w:instrText>
          </w:r>
          <w:r>
            <w:rPr>
              <w:rFonts w:hint="default" w:ascii="Calibri" w:hAnsi="Calibri" w:cs="Calibri"/>
              <w:i w:val="0"/>
              <w:iCs w:val="0"/>
              <w:u w:val="none"/>
            </w:rPr>
            <w:fldChar w:fldCharType="separate"/>
          </w:r>
          <w:r>
            <w:rPr>
              <w:rStyle w:val="10"/>
              <w:rFonts w:hint="default" w:ascii="Calibri" w:hAnsi="Calibri" w:cs="Calibri"/>
              <w:i w:val="0"/>
              <w:iCs w:val="0"/>
              <w:sz w:val="24"/>
              <w:szCs w:val="24"/>
              <w:u w:val="none"/>
            </w:rPr>
            <w:t>Introduction</w:t>
          </w:r>
          <w:r>
            <w:rPr>
              <w:rFonts w:hint="default" w:ascii="Calibri" w:hAnsi="Calibri" w:cs="Calibri"/>
              <w:i w:val="0"/>
              <w:iCs w:val="0"/>
              <w:sz w:val="24"/>
              <w:szCs w:val="24"/>
              <w:u w:val="none"/>
            </w:rPr>
            <w:tab/>
          </w:r>
          <w:r>
            <w:rPr>
              <w:rFonts w:hint="default" w:ascii="Calibri" w:hAnsi="Calibri" w:cs="Calibri"/>
              <w:i w:val="0"/>
              <w:iCs w:val="0"/>
              <w:sz w:val="24"/>
              <w:szCs w:val="24"/>
              <w:u w:val="none"/>
            </w:rPr>
            <w:fldChar w:fldCharType="begin"/>
          </w:r>
          <w:r>
            <w:rPr>
              <w:rFonts w:hint="default" w:ascii="Calibri" w:hAnsi="Calibri" w:cs="Calibri"/>
              <w:i w:val="0"/>
              <w:iCs w:val="0"/>
              <w:sz w:val="24"/>
              <w:szCs w:val="24"/>
              <w:u w:val="none"/>
            </w:rPr>
            <w:instrText xml:space="preserve"> PAGEREF _Toc122095101 \h </w:instrText>
          </w:r>
          <w:r>
            <w:rPr>
              <w:rFonts w:hint="default" w:ascii="Calibri" w:hAnsi="Calibri" w:cs="Calibri"/>
              <w:i w:val="0"/>
              <w:iCs w:val="0"/>
              <w:sz w:val="24"/>
              <w:szCs w:val="24"/>
              <w:u w:val="none"/>
            </w:rPr>
            <w:fldChar w:fldCharType="separate"/>
          </w:r>
          <w:r>
            <w:rPr>
              <w:rFonts w:hint="default" w:ascii="Calibri" w:hAnsi="Calibri" w:cs="Calibri"/>
              <w:i w:val="0"/>
              <w:iCs w:val="0"/>
              <w:sz w:val="24"/>
              <w:szCs w:val="24"/>
              <w:u w:val="none"/>
            </w:rPr>
            <w:t>4</w:t>
          </w:r>
          <w:r>
            <w:rPr>
              <w:rFonts w:hint="default" w:ascii="Calibri" w:hAnsi="Calibri" w:cs="Calibri"/>
              <w:i w:val="0"/>
              <w:iCs w:val="0"/>
              <w:sz w:val="24"/>
              <w:szCs w:val="24"/>
              <w:u w:val="none"/>
            </w:rPr>
            <w:fldChar w:fldCharType="end"/>
          </w:r>
          <w:r>
            <w:rPr>
              <w:rFonts w:hint="default" w:ascii="Calibri" w:hAnsi="Calibri" w:cs="Calibri"/>
              <w:i w:val="0"/>
              <w:iCs w:val="0"/>
              <w:sz w:val="24"/>
              <w:szCs w:val="24"/>
              <w:u w:val="none"/>
            </w:rPr>
            <w:fldChar w:fldCharType="end"/>
          </w:r>
        </w:p>
        <w:p>
          <w:pPr>
            <w:pStyle w:val="14"/>
            <w:tabs>
              <w:tab w:val="right" w:leader="dot" w:pos="9350"/>
            </w:tabs>
            <w:spacing w:after="120" w:line="360" w:lineRule="auto"/>
            <w:jc w:val="both"/>
            <w:rPr>
              <w:rFonts w:hint="default" w:ascii="Calibri" w:hAnsi="Calibri" w:cs="Calibri"/>
              <w:i w:val="0"/>
              <w:iCs w:val="0"/>
              <w:sz w:val="24"/>
              <w:szCs w:val="24"/>
              <w:u w:val="none"/>
            </w:rPr>
          </w:pP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\l "_Toc122095102" </w:instrText>
          </w:r>
          <w:r>
            <w:rPr>
              <w:rFonts w:hint="default" w:ascii="Calibri" w:hAnsi="Calibri" w:cs="Calibri"/>
              <w:i w:val="0"/>
              <w:iCs w:val="0"/>
              <w:u w:val="none"/>
            </w:rPr>
            <w:fldChar w:fldCharType="separate"/>
          </w:r>
          <w:r>
            <w:rPr>
              <w:rStyle w:val="10"/>
              <w:rFonts w:hint="default" w:ascii="Calibri" w:hAnsi="Calibri" w:cs="Calibri"/>
              <w:i w:val="0"/>
              <w:iCs w:val="0"/>
              <w:sz w:val="24"/>
              <w:szCs w:val="24"/>
              <w:u w:val="none"/>
            </w:rPr>
            <w:t>Company background</w:t>
          </w:r>
          <w:r>
            <w:rPr>
              <w:rFonts w:hint="default" w:ascii="Calibri" w:hAnsi="Calibri" w:cs="Calibri"/>
              <w:i w:val="0"/>
              <w:iCs w:val="0"/>
              <w:sz w:val="24"/>
              <w:szCs w:val="24"/>
              <w:u w:val="none"/>
            </w:rPr>
            <w:tab/>
          </w:r>
          <w:r>
            <w:rPr>
              <w:rFonts w:hint="default" w:ascii="Calibri" w:hAnsi="Calibri" w:cs="Calibri"/>
              <w:i w:val="0"/>
              <w:iCs w:val="0"/>
              <w:sz w:val="24"/>
              <w:szCs w:val="24"/>
              <w:u w:val="none"/>
            </w:rPr>
            <w:fldChar w:fldCharType="begin"/>
          </w:r>
          <w:r>
            <w:rPr>
              <w:rFonts w:hint="default" w:ascii="Calibri" w:hAnsi="Calibri" w:cs="Calibri"/>
              <w:i w:val="0"/>
              <w:iCs w:val="0"/>
              <w:sz w:val="24"/>
              <w:szCs w:val="24"/>
              <w:u w:val="none"/>
            </w:rPr>
            <w:instrText xml:space="preserve"> PAGEREF _Toc122095102 \h </w:instrText>
          </w:r>
          <w:r>
            <w:rPr>
              <w:rFonts w:hint="default" w:ascii="Calibri" w:hAnsi="Calibri" w:cs="Calibri"/>
              <w:i w:val="0"/>
              <w:iCs w:val="0"/>
              <w:sz w:val="24"/>
              <w:szCs w:val="24"/>
              <w:u w:val="none"/>
            </w:rPr>
            <w:fldChar w:fldCharType="separate"/>
          </w:r>
          <w:r>
            <w:rPr>
              <w:rFonts w:hint="default" w:ascii="Calibri" w:hAnsi="Calibri" w:cs="Calibri"/>
              <w:i w:val="0"/>
              <w:iCs w:val="0"/>
              <w:sz w:val="24"/>
              <w:szCs w:val="24"/>
              <w:u w:val="none"/>
            </w:rPr>
            <w:t>4</w:t>
          </w:r>
          <w:r>
            <w:rPr>
              <w:rFonts w:hint="default" w:ascii="Calibri" w:hAnsi="Calibri" w:cs="Calibri"/>
              <w:i w:val="0"/>
              <w:iCs w:val="0"/>
              <w:sz w:val="24"/>
              <w:szCs w:val="24"/>
              <w:u w:val="none"/>
            </w:rPr>
            <w:fldChar w:fldCharType="end"/>
          </w:r>
          <w:r>
            <w:rPr>
              <w:rFonts w:hint="default" w:ascii="Calibri" w:hAnsi="Calibri" w:cs="Calibri"/>
              <w:i w:val="0"/>
              <w:iCs w:val="0"/>
              <w:sz w:val="24"/>
              <w:szCs w:val="24"/>
              <w:u w:val="none"/>
            </w:rPr>
            <w:fldChar w:fldCharType="end"/>
          </w:r>
        </w:p>
        <w:p>
          <w:pPr>
            <w:pStyle w:val="14"/>
            <w:tabs>
              <w:tab w:val="right" w:leader="dot" w:pos="9350"/>
            </w:tabs>
            <w:spacing w:after="120" w:line="360" w:lineRule="auto"/>
            <w:jc w:val="both"/>
            <w:rPr>
              <w:rFonts w:hint="default" w:ascii="Calibri" w:hAnsi="Calibri" w:cs="Calibri"/>
              <w:i w:val="0"/>
              <w:iCs w:val="0"/>
              <w:sz w:val="24"/>
              <w:szCs w:val="24"/>
              <w:u w:val="none"/>
            </w:rPr>
          </w:pP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\l "_Toc122095103" </w:instrText>
          </w:r>
          <w:r>
            <w:rPr>
              <w:rFonts w:hint="default" w:ascii="Calibri" w:hAnsi="Calibri" w:cs="Calibri"/>
              <w:i w:val="0"/>
              <w:iCs w:val="0"/>
              <w:u w:val="none"/>
            </w:rPr>
            <w:fldChar w:fldCharType="separate"/>
          </w:r>
          <w:r>
            <w:rPr>
              <w:rStyle w:val="10"/>
              <w:rFonts w:hint="default" w:ascii="Calibri" w:hAnsi="Calibri" w:cs="Calibri"/>
              <w:i w:val="0"/>
              <w:iCs w:val="0"/>
              <w:sz w:val="24"/>
              <w:szCs w:val="24"/>
              <w:u w:val="none"/>
              <w:lang w:val="en-GB"/>
            </w:rPr>
            <w:t>PESTLE Factors</w:t>
          </w:r>
          <w:r>
            <w:rPr>
              <w:rFonts w:hint="default" w:ascii="Calibri" w:hAnsi="Calibri" w:cs="Calibri"/>
              <w:i w:val="0"/>
              <w:iCs w:val="0"/>
              <w:sz w:val="24"/>
              <w:szCs w:val="24"/>
              <w:u w:val="none"/>
            </w:rPr>
            <w:tab/>
          </w:r>
          <w:r>
            <w:rPr>
              <w:rFonts w:hint="default" w:ascii="Calibri" w:hAnsi="Calibri" w:cs="Calibri"/>
              <w:i w:val="0"/>
              <w:iCs w:val="0"/>
              <w:sz w:val="24"/>
              <w:szCs w:val="24"/>
              <w:u w:val="none"/>
            </w:rPr>
            <w:fldChar w:fldCharType="begin"/>
          </w:r>
          <w:r>
            <w:rPr>
              <w:rFonts w:hint="default" w:ascii="Calibri" w:hAnsi="Calibri" w:cs="Calibri"/>
              <w:i w:val="0"/>
              <w:iCs w:val="0"/>
              <w:sz w:val="24"/>
              <w:szCs w:val="24"/>
              <w:u w:val="none"/>
            </w:rPr>
            <w:instrText xml:space="preserve"> PAGEREF _Toc122095103 \h </w:instrText>
          </w:r>
          <w:r>
            <w:rPr>
              <w:rFonts w:hint="default" w:ascii="Calibri" w:hAnsi="Calibri" w:cs="Calibri"/>
              <w:i w:val="0"/>
              <w:iCs w:val="0"/>
              <w:sz w:val="24"/>
              <w:szCs w:val="24"/>
              <w:u w:val="none"/>
            </w:rPr>
            <w:fldChar w:fldCharType="separate"/>
          </w:r>
          <w:r>
            <w:rPr>
              <w:rFonts w:hint="default" w:ascii="Calibri" w:hAnsi="Calibri" w:cs="Calibri"/>
              <w:i w:val="0"/>
              <w:iCs w:val="0"/>
              <w:sz w:val="24"/>
              <w:szCs w:val="24"/>
              <w:u w:val="none"/>
            </w:rPr>
            <w:t>5</w:t>
          </w:r>
          <w:r>
            <w:rPr>
              <w:rFonts w:hint="default" w:ascii="Calibri" w:hAnsi="Calibri" w:cs="Calibri"/>
              <w:i w:val="0"/>
              <w:iCs w:val="0"/>
              <w:sz w:val="24"/>
              <w:szCs w:val="24"/>
              <w:u w:val="none"/>
            </w:rPr>
            <w:fldChar w:fldCharType="end"/>
          </w:r>
          <w:r>
            <w:rPr>
              <w:rFonts w:hint="default" w:ascii="Calibri" w:hAnsi="Calibri" w:cs="Calibri"/>
              <w:i w:val="0"/>
              <w:iCs w:val="0"/>
              <w:sz w:val="24"/>
              <w:szCs w:val="24"/>
              <w:u w:val="none"/>
            </w:rPr>
            <w:fldChar w:fldCharType="end"/>
          </w:r>
        </w:p>
        <w:p>
          <w:pPr>
            <w:pStyle w:val="14"/>
            <w:tabs>
              <w:tab w:val="right" w:leader="dot" w:pos="9350"/>
            </w:tabs>
            <w:spacing w:after="120" w:line="360" w:lineRule="auto"/>
            <w:jc w:val="both"/>
            <w:rPr>
              <w:rFonts w:hint="default" w:ascii="Calibri" w:hAnsi="Calibri" w:cs="Calibri"/>
              <w:i w:val="0"/>
              <w:iCs w:val="0"/>
              <w:sz w:val="24"/>
              <w:szCs w:val="24"/>
              <w:u w:val="none"/>
            </w:rPr>
          </w:pP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\l "_Toc122095104" </w:instrText>
          </w:r>
          <w:r>
            <w:rPr>
              <w:rFonts w:hint="default" w:ascii="Calibri" w:hAnsi="Calibri" w:cs="Calibri"/>
              <w:i w:val="0"/>
              <w:iCs w:val="0"/>
              <w:u w:val="none"/>
            </w:rPr>
            <w:fldChar w:fldCharType="separate"/>
          </w:r>
          <w:r>
            <w:rPr>
              <w:rStyle w:val="10"/>
              <w:rFonts w:hint="default" w:ascii="Calibri" w:hAnsi="Calibri" w:cs="Calibri"/>
              <w:i w:val="0"/>
              <w:iCs w:val="0"/>
              <w:sz w:val="24"/>
              <w:szCs w:val="24"/>
              <w:u w:val="none"/>
              <w:lang w:val="en-GB"/>
            </w:rPr>
            <w:t>Porters 5 Forces mo</w:t>
          </w:r>
          <w:r>
            <w:rPr>
              <w:rStyle w:val="10"/>
              <w:rFonts w:hint="default" w:ascii="Calibri" w:hAnsi="Calibri" w:cs="Calibri"/>
              <w:i w:val="0"/>
              <w:iCs w:val="0"/>
              <w:sz w:val="24"/>
              <w:szCs w:val="24"/>
              <w:u w:val="none"/>
            </w:rPr>
            <w:t>d</w:t>
          </w:r>
          <w:r>
            <w:rPr>
              <w:rStyle w:val="10"/>
              <w:rFonts w:hint="default" w:ascii="Calibri" w:hAnsi="Calibri" w:cs="Calibri"/>
              <w:i w:val="0"/>
              <w:iCs w:val="0"/>
              <w:sz w:val="24"/>
              <w:szCs w:val="24"/>
              <w:u w:val="none"/>
              <w:lang w:val="en-GB"/>
            </w:rPr>
            <w:t>el</w:t>
          </w:r>
          <w:r>
            <w:rPr>
              <w:rFonts w:hint="default" w:ascii="Calibri" w:hAnsi="Calibri" w:cs="Calibri"/>
              <w:i w:val="0"/>
              <w:iCs w:val="0"/>
              <w:sz w:val="24"/>
              <w:szCs w:val="24"/>
              <w:u w:val="none"/>
            </w:rPr>
            <w:tab/>
          </w:r>
          <w:r>
            <w:rPr>
              <w:rFonts w:hint="default" w:ascii="Calibri" w:hAnsi="Calibri" w:cs="Calibri"/>
              <w:i w:val="0"/>
              <w:iCs w:val="0"/>
              <w:sz w:val="24"/>
              <w:szCs w:val="24"/>
              <w:u w:val="none"/>
            </w:rPr>
            <w:fldChar w:fldCharType="begin"/>
          </w:r>
          <w:r>
            <w:rPr>
              <w:rFonts w:hint="default" w:ascii="Calibri" w:hAnsi="Calibri" w:cs="Calibri"/>
              <w:i w:val="0"/>
              <w:iCs w:val="0"/>
              <w:sz w:val="24"/>
              <w:szCs w:val="24"/>
              <w:u w:val="none"/>
            </w:rPr>
            <w:instrText xml:space="preserve"> PAGEREF _Toc122095104 \h </w:instrText>
          </w:r>
          <w:r>
            <w:rPr>
              <w:rFonts w:hint="default" w:ascii="Calibri" w:hAnsi="Calibri" w:cs="Calibri"/>
              <w:i w:val="0"/>
              <w:iCs w:val="0"/>
              <w:sz w:val="24"/>
              <w:szCs w:val="24"/>
              <w:u w:val="none"/>
            </w:rPr>
            <w:fldChar w:fldCharType="separate"/>
          </w:r>
          <w:r>
            <w:rPr>
              <w:rFonts w:hint="default" w:ascii="Calibri" w:hAnsi="Calibri" w:cs="Calibri"/>
              <w:i w:val="0"/>
              <w:iCs w:val="0"/>
              <w:sz w:val="24"/>
              <w:szCs w:val="24"/>
              <w:u w:val="none"/>
            </w:rPr>
            <w:t>12</w:t>
          </w:r>
          <w:r>
            <w:rPr>
              <w:rFonts w:hint="default" w:ascii="Calibri" w:hAnsi="Calibri" w:cs="Calibri"/>
              <w:i w:val="0"/>
              <w:iCs w:val="0"/>
              <w:sz w:val="24"/>
              <w:szCs w:val="24"/>
              <w:u w:val="none"/>
            </w:rPr>
            <w:fldChar w:fldCharType="end"/>
          </w:r>
          <w:r>
            <w:rPr>
              <w:rFonts w:hint="default" w:ascii="Calibri" w:hAnsi="Calibri" w:cs="Calibri"/>
              <w:i w:val="0"/>
              <w:iCs w:val="0"/>
              <w:sz w:val="24"/>
              <w:szCs w:val="24"/>
              <w:u w:val="none"/>
            </w:rPr>
            <w:fldChar w:fldCharType="end"/>
          </w:r>
        </w:p>
        <w:p>
          <w:pPr>
            <w:pStyle w:val="14"/>
            <w:tabs>
              <w:tab w:val="right" w:leader="dot" w:pos="9350"/>
            </w:tabs>
            <w:spacing w:after="120" w:line="360" w:lineRule="auto"/>
            <w:jc w:val="both"/>
            <w:rPr>
              <w:rFonts w:hint="default" w:ascii="Calibri" w:hAnsi="Calibri" w:cs="Calibri"/>
              <w:i w:val="0"/>
              <w:iCs w:val="0"/>
              <w:sz w:val="24"/>
              <w:szCs w:val="24"/>
              <w:u w:val="none"/>
            </w:rPr>
          </w:pP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\l "_Toc122095105" </w:instrText>
          </w:r>
          <w:r>
            <w:rPr>
              <w:rFonts w:hint="default" w:ascii="Calibri" w:hAnsi="Calibri" w:cs="Calibri"/>
              <w:i w:val="0"/>
              <w:iCs w:val="0"/>
              <w:u w:val="none"/>
            </w:rPr>
            <w:fldChar w:fldCharType="separate"/>
          </w:r>
          <w:r>
            <w:rPr>
              <w:rStyle w:val="10"/>
              <w:rFonts w:hint="default" w:ascii="Calibri" w:hAnsi="Calibri" w:cs="Calibri"/>
              <w:i w:val="0"/>
              <w:iCs w:val="0"/>
              <w:sz w:val="24"/>
              <w:szCs w:val="24"/>
              <w:u w:val="none"/>
            </w:rPr>
            <w:t>SWOT analysis</w:t>
          </w:r>
          <w:r>
            <w:rPr>
              <w:rFonts w:hint="default" w:ascii="Calibri" w:hAnsi="Calibri" w:cs="Calibri"/>
              <w:i w:val="0"/>
              <w:iCs w:val="0"/>
              <w:sz w:val="24"/>
              <w:szCs w:val="24"/>
              <w:u w:val="none"/>
            </w:rPr>
            <w:tab/>
          </w:r>
          <w:r>
            <w:rPr>
              <w:rFonts w:hint="default" w:ascii="Calibri" w:hAnsi="Calibri" w:cs="Calibri"/>
              <w:i w:val="0"/>
              <w:iCs w:val="0"/>
              <w:sz w:val="24"/>
              <w:szCs w:val="24"/>
              <w:u w:val="none"/>
            </w:rPr>
            <w:fldChar w:fldCharType="begin"/>
          </w:r>
          <w:r>
            <w:rPr>
              <w:rFonts w:hint="default" w:ascii="Calibri" w:hAnsi="Calibri" w:cs="Calibri"/>
              <w:i w:val="0"/>
              <w:iCs w:val="0"/>
              <w:sz w:val="24"/>
              <w:szCs w:val="24"/>
              <w:u w:val="none"/>
            </w:rPr>
            <w:instrText xml:space="preserve"> PAGEREF _Toc122095105 \h </w:instrText>
          </w:r>
          <w:r>
            <w:rPr>
              <w:rFonts w:hint="default" w:ascii="Calibri" w:hAnsi="Calibri" w:cs="Calibri"/>
              <w:i w:val="0"/>
              <w:iCs w:val="0"/>
              <w:sz w:val="24"/>
              <w:szCs w:val="24"/>
              <w:u w:val="none"/>
            </w:rPr>
            <w:fldChar w:fldCharType="separate"/>
          </w:r>
          <w:r>
            <w:rPr>
              <w:rFonts w:hint="default" w:ascii="Calibri" w:hAnsi="Calibri" w:cs="Calibri"/>
              <w:i w:val="0"/>
              <w:iCs w:val="0"/>
              <w:sz w:val="24"/>
              <w:szCs w:val="24"/>
              <w:u w:val="none"/>
            </w:rPr>
            <w:t>13</w:t>
          </w:r>
          <w:r>
            <w:rPr>
              <w:rFonts w:hint="default" w:ascii="Calibri" w:hAnsi="Calibri" w:cs="Calibri"/>
              <w:i w:val="0"/>
              <w:iCs w:val="0"/>
              <w:sz w:val="24"/>
              <w:szCs w:val="24"/>
              <w:u w:val="none"/>
            </w:rPr>
            <w:fldChar w:fldCharType="end"/>
          </w:r>
          <w:r>
            <w:rPr>
              <w:rFonts w:hint="default" w:ascii="Calibri" w:hAnsi="Calibri" w:cs="Calibri"/>
              <w:i w:val="0"/>
              <w:iCs w:val="0"/>
              <w:sz w:val="24"/>
              <w:szCs w:val="24"/>
              <w:u w:val="none"/>
            </w:rPr>
            <w:fldChar w:fldCharType="end"/>
          </w:r>
        </w:p>
        <w:p>
          <w:pPr>
            <w:pStyle w:val="14"/>
            <w:tabs>
              <w:tab w:val="right" w:leader="dot" w:pos="9350"/>
            </w:tabs>
            <w:spacing w:after="120" w:line="360" w:lineRule="auto"/>
            <w:jc w:val="both"/>
            <w:rPr>
              <w:rFonts w:hint="default" w:ascii="Calibri" w:hAnsi="Calibri" w:cs="Calibri"/>
              <w:i w:val="0"/>
              <w:iCs w:val="0"/>
              <w:sz w:val="24"/>
              <w:szCs w:val="24"/>
              <w:u w:val="none"/>
            </w:rPr>
          </w:pP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\l "_Toc122095106" </w:instrText>
          </w:r>
          <w:r>
            <w:rPr>
              <w:rFonts w:hint="default" w:ascii="Calibri" w:hAnsi="Calibri" w:cs="Calibri"/>
              <w:i w:val="0"/>
              <w:iCs w:val="0"/>
              <w:u w:val="none"/>
            </w:rPr>
            <w:fldChar w:fldCharType="separate"/>
          </w:r>
          <w:r>
            <w:rPr>
              <w:rStyle w:val="10"/>
              <w:rFonts w:hint="default" w:ascii="Calibri" w:hAnsi="Calibri" w:cs="Calibri"/>
              <w:i w:val="0"/>
              <w:iCs w:val="0"/>
              <w:sz w:val="24"/>
              <w:szCs w:val="24"/>
              <w:u w:val="none"/>
              <w:lang w:val="en-GB"/>
            </w:rPr>
            <w:t>Segmentation, targeting and positioning</w:t>
          </w:r>
          <w:r>
            <w:rPr>
              <w:rFonts w:hint="default" w:ascii="Calibri" w:hAnsi="Calibri" w:cs="Calibri"/>
              <w:i w:val="0"/>
              <w:iCs w:val="0"/>
              <w:sz w:val="24"/>
              <w:szCs w:val="24"/>
              <w:u w:val="none"/>
            </w:rPr>
            <w:tab/>
          </w:r>
          <w:r>
            <w:rPr>
              <w:rFonts w:hint="default" w:ascii="Calibri" w:hAnsi="Calibri" w:cs="Calibri"/>
              <w:i w:val="0"/>
              <w:iCs w:val="0"/>
              <w:sz w:val="24"/>
              <w:szCs w:val="24"/>
              <w:u w:val="none"/>
            </w:rPr>
            <w:fldChar w:fldCharType="begin"/>
          </w:r>
          <w:r>
            <w:rPr>
              <w:rFonts w:hint="default" w:ascii="Calibri" w:hAnsi="Calibri" w:cs="Calibri"/>
              <w:i w:val="0"/>
              <w:iCs w:val="0"/>
              <w:sz w:val="24"/>
              <w:szCs w:val="24"/>
              <w:u w:val="none"/>
            </w:rPr>
            <w:instrText xml:space="preserve"> PAGEREF _Toc122095106 \h </w:instrText>
          </w:r>
          <w:r>
            <w:rPr>
              <w:rFonts w:hint="default" w:ascii="Calibri" w:hAnsi="Calibri" w:cs="Calibri"/>
              <w:i w:val="0"/>
              <w:iCs w:val="0"/>
              <w:sz w:val="24"/>
              <w:szCs w:val="24"/>
              <w:u w:val="none"/>
            </w:rPr>
            <w:fldChar w:fldCharType="separate"/>
          </w:r>
          <w:r>
            <w:rPr>
              <w:rFonts w:hint="default" w:ascii="Calibri" w:hAnsi="Calibri" w:cs="Calibri"/>
              <w:i w:val="0"/>
              <w:iCs w:val="0"/>
              <w:sz w:val="24"/>
              <w:szCs w:val="24"/>
              <w:u w:val="none"/>
            </w:rPr>
            <w:t>14</w:t>
          </w:r>
          <w:r>
            <w:rPr>
              <w:rFonts w:hint="default" w:ascii="Calibri" w:hAnsi="Calibri" w:cs="Calibri"/>
              <w:i w:val="0"/>
              <w:iCs w:val="0"/>
              <w:sz w:val="24"/>
              <w:szCs w:val="24"/>
              <w:u w:val="none"/>
            </w:rPr>
            <w:fldChar w:fldCharType="end"/>
          </w:r>
          <w:r>
            <w:rPr>
              <w:rFonts w:hint="default" w:ascii="Calibri" w:hAnsi="Calibri" w:cs="Calibri"/>
              <w:i w:val="0"/>
              <w:iCs w:val="0"/>
              <w:sz w:val="24"/>
              <w:szCs w:val="24"/>
              <w:u w:val="none"/>
            </w:rPr>
            <w:fldChar w:fldCharType="end"/>
          </w:r>
        </w:p>
        <w:p>
          <w:pPr>
            <w:pStyle w:val="14"/>
            <w:tabs>
              <w:tab w:val="right" w:leader="dot" w:pos="9350"/>
            </w:tabs>
            <w:spacing w:after="120" w:line="360" w:lineRule="auto"/>
            <w:jc w:val="both"/>
            <w:rPr>
              <w:rFonts w:hint="default" w:ascii="Calibri" w:hAnsi="Calibri" w:cs="Calibri"/>
              <w:i w:val="0"/>
              <w:iCs w:val="0"/>
              <w:sz w:val="24"/>
              <w:szCs w:val="24"/>
              <w:u w:val="none"/>
            </w:rPr>
          </w:pP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\l "_Toc122095107" </w:instrText>
          </w:r>
          <w:r>
            <w:rPr>
              <w:rFonts w:hint="default" w:ascii="Calibri" w:hAnsi="Calibri" w:cs="Calibri"/>
              <w:i w:val="0"/>
              <w:iCs w:val="0"/>
              <w:u w:val="none"/>
            </w:rPr>
            <w:fldChar w:fldCharType="separate"/>
          </w:r>
          <w:r>
            <w:rPr>
              <w:rStyle w:val="10"/>
              <w:rFonts w:hint="default" w:ascii="Calibri" w:hAnsi="Calibri" w:cs="Calibri"/>
              <w:i w:val="0"/>
              <w:iCs w:val="0"/>
              <w:sz w:val="24"/>
              <w:szCs w:val="24"/>
              <w:u w:val="none"/>
              <w:lang w:val="en-GB"/>
            </w:rPr>
            <w:t>4Ps Marketing mix strategy</w:t>
          </w:r>
          <w:r>
            <w:rPr>
              <w:rFonts w:hint="default" w:ascii="Calibri" w:hAnsi="Calibri" w:cs="Calibri"/>
              <w:i w:val="0"/>
              <w:iCs w:val="0"/>
              <w:sz w:val="24"/>
              <w:szCs w:val="24"/>
              <w:u w:val="none"/>
            </w:rPr>
            <w:tab/>
          </w:r>
          <w:r>
            <w:rPr>
              <w:rFonts w:hint="default" w:ascii="Calibri" w:hAnsi="Calibri" w:cs="Calibri"/>
              <w:i w:val="0"/>
              <w:iCs w:val="0"/>
              <w:sz w:val="24"/>
              <w:szCs w:val="24"/>
              <w:u w:val="none"/>
            </w:rPr>
            <w:fldChar w:fldCharType="begin"/>
          </w:r>
          <w:r>
            <w:rPr>
              <w:rFonts w:hint="default" w:ascii="Calibri" w:hAnsi="Calibri" w:cs="Calibri"/>
              <w:i w:val="0"/>
              <w:iCs w:val="0"/>
              <w:sz w:val="24"/>
              <w:szCs w:val="24"/>
              <w:u w:val="none"/>
            </w:rPr>
            <w:instrText xml:space="preserve"> PAGEREF _Toc122095107 \h </w:instrText>
          </w:r>
          <w:r>
            <w:rPr>
              <w:rFonts w:hint="default" w:ascii="Calibri" w:hAnsi="Calibri" w:cs="Calibri"/>
              <w:i w:val="0"/>
              <w:iCs w:val="0"/>
              <w:sz w:val="24"/>
              <w:szCs w:val="24"/>
              <w:u w:val="none"/>
            </w:rPr>
            <w:fldChar w:fldCharType="separate"/>
          </w:r>
          <w:r>
            <w:rPr>
              <w:rFonts w:hint="default" w:ascii="Calibri" w:hAnsi="Calibri" w:cs="Calibri"/>
              <w:i w:val="0"/>
              <w:iCs w:val="0"/>
              <w:sz w:val="24"/>
              <w:szCs w:val="24"/>
              <w:u w:val="none"/>
            </w:rPr>
            <w:t>14</w:t>
          </w:r>
          <w:r>
            <w:rPr>
              <w:rFonts w:hint="default" w:ascii="Calibri" w:hAnsi="Calibri" w:cs="Calibri"/>
              <w:i w:val="0"/>
              <w:iCs w:val="0"/>
              <w:sz w:val="24"/>
              <w:szCs w:val="24"/>
              <w:u w:val="none"/>
            </w:rPr>
            <w:fldChar w:fldCharType="end"/>
          </w:r>
          <w:r>
            <w:rPr>
              <w:rFonts w:hint="default" w:ascii="Calibri" w:hAnsi="Calibri" w:cs="Calibri"/>
              <w:i w:val="0"/>
              <w:iCs w:val="0"/>
              <w:sz w:val="24"/>
              <w:szCs w:val="24"/>
              <w:u w:val="none"/>
            </w:rPr>
            <w:fldChar w:fldCharType="end"/>
          </w:r>
        </w:p>
        <w:p>
          <w:pPr>
            <w:pStyle w:val="14"/>
            <w:tabs>
              <w:tab w:val="right" w:leader="dot" w:pos="9350"/>
            </w:tabs>
            <w:spacing w:after="120" w:line="360" w:lineRule="auto"/>
            <w:jc w:val="both"/>
            <w:rPr>
              <w:rFonts w:hint="default" w:ascii="Calibri" w:hAnsi="Calibri" w:cs="Calibri"/>
              <w:i w:val="0"/>
              <w:iCs w:val="0"/>
              <w:sz w:val="24"/>
              <w:szCs w:val="24"/>
              <w:u w:val="none"/>
            </w:rPr>
          </w:pP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\l "_Toc122095108" </w:instrText>
          </w:r>
          <w:r>
            <w:rPr>
              <w:rFonts w:hint="default" w:ascii="Calibri" w:hAnsi="Calibri" w:cs="Calibri"/>
              <w:i w:val="0"/>
              <w:iCs w:val="0"/>
              <w:u w:val="none"/>
            </w:rPr>
            <w:fldChar w:fldCharType="separate"/>
          </w:r>
          <w:r>
            <w:rPr>
              <w:rStyle w:val="10"/>
              <w:rFonts w:hint="default" w:ascii="Calibri" w:hAnsi="Calibri" w:cs="Calibri"/>
              <w:i w:val="0"/>
              <w:iCs w:val="0"/>
              <w:sz w:val="24"/>
              <w:szCs w:val="24"/>
              <w:u w:val="none"/>
              <w:lang w:val="en-GB"/>
            </w:rPr>
            <w:t>Conclusion</w:t>
          </w:r>
          <w:r>
            <w:rPr>
              <w:rFonts w:hint="default" w:ascii="Calibri" w:hAnsi="Calibri" w:cs="Calibri"/>
              <w:i w:val="0"/>
              <w:iCs w:val="0"/>
              <w:sz w:val="24"/>
              <w:szCs w:val="24"/>
              <w:u w:val="none"/>
            </w:rPr>
            <w:tab/>
          </w:r>
          <w:r>
            <w:rPr>
              <w:rFonts w:hint="default" w:ascii="Calibri" w:hAnsi="Calibri" w:cs="Calibri"/>
              <w:i w:val="0"/>
              <w:iCs w:val="0"/>
              <w:sz w:val="24"/>
              <w:szCs w:val="24"/>
              <w:u w:val="none"/>
            </w:rPr>
            <w:fldChar w:fldCharType="begin"/>
          </w:r>
          <w:r>
            <w:rPr>
              <w:rFonts w:hint="default" w:ascii="Calibri" w:hAnsi="Calibri" w:cs="Calibri"/>
              <w:i w:val="0"/>
              <w:iCs w:val="0"/>
              <w:sz w:val="24"/>
              <w:szCs w:val="24"/>
              <w:u w:val="none"/>
            </w:rPr>
            <w:instrText xml:space="preserve"> PAGEREF _Toc122095108 \h </w:instrText>
          </w:r>
          <w:r>
            <w:rPr>
              <w:rFonts w:hint="default" w:ascii="Calibri" w:hAnsi="Calibri" w:cs="Calibri"/>
              <w:i w:val="0"/>
              <w:iCs w:val="0"/>
              <w:sz w:val="24"/>
              <w:szCs w:val="24"/>
              <w:u w:val="none"/>
            </w:rPr>
            <w:fldChar w:fldCharType="separate"/>
          </w:r>
          <w:r>
            <w:rPr>
              <w:rFonts w:hint="default" w:ascii="Calibri" w:hAnsi="Calibri" w:cs="Calibri"/>
              <w:i w:val="0"/>
              <w:iCs w:val="0"/>
              <w:sz w:val="24"/>
              <w:szCs w:val="24"/>
              <w:u w:val="none"/>
            </w:rPr>
            <w:t>15</w:t>
          </w:r>
          <w:r>
            <w:rPr>
              <w:rFonts w:hint="default" w:ascii="Calibri" w:hAnsi="Calibri" w:cs="Calibri"/>
              <w:i w:val="0"/>
              <w:iCs w:val="0"/>
              <w:sz w:val="24"/>
              <w:szCs w:val="24"/>
              <w:u w:val="none"/>
            </w:rPr>
            <w:fldChar w:fldCharType="end"/>
          </w:r>
          <w:r>
            <w:rPr>
              <w:rFonts w:hint="default" w:ascii="Calibri" w:hAnsi="Calibri" w:cs="Calibri"/>
              <w:i w:val="0"/>
              <w:iCs w:val="0"/>
              <w:sz w:val="24"/>
              <w:szCs w:val="24"/>
              <w:u w:val="none"/>
            </w:rPr>
            <w:fldChar w:fldCharType="end"/>
          </w:r>
        </w:p>
        <w:p>
          <w:pPr>
            <w:pStyle w:val="13"/>
            <w:tabs>
              <w:tab w:val="right" w:leader="dot" w:pos="9350"/>
            </w:tabs>
            <w:spacing w:after="120" w:line="360" w:lineRule="auto"/>
            <w:jc w:val="both"/>
            <w:rPr>
              <w:rFonts w:hint="default" w:ascii="Calibri" w:hAnsi="Calibri" w:cs="Calibri"/>
              <w:i w:val="0"/>
              <w:iCs w:val="0"/>
              <w:sz w:val="24"/>
              <w:szCs w:val="24"/>
              <w:u w:val="none"/>
            </w:rPr>
          </w:pP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\l "_Toc122095109" </w:instrText>
          </w:r>
          <w:r>
            <w:rPr>
              <w:rFonts w:hint="default" w:ascii="Calibri" w:hAnsi="Calibri" w:cs="Calibri"/>
              <w:i w:val="0"/>
              <w:iCs w:val="0"/>
              <w:u w:val="none"/>
            </w:rPr>
            <w:fldChar w:fldCharType="separate"/>
          </w:r>
          <w:r>
            <w:rPr>
              <w:rStyle w:val="10"/>
              <w:rFonts w:hint="default" w:ascii="Calibri" w:hAnsi="Calibri" w:cs="Calibri"/>
              <w:i w:val="0"/>
              <w:iCs w:val="0"/>
              <w:sz w:val="24"/>
              <w:szCs w:val="24"/>
              <w:u w:val="none"/>
            </w:rPr>
            <w:t>Question B</w:t>
          </w:r>
          <w:r>
            <w:rPr>
              <w:rFonts w:hint="default" w:ascii="Calibri" w:hAnsi="Calibri" w:cs="Calibri"/>
              <w:i w:val="0"/>
              <w:iCs w:val="0"/>
              <w:sz w:val="24"/>
              <w:szCs w:val="24"/>
              <w:u w:val="none"/>
            </w:rPr>
            <w:tab/>
          </w:r>
          <w:r>
            <w:rPr>
              <w:rFonts w:hint="default" w:ascii="Calibri" w:hAnsi="Calibri" w:cs="Calibri"/>
              <w:i w:val="0"/>
              <w:iCs w:val="0"/>
              <w:sz w:val="24"/>
              <w:szCs w:val="24"/>
              <w:u w:val="none"/>
            </w:rPr>
            <w:fldChar w:fldCharType="begin"/>
          </w:r>
          <w:r>
            <w:rPr>
              <w:rFonts w:hint="default" w:ascii="Calibri" w:hAnsi="Calibri" w:cs="Calibri"/>
              <w:i w:val="0"/>
              <w:iCs w:val="0"/>
              <w:sz w:val="24"/>
              <w:szCs w:val="24"/>
              <w:u w:val="none"/>
            </w:rPr>
            <w:instrText xml:space="preserve"> PAGEREF _Toc122095109 \h </w:instrText>
          </w:r>
          <w:r>
            <w:rPr>
              <w:rFonts w:hint="default" w:ascii="Calibri" w:hAnsi="Calibri" w:cs="Calibri"/>
              <w:i w:val="0"/>
              <w:iCs w:val="0"/>
              <w:sz w:val="24"/>
              <w:szCs w:val="24"/>
              <w:u w:val="none"/>
            </w:rPr>
            <w:fldChar w:fldCharType="separate"/>
          </w:r>
          <w:r>
            <w:rPr>
              <w:rFonts w:hint="default" w:ascii="Calibri" w:hAnsi="Calibri" w:cs="Calibri"/>
              <w:i w:val="0"/>
              <w:iCs w:val="0"/>
              <w:sz w:val="24"/>
              <w:szCs w:val="24"/>
              <w:u w:val="none"/>
            </w:rPr>
            <w:t>16</w:t>
          </w:r>
          <w:r>
            <w:rPr>
              <w:rFonts w:hint="default" w:ascii="Calibri" w:hAnsi="Calibri" w:cs="Calibri"/>
              <w:i w:val="0"/>
              <w:iCs w:val="0"/>
              <w:sz w:val="24"/>
              <w:szCs w:val="24"/>
              <w:u w:val="none"/>
            </w:rPr>
            <w:fldChar w:fldCharType="end"/>
          </w:r>
          <w:r>
            <w:rPr>
              <w:rFonts w:hint="default" w:ascii="Calibri" w:hAnsi="Calibri" w:cs="Calibri"/>
              <w:i w:val="0"/>
              <w:iCs w:val="0"/>
              <w:sz w:val="24"/>
              <w:szCs w:val="24"/>
              <w:u w:val="none"/>
            </w:rPr>
            <w:fldChar w:fldCharType="end"/>
          </w:r>
        </w:p>
        <w:p>
          <w:pPr>
            <w:pStyle w:val="14"/>
            <w:tabs>
              <w:tab w:val="right" w:leader="dot" w:pos="9350"/>
            </w:tabs>
            <w:spacing w:after="120" w:line="360" w:lineRule="auto"/>
            <w:jc w:val="both"/>
            <w:rPr>
              <w:rFonts w:hint="default" w:ascii="Calibri" w:hAnsi="Calibri" w:cs="Calibri"/>
              <w:i w:val="0"/>
              <w:iCs w:val="0"/>
              <w:sz w:val="24"/>
              <w:szCs w:val="24"/>
              <w:u w:val="none"/>
            </w:rPr>
          </w:pP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\l "_Toc122095110" </w:instrText>
          </w:r>
          <w:r>
            <w:rPr>
              <w:rFonts w:hint="default" w:ascii="Calibri" w:hAnsi="Calibri" w:cs="Calibri"/>
              <w:i w:val="0"/>
              <w:iCs w:val="0"/>
              <w:u w:val="none"/>
            </w:rPr>
            <w:fldChar w:fldCharType="separate"/>
          </w:r>
          <w:r>
            <w:rPr>
              <w:rStyle w:val="10"/>
              <w:rFonts w:hint="default" w:ascii="Calibri" w:hAnsi="Calibri" w:cs="Calibri"/>
              <w:i w:val="0"/>
              <w:iCs w:val="0"/>
              <w:sz w:val="24"/>
              <w:szCs w:val="24"/>
              <w:u w:val="none"/>
            </w:rPr>
            <w:t>Recommendations</w:t>
          </w:r>
          <w:r>
            <w:rPr>
              <w:rFonts w:hint="default" w:ascii="Calibri" w:hAnsi="Calibri" w:cs="Calibri"/>
              <w:i w:val="0"/>
              <w:iCs w:val="0"/>
              <w:sz w:val="24"/>
              <w:szCs w:val="24"/>
              <w:u w:val="none"/>
            </w:rPr>
            <w:tab/>
          </w:r>
          <w:r>
            <w:rPr>
              <w:rFonts w:hint="default" w:ascii="Calibri" w:hAnsi="Calibri" w:cs="Calibri"/>
              <w:i w:val="0"/>
              <w:iCs w:val="0"/>
              <w:sz w:val="24"/>
              <w:szCs w:val="24"/>
              <w:u w:val="none"/>
            </w:rPr>
            <w:fldChar w:fldCharType="begin"/>
          </w:r>
          <w:r>
            <w:rPr>
              <w:rFonts w:hint="default" w:ascii="Calibri" w:hAnsi="Calibri" w:cs="Calibri"/>
              <w:i w:val="0"/>
              <w:iCs w:val="0"/>
              <w:sz w:val="24"/>
              <w:szCs w:val="24"/>
              <w:u w:val="none"/>
            </w:rPr>
            <w:instrText xml:space="preserve"> PAGEREF _Toc122095110 \h </w:instrText>
          </w:r>
          <w:r>
            <w:rPr>
              <w:rFonts w:hint="default" w:ascii="Calibri" w:hAnsi="Calibri" w:cs="Calibri"/>
              <w:i w:val="0"/>
              <w:iCs w:val="0"/>
              <w:sz w:val="24"/>
              <w:szCs w:val="24"/>
              <w:u w:val="none"/>
            </w:rPr>
            <w:fldChar w:fldCharType="separate"/>
          </w:r>
          <w:r>
            <w:rPr>
              <w:rFonts w:hint="default" w:ascii="Calibri" w:hAnsi="Calibri" w:cs="Calibri"/>
              <w:i w:val="0"/>
              <w:iCs w:val="0"/>
              <w:sz w:val="24"/>
              <w:szCs w:val="24"/>
              <w:u w:val="none"/>
            </w:rPr>
            <w:t>16</w:t>
          </w:r>
          <w:r>
            <w:rPr>
              <w:rFonts w:hint="default" w:ascii="Calibri" w:hAnsi="Calibri" w:cs="Calibri"/>
              <w:i w:val="0"/>
              <w:iCs w:val="0"/>
              <w:sz w:val="24"/>
              <w:szCs w:val="24"/>
              <w:u w:val="none"/>
            </w:rPr>
            <w:fldChar w:fldCharType="end"/>
          </w:r>
          <w:r>
            <w:rPr>
              <w:rFonts w:hint="default" w:ascii="Calibri" w:hAnsi="Calibri" w:cs="Calibri"/>
              <w:i w:val="0"/>
              <w:iCs w:val="0"/>
              <w:sz w:val="24"/>
              <w:szCs w:val="24"/>
              <w:u w:val="none"/>
            </w:rPr>
            <w:fldChar w:fldCharType="end"/>
          </w:r>
        </w:p>
        <w:p>
          <w:pPr>
            <w:pStyle w:val="13"/>
            <w:tabs>
              <w:tab w:val="right" w:leader="dot" w:pos="9350"/>
            </w:tabs>
            <w:spacing w:after="120" w:line="360" w:lineRule="auto"/>
            <w:jc w:val="both"/>
            <w:rPr>
              <w:rFonts w:hint="default" w:ascii="Calibri" w:hAnsi="Calibri" w:cs="Calibri"/>
              <w:i w:val="0"/>
              <w:iCs w:val="0"/>
              <w:sz w:val="24"/>
              <w:szCs w:val="24"/>
              <w:u w:val="none"/>
            </w:rPr>
          </w:pP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\l "_Toc122095111" </w:instrText>
          </w:r>
          <w:r>
            <w:rPr>
              <w:rFonts w:hint="default" w:ascii="Calibri" w:hAnsi="Calibri" w:cs="Calibri"/>
              <w:i w:val="0"/>
              <w:iCs w:val="0"/>
              <w:u w:val="none"/>
            </w:rPr>
            <w:fldChar w:fldCharType="separate"/>
          </w:r>
          <w:r>
            <w:rPr>
              <w:rStyle w:val="10"/>
              <w:rFonts w:hint="default" w:ascii="Calibri" w:hAnsi="Calibri" w:cs="Calibri"/>
              <w:i w:val="0"/>
              <w:iCs w:val="0"/>
              <w:sz w:val="24"/>
              <w:szCs w:val="24"/>
              <w:u w:val="none"/>
            </w:rPr>
            <w:t>References</w:t>
          </w:r>
          <w:r>
            <w:rPr>
              <w:rFonts w:hint="default" w:ascii="Calibri" w:hAnsi="Calibri" w:cs="Calibri"/>
              <w:i w:val="0"/>
              <w:iCs w:val="0"/>
              <w:sz w:val="24"/>
              <w:szCs w:val="24"/>
              <w:u w:val="none"/>
            </w:rPr>
            <w:tab/>
          </w:r>
          <w:r>
            <w:rPr>
              <w:rFonts w:hint="default" w:ascii="Calibri" w:hAnsi="Calibri" w:cs="Calibri"/>
              <w:i w:val="0"/>
              <w:iCs w:val="0"/>
              <w:sz w:val="24"/>
              <w:szCs w:val="24"/>
              <w:u w:val="none"/>
            </w:rPr>
            <w:fldChar w:fldCharType="begin"/>
          </w:r>
          <w:r>
            <w:rPr>
              <w:rFonts w:hint="default" w:ascii="Calibri" w:hAnsi="Calibri" w:cs="Calibri"/>
              <w:i w:val="0"/>
              <w:iCs w:val="0"/>
              <w:sz w:val="24"/>
              <w:szCs w:val="24"/>
              <w:u w:val="none"/>
            </w:rPr>
            <w:instrText xml:space="preserve"> PAGEREF _Toc122095111 \h </w:instrText>
          </w:r>
          <w:r>
            <w:rPr>
              <w:rFonts w:hint="default" w:ascii="Calibri" w:hAnsi="Calibri" w:cs="Calibri"/>
              <w:i w:val="0"/>
              <w:iCs w:val="0"/>
              <w:sz w:val="24"/>
              <w:szCs w:val="24"/>
              <w:u w:val="none"/>
            </w:rPr>
            <w:fldChar w:fldCharType="separate"/>
          </w:r>
          <w:r>
            <w:rPr>
              <w:rFonts w:hint="default" w:ascii="Calibri" w:hAnsi="Calibri" w:cs="Calibri"/>
              <w:i w:val="0"/>
              <w:iCs w:val="0"/>
              <w:sz w:val="24"/>
              <w:szCs w:val="24"/>
              <w:u w:val="none"/>
            </w:rPr>
            <w:t>17</w:t>
          </w:r>
          <w:r>
            <w:rPr>
              <w:rFonts w:hint="default" w:ascii="Calibri" w:hAnsi="Calibri" w:cs="Calibri"/>
              <w:i w:val="0"/>
              <w:iCs w:val="0"/>
              <w:sz w:val="24"/>
              <w:szCs w:val="24"/>
              <w:u w:val="none"/>
            </w:rPr>
            <w:fldChar w:fldCharType="end"/>
          </w:r>
          <w:r>
            <w:rPr>
              <w:rFonts w:hint="default" w:ascii="Calibri" w:hAnsi="Calibri" w:cs="Calibri"/>
              <w:i w:val="0"/>
              <w:iCs w:val="0"/>
              <w:sz w:val="24"/>
              <w:szCs w:val="24"/>
              <w:u w:val="none"/>
            </w:rPr>
            <w:fldChar w:fldCharType="end"/>
          </w:r>
        </w:p>
        <w:p>
          <w:pPr>
            <w:pStyle w:val="13"/>
            <w:tabs>
              <w:tab w:val="right" w:leader="dot" w:pos="9350"/>
            </w:tabs>
            <w:spacing w:after="120" w:line="360" w:lineRule="auto"/>
            <w:jc w:val="both"/>
            <w:rPr>
              <w:rFonts w:hint="default" w:ascii="Calibri" w:hAnsi="Calibri" w:cs="Calibri"/>
              <w:i w:val="0"/>
              <w:iCs w:val="0"/>
              <w:sz w:val="24"/>
              <w:szCs w:val="24"/>
              <w:u w:val="none"/>
            </w:rPr>
          </w:pP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\l "_Toc122095112" </w:instrText>
          </w:r>
          <w:r>
            <w:rPr>
              <w:rFonts w:hint="default" w:ascii="Calibri" w:hAnsi="Calibri" w:cs="Calibri"/>
              <w:i w:val="0"/>
              <w:iCs w:val="0"/>
              <w:u w:val="none"/>
            </w:rPr>
            <w:fldChar w:fldCharType="separate"/>
          </w:r>
          <w:r>
            <w:rPr>
              <w:rStyle w:val="10"/>
              <w:rFonts w:hint="default" w:ascii="Calibri" w:hAnsi="Calibri" w:cs="Calibri"/>
              <w:i w:val="0"/>
              <w:iCs w:val="0"/>
              <w:sz w:val="24"/>
              <w:szCs w:val="24"/>
              <w:u w:val="none"/>
            </w:rPr>
            <w:t>Appendices</w:t>
          </w:r>
          <w:r>
            <w:rPr>
              <w:rFonts w:hint="default" w:ascii="Calibri" w:hAnsi="Calibri" w:cs="Calibri"/>
              <w:i w:val="0"/>
              <w:iCs w:val="0"/>
              <w:sz w:val="24"/>
              <w:szCs w:val="24"/>
              <w:u w:val="none"/>
            </w:rPr>
            <w:tab/>
          </w:r>
          <w:r>
            <w:rPr>
              <w:rFonts w:hint="default" w:ascii="Calibri" w:hAnsi="Calibri" w:cs="Calibri"/>
              <w:i w:val="0"/>
              <w:iCs w:val="0"/>
              <w:sz w:val="24"/>
              <w:szCs w:val="24"/>
              <w:u w:val="none"/>
            </w:rPr>
            <w:fldChar w:fldCharType="begin"/>
          </w:r>
          <w:r>
            <w:rPr>
              <w:rFonts w:hint="default" w:ascii="Calibri" w:hAnsi="Calibri" w:cs="Calibri"/>
              <w:i w:val="0"/>
              <w:iCs w:val="0"/>
              <w:sz w:val="24"/>
              <w:szCs w:val="24"/>
              <w:u w:val="none"/>
            </w:rPr>
            <w:instrText xml:space="preserve"> PAGEREF _Toc122095112 \h </w:instrText>
          </w:r>
          <w:r>
            <w:rPr>
              <w:rFonts w:hint="default" w:ascii="Calibri" w:hAnsi="Calibri" w:cs="Calibri"/>
              <w:i w:val="0"/>
              <w:iCs w:val="0"/>
              <w:sz w:val="24"/>
              <w:szCs w:val="24"/>
              <w:u w:val="none"/>
            </w:rPr>
            <w:fldChar w:fldCharType="separate"/>
          </w:r>
          <w:r>
            <w:rPr>
              <w:rFonts w:hint="default" w:ascii="Calibri" w:hAnsi="Calibri" w:cs="Calibri"/>
              <w:i w:val="0"/>
              <w:iCs w:val="0"/>
              <w:sz w:val="24"/>
              <w:szCs w:val="24"/>
              <w:u w:val="none"/>
            </w:rPr>
            <w:t>19</w:t>
          </w:r>
          <w:r>
            <w:rPr>
              <w:rFonts w:hint="default" w:ascii="Calibri" w:hAnsi="Calibri" w:cs="Calibri"/>
              <w:i w:val="0"/>
              <w:iCs w:val="0"/>
              <w:sz w:val="24"/>
              <w:szCs w:val="24"/>
              <w:u w:val="none"/>
            </w:rPr>
            <w:fldChar w:fldCharType="end"/>
          </w:r>
          <w:r>
            <w:rPr>
              <w:rFonts w:hint="default" w:ascii="Calibri" w:hAnsi="Calibri" w:cs="Calibri"/>
              <w:i w:val="0"/>
              <w:iCs w:val="0"/>
              <w:sz w:val="24"/>
              <w:szCs w:val="24"/>
              <w:u w:val="none"/>
            </w:rPr>
            <w:fldChar w:fldCharType="end"/>
          </w:r>
        </w:p>
        <w:p>
          <w:pPr>
            <w:pStyle w:val="14"/>
            <w:tabs>
              <w:tab w:val="right" w:leader="dot" w:pos="9350"/>
            </w:tabs>
            <w:spacing w:after="120" w:line="360" w:lineRule="auto"/>
            <w:jc w:val="both"/>
            <w:rPr>
              <w:rFonts w:hint="default" w:ascii="Calibri" w:hAnsi="Calibri" w:cs="Calibri"/>
              <w:i w:val="0"/>
              <w:iCs w:val="0"/>
              <w:sz w:val="24"/>
              <w:szCs w:val="24"/>
              <w:u w:val="none"/>
            </w:rPr>
          </w:pP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\l "_Toc122095113" </w:instrText>
          </w:r>
          <w:r>
            <w:rPr>
              <w:rFonts w:hint="default" w:ascii="Calibri" w:hAnsi="Calibri" w:cs="Calibri"/>
              <w:i w:val="0"/>
              <w:iCs w:val="0"/>
              <w:u w:val="none"/>
            </w:rPr>
            <w:fldChar w:fldCharType="separate"/>
          </w:r>
          <w:r>
            <w:rPr>
              <w:rStyle w:val="10"/>
              <w:rFonts w:hint="default" w:ascii="Calibri" w:hAnsi="Calibri" w:cs="Calibri"/>
              <w:i w:val="0"/>
              <w:iCs w:val="0"/>
              <w:sz w:val="24"/>
              <w:szCs w:val="24"/>
              <w:u w:val="none"/>
            </w:rPr>
            <w:t>Appendix 1: Market competition</w:t>
          </w:r>
          <w:r>
            <w:rPr>
              <w:rFonts w:hint="default" w:ascii="Calibri" w:hAnsi="Calibri" w:cs="Calibri"/>
              <w:i w:val="0"/>
              <w:iCs w:val="0"/>
              <w:sz w:val="24"/>
              <w:szCs w:val="24"/>
              <w:u w:val="none"/>
            </w:rPr>
            <w:tab/>
          </w:r>
          <w:r>
            <w:rPr>
              <w:rFonts w:hint="default" w:ascii="Calibri" w:hAnsi="Calibri" w:cs="Calibri"/>
              <w:i w:val="0"/>
              <w:iCs w:val="0"/>
              <w:sz w:val="24"/>
              <w:szCs w:val="24"/>
              <w:u w:val="none"/>
            </w:rPr>
            <w:fldChar w:fldCharType="begin"/>
          </w:r>
          <w:r>
            <w:rPr>
              <w:rFonts w:hint="default" w:ascii="Calibri" w:hAnsi="Calibri" w:cs="Calibri"/>
              <w:i w:val="0"/>
              <w:iCs w:val="0"/>
              <w:sz w:val="24"/>
              <w:szCs w:val="24"/>
              <w:u w:val="none"/>
            </w:rPr>
            <w:instrText xml:space="preserve"> PAGEREF _Toc122095113 \h </w:instrText>
          </w:r>
          <w:r>
            <w:rPr>
              <w:rFonts w:hint="default" w:ascii="Calibri" w:hAnsi="Calibri" w:cs="Calibri"/>
              <w:i w:val="0"/>
              <w:iCs w:val="0"/>
              <w:sz w:val="24"/>
              <w:szCs w:val="24"/>
              <w:u w:val="none"/>
            </w:rPr>
            <w:fldChar w:fldCharType="separate"/>
          </w:r>
          <w:r>
            <w:rPr>
              <w:rFonts w:hint="default" w:ascii="Calibri" w:hAnsi="Calibri" w:cs="Calibri"/>
              <w:i w:val="0"/>
              <w:iCs w:val="0"/>
              <w:sz w:val="24"/>
              <w:szCs w:val="24"/>
              <w:u w:val="none"/>
            </w:rPr>
            <w:t>19</w:t>
          </w:r>
          <w:r>
            <w:rPr>
              <w:rFonts w:hint="default" w:ascii="Calibri" w:hAnsi="Calibri" w:cs="Calibri"/>
              <w:i w:val="0"/>
              <w:iCs w:val="0"/>
              <w:sz w:val="24"/>
              <w:szCs w:val="24"/>
              <w:u w:val="none"/>
            </w:rPr>
            <w:fldChar w:fldCharType="end"/>
          </w:r>
          <w:r>
            <w:rPr>
              <w:rFonts w:hint="default" w:ascii="Calibri" w:hAnsi="Calibri" w:cs="Calibri"/>
              <w:i w:val="0"/>
              <w:iCs w:val="0"/>
              <w:sz w:val="24"/>
              <w:szCs w:val="24"/>
              <w:u w:val="none"/>
            </w:rPr>
            <w:fldChar w:fldCharType="end"/>
          </w:r>
        </w:p>
        <w:p>
          <w:pPr>
            <w:spacing w:after="0" w:line="360" w:lineRule="auto"/>
            <w:rPr>
              <w:rFonts w:hint="default" w:ascii="Calibri" w:hAnsi="Calibri" w:cs="Calibri"/>
              <w:i w:val="0"/>
              <w:iCs w:val="0"/>
              <w:sz w:val="24"/>
              <w:szCs w:val="24"/>
              <w:u w:val="none"/>
            </w:rPr>
          </w:pPr>
          <w:r>
            <w:rPr>
              <w:rFonts w:hint="default" w:ascii="Calibri" w:hAnsi="Calibri" w:cs="Calibri"/>
              <w:i w:val="0"/>
              <w:iCs w:val="0"/>
              <w:sz w:val="24"/>
              <w:szCs w:val="24"/>
              <w:u w:val="none"/>
            </w:rPr>
            <w:fldChar w:fldCharType="end"/>
          </w:r>
        </w:p>
      </w:sdtContent>
    </w:sdt>
    <w:p>
      <w:pPr>
        <w:spacing w:line="360" w:lineRule="auto"/>
        <w:rPr>
          <w:rFonts w:hint="default" w:ascii="Calibri" w:hAnsi="Calibri" w:cs="Calibri"/>
          <w:i w:val="0"/>
          <w:iCs w:val="0"/>
          <w:sz w:val="24"/>
          <w:szCs w:val="24"/>
          <w:u w:val="none"/>
        </w:rPr>
      </w:pPr>
    </w:p>
    <w:p>
      <w:pPr>
        <w:spacing w:line="360" w:lineRule="auto"/>
        <w:rPr>
          <w:rFonts w:hint="default" w:ascii="Calibri" w:hAnsi="Calibri" w:cs="Calibri"/>
          <w:i w:val="0"/>
          <w:iCs w:val="0"/>
          <w:sz w:val="24"/>
          <w:szCs w:val="24"/>
          <w:u w:val="none"/>
        </w:rPr>
      </w:pPr>
    </w:p>
    <w:p>
      <w:pPr>
        <w:spacing w:line="360" w:lineRule="auto"/>
        <w:rPr>
          <w:rFonts w:hint="default" w:ascii="Calibri" w:hAnsi="Calibri" w:cs="Calibri" w:eastAsiaTheme="majorEastAsia"/>
          <w:b/>
          <w:bCs/>
          <w:i w:val="0"/>
          <w:iCs w:val="0"/>
          <w:color w:val="000000" w:themeColor="text1"/>
          <w:sz w:val="24"/>
          <w:szCs w:val="24"/>
          <w:u w:val="none"/>
        </w:rPr>
      </w:pPr>
      <w:bookmarkStart w:id="0" w:name="_Toc122095100"/>
      <w:r>
        <w:rPr>
          <w:rFonts w:hint="default" w:ascii="Calibri" w:hAnsi="Calibri" w:cs="Calibri"/>
          <w:i w:val="0"/>
          <w:iCs w:val="0"/>
          <w:sz w:val="24"/>
          <w:szCs w:val="24"/>
          <w:u w:val="none"/>
        </w:rPr>
        <w:br w:type="page"/>
      </w:r>
    </w:p>
    <w:p>
      <w:pPr>
        <w:pStyle w:val="2"/>
        <w:rPr>
          <w:rFonts w:hint="default" w:ascii="Calibri" w:hAnsi="Calibri" w:cs="Calibri"/>
          <w:i w:val="0"/>
          <w:iCs w:val="0"/>
          <w:sz w:val="24"/>
          <w:szCs w:val="24"/>
          <w:u w:val="none"/>
        </w:rPr>
      </w:pPr>
      <w:r>
        <w:rPr>
          <w:rFonts w:hint="default" w:ascii="Calibri" w:hAnsi="Calibri" w:cs="Calibri"/>
          <w:i w:val="0"/>
          <w:iCs w:val="0"/>
          <w:sz w:val="24"/>
          <w:szCs w:val="24"/>
          <w:u w:val="none"/>
        </w:rPr>
        <w:t>Question A</w:t>
      </w:r>
      <w:bookmarkEnd w:id="0"/>
    </w:p>
    <w:p>
      <w:pPr>
        <w:pStyle w:val="3"/>
        <w:rPr>
          <w:rFonts w:hint="default" w:ascii="Calibri" w:hAnsi="Calibri" w:cs="Calibri"/>
          <w:i w:val="0"/>
          <w:iCs w:val="0"/>
          <w:sz w:val="24"/>
          <w:szCs w:val="24"/>
          <w:u w:val="none"/>
        </w:rPr>
      </w:pPr>
      <w:bookmarkStart w:id="1" w:name="_Toc122095101"/>
      <w:r>
        <w:rPr>
          <w:rFonts w:hint="default" w:ascii="Calibri" w:hAnsi="Calibri" w:cs="Calibri"/>
          <w:i w:val="0"/>
          <w:iCs w:val="0"/>
          <w:sz w:val="24"/>
          <w:szCs w:val="24"/>
          <w:u w:val="none"/>
        </w:rPr>
        <w:t>Introduction</w:t>
      </w:r>
      <w:bookmarkEnd w:id="1"/>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i w:val="0"/>
          <w:iCs w:val="0"/>
          <w:u w:val="none"/>
        </w:rPr>
        <w:t>Tesco PLC is a reputed multinational retail company that manages its business operations through online and multi-format stores. The company has the largest grocery retailer in the UK and provides services to millions of customers worldwide. The good brand reputation of the company helps to attract customers and improves the customer base. In this report, the “</w:t>
      </w:r>
      <w:r>
        <w:rPr>
          <w:rFonts w:hint="default" w:ascii="Calibri" w:hAnsi="Calibri" w:cs="Calibri"/>
          <w:b/>
          <w:i w:val="0"/>
          <w:iCs w:val="0"/>
          <w:u w:val="none"/>
        </w:rPr>
        <w:t xml:space="preserve">PESTLE analysis” </w:t>
      </w:r>
      <w:r>
        <w:rPr>
          <w:rFonts w:hint="default" w:ascii="Calibri" w:hAnsi="Calibri" w:cs="Calibri"/>
          <w:i w:val="0"/>
          <w:iCs w:val="0"/>
          <w:u w:val="none"/>
        </w:rPr>
        <w:t xml:space="preserve">has been used to determine the external factors and the </w:t>
      </w:r>
      <w:r>
        <w:rPr>
          <w:rFonts w:hint="default" w:ascii="Calibri" w:hAnsi="Calibri" w:cs="Calibri"/>
          <w:b/>
          <w:i w:val="0"/>
          <w:iCs w:val="0"/>
          <w:u w:val="none"/>
        </w:rPr>
        <w:t>“SWOT analysis”</w:t>
      </w:r>
      <w:r>
        <w:rPr>
          <w:rFonts w:hint="default" w:ascii="Calibri" w:hAnsi="Calibri" w:cs="Calibri"/>
          <w:i w:val="0"/>
          <w:iCs w:val="0"/>
          <w:u w:val="none"/>
        </w:rPr>
        <w:t xml:space="preserve"> has been used to examine the internal factors. Furthermore, the segmentation, positioning and target market of the company has also been addressed. Along with this, the </w:t>
      </w:r>
      <w:r>
        <w:rPr>
          <w:rFonts w:hint="default" w:ascii="Calibri" w:hAnsi="Calibri" w:cs="Calibri"/>
          <w:b/>
          <w:i w:val="0"/>
          <w:iCs w:val="0"/>
          <w:u w:val="none"/>
        </w:rPr>
        <w:t>“4Ps Marketing mix strategy”</w:t>
      </w:r>
      <w:r>
        <w:rPr>
          <w:rFonts w:hint="default" w:ascii="Calibri" w:hAnsi="Calibri" w:cs="Calibri"/>
          <w:i w:val="0"/>
          <w:iCs w:val="0"/>
          <w:u w:val="none"/>
        </w:rPr>
        <w:t xml:space="preserve"> has been taken to determine the product, place, promotional style, and pricing style of Tesco. </w:t>
      </w:r>
    </w:p>
    <w:p>
      <w:pPr>
        <w:pStyle w:val="3"/>
        <w:rPr>
          <w:rFonts w:hint="default" w:ascii="Calibri" w:hAnsi="Calibri" w:cs="Calibri"/>
          <w:i w:val="0"/>
          <w:iCs w:val="0"/>
          <w:sz w:val="24"/>
          <w:szCs w:val="24"/>
          <w:u w:val="none"/>
        </w:rPr>
      </w:pPr>
      <w:bookmarkStart w:id="2" w:name="_Toc122095102"/>
      <w:r>
        <w:rPr>
          <w:rFonts w:hint="default" w:ascii="Calibri" w:hAnsi="Calibri" w:cs="Calibri"/>
          <w:i w:val="0"/>
          <w:iCs w:val="0"/>
          <w:sz w:val="24"/>
          <w:szCs w:val="24"/>
          <w:u w:val="none"/>
        </w:rPr>
        <w:t>Company background</w:t>
      </w:r>
      <w:bookmarkEnd w:id="2"/>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i w:val="0"/>
          <w:iCs w:val="0"/>
          <w:u w:val="none"/>
        </w:rPr>
        <w:t>The retail company Tesco PLC provides a wide range of products including clothing, furniture, toys, books, electronics, telecom services, financial services, internet services and so on. The company is mainly famous for providing quality products at affordable prices to customers. The company has more than 345,000 colleagues that help the company to manage its business operations (Tescoplc.com, 2022). The good brand reputation of the company is work as one of its strong points and it helps the company to enhance revenue growth.  </w:t>
      </w:r>
    </w:p>
    <w:p>
      <w:pPr>
        <w:spacing w:after="0" w:line="360" w:lineRule="auto"/>
        <w:jc w:val="center"/>
        <w:rPr>
          <w:rFonts w:hint="default" w:ascii="Calibri" w:hAnsi="Calibri" w:cs="Calibri"/>
          <w:i w:val="0"/>
          <w:iCs w:val="0"/>
          <w:sz w:val="24"/>
          <w:szCs w:val="24"/>
          <w:u w:val="none"/>
        </w:rPr>
      </w:pPr>
      <w:r>
        <w:rPr>
          <w:rFonts w:hint="default" w:ascii="Calibri" w:hAnsi="Calibri" w:cs="Calibri"/>
          <w:i w:val="0"/>
          <w:iCs w:val="0"/>
          <w:sz w:val="24"/>
          <w:szCs w:val="24"/>
          <w:u w:val="none"/>
        </w:rPr>
        <w:drawing>
          <wp:inline distT="0" distB="0" distL="0" distR="0">
            <wp:extent cx="4300220" cy="2765425"/>
            <wp:effectExtent l="76200" t="76200" r="119380" b="1111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a:xfrm>
                      <a:off x="0" y="0"/>
                      <a:ext cx="4346053" cy="2794847"/>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spacing w:after="0" w:line="360" w:lineRule="auto"/>
        <w:jc w:val="center"/>
        <w:rPr>
          <w:rFonts w:hint="default" w:ascii="Calibri" w:hAnsi="Calibri" w:cs="Calibri"/>
          <w:b/>
          <w:i w:val="0"/>
          <w:iCs w:val="0"/>
          <w:sz w:val="24"/>
          <w:szCs w:val="24"/>
          <w:u w:val="none"/>
        </w:rPr>
      </w:pPr>
      <w:r>
        <w:rPr>
          <w:rFonts w:hint="default" w:ascii="Calibri" w:hAnsi="Calibri" w:cs="Calibri"/>
          <w:b/>
          <w:i w:val="0"/>
          <w:iCs w:val="0"/>
          <w:sz w:val="24"/>
          <w:szCs w:val="24"/>
          <w:u w:val="none"/>
        </w:rPr>
        <w:t>Figure 1: Revenue of Tesco</w:t>
      </w:r>
    </w:p>
    <w:p>
      <w:pPr>
        <w:spacing w:after="0" w:line="360" w:lineRule="auto"/>
        <w:jc w:val="center"/>
        <w:rPr>
          <w:rFonts w:hint="default" w:ascii="Calibri" w:hAnsi="Calibri" w:cs="Calibri"/>
          <w:i w:val="0"/>
          <w:iCs w:val="0"/>
          <w:sz w:val="24"/>
          <w:szCs w:val="24"/>
          <w:u w:val="none"/>
        </w:rPr>
      </w:pPr>
      <w:r>
        <w:rPr>
          <w:rFonts w:hint="default" w:ascii="Calibri" w:hAnsi="Calibri" w:cs="Calibri"/>
          <w:i w:val="0"/>
          <w:iCs w:val="0"/>
          <w:sz w:val="24"/>
          <w:szCs w:val="24"/>
          <w:u w:val="none"/>
        </w:rPr>
        <w:t>(Source: Statista.com, 2022a)</w:t>
      </w:r>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i w:val="0"/>
          <w:iCs w:val="0"/>
          <w:u w:val="none"/>
        </w:rPr>
        <w:t>The statistical graph shows the annual revenue of the retail company Tesco in the UK. In the year 2021/2022, the annual revenue of the retail company Tesco is more than 56 billion British pounds (Statista.com, 2022a). It shows that from the previous year the annual revenue of Tesco has been enhanced by more than 3 billion British pounds. The strong financial position of the company creates a positive impact on the business and helps the company to manage its business operations properly.  </w:t>
      </w:r>
    </w:p>
    <w:p>
      <w:pPr>
        <w:pStyle w:val="3"/>
        <w:rPr>
          <w:rFonts w:hint="default" w:ascii="Calibri" w:hAnsi="Calibri" w:cs="Calibri"/>
          <w:i w:val="0"/>
          <w:iCs w:val="0"/>
          <w:sz w:val="24"/>
          <w:szCs w:val="24"/>
          <w:u w:val="none"/>
          <w:lang w:val="en-GB"/>
        </w:rPr>
      </w:pPr>
      <w:bookmarkStart w:id="3" w:name="_Toc122095103"/>
      <w:r>
        <w:rPr>
          <w:rFonts w:hint="default" w:ascii="Calibri" w:hAnsi="Calibri" w:cs="Calibri"/>
          <w:i w:val="0"/>
          <w:iCs w:val="0"/>
          <w:sz w:val="24"/>
          <w:szCs w:val="24"/>
          <w:u w:val="none"/>
          <w:lang w:val="en-GB"/>
        </w:rPr>
        <w:t>PESTLE Factors</w:t>
      </w:r>
      <w:bookmarkEnd w:id="3"/>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i w:val="0"/>
          <w:iCs w:val="0"/>
          <w:u w:val="none"/>
        </w:rPr>
        <w:t>The PESTLE analysis has been taken to examine the external factors and their impacts on real business.  </w:t>
      </w:r>
    </w:p>
    <w:tbl>
      <w:tblPr>
        <w:tblStyle w:val="18"/>
        <w:tblW w:w="9360"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1843"/>
        <w:gridCol w:w="6237"/>
        <w:gridCol w:w="128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cantSplit/>
          <w:trHeight w:val="585" w:hRule="atLeast"/>
          <w:tblHeader/>
          <w:jc w:val="center"/>
        </w:trPr>
        <w:tc>
          <w:tcPr>
            <w:tcW w:w="184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after="0" w:line="360" w:lineRule="auto"/>
              <w:ind w:left="60"/>
              <w:jc w:val="both"/>
              <w:rPr>
                <w:rFonts w:hint="default" w:ascii="Calibri" w:hAnsi="Calibri" w:eastAsia="Arial" w:cs="Calibri"/>
                <w:b/>
                <w:i w:val="0"/>
                <w:iCs w:val="0"/>
                <w:sz w:val="24"/>
                <w:szCs w:val="24"/>
                <w:u w:val="none"/>
                <w:lang w:val="en-GB"/>
              </w:rPr>
            </w:pPr>
            <w:r>
              <w:rPr>
                <w:rFonts w:hint="default" w:ascii="Calibri" w:hAnsi="Calibri" w:eastAsia="Arial" w:cs="Calibri"/>
                <w:b/>
                <w:i w:val="0"/>
                <w:iCs w:val="0"/>
                <w:sz w:val="24"/>
                <w:szCs w:val="24"/>
                <w:u w:val="none"/>
                <w:lang w:val="en-GB"/>
              </w:rPr>
              <w:t>Factor</w:t>
            </w:r>
          </w:p>
        </w:tc>
        <w:tc>
          <w:tcPr>
            <w:tcW w:w="6237" w:type="dxa"/>
            <w:tcBorders>
              <w:top w:val="single" w:color="000000" w:sz="8" w:space="0"/>
              <w:left w:val="nil"/>
              <w:bottom w:val="single" w:color="000000" w:sz="8" w:space="0"/>
              <w:right w:val="single" w:color="000000" w:sz="8" w:space="0"/>
            </w:tcBorders>
            <w:tcMar>
              <w:top w:w="100" w:type="dxa"/>
              <w:left w:w="100" w:type="dxa"/>
              <w:bottom w:w="100" w:type="dxa"/>
              <w:right w:w="100" w:type="dxa"/>
            </w:tcMar>
          </w:tcPr>
          <w:p>
            <w:pPr>
              <w:spacing w:after="0" w:line="360" w:lineRule="auto"/>
              <w:ind w:left="60"/>
              <w:jc w:val="both"/>
              <w:rPr>
                <w:rFonts w:hint="default" w:ascii="Calibri" w:hAnsi="Calibri" w:eastAsia="Arial" w:cs="Calibri"/>
                <w:b/>
                <w:i w:val="0"/>
                <w:iCs w:val="0"/>
                <w:sz w:val="24"/>
                <w:szCs w:val="24"/>
                <w:u w:val="none"/>
                <w:lang w:val="en-GB"/>
              </w:rPr>
            </w:pPr>
            <w:r>
              <w:rPr>
                <w:rFonts w:hint="default" w:ascii="Calibri" w:hAnsi="Calibri" w:eastAsia="Arial" w:cs="Calibri"/>
                <w:b/>
                <w:i w:val="0"/>
                <w:iCs w:val="0"/>
                <w:sz w:val="24"/>
                <w:szCs w:val="24"/>
                <w:u w:val="none"/>
                <w:lang w:val="en-GB"/>
              </w:rPr>
              <w:t>Analysis</w:t>
            </w:r>
          </w:p>
        </w:tc>
        <w:tc>
          <w:tcPr>
            <w:tcW w:w="1280" w:type="dxa"/>
            <w:tcBorders>
              <w:top w:val="single" w:color="000000" w:sz="8" w:space="0"/>
              <w:left w:val="nil"/>
              <w:bottom w:val="single" w:color="000000" w:sz="8" w:space="0"/>
              <w:right w:val="single" w:color="000000" w:sz="8" w:space="0"/>
            </w:tcBorders>
            <w:tcMar>
              <w:top w:w="100" w:type="dxa"/>
              <w:left w:w="100" w:type="dxa"/>
              <w:bottom w:w="100" w:type="dxa"/>
              <w:right w:w="100" w:type="dxa"/>
            </w:tcMar>
          </w:tcPr>
          <w:p>
            <w:pPr>
              <w:spacing w:after="0" w:line="360" w:lineRule="auto"/>
              <w:ind w:left="60"/>
              <w:jc w:val="both"/>
              <w:rPr>
                <w:rFonts w:hint="default" w:ascii="Calibri" w:hAnsi="Calibri" w:eastAsia="Arial" w:cs="Calibri"/>
                <w:b/>
                <w:i w:val="0"/>
                <w:iCs w:val="0"/>
                <w:sz w:val="24"/>
                <w:szCs w:val="24"/>
                <w:u w:val="none"/>
                <w:lang w:val="en-GB"/>
              </w:rPr>
            </w:pPr>
            <w:r>
              <w:rPr>
                <w:rFonts w:hint="default" w:ascii="Calibri" w:hAnsi="Calibri" w:eastAsia="Arial" w:cs="Calibri"/>
                <w:b/>
                <w:i w:val="0"/>
                <w:iCs w:val="0"/>
                <w:sz w:val="24"/>
                <w:szCs w:val="24"/>
                <w:u w:val="none"/>
                <w:lang w:val="en-GB"/>
              </w:rPr>
              <w:t>Impact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cantSplit/>
          <w:trHeight w:val="1743" w:hRule="atLeast"/>
          <w:tblHeader/>
          <w:jc w:val="center"/>
        </w:trPr>
        <w:tc>
          <w:tcPr>
            <w:tcW w:w="1843" w:type="dxa"/>
            <w:tcBorders>
              <w:top w:val="nil"/>
              <w:left w:val="single" w:color="000000" w:sz="8" w:space="0"/>
              <w:bottom w:val="single" w:color="000000" w:sz="8" w:space="0"/>
              <w:right w:val="single" w:color="000000" w:sz="8" w:space="0"/>
            </w:tcBorders>
            <w:tcMar>
              <w:top w:w="100" w:type="dxa"/>
              <w:left w:w="100" w:type="dxa"/>
              <w:bottom w:w="100" w:type="dxa"/>
              <w:right w:w="100" w:type="dxa"/>
            </w:tcMar>
          </w:tcPr>
          <w:p>
            <w:pPr>
              <w:spacing w:after="0" w:line="360" w:lineRule="auto"/>
              <w:ind w:left="60"/>
              <w:jc w:val="both"/>
              <w:rPr>
                <w:rFonts w:hint="default" w:ascii="Calibri" w:hAnsi="Calibri" w:eastAsia="Arial" w:cs="Calibri"/>
                <w:b/>
                <w:i w:val="0"/>
                <w:iCs w:val="0"/>
                <w:sz w:val="24"/>
                <w:szCs w:val="24"/>
                <w:u w:val="none"/>
                <w:lang w:val="en-GB"/>
              </w:rPr>
            </w:pPr>
            <w:r>
              <w:rPr>
                <w:rFonts w:hint="default" w:ascii="Calibri" w:hAnsi="Calibri" w:eastAsia="Arial" w:cs="Calibri"/>
                <w:b/>
                <w:i w:val="0"/>
                <w:iCs w:val="0"/>
                <w:sz w:val="24"/>
                <w:szCs w:val="24"/>
                <w:u w:val="none"/>
                <w:lang w:val="en-GB"/>
              </w:rPr>
              <w:t>Political</w:t>
            </w:r>
          </w:p>
        </w:tc>
        <w:tc>
          <w:tcPr>
            <w:tcW w:w="6237" w:type="dxa"/>
            <w:tcBorders>
              <w:top w:val="nil"/>
              <w:left w:val="nil"/>
              <w:bottom w:val="single" w:color="000000" w:sz="8" w:space="0"/>
              <w:right w:val="single" w:color="000000" w:sz="8" w:space="0"/>
            </w:tcBorders>
            <w:tcMar>
              <w:top w:w="100" w:type="dxa"/>
              <w:left w:w="100" w:type="dxa"/>
              <w:bottom w:w="100" w:type="dxa"/>
              <w:right w:w="100" w:type="dxa"/>
            </w:tcMar>
          </w:tcPr>
          <w:p>
            <w:pPr>
              <w:numPr>
                <w:ilvl w:val="0"/>
                <w:numId w:val="1"/>
              </w:numPr>
              <w:spacing w:after="0" w:line="360" w:lineRule="auto"/>
              <w:jc w:val="both"/>
              <w:rPr>
                <w:rFonts w:hint="default" w:ascii="Calibri" w:hAnsi="Calibri" w:eastAsia="Times New Roman" w:cs="Calibri"/>
                <w:i w:val="0"/>
                <w:iCs w:val="0"/>
                <w:sz w:val="24"/>
                <w:szCs w:val="24"/>
                <w:u w:val="none"/>
                <w:lang w:val="en-GB"/>
              </w:rPr>
            </w:pPr>
            <w:r>
              <w:rPr>
                <w:rFonts w:hint="default" w:ascii="Calibri" w:hAnsi="Calibri" w:eastAsia="Times New Roman" w:cs="Calibri"/>
                <w:i w:val="0"/>
                <w:iCs w:val="0"/>
                <w:sz w:val="24"/>
                <w:szCs w:val="24"/>
                <w:u w:val="none"/>
                <w:lang w:val="en-GB"/>
              </w:rPr>
              <w:t>The higher tax rate in the UK is 40% and 20% is the lowest tax rate (</w:t>
            </w:r>
            <w:r>
              <w:rPr>
                <w:rFonts w:hint="default" w:ascii="Calibri" w:hAnsi="Calibri" w:eastAsia="Arial" w:cs="Calibri"/>
                <w:i w:val="0"/>
                <w:iCs w:val="0"/>
                <w:sz w:val="24"/>
                <w:szCs w:val="24"/>
                <w:u w:val="none"/>
              </w:rPr>
              <w:t>Gov.uk, 2022a</w:t>
            </w:r>
            <w:r>
              <w:rPr>
                <w:rFonts w:hint="default" w:ascii="Calibri" w:hAnsi="Calibri" w:eastAsia="Times New Roman" w:cs="Calibri"/>
                <w:i w:val="0"/>
                <w:iCs w:val="0"/>
                <w:sz w:val="24"/>
                <w:szCs w:val="24"/>
                <w:u w:val="none"/>
                <w:lang w:val="en-GB"/>
              </w:rPr>
              <w:t>)</w:t>
            </w:r>
          </w:p>
          <w:p>
            <w:pPr>
              <w:numPr>
                <w:ilvl w:val="0"/>
                <w:numId w:val="1"/>
              </w:numPr>
              <w:spacing w:after="0" w:line="360" w:lineRule="auto"/>
              <w:jc w:val="both"/>
              <w:rPr>
                <w:rFonts w:hint="default" w:ascii="Calibri" w:hAnsi="Calibri" w:eastAsia="Arial" w:cs="Calibri"/>
                <w:i w:val="0"/>
                <w:iCs w:val="0"/>
                <w:sz w:val="24"/>
                <w:szCs w:val="24"/>
                <w:u w:val="none"/>
                <w:lang w:val="en-GB"/>
              </w:rPr>
            </w:pPr>
            <w:r>
              <w:rPr>
                <w:rFonts w:hint="default" w:ascii="Calibri" w:hAnsi="Calibri" w:eastAsia="Arial" w:cs="Calibri"/>
                <w:i w:val="0"/>
                <w:iCs w:val="0"/>
                <w:sz w:val="24"/>
                <w:szCs w:val="24"/>
                <w:u w:val="none"/>
                <w:lang w:val="en-GB"/>
              </w:rPr>
              <w:t>In 2021/22, criminal offences are more than 6.3 million have been recorded (Statista.com, 2022b).</w:t>
            </w:r>
          </w:p>
        </w:tc>
        <w:tc>
          <w:tcPr>
            <w:tcW w:w="1280" w:type="dxa"/>
            <w:tcBorders>
              <w:top w:val="nil"/>
              <w:left w:val="nil"/>
              <w:bottom w:val="single" w:color="000000" w:sz="8" w:space="0"/>
              <w:right w:val="single" w:color="000000" w:sz="8" w:space="0"/>
            </w:tcBorders>
            <w:tcMar>
              <w:top w:w="100" w:type="dxa"/>
              <w:left w:w="100" w:type="dxa"/>
              <w:bottom w:w="100" w:type="dxa"/>
              <w:right w:w="100" w:type="dxa"/>
            </w:tcMar>
          </w:tcPr>
          <w:p>
            <w:pPr>
              <w:spacing w:after="0" w:line="360" w:lineRule="auto"/>
              <w:ind w:left="60"/>
              <w:jc w:val="both"/>
              <w:rPr>
                <w:rFonts w:hint="default" w:ascii="Calibri" w:hAnsi="Calibri" w:eastAsia="Arial" w:cs="Calibri"/>
                <w:i w:val="0"/>
                <w:iCs w:val="0"/>
                <w:sz w:val="24"/>
                <w:szCs w:val="24"/>
                <w:u w:val="none"/>
                <w:lang w:val="en-GB"/>
              </w:rPr>
            </w:pPr>
            <w:r>
              <w:rPr>
                <w:rFonts w:hint="default" w:ascii="Calibri" w:hAnsi="Calibri" w:eastAsia="Arial" w:cs="Calibri"/>
                <w:i w:val="0"/>
                <w:iCs w:val="0"/>
                <w:sz w:val="24"/>
                <w:szCs w:val="24"/>
                <w:u w:val="none"/>
                <w:lang w:val="en-GB"/>
              </w:rPr>
              <w:t>Negative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cantSplit/>
          <w:trHeight w:val="1318" w:hRule="atLeast"/>
          <w:tblHeader/>
          <w:jc w:val="center"/>
        </w:trPr>
        <w:tc>
          <w:tcPr>
            <w:tcW w:w="1843" w:type="dxa"/>
            <w:tcBorders>
              <w:top w:val="nil"/>
              <w:left w:val="single" w:color="000000" w:sz="8" w:space="0"/>
              <w:bottom w:val="single" w:color="000000" w:sz="8" w:space="0"/>
              <w:right w:val="single" w:color="000000" w:sz="8" w:space="0"/>
            </w:tcBorders>
            <w:tcMar>
              <w:top w:w="100" w:type="dxa"/>
              <w:left w:w="100" w:type="dxa"/>
              <w:bottom w:w="100" w:type="dxa"/>
              <w:right w:w="100" w:type="dxa"/>
            </w:tcMar>
          </w:tcPr>
          <w:p>
            <w:pPr>
              <w:spacing w:after="0" w:line="360" w:lineRule="auto"/>
              <w:ind w:left="60"/>
              <w:jc w:val="both"/>
              <w:rPr>
                <w:rFonts w:hint="default" w:ascii="Calibri" w:hAnsi="Calibri" w:eastAsia="Arial" w:cs="Calibri"/>
                <w:b/>
                <w:i w:val="0"/>
                <w:iCs w:val="0"/>
                <w:sz w:val="24"/>
                <w:szCs w:val="24"/>
                <w:u w:val="none"/>
                <w:lang w:val="en-GB"/>
              </w:rPr>
            </w:pPr>
            <w:r>
              <w:rPr>
                <w:rFonts w:hint="default" w:ascii="Calibri" w:hAnsi="Calibri" w:eastAsia="Arial" w:cs="Calibri"/>
                <w:b/>
                <w:i w:val="0"/>
                <w:iCs w:val="0"/>
                <w:sz w:val="24"/>
                <w:szCs w:val="24"/>
                <w:u w:val="none"/>
                <w:lang w:val="en-GB"/>
              </w:rPr>
              <w:t>Economic</w:t>
            </w:r>
          </w:p>
        </w:tc>
        <w:tc>
          <w:tcPr>
            <w:tcW w:w="6237" w:type="dxa"/>
            <w:tcBorders>
              <w:top w:val="nil"/>
              <w:left w:val="nil"/>
              <w:bottom w:val="single" w:color="000000" w:sz="8" w:space="0"/>
              <w:right w:val="single" w:color="000000" w:sz="8" w:space="0"/>
            </w:tcBorders>
            <w:tcMar>
              <w:top w:w="100" w:type="dxa"/>
              <w:left w:w="100" w:type="dxa"/>
              <w:bottom w:w="100" w:type="dxa"/>
              <w:right w:w="100" w:type="dxa"/>
            </w:tcMar>
          </w:tcPr>
          <w:p>
            <w:pPr>
              <w:numPr>
                <w:ilvl w:val="0"/>
                <w:numId w:val="2"/>
              </w:numPr>
              <w:spacing w:after="0" w:line="360" w:lineRule="auto"/>
              <w:jc w:val="both"/>
              <w:rPr>
                <w:rFonts w:hint="default" w:ascii="Calibri" w:hAnsi="Calibri" w:eastAsia="Arial" w:cs="Calibri"/>
                <w:i w:val="0"/>
                <w:iCs w:val="0"/>
                <w:sz w:val="24"/>
                <w:szCs w:val="24"/>
                <w:u w:val="none"/>
                <w:lang w:val="en-GB"/>
              </w:rPr>
            </w:pPr>
            <w:r>
              <w:rPr>
                <w:rFonts w:hint="default" w:ascii="Calibri" w:hAnsi="Calibri" w:eastAsia="Arial" w:cs="Calibri"/>
                <w:i w:val="0"/>
                <w:iCs w:val="0"/>
                <w:sz w:val="24"/>
                <w:szCs w:val="24"/>
                <w:u w:val="none"/>
                <w:lang w:val="en-GB"/>
              </w:rPr>
              <w:t>In 2019, near about 1.67% of the GDP has been increased (Statista.com, 2022c).</w:t>
            </w:r>
          </w:p>
          <w:p>
            <w:pPr>
              <w:numPr>
                <w:ilvl w:val="0"/>
                <w:numId w:val="2"/>
              </w:numPr>
              <w:spacing w:after="0" w:line="360" w:lineRule="auto"/>
              <w:jc w:val="both"/>
              <w:rPr>
                <w:rFonts w:hint="default" w:ascii="Calibri" w:hAnsi="Calibri" w:eastAsia="Arial" w:cs="Calibri"/>
                <w:i w:val="0"/>
                <w:iCs w:val="0"/>
                <w:sz w:val="24"/>
                <w:szCs w:val="24"/>
                <w:u w:val="none"/>
                <w:lang w:val="en-GB"/>
              </w:rPr>
            </w:pPr>
            <w:r>
              <w:rPr>
                <w:rFonts w:hint="default" w:ascii="Calibri" w:hAnsi="Calibri" w:eastAsia="Arial" w:cs="Calibri"/>
                <w:i w:val="0"/>
                <w:iCs w:val="0"/>
                <w:sz w:val="24"/>
                <w:szCs w:val="24"/>
                <w:u w:val="none"/>
                <w:lang w:val="en-GB"/>
              </w:rPr>
              <w:t>In the year 2022, the unemployment rate is 3.7 % in the UK (</w:t>
            </w:r>
            <w:r>
              <w:rPr>
                <w:rFonts w:hint="default" w:ascii="Calibri" w:hAnsi="Calibri" w:eastAsia="Arial" w:cs="Calibri"/>
                <w:i w:val="0"/>
                <w:iCs w:val="0"/>
                <w:sz w:val="24"/>
                <w:szCs w:val="24"/>
                <w:u w:val="none"/>
              </w:rPr>
              <w:t>Ons.gov.uk</w:t>
            </w:r>
            <w:r>
              <w:rPr>
                <w:rFonts w:hint="default" w:ascii="Calibri" w:hAnsi="Calibri" w:eastAsia="Arial" w:cs="Calibri"/>
                <w:i w:val="0"/>
                <w:iCs w:val="0"/>
                <w:sz w:val="24"/>
                <w:szCs w:val="24"/>
                <w:u w:val="none"/>
                <w:lang w:val="en-GB"/>
              </w:rPr>
              <w:t>, 2022a).</w:t>
            </w:r>
          </w:p>
        </w:tc>
        <w:tc>
          <w:tcPr>
            <w:tcW w:w="1280" w:type="dxa"/>
            <w:tcBorders>
              <w:top w:val="nil"/>
              <w:left w:val="nil"/>
              <w:bottom w:val="single" w:color="000000" w:sz="8" w:space="0"/>
              <w:right w:val="single" w:color="000000" w:sz="8" w:space="0"/>
            </w:tcBorders>
            <w:tcMar>
              <w:top w:w="100" w:type="dxa"/>
              <w:left w:w="100" w:type="dxa"/>
              <w:bottom w:w="100" w:type="dxa"/>
              <w:right w:w="100" w:type="dxa"/>
            </w:tcMar>
          </w:tcPr>
          <w:p>
            <w:pPr>
              <w:spacing w:after="0" w:line="360" w:lineRule="auto"/>
              <w:ind w:left="60"/>
              <w:jc w:val="both"/>
              <w:rPr>
                <w:rFonts w:hint="default" w:ascii="Calibri" w:hAnsi="Calibri" w:eastAsia="Arial" w:cs="Calibri"/>
                <w:b/>
                <w:i w:val="0"/>
                <w:iCs w:val="0"/>
                <w:sz w:val="24"/>
                <w:szCs w:val="24"/>
                <w:u w:val="none"/>
                <w:lang w:val="en-GB"/>
              </w:rPr>
            </w:pPr>
            <w:r>
              <w:rPr>
                <w:rFonts w:hint="default" w:ascii="Calibri" w:hAnsi="Calibri" w:eastAsia="Arial" w:cs="Calibri"/>
                <w:i w:val="0"/>
                <w:iCs w:val="0"/>
                <w:sz w:val="24"/>
                <w:szCs w:val="24"/>
                <w:u w:val="none"/>
                <w:lang w:val="en-GB"/>
              </w:rPr>
              <w:t>positive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cantSplit/>
          <w:trHeight w:val="1726" w:hRule="atLeast"/>
          <w:tblHeader/>
          <w:jc w:val="center"/>
        </w:trPr>
        <w:tc>
          <w:tcPr>
            <w:tcW w:w="1843" w:type="dxa"/>
            <w:tcBorders>
              <w:top w:val="nil"/>
              <w:left w:val="single" w:color="000000" w:sz="8" w:space="0"/>
              <w:bottom w:val="single" w:color="000000" w:sz="8" w:space="0"/>
              <w:right w:val="single" w:color="000000" w:sz="8" w:space="0"/>
            </w:tcBorders>
            <w:tcMar>
              <w:top w:w="100" w:type="dxa"/>
              <w:left w:w="100" w:type="dxa"/>
              <w:bottom w:w="100" w:type="dxa"/>
              <w:right w:w="100" w:type="dxa"/>
            </w:tcMar>
          </w:tcPr>
          <w:p>
            <w:pPr>
              <w:spacing w:after="0" w:line="360" w:lineRule="auto"/>
              <w:ind w:left="60"/>
              <w:jc w:val="both"/>
              <w:rPr>
                <w:rFonts w:hint="default" w:ascii="Calibri" w:hAnsi="Calibri" w:eastAsia="Arial" w:cs="Calibri"/>
                <w:b/>
                <w:i w:val="0"/>
                <w:iCs w:val="0"/>
                <w:sz w:val="24"/>
                <w:szCs w:val="24"/>
                <w:u w:val="none"/>
                <w:lang w:val="en-GB"/>
              </w:rPr>
            </w:pPr>
            <w:r>
              <w:rPr>
                <w:rFonts w:hint="default" w:ascii="Calibri" w:hAnsi="Calibri" w:eastAsia="Arial" w:cs="Calibri"/>
                <w:b/>
                <w:i w:val="0"/>
                <w:iCs w:val="0"/>
                <w:sz w:val="24"/>
                <w:szCs w:val="24"/>
                <w:u w:val="none"/>
                <w:lang w:val="en-GB"/>
              </w:rPr>
              <w:t>Social</w:t>
            </w:r>
          </w:p>
        </w:tc>
        <w:tc>
          <w:tcPr>
            <w:tcW w:w="6237" w:type="dxa"/>
            <w:tcBorders>
              <w:top w:val="nil"/>
              <w:left w:val="nil"/>
              <w:bottom w:val="single" w:color="000000" w:sz="8" w:space="0"/>
              <w:right w:val="single" w:color="000000" w:sz="8" w:space="0"/>
            </w:tcBorders>
            <w:tcMar>
              <w:top w:w="100" w:type="dxa"/>
              <w:left w:w="100" w:type="dxa"/>
              <w:bottom w:w="100" w:type="dxa"/>
              <w:right w:w="100" w:type="dxa"/>
            </w:tcMar>
          </w:tcPr>
          <w:p>
            <w:pPr>
              <w:numPr>
                <w:ilvl w:val="0"/>
                <w:numId w:val="3"/>
              </w:numPr>
              <w:spacing w:after="0" w:line="360" w:lineRule="auto"/>
              <w:jc w:val="both"/>
              <w:rPr>
                <w:rFonts w:hint="default" w:ascii="Calibri" w:hAnsi="Calibri" w:eastAsia="Arial" w:cs="Calibri"/>
                <w:b/>
                <w:i w:val="0"/>
                <w:iCs w:val="0"/>
                <w:sz w:val="24"/>
                <w:szCs w:val="24"/>
                <w:u w:val="none"/>
                <w:lang w:val="en-GB"/>
              </w:rPr>
            </w:pPr>
            <w:r>
              <w:rPr>
                <w:rFonts w:hint="default" w:ascii="Calibri" w:hAnsi="Calibri" w:eastAsia="Arial" w:cs="Calibri"/>
                <w:i w:val="0"/>
                <w:iCs w:val="0"/>
                <w:sz w:val="24"/>
                <w:szCs w:val="24"/>
                <w:u w:val="none"/>
                <w:lang w:val="en-GB"/>
              </w:rPr>
              <w:t>In the UK retail sales have been enhanced by 0.6% in October 2022 (</w:t>
            </w:r>
            <w:r>
              <w:rPr>
                <w:rFonts w:hint="default" w:ascii="Calibri" w:hAnsi="Calibri" w:eastAsia="Arial" w:cs="Calibri"/>
                <w:i w:val="0"/>
                <w:iCs w:val="0"/>
                <w:sz w:val="24"/>
                <w:szCs w:val="24"/>
                <w:u w:val="none"/>
              </w:rPr>
              <w:t>Ons.gov.uk</w:t>
            </w:r>
            <w:r>
              <w:rPr>
                <w:rFonts w:hint="default" w:ascii="Calibri" w:hAnsi="Calibri" w:eastAsia="Arial" w:cs="Calibri"/>
                <w:i w:val="0"/>
                <w:iCs w:val="0"/>
                <w:sz w:val="24"/>
                <w:szCs w:val="24"/>
                <w:u w:val="none"/>
                <w:lang w:val="en-GB"/>
              </w:rPr>
              <w:t>, 2022b).</w:t>
            </w:r>
          </w:p>
          <w:p>
            <w:pPr>
              <w:numPr>
                <w:ilvl w:val="0"/>
                <w:numId w:val="3"/>
              </w:numPr>
              <w:spacing w:after="0" w:line="360" w:lineRule="auto"/>
              <w:jc w:val="both"/>
              <w:rPr>
                <w:rFonts w:hint="default" w:ascii="Calibri" w:hAnsi="Calibri" w:eastAsia="Arial" w:cs="Calibri"/>
                <w:b/>
                <w:i w:val="0"/>
                <w:iCs w:val="0"/>
                <w:sz w:val="24"/>
                <w:szCs w:val="24"/>
                <w:u w:val="none"/>
                <w:lang w:val="en-GB"/>
              </w:rPr>
            </w:pPr>
            <w:r>
              <w:rPr>
                <w:rFonts w:hint="default" w:ascii="Calibri" w:hAnsi="Calibri" w:eastAsia="Arial" w:cs="Calibri"/>
                <w:i w:val="0"/>
                <w:iCs w:val="0"/>
                <w:sz w:val="24"/>
                <w:szCs w:val="24"/>
                <w:u w:val="none"/>
                <w:lang w:val="en-GB"/>
              </w:rPr>
              <w:t>The online retail sales rate is 26.1% in October 2022 (</w:t>
            </w:r>
            <w:r>
              <w:rPr>
                <w:rFonts w:hint="default" w:ascii="Calibri" w:hAnsi="Calibri" w:eastAsia="Arial" w:cs="Calibri"/>
                <w:i w:val="0"/>
                <w:iCs w:val="0"/>
                <w:sz w:val="24"/>
                <w:szCs w:val="24"/>
                <w:u w:val="none"/>
              </w:rPr>
              <w:t>Ons.gov.uk</w:t>
            </w:r>
            <w:r>
              <w:rPr>
                <w:rFonts w:hint="default" w:ascii="Calibri" w:hAnsi="Calibri" w:eastAsia="Arial" w:cs="Calibri"/>
                <w:i w:val="0"/>
                <w:iCs w:val="0"/>
                <w:sz w:val="24"/>
                <w:szCs w:val="24"/>
                <w:u w:val="none"/>
                <w:lang w:val="en-GB"/>
              </w:rPr>
              <w:t>, 2022b).</w:t>
            </w:r>
          </w:p>
          <w:p>
            <w:pPr>
              <w:numPr>
                <w:ilvl w:val="0"/>
                <w:numId w:val="3"/>
              </w:numPr>
              <w:spacing w:after="0" w:line="360" w:lineRule="auto"/>
              <w:jc w:val="both"/>
              <w:rPr>
                <w:rFonts w:hint="default" w:ascii="Calibri" w:hAnsi="Calibri" w:eastAsia="Arial" w:cs="Calibri"/>
                <w:b/>
                <w:i w:val="0"/>
                <w:iCs w:val="0"/>
                <w:sz w:val="24"/>
                <w:szCs w:val="24"/>
                <w:u w:val="none"/>
                <w:lang w:val="en-GB"/>
              </w:rPr>
            </w:pPr>
            <w:r>
              <w:rPr>
                <w:rFonts w:hint="default" w:ascii="Calibri" w:hAnsi="Calibri" w:eastAsia="Arial" w:cs="Calibri"/>
                <w:i w:val="0"/>
                <w:iCs w:val="0"/>
                <w:sz w:val="24"/>
                <w:szCs w:val="24"/>
                <w:u w:val="none"/>
                <w:lang w:val="en-GB"/>
              </w:rPr>
              <w:t>The literacy rate in the UK is 99% (Una.org.uk, 2022)</w:t>
            </w:r>
          </w:p>
        </w:tc>
        <w:tc>
          <w:tcPr>
            <w:tcW w:w="1280" w:type="dxa"/>
            <w:tcBorders>
              <w:top w:val="nil"/>
              <w:left w:val="nil"/>
              <w:bottom w:val="single" w:color="000000" w:sz="8" w:space="0"/>
              <w:right w:val="single" w:color="000000" w:sz="8" w:space="0"/>
            </w:tcBorders>
            <w:tcMar>
              <w:top w:w="100" w:type="dxa"/>
              <w:left w:w="100" w:type="dxa"/>
              <w:bottom w:w="100" w:type="dxa"/>
              <w:right w:w="100" w:type="dxa"/>
            </w:tcMar>
          </w:tcPr>
          <w:p>
            <w:pPr>
              <w:spacing w:after="0" w:line="360" w:lineRule="auto"/>
              <w:ind w:left="60"/>
              <w:jc w:val="both"/>
              <w:rPr>
                <w:rFonts w:hint="default" w:ascii="Calibri" w:hAnsi="Calibri" w:eastAsia="Arial" w:cs="Calibri"/>
                <w:i w:val="0"/>
                <w:iCs w:val="0"/>
                <w:sz w:val="24"/>
                <w:szCs w:val="24"/>
                <w:u w:val="none"/>
                <w:lang w:val="en-GB"/>
              </w:rPr>
            </w:pPr>
            <w:r>
              <w:rPr>
                <w:rFonts w:hint="default" w:ascii="Calibri" w:hAnsi="Calibri" w:eastAsia="Arial" w:cs="Calibri"/>
                <w:i w:val="0"/>
                <w:iCs w:val="0"/>
                <w:sz w:val="24"/>
                <w:szCs w:val="24"/>
                <w:u w:val="none"/>
                <w:lang w:val="en-GB"/>
              </w:rPr>
              <w:t>positive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cantSplit/>
          <w:trHeight w:val="1035" w:hRule="atLeast"/>
          <w:tblHeader/>
          <w:jc w:val="center"/>
        </w:trPr>
        <w:tc>
          <w:tcPr>
            <w:tcW w:w="1843" w:type="dxa"/>
            <w:tcBorders>
              <w:top w:val="nil"/>
              <w:left w:val="single" w:color="000000" w:sz="8" w:space="0"/>
              <w:bottom w:val="single" w:color="000000" w:sz="8" w:space="0"/>
              <w:right w:val="single" w:color="000000" w:sz="8" w:space="0"/>
            </w:tcBorders>
            <w:tcMar>
              <w:top w:w="100" w:type="dxa"/>
              <w:left w:w="100" w:type="dxa"/>
              <w:bottom w:w="100" w:type="dxa"/>
              <w:right w:w="100" w:type="dxa"/>
            </w:tcMar>
          </w:tcPr>
          <w:p>
            <w:pPr>
              <w:spacing w:after="0" w:line="360" w:lineRule="auto"/>
              <w:ind w:left="60"/>
              <w:jc w:val="both"/>
              <w:rPr>
                <w:rFonts w:hint="default" w:ascii="Calibri" w:hAnsi="Calibri" w:eastAsia="Arial" w:cs="Calibri"/>
                <w:b/>
                <w:i w:val="0"/>
                <w:iCs w:val="0"/>
                <w:sz w:val="24"/>
                <w:szCs w:val="24"/>
                <w:u w:val="none"/>
                <w:lang w:val="en-GB"/>
              </w:rPr>
            </w:pPr>
            <w:r>
              <w:rPr>
                <w:rFonts w:hint="default" w:ascii="Calibri" w:hAnsi="Calibri" w:eastAsia="Arial" w:cs="Calibri"/>
                <w:b/>
                <w:i w:val="0"/>
                <w:iCs w:val="0"/>
                <w:sz w:val="24"/>
                <w:szCs w:val="24"/>
                <w:u w:val="none"/>
                <w:lang w:val="en-GB"/>
              </w:rPr>
              <w:t>Technological</w:t>
            </w:r>
          </w:p>
        </w:tc>
        <w:tc>
          <w:tcPr>
            <w:tcW w:w="6237" w:type="dxa"/>
            <w:tcBorders>
              <w:top w:val="nil"/>
              <w:left w:val="nil"/>
              <w:bottom w:val="single" w:color="000000" w:sz="8" w:space="0"/>
              <w:right w:val="single" w:color="000000" w:sz="8" w:space="0"/>
            </w:tcBorders>
            <w:tcMar>
              <w:top w:w="100" w:type="dxa"/>
              <w:left w:w="100" w:type="dxa"/>
              <w:bottom w:w="100" w:type="dxa"/>
              <w:right w:w="100" w:type="dxa"/>
            </w:tcMar>
          </w:tcPr>
          <w:p>
            <w:pPr>
              <w:numPr>
                <w:ilvl w:val="0"/>
                <w:numId w:val="4"/>
              </w:numPr>
              <w:spacing w:after="0" w:line="360" w:lineRule="auto"/>
              <w:jc w:val="both"/>
              <w:rPr>
                <w:rFonts w:hint="default" w:ascii="Calibri" w:hAnsi="Calibri" w:eastAsia="Arial" w:cs="Calibri"/>
                <w:i w:val="0"/>
                <w:iCs w:val="0"/>
                <w:sz w:val="24"/>
                <w:szCs w:val="24"/>
                <w:u w:val="none"/>
                <w:lang w:val="en-GB"/>
              </w:rPr>
            </w:pPr>
            <w:r>
              <w:rPr>
                <w:rFonts w:hint="default" w:ascii="Calibri" w:hAnsi="Calibri" w:eastAsia="Arial" w:cs="Calibri"/>
                <w:i w:val="0"/>
                <w:iCs w:val="0"/>
                <w:sz w:val="24"/>
                <w:szCs w:val="24"/>
                <w:u w:val="none"/>
                <w:lang w:val="en-GB"/>
              </w:rPr>
              <w:t>In the year 2019, website sales are near about 356.4 billion British pounds. (Statista.com, 2022d)</w:t>
            </w:r>
          </w:p>
          <w:p>
            <w:pPr>
              <w:numPr>
                <w:ilvl w:val="0"/>
                <w:numId w:val="4"/>
              </w:numPr>
              <w:spacing w:after="0" w:line="360" w:lineRule="auto"/>
              <w:jc w:val="both"/>
              <w:rPr>
                <w:rFonts w:hint="default" w:ascii="Calibri" w:hAnsi="Calibri" w:eastAsia="Arial" w:cs="Calibri"/>
                <w:i w:val="0"/>
                <w:iCs w:val="0"/>
                <w:sz w:val="24"/>
                <w:szCs w:val="24"/>
                <w:u w:val="none"/>
                <w:lang w:val="en-GB"/>
              </w:rPr>
            </w:pPr>
            <w:r>
              <w:rPr>
                <w:rFonts w:hint="default" w:ascii="Calibri" w:hAnsi="Calibri" w:eastAsia="Arial" w:cs="Calibri"/>
                <w:i w:val="0"/>
                <w:iCs w:val="0"/>
                <w:sz w:val="24"/>
                <w:szCs w:val="24"/>
                <w:u w:val="none"/>
                <w:lang w:val="en-GB"/>
              </w:rPr>
              <w:t xml:space="preserve">Technologically advanced country </w:t>
            </w:r>
          </w:p>
        </w:tc>
        <w:tc>
          <w:tcPr>
            <w:tcW w:w="1280" w:type="dxa"/>
            <w:tcBorders>
              <w:top w:val="nil"/>
              <w:left w:val="nil"/>
              <w:bottom w:val="single" w:color="000000" w:sz="8" w:space="0"/>
              <w:right w:val="single" w:color="000000" w:sz="8" w:space="0"/>
            </w:tcBorders>
            <w:tcMar>
              <w:top w:w="100" w:type="dxa"/>
              <w:left w:w="100" w:type="dxa"/>
              <w:bottom w:w="100" w:type="dxa"/>
              <w:right w:w="100" w:type="dxa"/>
            </w:tcMar>
          </w:tcPr>
          <w:p>
            <w:pPr>
              <w:spacing w:after="0" w:line="360" w:lineRule="auto"/>
              <w:ind w:left="60"/>
              <w:jc w:val="both"/>
              <w:rPr>
                <w:rFonts w:hint="default" w:ascii="Calibri" w:hAnsi="Calibri" w:eastAsia="Arial" w:cs="Calibri"/>
                <w:b/>
                <w:i w:val="0"/>
                <w:iCs w:val="0"/>
                <w:sz w:val="24"/>
                <w:szCs w:val="24"/>
                <w:u w:val="none"/>
                <w:lang w:val="en-GB"/>
              </w:rPr>
            </w:pPr>
            <w:r>
              <w:rPr>
                <w:rFonts w:hint="default" w:ascii="Calibri" w:hAnsi="Calibri" w:eastAsia="Arial" w:cs="Calibri"/>
                <w:i w:val="0"/>
                <w:iCs w:val="0"/>
                <w:sz w:val="24"/>
                <w:szCs w:val="24"/>
                <w:u w:val="none"/>
                <w:lang w:val="en-GB"/>
              </w:rPr>
              <w:t>Positive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cantSplit/>
          <w:trHeight w:val="1113" w:hRule="atLeast"/>
          <w:tblHeader/>
          <w:jc w:val="center"/>
        </w:trPr>
        <w:tc>
          <w:tcPr>
            <w:tcW w:w="1843" w:type="dxa"/>
            <w:tcBorders>
              <w:top w:val="nil"/>
              <w:left w:val="single" w:color="000000" w:sz="8" w:space="0"/>
              <w:bottom w:val="single" w:color="000000" w:sz="8" w:space="0"/>
              <w:right w:val="single" w:color="000000" w:sz="8" w:space="0"/>
            </w:tcBorders>
            <w:tcMar>
              <w:top w:w="100" w:type="dxa"/>
              <w:left w:w="100" w:type="dxa"/>
              <w:bottom w:w="100" w:type="dxa"/>
              <w:right w:w="100" w:type="dxa"/>
            </w:tcMar>
          </w:tcPr>
          <w:p>
            <w:pPr>
              <w:spacing w:after="0" w:line="360" w:lineRule="auto"/>
              <w:ind w:left="60"/>
              <w:jc w:val="both"/>
              <w:rPr>
                <w:rFonts w:hint="default" w:ascii="Calibri" w:hAnsi="Calibri" w:eastAsia="Arial" w:cs="Calibri"/>
                <w:b/>
                <w:i w:val="0"/>
                <w:iCs w:val="0"/>
                <w:sz w:val="24"/>
                <w:szCs w:val="24"/>
                <w:u w:val="none"/>
                <w:lang w:val="en-GB"/>
              </w:rPr>
            </w:pPr>
            <w:r>
              <w:rPr>
                <w:rFonts w:hint="default" w:ascii="Calibri" w:hAnsi="Calibri" w:eastAsia="Arial" w:cs="Calibri"/>
                <w:b/>
                <w:i w:val="0"/>
                <w:iCs w:val="0"/>
                <w:sz w:val="24"/>
                <w:szCs w:val="24"/>
                <w:u w:val="none"/>
                <w:lang w:val="en-GB"/>
              </w:rPr>
              <w:t>Environmental</w:t>
            </w:r>
          </w:p>
        </w:tc>
        <w:tc>
          <w:tcPr>
            <w:tcW w:w="6237" w:type="dxa"/>
            <w:tcBorders>
              <w:top w:val="nil"/>
              <w:left w:val="nil"/>
              <w:bottom w:val="single" w:color="000000" w:sz="8" w:space="0"/>
              <w:right w:val="single" w:color="000000" w:sz="8" w:space="0"/>
            </w:tcBorders>
            <w:tcMar>
              <w:top w:w="100" w:type="dxa"/>
              <w:left w:w="100" w:type="dxa"/>
              <w:bottom w:w="100" w:type="dxa"/>
              <w:right w:w="100" w:type="dxa"/>
            </w:tcMar>
          </w:tcPr>
          <w:p>
            <w:pPr>
              <w:numPr>
                <w:ilvl w:val="0"/>
                <w:numId w:val="5"/>
              </w:numPr>
              <w:spacing w:after="0" w:line="360" w:lineRule="auto"/>
              <w:jc w:val="both"/>
              <w:rPr>
                <w:rFonts w:hint="default" w:ascii="Calibri" w:hAnsi="Calibri" w:eastAsia="Arial" w:cs="Calibri"/>
                <w:i w:val="0"/>
                <w:iCs w:val="0"/>
                <w:sz w:val="24"/>
                <w:szCs w:val="24"/>
                <w:u w:val="none"/>
                <w:lang w:val="en-GB"/>
              </w:rPr>
            </w:pPr>
            <w:r>
              <w:rPr>
                <w:rFonts w:hint="default" w:ascii="Calibri" w:hAnsi="Calibri" w:eastAsia="Arial" w:cs="Calibri"/>
                <w:i w:val="0"/>
                <w:iCs w:val="0"/>
                <w:sz w:val="24"/>
                <w:szCs w:val="24"/>
                <w:u w:val="none"/>
                <w:lang w:val="en-GB"/>
              </w:rPr>
              <w:t xml:space="preserve"> “Environmental Protection Act 1990”</w:t>
            </w:r>
            <w:r>
              <w:rPr>
                <w:rFonts w:hint="default" w:ascii="Calibri" w:hAnsi="Calibri" w:eastAsia="Arial" w:cs="Calibri"/>
                <w:i w:val="0"/>
                <w:iCs w:val="0"/>
                <w:sz w:val="24"/>
                <w:szCs w:val="24"/>
                <w:u w:val="none"/>
              </w:rPr>
              <w:t xml:space="preserve"> </w:t>
            </w:r>
            <w:r>
              <w:rPr>
                <w:rFonts w:hint="default" w:ascii="Calibri" w:hAnsi="Calibri" w:eastAsia="Arial" w:cs="Calibri"/>
                <w:i w:val="0"/>
                <w:iCs w:val="0"/>
                <w:sz w:val="24"/>
                <w:szCs w:val="24"/>
                <w:u w:val="none"/>
                <w:lang w:val="en-GB"/>
              </w:rPr>
              <w:t>(Gov.uk, 2022b)</w:t>
            </w:r>
          </w:p>
          <w:p>
            <w:pPr>
              <w:numPr>
                <w:ilvl w:val="0"/>
                <w:numId w:val="5"/>
              </w:numPr>
              <w:spacing w:after="0" w:line="360" w:lineRule="auto"/>
              <w:jc w:val="both"/>
              <w:rPr>
                <w:rFonts w:hint="default" w:ascii="Calibri" w:hAnsi="Calibri" w:eastAsia="Arial" w:cs="Calibri"/>
                <w:i w:val="0"/>
                <w:iCs w:val="0"/>
                <w:sz w:val="24"/>
                <w:szCs w:val="24"/>
                <w:u w:val="none"/>
                <w:lang w:val="en-GB"/>
              </w:rPr>
            </w:pPr>
            <w:r>
              <w:rPr>
                <w:rFonts w:hint="default" w:ascii="Calibri" w:hAnsi="Calibri" w:eastAsia="Arial" w:cs="Calibri"/>
                <w:i w:val="0"/>
                <w:iCs w:val="0"/>
                <w:sz w:val="24"/>
                <w:szCs w:val="24"/>
                <w:u w:val="none"/>
                <w:lang w:val="en-GB"/>
              </w:rPr>
              <w:t>“Control of Pollution Act 1974”</w:t>
            </w:r>
          </w:p>
        </w:tc>
        <w:tc>
          <w:tcPr>
            <w:tcW w:w="1280" w:type="dxa"/>
            <w:tcBorders>
              <w:top w:val="nil"/>
              <w:left w:val="nil"/>
              <w:bottom w:val="single" w:color="000000" w:sz="8" w:space="0"/>
              <w:right w:val="single" w:color="000000" w:sz="8" w:space="0"/>
            </w:tcBorders>
            <w:tcMar>
              <w:top w:w="100" w:type="dxa"/>
              <w:left w:w="100" w:type="dxa"/>
              <w:bottom w:w="100" w:type="dxa"/>
              <w:right w:w="100" w:type="dxa"/>
            </w:tcMar>
          </w:tcPr>
          <w:p>
            <w:pPr>
              <w:spacing w:after="0" w:line="360" w:lineRule="auto"/>
              <w:ind w:left="60"/>
              <w:jc w:val="both"/>
              <w:rPr>
                <w:rFonts w:hint="default" w:ascii="Calibri" w:hAnsi="Calibri" w:eastAsia="Arial" w:cs="Calibri"/>
                <w:i w:val="0"/>
                <w:iCs w:val="0"/>
                <w:sz w:val="24"/>
                <w:szCs w:val="24"/>
                <w:u w:val="none"/>
                <w:lang w:val="en-GB"/>
              </w:rPr>
            </w:pPr>
            <w:r>
              <w:rPr>
                <w:rFonts w:hint="default" w:ascii="Calibri" w:hAnsi="Calibri" w:eastAsia="Arial" w:cs="Calibri"/>
                <w:i w:val="0"/>
                <w:iCs w:val="0"/>
                <w:sz w:val="24"/>
                <w:szCs w:val="24"/>
                <w:u w:val="none"/>
                <w:lang w:val="en-GB"/>
              </w:rPr>
              <w:t>Positive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cantSplit/>
          <w:trHeight w:val="1318" w:hRule="atLeast"/>
          <w:tblHeader/>
          <w:jc w:val="center"/>
        </w:trPr>
        <w:tc>
          <w:tcPr>
            <w:tcW w:w="1843" w:type="dxa"/>
            <w:tcBorders>
              <w:top w:val="nil"/>
              <w:left w:val="single" w:color="000000" w:sz="8" w:space="0"/>
              <w:bottom w:val="single" w:color="000000" w:sz="8" w:space="0"/>
              <w:right w:val="single" w:color="000000" w:sz="8" w:space="0"/>
            </w:tcBorders>
            <w:tcMar>
              <w:top w:w="100" w:type="dxa"/>
              <w:left w:w="100" w:type="dxa"/>
              <w:bottom w:w="100" w:type="dxa"/>
              <w:right w:w="100" w:type="dxa"/>
            </w:tcMar>
          </w:tcPr>
          <w:p>
            <w:pPr>
              <w:spacing w:after="0" w:line="360" w:lineRule="auto"/>
              <w:ind w:left="60"/>
              <w:jc w:val="both"/>
              <w:rPr>
                <w:rFonts w:hint="default" w:ascii="Calibri" w:hAnsi="Calibri" w:eastAsia="Arial" w:cs="Calibri"/>
                <w:b/>
                <w:i w:val="0"/>
                <w:iCs w:val="0"/>
                <w:sz w:val="24"/>
                <w:szCs w:val="24"/>
                <w:u w:val="none"/>
                <w:lang w:val="en-GB"/>
              </w:rPr>
            </w:pPr>
            <w:r>
              <w:rPr>
                <w:rFonts w:hint="default" w:ascii="Calibri" w:hAnsi="Calibri" w:eastAsia="Arial" w:cs="Calibri"/>
                <w:b/>
                <w:i w:val="0"/>
                <w:iCs w:val="0"/>
                <w:sz w:val="24"/>
                <w:szCs w:val="24"/>
                <w:u w:val="none"/>
                <w:lang w:val="en-GB"/>
              </w:rPr>
              <w:t>Legal</w:t>
            </w:r>
          </w:p>
        </w:tc>
        <w:tc>
          <w:tcPr>
            <w:tcW w:w="6237" w:type="dxa"/>
            <w:tcBorders>
              <w:top w:val="nil"/>
              <w:left w:val="nil"/>
              <w:bottom w:val="single" w:color="000000" w:sz="8" w:space="0"/>
              <w:right w:val="single" w:color="000000" w:sz="8" w:space="0"/>
            </w:tcBorders>
            <w:tcMar>
              <w:top w:w="100" w:type="dxa"/>
              <w:left w:w="100" w:type="dxa"/>
              <w:bottom w:w="100" w:type="dxa"/>
              <w:right w:w="100" w:type="dxa"/>
            </w:tcMar>
          </w:tcPr>
          <w:p>
            <w:pPr>
              <w:numPr>
                <w:ilvl w:val="0"/>
                <w:numId w:val="6"/>
              </w:numPr>
              <w:spacing w:after="0" w:line="360" w:lineRule="auto"/>
              <w:jc w:val="both"/>
              <w:rPr>
                <w:rFonts w:hint="default" w:ascii="Calibri" w:hAnsi="Calibri" w:eastAsia="Arial" w:cs="Calibri"/>
                <w:i w:val="0"/>
                <w:iCs w:val="0"/>
                <w:sz w:val="24"/>
                <w:szCs w:val="24"/>
                <w:u w:val="none"/>
                <w:lang w:val="en-GB"/>
              </w:rPr>
            </w:pPr>
            <w:r>
              <w:rPr>
                <w:rFonts w:hint="default" w:ascii="Calibri" w:hAnsi="Calibri" w:eastAsia="Arial" w:cs="Calibri"/>
                <w:i w:val="0"/>
                <w:iCs w:val="0"/>
                <w:sz w:val="24"/>
                <w:szCs w:val="24"/>
                <w:u w:val="none"/>
                <w:lang w:val="en-GB"/>
              </w:rPr>
              <w:t>“Labour relation Act”</w:t>
            </w:r>
          </w:p>
          <w:p>
            <w:pPr>
              <w:numPr>
                <w:ilvl w:val="0"/>
                <w:numId w:val="6"/>
              </w:numPr>
              <w:spacing w:after="0" w:line="360" w:lineRule="auto"/>
              <w:jc w:val="both"/>
              <w:rPr>
                <w:rFonts w:hint="default" w:ascii="Calibri" w:hAnsi="Calibri" w:eastAsia="Arial" w:cs="Calibri"/>
                <w:i w:val="0"/>
                <w:iCs w:val="0"/>
                <w:sz w:val="24"/>
                <w:szCs w:val="24"/>
                <w:u w:val="none"/>
                <w:lang w:val="en-GB"/>
              </w:rPr>
            </w:pPr>
            <w:r>
              <w:rPr>
                <w:rFonts w:hint="default" w:ascii="Calibri" w:hAnsi="Calibri" w:eastAsia="Arial" w:cs="Calibri"/>
                <w:i w:val="0"/>
                <w:iCs w:val="0"/>
                <w:sz w:val="24"/>
                <w:szCs w:val="24"/>
                <w:u w:val="none"/>
                <w:lang w:val="en-GB"/>
              </w:rPr>
              <w:t xml:space="preserve"> “Equality Act 2010” has been maintained (Gov.uk, 2022c)</w:t>
            </w:r>
          </w:p>
          <w:p>
            <w:pPr>
              <w:numPr>
                <w:ilvl w:val="0"/>
                <w:numId w:val="6"/>
              </w:numPr>
              <w:spacing w:after="0" w:line="360" w:lineRule="auto"/>
              <w:jc w:val="both"/>
              <w:rPr>
                <w:rFonts w:hint="default" w:ascii="Calibri" w:hAnsi="Calibri" w:eastAsia="Arial" w:cs="Calibri"/>
                <w:i w:val="0"/>
                <w:iCs w:val="0"/>
                <w:sz w:val="24"/>
                <w:szCs w:val="24"/>
                <w:u w:val="none"/>
                <w:lang w:val="en-GB"/>
              </w:rPr>
            </w:pPr>
            <w:r>
              <w:rPr>
                <w:rFonts w:hint="default" w:ascii="Calibri" w:hAnsi="Calibri" w:eastAsia="Arial" w:cs="Calibri"/>
                <w:i w:val="0"/>
                <w:iCs w:val="0"/>
                <w:sz w:val="24"/>
                <w:szCs w:val="24"/>
                <w:u w:val="none"/>
                <w:lang w:val="en-GB"/>
              </w:rPr>
              <w:t>“Employment act”</w:t>
            </w:r>
          </w:p>
        </w:tc>
        <w:tc>
          <w:tcPr>
            <w:tcW w:w="1280" w:type="dxa"/>
            <w:tcBorders>
              <w:top w:val="nil"/>
              <w:left w:val="nil"/>
              <w:bottom w:val="single" w:color="000000" w:sz="8" w:space="0"/>
              <w:right w:val="single" w:color="000000" w:sz="8" w:space="0"/>
            </w:tcBorders>
            <w:tcMar>
              <w:top w:w="100" w:type="dxa"/>
              <w:left w:w="100" w:type="dxa"/>
              <w:bottom w:w="100" w:type="dxa"/>
              <w:right w:w="100" w:type="dxa"/>
            </w:tcMar>
          </w:tcPr>
          <w:p>
            <w:pPr>
              <w:spacing w:after="0" w:line="360" w:lineRule="auto"/>
              <w:ind w:left="60"/>
              <w:jc w:val="both"/>
              <w:rPr>
                <w:rFonts w:hint="default" w:ascii="Calibri" w:hAnsi="Calibri" w:eastAsia="Arial" w:cs="Calibri"/>
                <w:i w:val="0"/>
                <w:iCs w:val="0"/>
                <w:sz w:val="24"/>
                <w:szCs w:val="24"/>
                <w:u w:val="none"/>
                <w:lang w:val="en-GB"/>
              </w:rPr>
            </w:pPr>
            <w:r>
              <w:rPr>
                <w:rFonts w:hint="default" w:ascii="Calibri" w:hAnsi="Calibri" w:eastAsia="Arial" w:cs="Calibri"/>
                <w:i w:val="0"/>
                <w:iCs w:val="0"/>
                <w:sz w:val="24"/>
                <w:szCs w:val="24"/>
                <w:u w:val="none"/>
                <w:lang w:val="en-GB"/>
              </w:rPr>
              <w:t>Positive</w:t>
            </w:r>
          </w:p>
        </w:tc>
      </w:tr>
    </w:tbl>
    <w:p>
      <w:pPr>
        <w:spacing w:after="0" w:line="360" w:lineRule="auto"/>
        <w:jc w:val="center"/>
        <w:rPr>
          <w:rFonts w:hint="default" w:ascii="Calibri" w:hAnsi="Calibri" w:cs="Calibri"/>
          <w:b/>
          <w:i w:val="0"/>
          <w:iCs w:val="0"/>
          <w:sz w:val="24"/>
          <w:szCs w:val="24"/>
          <w:u w:val="none"/>
          <w:lang w:val="en-GB"/>
        </w:rPr>
      </w:pPr>
      <w:r>
        <w:rPr>
          <w:rFonts w:hint="default" w:ascii="Calibri" w:hAnsi="Calibri" w:cs="Calibri"/>
          <w:b/>
          <w:i w:val="0"/>
          <w:iCs w:val="0"/>
          <w:sz w:val="24"/>
          <w:szCs w:val="24"/>
          <w:u w:val="none"/>
          <w:lang w:val="en-GB"/>
        </w:rPr>
        <w:t>Table 1: PESTLE Analysis</w:t>
      </w:r>
    </w:p>
    <w:p>
      <w:pPr>
        <w:spacing w:after="0" w:line="360" w:lineRule="auto"/>
        <w:jc w:val="center"/>
        <w:rPr>
          <w:rFonts w:hint="default" w:ascii="Calibri" w:hAnsi="Calibri" w:cs="Calibri"/>
          <w:i w:val="0"/>
          <w:iCs w:val="0"/>
          <w:sz w:val="24"/>
          <w:szCs w:val="24"/>
          <w:u w:val="none"/>
          <w:lang w:val="en-GB"/>
        </w:rPr>
      </w:pPr>
      <w:r>
        <w:rPr>
          <w:rFonts w:hint="default" w:ascii="Calibri" w:hAnsi="Calibri" w:cs="Calibri"/>
          <w:i w:val="0"/>
          <w:iCs w:val="0"/>
          <w:sz w:val="24"/>
          <w:szCs w:val="24"/>
          <w:u w:val="none"/>
          <w:lang w:val="en-GB"/>
        </w:rPr>
        <w:t>(Source: Self-developed)</w:t>
      </w:r>
    </w:p>
    <w:p>
      <w:pPr>
        <w:pStyle w:val="11"/>
        <w:spacing w:before="0" w:beforeAutospacing="0" w:after="0" w:afterAutospacing="0" w:line="360" w:lineRule="auto"/>
        <w:jc w:val="both"/>
        <w:rPr>
          <w:rFonts w:hint="default" w:ascii="Calibri" w:hAnsi="Calibri" w:cs="Calibri"/>
          <w:b/>
          <w:i w:val="0"/>
          <w:iCs w:val="0"/>
          <w:u w:val="none"/>
        </w:rPr>
      </w:pPr>
      <w:r>
        <w:rPr>
          <w:rFonts w:hint="default" w:ascii="Calibri" w:hAnsi="Calibri" w:cs="Calibri"/>
          <w:b/>
          <w:i w:val="0"/>
          <w:iCs w:val="0"/>
          <w:u w:val="none"/>
        </w:rPr>
        <w:t xml:space="preserve">Analysis </w:t>
      </w:r>
    </w:p>
    <w:p>
      <w:pPr>
        <w:pStyle w:val="11"/>
        <w:spacing w:before="0" w:beforeAutospacing="0" w:after="0" w:afterAutospacing="0" w:line="360" w:lineRule="auto"/>
        <w:jc w:val="both"/>
        <w:rPr>
          <w:rFonts w:hint="default" w:ascii="Calibri" w:hAnsi="Calibri" w:cs="Calibri"/>
          <w:b/>
          <w:i w:val="0"/>
          <w:iCs w:val="0"/>
          <w:u w:val="none"/>
        </w:rPr>
      </w:pPr>
      <w:r>
        <w:rPr>
          <w:rFonts w:hint="default" w:ascii="Calibri" w:hAnsi="Calibri" w:cs="Calibri"/>
          <w:b/>
          <w:i w:val="0"/>
          <w:iCs w:val="0"/>
          <w:u w:val="none"/>
        </w:rPr>
        <w:t>Political factor</w:t>
      </w:r>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i w:val="0"/>
          <w:iCs w:val="0"/>
          <w:u w:val="none"/>
        </w:rPr>
        <w:t>The higher tax rate is 40% and 20% is the lower tax rate in the UK; therefore, the retail company Tesco is required to pay a high amount of tax that decreases the profit rate of the business. In 2021/22-year, criminal offences are more than 6.3 million have been recorded (Statista.com, 2022b). In this case, the high criminal offences make a negative impact on the business and damage the business environment. </w:t>
      </w:r>
    </w:p>
    <w:p>
      <w:pPr>
        <w:pStyle w:val="11"/>
        <w:spacing w:before="0" w:beforeAutospacing="0" w:after="0" w:afterAutospacing="0" w:line="360" w:lineRule="auto"/>
        <w:jc w:val="both"/>
        <w:rPr>
          <w:rFonts w:hint="default" w:ascii="Calibri" w:hAnsi="Calibri" w:cs="Calibri"/>
          <w:b/>
          <w:i w:val="0"/>
          <w:iCs w:val="0"/>
          <w:u w:val="none"/>
        </w:rPr>
      </w:pPr>
      <w:r>
        <w:rPr>
          <w:rFonts w:hint="default" w:ascii="Calibri" w:hAnsi="Calibri" w:cs="Calibri"/>
          <w:b/>
          <w:i w:val="0"/>
          <w:iCs w:val="0"/>
          <w:u w:val="none"/>
        </w:rPr>
        <w:t>Economic factor</w:t>
      </w:r>
    </w:p>
    <w:p>
      <w:pPr>
        <w:spacing w:after="0" w:line="360" w:lineRule="auto"/>
        <w:jc w:val="center"/>
        <w:rPr>
          <w:rFonts w:hint="default" w:ascii="Calibri" w:hAnsi="Calibri" w:cs="Calibri"/>
          <w:i w:val="0"/>
          <w:iCs w:val="0"/>
          <w:sz w:val="24"/>
          <w:szCs w:val="24"/>
          <w:u w:val="none"/>
          <w:lang w:val="en-GB"/>
        </w:rPr>
      </w:pPr>
      <w:r>
        <w:rPr>
          <w:rFonts w:hint="default" w:ascii="Calibri" w:hAnsi="Calibri" w:cs="Calibri"/>
          <w:i w:val="0"/>
          <w:iCs w:val="0"/>
          <w:sz w:val="24"/>
          <w:szCs w:val="24"/>
          <w:u w:val="none"/>
        </w:rPr>
        <w:drawing>
          <wp:inline distT="0" distB="0" distL="0" distR="0">
            <wp:extent cx="5332730" cy="3119120"/>
            <wp:effectExtent l="76200" t="76200" r="115570" b="1193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tretch>
                      <a:fillRect/>
                    </a:stretch>
                  </pic:blipFill>
                  <pic:spPr>
                    <a:xfrm>
                      <a:off x="0" y="0"/>
                      <a:ext cx="5355432" cy="3132347"/>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spacing w:after="0" w:line="360" w:lineRule="auto"/>
        <w:jc w:val="center"/>
        <w:rPr>
          <w:rFonts w:hint="default" w:ascii="Calibri" w:hAnsi="Calibri" w:cs="Calibri"/>
          <w:b/>
          <w:i w:val="0"/>
          <w:iCs w:val="0"/>
          <w:sz w:val="24"/>
          <w:szCs w:val="24"/>
          <w:u w:val="none"/>
          <w:lang w:val="en-GB"/>
        </w:rPr>
      </w:pPr>
      <w:r>
        <w:rPr>
          <w:rFonts w:hint="default" w:ascii="Calibri" w:hAnsi="Calibri" w:cs="Calibri"/>
          <w:b/>
          <w:i w:val="0"/>
          <w:iCs w:val="0"/>
          <w:sz w:val="24"/>
          <w:szCs w:val="24"/>
          <w:u w:val="none"/>
          <w:lang w:val="en-GB"/>
        </w:rPr>
        <w:t>Figure 2: GDP rate in the UK</w:t>
      </w:r>
    </w:p>
    <w:p>
      <w:pPr>
        <w:spacing w:after="0" w:line="360" w:lineRule="auto"/>
        <w:jc w:val="center"/>
        <w:rPr>
          <w:rFonts w:hint="default" w:ascii="Calibri" w:hAnsi="Calibri" w:cs="Calibri"/>
          <w:i w:val="0"/>
          <w:iCs w:val="0"/>
          <w:sz w:val="24"/>
          <w:szCs w:val="24"/>
          <w:u w:val="none"/>
        </w:rPr>
      </w:pPr>
      <w:r>
        <w:rPr>
          <w:rFonts w:hint="default" w:ascii="Calibri" w:hAnsi="Calibri" w:cs="Calibri"/>
          <w:i w:val="0"/>
          <w:iCs w:val="0"/>
          <w:sz w:val="24"/>
          <w:szCs w:val="24"/>
          <w:u w:val="none"/>
        </w:rPr>
        <w:t>(Source: Statista.com, 2022c)</w:t>
      </w:r>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i w:val="0"/>
          <w:iCs w:val="0"/>
          <w:u w:val="none"/>
        </w:rPr>
        <w:t>The above statistical graph depicts the GDP rate of the UK. In the year 2019, in the UK nearly about 1.67% of the GDP increased (Statista.com, 2022c). The good GDP rate of the country makes a positive impact on the business therefore the retail company Tesco can get financial help from the country. </w:t>
      </w:r>
    </w:p>
    <w:p>
      <w:pPr>
        <w:pStyle w:val="11"/>
        <w:spacing w:before="0" w:beforeAutospacing="0" w:after="0" w:afterAutospacing="0" w:line="360" w:lineRule="auto"/>
        <w:jc w:val="both"/>
        <w:rPr>
          <w:rFonts w:hint="default" w:ascii="Calibri" w:hAnsi="Calibri" w:cs="Calibri"/>
          <w:b/>
          <w:i w:val="0"/>
          <w:iCs w:val="0"/>
          <w:u w:val="none"/>
        </w:rPr>
      </w:pPr>
      <w:r>
        <w:rPr>
          <w:rFonts w:hint="default" w:ascii="Calibri" w:hAnsi="Calibri" w:cs="Calibri"/>
          <w:b/>
          <w:i w:val="0"/>
          <w:iCs w:val="0"/>
          <w:u w:val="none"/>
        </w:rPr>
        <w:t>Social</w:t>
      </w:r>
      <w:r>
        <w:rPr>
          <w:rFonts w:hint="default" w:ascii="Calibri" w:hAnsi="Calibri" w:cs="Calibri"/>
          <w:i w:val="0"/>
          <w:iCs w:val="0"/>
          <w:u w:val="none"/>
        </w:rPr>
        <w:t xml:space="preserve"> </w:t>
      </w:r>
      <w:r>
        <w:rPr>
          <w:rFonts w:hint="default" w:ascii="Calibri" w:hAnsi="Calibri" w:cs="Calibri"/>
          <w:b/>
          <w:i w:val="0"/>
          <w:iCs w:val="0"/>
          <w:u w:val="none"/>
        </w:rPr>
        <w:t>factor</w:t>
      </w:r>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i w:val="0"/>
          <w:iCs w:val="0"/>
          <w:u w:val="none"/>
        </w:rPr>
        <w:t> Retail sales in the UK have been enhanced by 0.6% in October 2022 (Ons.gov.uk, 2022b). Therefore, it helps the company increase retail sales and improves the financial performance of the business. In terms of literacy, the literacy rate in the UK is 99% (Una.org.uk, 2022). Therefore, the retail company can get sufficiently knowledgeable and skilled employees from the UK country and the company can manage its business operations properly. </w:t>
      </w:r>
    </w:p>
    <w:p>
      <w:pPr>
        <w:spacing w:after="0" w:line="360" w:lineRule="auto"/>
        <w:jc w:val="both"/>
        <w:rPr>
          <w:rFonts w:hint="default" w:ascii="Calibri" w:hAnsi="Calibri" w:cs="Calibri"/>
          <w:b/>
          <w:i w:val="0"/>
          <w:iCs w:val="0"/>
          <w:sz w:val="24"/>
          <w:szCs w:val="24"/>
          <w:u w:val="none"/>
        </w:rPr>
      </w:pPr>
      <w:r>
        <w:rPr>
          <w:rFonts w:hint="default" w:ascii="Calibri" w:hAnsi="Calibri" w:cs="Calibri"/>
          <w:b/>
          <w:i w:val="0"/>
          <w:iCs w:val="0"/>
          <w:sz w:val="24"/>
          <w:szCs w:val="24"/>
          <w:u w:val="none"/>
        </w:rPr>
        <w:t>Technological factor</w:t>
      </w:r>
    </w:p>
    <w:p>
      <w:pPr>
        <w:spacing w:after="0" w:line="360" w:lineRule="auto"/>
        <w:jc w:val="center"/>
        <w:rPr>
          <w:rFonts w:hint="default" w:ascii="Calibri" w:hAnsi="Calibri" w:cs="Calibri"/>
          <w:i w:val="0"/>
          <w:iCs w:val="0"/>
          <w:sz w:val="24"/>
          <w:szCs w:val="24"/>
          <w:u w:val="none"/>
          <w:lang w:val="en-GB"/>
        </w:rPr>
      </w:pPr>
      <w:r>
        <w:rPr>
          <w:rFonts w:hint="default" w:ascii="Calibri" w:hAnsi="Calibri" w:cs="Calibri"/>
          <w:i w:val="0"/>
          <w:iCs w:val="0"/>
          <w:sz w:val="24"/>
          <w:szCs w:val="24"/>
          <w:u w:val="none"/>
        </w:rPr>
        <w:drawing>
          <wp:inline distT="0" distB="0" distL="0" distR="0">
            <wp:extent cx="5281295" cy="3378835"/>
            <wp:effectExtent l="76200" t="76200" r="109855" b="1073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0"/>
                    <a:stretch>
                      <a:fillRect/>
                    </a:stretch>
                  </pic:blipFill>
                  <pic:spPr>
                    <a:xfrm>
                      <a:off x="0" y="0"/>
                      <a:ext cx="5297903" cy="3389652"/>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spacing w:after="0" w:line="360" w:lineRule="auto"/>
        <w:jc w:val="center"/>
        <w:rPr>
          <w:rFonts w:hint="default" w:ascii="Calibri" w:hAnsi="Calibri" w:cs="Calibri"/>
          <w:b/>
          <w:i w:val="0"/>
          <w:iCs w:val="0"/>
          <w:sz w:val="24"/>
          <w:szCs w:val="24"/>
          <w:u w:val="none"/>
          <w:lang w:val="en-GB"/>
        </w:rPr>
      </w:pPr>
      <w:r>
        <w:rPr>
          <w:rFonts w:hint="default" w:ascii="Calibri" w:hAnsi="Calibri" w:cs="Calibri"/>
          <w:b/>
          <w:i w:val="0"/>
          <w:iCs w:val="0"/>
          <w:sz w:val="24"/>
          <w:szCs w:val="24"/>
          <w:u w:val="none"/>
          <w:lang w:val="en-GB"/>
        </w:rPr>
        <w:t>Figure 3: E-commerce sales in the UK</w:t>
      </w:r>
    </w:p>
    <w:p>
      <w:pPr>
        <w:spacing w:after="0" w:line="360" w:lineRule="auto"/>
        <w:jc w:val="center"/>
        <w:rPr>
          <w:rFonts w:hint="default" w:ascii="Calibri" w:hAnsi="Calibri" w:cs="Calibri"/>
          <w:i w:val="0"/>
          <w:iCs w:val="0"/>
          <w:sz w:val="24"/>
          <w:szCs w:val="24"/>
          <w:u w:val="none"/>
        </w:rPr>
      </w:pPr>
      <w:r>
        <w:rPr>
          <w:rFonts w:hint="default" w:ascii="Calibri" w:hAnsi="Calibri" w:cs="Calibri"/>
          <w:i w:val="0"/>
          <w:iCs w:val="0"/>
          <w:sz w:val="24"/>
          <w:szCs w:val="24"/>
          <w:u w:val="none"/>
        </w:rPr>
        <w:t>(Source: Statista.com, 2022d)</w:t>
      </w:r>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i w:val="0"/>
          <w:iCs w:val="0"/>
          <w:u w:val="none"/>
        </w:rPr>
        <w:t>The UK country is considered a technologically advanced country that helps the retail company Tesco to use suitable technology for improving business operations. In the year 2019, website sales are nearly about 356.4 billion British pounds (Statista.com, 2022d). Therefore, the use of the website in the UK is high therefore the retail company Tesco can use the website to sell product and increases sales growth.  </w:t>
      </w:r>
    </w:p>
    <w:p>
      <w:pPr>
        <w:pStyle w:val="11"/>
        <w:spacing w:before="0" w:beforeAutospacing="0" w:after="0" w:afterAutospacing="0" w:line="360" w:lineRule="auto"/>
        <w:jc w:val="both"/>
        <w:rPr>
          <w:rFonts w:hint="default" w:ascii="Calibri" w:hAnsi="Calibri" w:cs="Calibri"/>
          <w:b/>
          <w:i w:val="0"/>
          <w:iCs w:val="0"/>
          <w:u w:val="none"/>
        </w:rPr>
      </w:pPr>
      <w:r>
        <w:rPr>
          <w:rFonts w:hint="default" w:ascii="Calibri" w:hAnsi="Calibri" w:cs="Calibri"/>
          <w:b/>
          <w:i w:val="0"/>
          <w:iCs w:val="0"/>
          <w:u w:val="none"/>
        </w:rPr>
        <w:t>Environmental factor</w:t>
      </w:r>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i w:val="0"/>
          <w:iCs w:val="0"/>
          <w:u w:val="none"/>
        </w:rPr>
        <w:t>The UK government has focused on improving environmental sustainability and multiple rules and legislation has been launched to keep the environment pollution free. The “Environmental Protection Act of 1990” has been launched to keep the environment pollution-free (Gov.uk, 2022b).  Along with this, the UK government has also launched the “Control of Pollution Act 1974” to control pollution and improve environmental sustainability </w:t>
      </w:r>
    </w:p>
    <w:p>
      <w:pPr>
        <w:pStyle w:val="11"/>
        <w:spacing w:before="0" w:beforeAutospacing="0" w:after="0" w:afterAutospacing="0" w:line="360" w:lineRule="auto"/>
        <w:jc w:val="both"/>
        <w:rPr>
          <w:rFonts w:hint="default" w:ascii="Calibri" w:hAnsi="Calibri" w:cs="Calibri"/>
          <w:b/>
          <w:i w:val="0"/>
          <w:iCs w:val="0"/>
          <w:u w:val="none"/>
        </w:rPr>
      </w:pPr>
      <w:r>
        <w:rPr>
          <w:rFonts w:hint="default" w:ascii="Calibri" w:hAnsi="Calibri" w:cs="Calibri"/>
          <w:b/>
          <w:i w:val="0"/>
          <w:iCs w:val="0"/>
          <w:u w:val="none"/>
        </w:rPr>
        <w:t>Legal factor</w:t>
      </w:r>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i w:val="0"/>
          <w:iCs w:val="0"/>
          <w:u w:val="none"/>
        </w:rPr>
        <w:t>The UK government launches one of the most effective acts “The equality Act 2010” that is used in all businesses to overcome discrimination issues and maintains equality among the staff at the workplace (Gov.uk, 2022c). Along with this, the UK government has also launched </w:t>
      </w:r>
      <w:r>
        <w:rPr>
          <w:rFonts w:hint="default" w:ascii="Calibri" w:hAnsi="Calibri" w:cs="Calibri"/>
          <w:b/>
          <w:i w:val="0"/>
          <w:iCs w:val="0"/>
          <w:u w:val="none"/>
        </w:rPr>
        <w:t>“The Labour relation Act”, “Employment act”</w:t>
      </w:r>
      <w:r>
        <w:rPr>
          <w:rFonts w:hint="default" w:ascii="Calibri" w:hAnsi="Calibri" w:cs="Calibri"/>
          <w:i w:val="0"/>
          <w:iCs w:val="0"/>
          <w:u w:val="none"/>
        </w:rPr>
        <w:t xml:space="preserve"> and so on therefore the legal system makes a positive impact on the business </w:t>
      </w:r>
    </w:p>
    <w:p>
      <w:pPr>
        <w:pStyle w:val="3"/>
        <w:rPr>
          <w:rFonts w:hint="default" w:ascii="Calibri" w:hAnsi="Calibri" w:cs="Calibri"/>
          <w:i w:val="0"/>
          <w:iCs w:val="0"/>
          <w:sz w:val="24"/>
          <w:szCs w:val="24"/>
          <w:u w:val="none"/>
          <w:lang w:val="en-GB"/>
        </w:rPr>
      </w:pPr>
      <w:bookmarkStart w:id="4" w:name="_Toc122095104"/>
      <w:r>
        <w:rPr>
          <w:rFonts w:hint="default" w:ascii="Calibri" w:hAnsi="Calibri" w:cs="Calibri"/>
          <w:i w:val="0"/>
          <w:iCs w:val="0"/>
          <w:sz w:val="24"/>
          <w:szCs w:val="24"/>
          <w:u w:val="none"/>
          <w:lang w:val="en-GB"/>
        </w:rPr>
        <w:t>Porters 5 Forces mo</w:t>
      </w:r>
      <w:r>
        <w:rPr>
          <w:rStyle w:val="21"/>
          <w:rFonts w:hint="default" w:ascii="Calibri" w:hAnsi="Calibri" w:cs="Calibri"/>
          <w:b w:val="0"/>
          <w:bCs w:val="0"/>
          <w:i w:val="0"/>
          <w:iCs w:val="0"/>
          <w:sz w:val="24"/>
          <w:szCs w:val="24"/>
          <w:u w:val="none"/>
        </w:rPr>
        <w:t>d</w:t>
      </w:r>
      <w:r>
        <w:rPr>
          <w:rFonts w:hint="default" w:ascii="Calibri" w:hAnsi="Calibri" w:cs="Calibri"/>
          <w:i w:val="0"/>
          <w:iCs w:val="0"/>
          <w:sz w:val="24"/>
          <w:szCs w:val="24"/>
          <w:u w:val="none"/>
          <w:lang w:val="en-GB"/>
        </w:rPr>
        <w:t>el</w:t>
      </w:r>
      <w:bookmarkEnd w:id="4"/>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i w:val="0"/>
          <w:iCs w:val="0"/>
          <w:u w:val="none"/>
        </w:rPr>
        <w:t>Porter's Five Forces Model is one of the most effective tools that help the company to figure out the main competitive forces of the specific industry.  </w:t>
      </w:r>
    </w:p>
    <w:tbl>
      <w:tblPr>
        <w:tblStyle w:val="19"/>
        <w:tblW w:w="9345"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4680"/>
        <w:gridCol w:w="4665"/>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cantSplit/>
          <w:trHeight w:val="85" w:hRule="atLeast"/>
          <w:tblHeader/>
          <w:jc w:val="center"/>
        </w:trPr>
        <w:tc>
          <w:tcPr>
            <w:tcW w:w="468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pPr>
              <w:spacing w:after="0" w:line="360" w:lineRule="auto"/>
              <w:jc w:val="both"/>
              <w:rPr>
                <w:rFonts w:hint="default" w:ascii="Calibri" w:hAnsi="Calibri" w:eastAsia="Times New Roman" w:cs="Calibri"/>
                <w:b/>
                <w:i w:val="0"/>
                <w:iCs w:val="0"/>
                <w:sz w:val="24"/>
                <w:szCs w:val="24"/>
                <w:u w:val="none"/>
              </w:rPr>
            </w:pPr>
            <w:r>
              <w:rPr>
                <w:rFonts w:hint="default" w:ascii="Calibri" w:hAnsi="Calibri" w:eastAsia="Times New Roman" w:cs="Calibri"/>
                <w:b/>
                <w:i w:val="0"/>
                <w:iCs w:val="0"/>
                <w:sz w:val="24"/>
                <w:szCs w:val="24"/>
                <w:u w:val="none"/>
              </w:rPr>
              <w:t>Factors</w:t>
            </w:r>
          </w:p>
        </w:tc>
        <w:tc>
          <w:tcPr>
            <w:tcW w:w="4665" w:type="dxa"/>
            <w:tcBorders>
              <w:top w:val="single" w:color="000000" w:sz="8" w:space="0"/>
              <w:left w:val="nil"/>
              <w:bottom w:val="single" w:color="000000" w:sz="8" w:space="0"/>
              <w:right w:val="single" w:color="000000" w:sz="8" w:space="0"/>
            </w:tcBorders>
            <w:tcMar>
              <w:top w:w="100" w:type="dxa"/>
              <w:left w:w="100" w:type="dxa"/>
              <w:bottom w:w="100" w:type="dxa"/>
              <w:right w:w="100" w:type="dxa"/>
            </w:tcMar>
          </w:tcPr>
          <w:p>
            <w:pPr>
              <w:spacing w:after="0" w:line="360" w:lineRule="auto"/>
              <w:jc w:val="both"/>
              <w:rPr>
                <w:rFonts w:hint="default" w:ascii="Calibri" w:hAnsi="Calibri" w:eastAsia="Times New Roman" w:cs="Calibri"/>
                <w:b/>
                <w:i w:val="0"/>
                <w:iCs w:val="0"/>
                <w:sz w:val="24"/>
                <w:szCs w:val="24"/>
                <w:u w:val="none"/>
              </w:rPr>
            </w:pPr>
            <w:r>
              <w:rPr>
                <w:rFonts w:hint="default" w:ascii="Calibri" w:hAnsi="Calibri" w:eastAsia="Times New Roman" w:cs="Calibri"/>
                <w:b/>
                <w:i w:val="0"/>
                <w:iCs w:val="0"/>
                <w:sz w:val="24"/>
                <w:szCs w:val="24"/>
                <w:u w:val="none"/>
              </w:rPr>
              <w:t>Impact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cantSplit/>
          <w:trHeight w:val="311" w:hRule="atLeast"/>
          <w:tblHeader/>
          <w:jc w:val="center"/>
        </w:trPr>
        <w:tc>
          <w:tcPr>
            <w:tcW w:w="4680" w:type="dxa"/>
            <w:tcBorders>
              <w:top w:val="nil"/>
              <w:left w:val="single" w:color="000000" w:sz="8" w:space="0"/>
              <w:bottom w:val="single" w:color="000000" w:sz="8" w:space="0"/>
              <w:right w:val="single" w:color="000000" w:sz="8" w:space="0"/>
            </w:tcBorders>
            <w:tcMar>
              <w:top w:w="100" w:type="dxa"/>
              <w:left w:w="100" w:type="dxa"/>
              <w:bottom w:w="100" w:type="dxa"/>
              <w:right w:w="100" w:type="dxa"/>
            </w:tcMar>
          </w:tcPr>
          <w:p>
            <w:pPr>
              <w:spacing w:after="0" w:line="360" w:lineRule="auto"/>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“Competitive rivalry”</w:t>
            </w:r>
          </w:p>
        </w:tc>
        <w:tc>
          <w:tcPr>
            <w:tcW w:w="4665" w:type="dxa"/>
            <w:tcBorders>
              <w:top w:val="nil"/>
              <w:left w:val="nil"/>
              <w:bottom w:val="single" w:color="000000" w:sz="8" w:space="0"/>
              <w:right w:val="single" w:color="000000" w:sz="8" w:space="0"/>
            </w:tcBorders>
            <w:tcMar>
              <w:top w:w="100" w:type="dxa"/>
              <w:left w:w="100" w:type="dxa"/>
              <w:bottom w:w="100" w:type="dxa"/>
              <w:right w:w="100" w:type="dxa"/>
            </w:tcMar>
          </w:tcPr>
          <w:p>
            <w:pPr>
              <w:spacing w:after="0" w:line="360" w:lineRule="auto"/>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 xml:space="preserve">High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cantSplit/>
          <w:trHeight w:val="91" w:hRule="atLeast"/>
          <w:tblHeader/>
          <w:jc w:val="center"/>
        </w:trPr>
        <w:tc>
          <w:tcPr>
            <w:tcW w:w="4680" w:type="dxa"/>
            <w:tcBorders>
              <w:top w:val="nil"/>
              <w:left w:val="single" w:color="000000" w:sz="8" w:space="0"/>
              <w:bottom w:val="single" w:color="000000" w:sz="8" w:space="0"/>
              <w:right w:val="single" w:color="000000" w:sz="8" w:space="0"/>
            </w:tcBorders>
            <w:tcMar>
              <w:top w:w="100" w:type="dxa"/>
              <w:left w:w="100" w:type="dxa"/>
              <w:bottom w:w="100" w:type="dxa"/>
              <w:right w:w="100" w:type="dxa"/>
            </w:tcMar>
          </w:tcPr>
          <w:p>
            <w:pPr>
              <w:spacing w:after="0" w:line="360" w:lineRule="auto"/>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“The bargaining power of suppliers”</w:t>
            </w:r>
          </w:p>
        </w:tc>
        <w:tc>
          <w:tcPr>
            <w:tcW w:w="4665" w:type="dxa"/>
            <w:tcBorders>
              <w:top w:val="nil"/>
              <w:left w:val="nil"/>
              <w:bottom w:val="single" w:color="000000" w:sz="8" w:space="0"/>
              <w:right w:val="single" w:color="000000" w:sz="8" w:space="0"/>
            </w:tcBorders>
            <w:tcMar>
              <w:top w:w="100" w:type="dxa"/>
              <w:left w:w="100" w:type="dxa"/>
              <w:bottom w:w="100" w:type="dxa"/>
              <w:right w:w="100" w:type="dxa"/>
            </w:tcMar>
          </w:tcPr>
          <w:p>
            <w:pPr>
              <w:spacing w:after="0" w:line="360" w:lineRule="auto"/>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Low</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cantSplit/>
          <w:trHeight w:val="27" w:hRule="atLeast"/>
          <w:tblHeader/>
          <w:jc w:val="center"/>
        </w:trPr>
        <w:tc>
          <w:tcPr>
            <w:tcW w:w="4680" w:type="dxa"/>
            <w:tcBorders>
              <w:top w:val="nil"/>
              <w:left w:val="single" w:color="000000" w:sz="8" w:space="0"/>
              <w:bottom w:val="single" w:color="000000" w:sz="8" w:space="0"/>
              <w:right w:val="single" w:color="000000" w:sz="8" w:space="0"/>
            </w:tcBorders>
            <w:tcMar>
              <w:top w:w="100" w:type="dxa"/>
              <w:left w:w="100" w:type="dxa"/>
              <w:bottom w:w="100" w:type="dxa"/>
              <w:right w:w="100" w:type="dxa"/>
            </w:tcMar>
          </w:tcPr>
          <w:p>
            <w:pPr>
              <w:spacing w:after="0" w:line="360" w:lineRule="auto"/>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“The bargaining power of customers”</w:t>
            </w:r>
          </w:p>
        </w:tc>
        <w:tc>
          <w:tcPr>
            <w:tcW w:w="4665" w:type="dxa"/>
            <w:tcBorders>
              <w:top w:val="nil"/>
              <w:left w:val="nil"/>
              <w:bottom w:val="single" w:color="000000" w:sz="8" w:space="0"/>
              <w:right w:val="single" w:color="000000" w:sz="8" w:space="0"/>
            </w:tcBorders>
            <w:tcMar>
              <w:top w:w="100" w:type="dxa"/>
              <w:left w:w="100" w:type="dxa"/>
              <w:bottom w:w="100" w:type="dxa"/>
              <w:right w:w="100" w:type="dxa"/>
            </w:tcMar>
          </w:tcPr>
          <w:p>
            <w:pPr>
              <w:spacing w:after="0" w:line="360" w:lineRule="auto"/>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 xml:space="preserve">Moderate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cantSplit/>
          <w:trHeight w:val="18" w:hRule="atLeast"/>
          <w:tblHeader/>
          <w:jc w:val="center"/>
        </w:trPr>
        <w:tc>
          <w:tcPr>
            <w:tcW w:w="4680" w:type="dxa"/>
            <w:tcBorders>
              <w:top w:val="nil"/>
              <w:left w:val="single" w:color="000000" w:sz="8" w:space="0"/>
              <w:bottom w:val="single" w:color="000000" w:sz="8" w:space="0"/>
              <w:right w:val="single" w:color="000000" w:sz="8" w:space="0"/>
            </w:tcBorders>
            <w:tcMar>
              <w:top w:w="100" w:type="dxa"/>
              <w:left w:w="100" w:type="dxa"/>
              <w:bottom w:w="100" w:type="dxa"/>
              <w:right w:w="100" w:type="dxa"/>
            </w:tcMar>
          </w:tcPr>
          <w:p>
            <w:pPr>
              <w:spacing w:after="0" w:line="360" w:lineRule="auto"/>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“The threat of new entrants”</w:t>
            </w:r>
          </w:p>
        </w:tc>
        <w:tc>
          <w:tcPr>
            <w:tcW w:w="4665" w:type="dxa"/>
            <w:tcBorders>
              <w:top w:val="nil"/>
              <w:left w:val="nil"/>
              <w:bottom w:val="single" w:color="000000" w:sz="8" w:space="0"/>
              <w:right w:val="single" w:color="000000" w:sz="8" w:space="0"/>
            </w:tcBorders>
            <w:tcMar>
              <w:top w:w="100" w:type="dxa"/>
              <w:left w:w="100" w:type="dxa"/>
              <w:bottom w:w="100" w:type="dxa"/>
              <w:right w:w="100" w:type="dxa"/>
            </w:tcMar>
          </w:tcPr>
          <w:p>
            <w:pPr>
              <w:spacing w:after="0" w:line="360" w:lineRule="auto"/>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 xml:space="preserve">High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cantSplit/>
          <w:trHeight w:val="18" w:hRule="atLeast"/>
          <w:tblHeader/>
          <w:jc w:val="center"/>
        </w:trPr>
        <w:tc>
          <w:tcPr>
            <w:tcW w:w="4680" w:type="dxa"/>
            <w:tcBorders>
              <w:top w:val="nil"/>
              <w:left w:val="single" w:color="000000" w:sz="8" w:space="0"/>
              <w:bottom w:val="single" w:color="000000" w:sz="8" w:space="0"/>
              <w:right w:val="single" w:color="000000" w:sz="8" w:space="0"/>
            </w:tcBorders>
            <w:tcMar>
              <w:top w:w="100" w:type="dxa"/>
              <w:left w:w="100" w:type="dxa"/>
              <w:bottom w:w="100" w:type="dxa"/>
              <w:right w:w="100" w:type="dxa"/>
            </w:tcMar>
          </w:tcPr>
          <w:p>
            <w:pPr>
              <w:spacing w:after="0" w:line="360" w:lineRule="auto"/>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“The threat of substitute products”</w:t>
            </w:r>
          </w:p>
        </w:tc>
        <w:tc>
          <w:tcPr>
            <w:tcW w:w="4665" w:type="dxa"/>
            <w:tcBorders>
              <w:top w:val="nil"/>
              <w:left w:val="nil"/>
              <w:bottom w:val="single" w:color="000000" w:sz="8" w:space="0"/>
              <w:right w:val="single" w:color="000000" w:sz="8" w:space="0"/>
            </w:tcBorders>
            <w:tcMar>
              <w:top w:w="100" w:type="dxa"/>
              <w:left w:w="100" w:type="dxa"/>
              <w:bottom w:w="100" w:type="dxa"/>
              <w:right w:w="100" w:type="dxa"/>
            </w:tcMar>
          </w:tcPr>
          <w:p>
            <w:pPr>
              <w:spacing w:after="0" w:line="360" w:lineRule="auto"/>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Low</w:t>
            </w:r>
          </w:p>
        </w:tc>
      </w:tr>
    </w:tbl>
    <w:p>
      <w:pPr>
        <w:spacing w:after="0" w:line="360" w:lineRule="auto"/>
        <w:jc w:val="center"/>
        <w:rPr>
          <w:rFonts w:hint="default" w:ascii="Calibri" w:hAnsi="Calibri" w:eastAsia="Times New Roman" w:cs="Calibri"/>
          <w:b/>
          <w:i w:val="0"/>
          <w:iCs w:val="0"/>
          <w:sz w:val="24"/>
          <w:szCs w:val="24"/>
          <w:u w:val="none"/>
        </w:rPr>
      </w:pPr>
      <w:r>
        <w:rPr>
          <w:rFonts w:hint="default" w:ascii="Calibri" w:hAnsi="Calibri" w:eastAsia="Times New Roman" w:cs="Calibri"/>
          <w:b/>
          <w:i w:val="0"/>
          <w:iCs w:val="0"/>
          <w:sz w:val="24"/>
          <w:szCs w:val="24"/>
          <w:u w:val="none"/>
        </w:rPr>
        <w:t xml:space="preserve">          Table 2: Porter’s Five Forces </w:t>
      </w:r>
    </w:p>
    <w:p>
      <w:pPr>
        <w:spacing w:after="0" w:line="360" w:lineRule="auto"/>
        <w:jc w:val="center"/>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(Source: Self-developed)</w:t>
      </w:r>
    </w:p>
    <w:p>
      <w:pPr>
        <w:pStyle w:val="11"/>
        <w:spacing w:before="0" w:beforeAutospacing="0" w:after="0" w:afterAutospacing="0" w:line="360" w:lineRule="auto"/>
        <w:jc w:val="both"/>
        <w:rPr>
          <w:rFonts w:hint="default" w:ascii="Calibri" w:hAnsi="Calibri" w:cs="Calibri"/>
          <w:b/>
          <w:i w:val="0"/>
          <w:iCs w:val="0"/>
          <w:u w:val="none"/>
        </w:rPr>
      </w:pPr>
      <w:r>
        <w:rPr>
          <w:rFonts w:hint="default" w:ascii="Calibri" w:hAnsi="Calibri" w:cs="Calibri"/>
          <w:b/>
          <w:i w:val="0"/>
          <w:iCs w:val="0"/>
          <w:u w:val="none"/>
        </w:rPr>
        <w:t>Competitive rivalry</w:t>
      </w:r>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i w:val="0"/>
          <w:iCs w:val="0"/>
          <w:u w:val="none"/>
        </w:rPr>
        <w:t xml:space="preserve">In the UK retail industry, “competitive rivalry” is identified as high makes a negative impact on the retail business. In the UK, Tesco is one of the largest retailers, however, the company has many competitors including ASDA, Sainsbury's, Morrison's and so on </w:t>
      </w:r>
      <w:r>
        <w:rPr>
          <w:rFonts w:hint="default" w:ascii="Calibri" w:hAnsi="Calibri" w:cs="Calibri"/>
          <w:b/>
          <w:i w:val="0"/>
          <w:iCs w:val="0"/>
          <w:u w:val="none"/>
        </w:rPr>
        <w:t>[Refer to Appendix 1]</w:t>
      </w:r>
      <w:r>
        <w:rPr>
          <w:rFonts w:hint="default" w:ascii="Calibri" w:hAnsi="Calibri" w:cs="Calibri"/>
          <w:i w:val="0"/>
          <w:iCs w:val="0"/>
          <w:u w:val="none"/>
        </w:rPr>
        <w:t>. In this context, Tesco can follow a Competitive Pricing Strategy to overcome the market competition and establish a sustainable market position. </w:t>
      </w:r>
    </w:p>
    <w:p>
      <w:pPr>
        <w:pStyle w:val="11"/>
        <w:spacing w:before="0" w:beforeAutospacing="0" w:after="0" w:afterAutospacing="0" w:line="360" w:lineRule="auto"/>
        <w:jc w:val="both"/>
        <w:rPr>
          <w:rFonts w:hint="default" w:ascii="Calibri" w:hAnsi="Calibri" w:cs="Calibri"/>
          <w:b/>
          <w:i w:val="0"/>
          <w:iCs w:val="0"/>
          <w:u w:val="none"/>
        </w:rPr>
      </w:pPr>
      <w:r>
        <w:rPr>
          <w:rFonts w:hint="default" w:ascii="Calibri" w:hAnsi="Calibri" w:cs="Calibri"/>
          <w:b/>
          <w:i w:val="0"/>
          <w:iCs w:val="0"/>
          <w:u w:val="none"/>
        </w:rPr>
        <w:t>The bargaining power of suppliers</w:t>
      </w:r>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i w:val="0"/>
          <w:iCs w:val="0"/>
          <w:u w:val="none"/>
        </w:rPr>
        <w:t>In the UK retail industry, suppliers' bargaining power is low that creates a positive impact on the business of Tesco. In this context, the company has many suppliers that hamper the business and increases the cost structure. As opined by Sodhi and Tang (2021), effective management of the supply chain is very important for the retail business to enhance business growth. Therefore, the retail company Tesco is required to select an effective supplier and properly manage its supply chain. </w:t>
      </w:r>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b/>
          <w:i w:val="0"/>
          <w:iCs w:val="0"/>
          <w:u w:val="none"/>
        </w:rPr>
        <w:t>The bargaining power of customers</w:t>
      </w:r>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i w:val="0"/>
          <w:iCs w:val="0"/>
          <w:u w:val="none"/>
        </w:rPr>
        <w:t xml:space="preserve">The customer negotiation power in the UK retail industry is moderate that makes a negative impact on the retail company Tesco. As opined by Galera‐Zarco </w:t>
      </w:r>
      <w:r>
        <w:rPr>
          <w:rStyle w:val="7"/>
          <w:rFonts w:hint="default" w:ascii="Calibri" w:hAnsi="Calibri" w:cs="Calibri"/>
          <w:i w:val="0"/>
          <w:iCs w:val="0"/>
          <w:u w:val="none"/>
        </w:rPr>
        <w:t>et al.</w:t>
      </w:r>
      <w:r>
        <w:rPr>
          <w:rFonts w:hint="default" w:ascii="Calibri" w:hAnsi="Calibri" w:cs="Calibri"/>
          <w:i w:val="0"/>
          <w:iCs w:val="0"/>
          <w:u w:val="none"/>
        </w:rPr>
        <w:t xml:space="preserve"> (2020), the high bargaining power of the customer damages the business performance. In this case, the company is required to maintain customer satisfaction to make the business sustainable by maximising the business revenue. </w:t>
      </w:r>
    </w:p>
    <w:p>
      <w:pPr>
        <w:pStyle w:val="11"/>
        <w:spacing w:before="0" w:beforeAutospacing="0" w:after="0" w:afterAutospacing="0" w:line="360" w:lineRule="auto"/>
        <w:jc w:val="both"/>
        <w:rPr>
          <w:rFonts w:hint="default" w:ascii="Calibri" w:hAnsi="Calibri" w:cs="Calibri"/>
          <w:b/>
          <w:i w:val="0"/>
          <w:iCs w:val="0"/>
          <w:u w:val="none"/>
        </w:rPr>
      </w:pPr>
      <w:r>
        <w:rPr>
          <w:rFonts w:hint="default" w:ascii="Calibri" w:hAnsi="Calibri" w:cs="Calibri"/>
          <w:b/>
          <w:i w:val="0"/>
          <w:iCs w:val="0"/>
          <w:u w:val="none"/>
        </w:rPr>
        <w:t>The threat of new entrants</w:t>
      </w:r>
    </w:p>
    <w:p>
      <w:pPr>
        <w:pStyle w:val="11"/>
        <w:spacing w:before="0" w:beforeAutospacing="0" w:after="0" w:afterAutospacing="0" w:line="360" w:lineRule="auto"/>
        <w:jc w:val="both"/>
        <w:rPr>
          <w:rFonts w:hint="default" w:ascii="Calibri" w:hAnsi="Calibri" w:cs="Calibri"/>
          <w:b/>
          <w:i w:val="0"/>
          <w:iCs w:val="0"/>
          <w:u w:val="none"/>
        </w:rPr>
      </w:pPr>
      <w:r>
        <w:rPr>
          <w:rFonts w:hint="default" w:ascii="Calibri" w:hAnsi="Calibri" w:cs="Calibri"/>
          <w:i w:val="0"/>
          <w:iCs w:val="0"/>
          <w:u w:val="none"/>
        </w:rPr>
        <w:t xml:space="preserve">The new companies can easily start a business in the retail industry as it requires low cost that shows the new entrants' threat is high. However, establishing a brand reputation is difficult for a startup company that creates benefits for Tesco Company. Furthermore, the company has more than 345,000 colleagues that also make benefit Tesco Company (Tescoplc.com, 2022).  </w:t>
      </w:r>
    </w:p>
    <w:p>
      <w:pPr>
        <w:pStyle w:val="11"/>
        <w:spacing w:before="0" w:beforeAutospacing="0" w:after="0" w:afterAutospacing="0" w:line="360" w:lineRule="auto"/>
        <w:jc w:val="both"/>
        <w:rPr>
          <w:rFonts w:hint="default" w:ascii="Calibri" w:hAnsi="Calibri" w:cs="Calibri"/>
          <w:b/>
          <w:i w:val="0"/>
          <w:iCs w:val="0"/>
          <w:u w:val="none"/>
        </w:rPr>
      </w:pPr>
      <w:r>
        <w:rPr>
          <w:rFonts w:hint="default" w:ascii="Calibri" w:hAnsi="Calibri" w:cs="Calibri"/>
          <w:b/>
          <w:i w:val="0"/>
          <w:iCs w:val="0"/>
          <w:u w:val="none"/>
        </w:rPr>
        <w:t>The threat of substitute products </w:t>
      </w:r>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i w:val="0"/>
          <w:iCs w:val="0"/>
          <w:u w:val="none"/>
        </w:rPr>
        <w:t>Tesco makes uniqueness to its product therefore the chances of substituting the product is low that creates a positive impact on the business of Tesco. In this context, Tesco is required to make innovations in the product to draw consumers' attention and increase sales growth. Furthermore, the high increase in sales helps the company to improve revenue growth.  </w:t>
      </w:r>
    </w:p>
    <w:p>
      <w:pPr>
        <w:pStyle w:val="3"/>
        <w:rPr>
          <w:rFonts w:hint="default" w:ascii="Calibri" w:hAnsi="Calibri" w:cs="Calibri"/>
          <w:i w:val="0"/>
          <w:iCs w:val="0"/>
          <w:sz w:val="24"/>
          <w:szCs w:val="24"/>
          <w:u w:val="none"/>
        </w:rPr>
      </w:pPr>
      <w:r>
        <w:rPr>
          <w:rFonts w:hint="default" w:ascii="Calibri" w:hAnsi="Calibri" w:cs="Calibri"/>
          <w:i w:val="0"/>
          <w:iCs w:val="0"/>
          <w:sz w:val="24"/>
          <w:szCs w:val="24"/>
          <w:u w:val="none"/>
        </w:rPr>
        <w:t xml:space="preserve"> </w:t>
      </w:r>
      <w:bookmarkStart w:id="5" w:name="_Toc122095105"/>
      <w:r>
        <w:rPr>
          <w:rFonts w:hint="default" w:ascii="Calibri" w:hAnsi="Calibri" w:cs="Calibri"/>
          <w:i w:val="0"/>
          <w:iCs w:val="0"/>
          <w:sz w:val="24"/>
          <w:szCs w:val="24"/>
          <w:u w:val="none"/>
        </w:rPr>
        <w:t>SWOT analysis</w:t>
      </w:r>
      <w:bookmarkEnd w:id="5"/>
    </w:p>
    <w:tbl>
      <w:tblPr>
        <w:tblStyle w:val="5"/>
        <w:tblW w:w="5000" w:type="pct"/>
        <w:jc w:val="center"/>
        <w:tblLayout w:type="autofit"/>
        <w:tblCellMar>
          <w:top w:w="15" w:type="dxa"/>
          <w:left w:w="15" w:type="dxa"/>
          <w:bottom w:w="15" w:type="dxa"/>
          <w:right w:w="15" w:type="dxa"/>
        </w:tblCellMar>
      </w:tblPr>
      <w:tblGrid>
        <w:gridCol w:w="4695"/>
        <w:gridCol w:w="4695"/>
      </w:tblGrid>
      <w:tr>
        <w:tblPrEx>
          <w:tblCellMar>
            <w:top w:w="15" w:type="dxa"/>
            <w:left w:w="15" w:type="dxa"/>
            <w:bottom w:w="15" w:type="dxa"/>
            <w:right w:w="15" w:type="dxa"/>
          </w:tblCellMar>
        </w:tblPrEx>
        <w:trPr>
          <w:jc w:val="center"/>
        </w:trPr>
        <w:tc>
          <w:tcPr>
            <w:tcW w:w="2500" w:type="pct"/>
            <w:tcBorders>
              <w:top w:val="single" w:color="000000" w:sz="6" w:space="0"/>
              <w:left w:val="single" w:color="000000" w:sz="6" w:space="0"/>
              <w:bottom w:val="single" w:color="000000" w:sz="6" w:space="0"/>
              <w:right w:val="single" w:color="000000" w:sz="6" w:space="0"/>
            </w:tcBorders>
          </w:tcPr>
          <w:p>
            <w:pPr>
              <w:spacing w:after="0" w:line="360" w:lineRule="auto"/>
              <w:jc w:val="center"/>
              <w:rPr>
                <w:rFonts w:hint="default" w:ascii="Calibri" w:hAnsi="Calibri" w:eastAsia="Times New Roman" w:cs="Calibri"/>
                <w:b/>
                <w:i w:val="0"/>
                <w:iCs w:val="0"/>
                <w:sz w:val="24"/>
                <w:szCs w:val="24"/>
                <w:u w:val="none"/>
              </w:rPr>
            </w:pPr>
            <w:r>
              <w:rPr>
                <w:rFonts w:hint="default" w:ascii="Calibri" w:hAnsi="Calibri" w:eastAsia="Times New Roman" w:cs="Calibri"/>
                <w:b/>
                <w:i w:val="0"/>
                <w:iCs w:val="0"/>
                <w:sz w:val="24"/>
                <w:szCs w:val="24"/>
                <w:u w:val="none"/>
              </w:rPr>
              <w:t>Strength</w:t>
            </w:r>
          </w:p>
        </w:tc>
        <w:tc>
          <w:tcPr>
            <w:tcW w:w="2500" w:type="pct"/>
            <w:tcBorders>
              <w:top w:val="single" w:color="000000" w:sz="6" w:space="0"/>
              <w:left w:val="nil"/>
              <w:bottom w:val="single" w:color="000000" w:sz="6" w:space="0"/>
              <w:right w:val="single" w:color="000000" w:sz="6" w:space="0"/>
            </w:tcBorders>
          </w:tcPr>
          <w:p>
            <w:pPr>
              <w:spacing w:after="0" w:line="360" w:lineRule="auto"/>
              <w:jc w:val="center"/>
              <w:rPr>
                <w:rFonts w:hint="default" w:ascii="Calibri" w:hAnsi="Calibri" w:eastAsia="Times New Roman" w:cs="Calibri"/>
                <w:b/>
                <w:i w:val="0"/>
                <w:iCs w:val="0"/>
                <w:sz w:val="24"/>
                <w:szCs w:val="24"/>
                <w:u w:val="none"/>
              </w:rPr>
            </w:pPr>
            <w:r>
              <w:rPr>
                <w:rFonts w:hint="default" w:ascii="Calibri" w:hAnsi="Calibri" w:eastAsia="Times New Roman" w:cs="Calibri"/>
                <w:b/>
                <w:i w:val="0"/>
                <w:iCs w:val="0"/>
                <w:sz w:val="24"/>
                <w:szCs w:val="24"/>
                <w:u w:val="none"/>
              </w:rPr>
              <w:t>Weakness</w:t>
            </w:r>
          </w:p>
        </w:tc>
      </w:tr>
      <w:tr>
        <w:tblPrEx>
          <w:tblCellMar>
            <w:top w:w="15" w:type="dxa"/>
            <w:left w:w="15" w:type="dxa"/>
            <w:bottom w:w="15" w:type="dxa"/>
            <w:right w:w="15" w:type="dxa"/>
          </w:tblCellMar>
        </w:tblPrEx>
        <w:trPr>
          <w:jc w:val="center"/>
        </w:trPr>
        <w:tc>
          <w:tcPr>
            <w:tcW w:w="2500" w:type="pct"/>
            <w:tcBorders>
              <w:top w:val="nil"/>
              <w:left w:val="single" w:color="000000" w:sz="6" w:space="0"/>
              <w:bottom w:val="single" w:color="000000" w:sz="6" w:space="0"/>
              <w:right w:val="single" w:color="000000" w:sz="6" w:space="0"/>
            </w:tcBorders>
          </w:tcPr>
          <w:p>
            <w:pPr>
              <w:numPr>
                <w:ilvl w:val="0"/>
                <w:numId w:val="7"/>
              </w:numPr>
              <w:spacing w:after="0" w:line="360" w:lineRule="auto"/>
              <w:ind w:left="360" w:right="113"/>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Tesco has more than 345,000 colleagues (Tescoplc.com, 2022).</w:t>
            </w:r>
          </w:p>
          <w:p>
            <w:pPr>
              <w:numPr>
                <w:ilvl w:val="0"/>
                <w:numId w:val="7"/>
              </w:numPr>
              <w:spacing w:after="0" w:line="360" w:lineRule="auto"/>
              <w:ind w:left="360" w:right="113"/>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The revenue of the retail company Tesco is more than 56 billion British pounds (Statista.com, 2022a).</w:t>
            </w:r>
          </w:p>
          <w:p>
            <w:pPr>
              <w:numPr>
                <w:ilvl w:val="0"/>
                <w:numId w:val="7"/>
              </w:numPr>
              <w:spacing w:after="0" w:line="360" w:lineRule="auto"/>
              <w:ind w:left="360" w:right="113"/>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Geographically diversified</w:t>
            </w:r>
          </w:p>
          <w:p>
            <w:pPr>
              <w:numPr>
                <w:ilvl w:val="0"/>
                <w:numId w:val="7"/>
              </w:numPr>
              <w:spacing w:after="0" w:line="360" w:lineRule="auto"/>
              <w:ind w:left="360" w:right="113"/>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In the year 2022, the total number of stores in Tesco is 4,752 (Statista.com, 2022e)</w:t>
            </w:r>
          </w:p>
        </w:tc>
        <w:tc>
          <w:tcPr>
            <w:tcW w:w="2500" w:type="pct"/>
            <w:tcBorders>
              <w:top w:val="nil"/>
              <w:left w:val="nil"/>
              <w:bottom w:val="single" w:color="000000" w:sz="6" w:space="0"/>
              <w:right w:val="single" w:color="000000" w:sz="6" w:space="0"/>
            </w:tcBorders>
          </w:tcPr>
          <w:p>
            <w:pPr>
              <w:numPr>
                <w:ilvl w:val="0"/>
                <w:numId w:val="8"/>
              </w:numPr>
              <w:spacing w:after="0" w:line="360" w:lineRule="auto"/>
              <w:ind w:left="360" w:right="113"/>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High market competition </w:t>
            </w:r>
          </w:p>
          <w:p>
            <w:pPr>
              <w:numPr>
                <w:ilvl w:val="0"/>
                <w:numId w:val="8"/>
              </w:numPr>
              <w:spacing w:after="0" w:line="360" w:lineRule="auto"/>
              <w:ind w:left="360" w:right="113"/>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 xml:space="preserve">The main competitor of Tesco includes ASDA, Sainsbury's, Morrison's and so on (Keiningham </w:t>
            </w:r>
            <w:r>
              <w:rPr>
                <w:rFonts w:hint="default" w:ascii="Calibri" w:hAnsi="Calibri" w:eastAsia="Times New Roman" w:cs="Calibri"/>
                <w:i w:val="0"/>
                <w:iCs w:val="0"/>
                <w:sz w:val="24"/>
                <w:szCs w:val="24"/>
                <w:u w:val="none"/>
              </w:rPr>
              <w:t xml:space="preserve">et al. </w:t>
            </w:r>
            <w:r>
              <w:rPr>
                <w:rFonts w:hint="default" w:ascii="Calibri" w:hAnsi="Calibri" w:eastAsia="Times New Roman" w:cs="Calibri"/>
                <w:i w:val="0"/>
                <w:iCs w:val="0"/>
                <w:sz w:val="24"/>
                <w:szCs w:val="24"/>
                <w:u w:val="none"/>
              </w:rPr>
              <w:t xml:space="preserve">2020). </w:t>
            </w:r>
          </w:p>
          <w:p>
            <w:pPr>
              <w:numPr>
                <w:ilvl w:val="0"/>
                <w:numId w:val="8"/>
              </w:numPr>
              <w:spacing w:after="0" w:line="360" w:lineRule="auto"/>
              <w:ind w:left="360" w:right="113"/>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 xml:space="preserve">The company follows a </w:t>
            </w:r>
            <w:r>
              <w:rPr>
                <w:rFonts w:hint="default" w:ascii="Calibri" w:hAnsi="Calibri" w:eastAsia="Times New Roman" w:cs="Calibri"/>
                <w:b/>
                <w:i w:val="0"/>
                <w:iCs w:val="0"/>
                <w:sz w:val="24"/>
                <w:szCs w:val="24"/>
                <w:u w:val="none"/>
              </w:rPr>
              <w:t xml:space="preserve">“Low-cost strategy” </w:t>
            </w:r>
            <w:r>
              <w:rPr>
                <w:rFonts w:hint="default" w:ascii="Calibri" w:hAnsi="Calibri" w:eastAsia="Times New Roman" w:cs="Calibri"/>
                <w:i w:val="0"/>
                <w:iCs w:val="0"/>
                <w:sz w:val="24"/>
                <w:szCs w:val="24"/>
                <w:u w:val="none"/>
              </w:rPr>
              <w:t>that decreases the business revenue</w:t>
            </w:r>
          </w:p>
        </w:tc>
      </w:tr>
      <w:tr>
        <w:tblPrEx>
          <w:tblCellMar>
            <w:top w:w="15" w:type="dxa"/>
            <w:left w:w="15" w:type="dxa"/>
            <w:bottom w:w="15" w:type="dxa"/>
            <w:right w:w="15" w:type="dxa"/>
          </w:tblCellMar>
        </w:tblPrEx>
        <w:trPr>
          <w:jc w:val="center"/>
        </w:trPr>
        <w:tc>
          <w:tcPr>
            <w:tcW w:w="2500" w:type="pct"/>
            <w:tcBorders>
              <w:top w:val="nil"/>
              <w:left w:val="single" w:color="000000" w:sz="6" w:space="0"/>
              <w:bottom w:val="single" w:color="000000" w:sz="6" w:space="0"/>
              <w:right w:val="single" w:color="000000" w:sz="6" w:space="0"/>
            </w:tcBorders>
          </w:tcPr>
          <w:p>
            <w:pPr>
              <w:spacing w:after="0" w:line="360" w:lineRule="auto"/>
              <w:jc w:val="center"/>
              <w:rPr>
                <w:rFonts w:hint="default" w:ascii="Calibri" w:hAnsi="Calibri" w:eastAsia="Times New Roman" w:cs="Calibri"/>
                <w:b/>
                <w:i w:val="0"/>
                <w:iCs w:val="0"/>
                <w:sz w:val="24"/>
                <w:szCs w:val="24"/>
                <w:u w:val="none"/>
              </w:rPr>
            </w:pPr>
            <w:r>
              <w:rPr>
                <w:rFonts w:hint="default" w:ascii="Calibri" w:hAnsi="Calibri" w:eastAsia="Times New Roman" w:cs="Calibri"/>
                <w:b/>
                <w:i w:val="0"/>
                <w:iCs w:val="0"/>
                <w:sz w:val="24"/>
                <w:szCs w:val="24"/>
                <w:u w:val="none"/>
              </w:rPr>
              <w:t>Opportunities</w:t>
            </w:r>
          </w:p>
        </w:tc>
        <w:tc>
          <w:tcPr>
            <w:tcW w:w="2500" w:type="pct"/>
            <w:tcBorders>
              <w:top w:val="nil"/>
              <w:left w:val="nil"/>
              <w:bottom w:val="single" w:color="000000" w:sz="6" w:space="0"/>
              <w:right w:val="single" w:color="000000" w:sz="6" w:space="0"/>
            </w:tcBorders>
          </w:tcPr>
          <w:p>
            <w:pPr>
              <w:spacing w:after="0" w:line="360" w:lineRule="auto"/>
              <w:jc w:val="center"/>
              <w:rPr>
                <w:rFonts w:hint="default" w:ascii="Calibri" w:hAnsi="Calibri" w:eastAsia="Times New Roman" w:cs="Calibri"/>
                <w:b/>
                <w:i w:val="0"/>
                <w:iCs w:val="0"/>
                <w:sz w:val="24"/>
                <w:szCs w:val="24"/>
                <w:u w:val="none"/>
              </w:rPr>
            </w:pPr>
            <w:r>
              <w:rPr>
                <w:rFonts w:hint="default" w:ascii="Calibri" w:hAnsi="Calibri" w:eastAsia="Times New Roman" w:cs="Calibri"/>
                <w:b/>
                <w:i w:val="0"/>
                <w:iCs w:val="0"/>
                <w:sz w:val="24"/>
                <w:szCs w:val="24"/>
                <w:u w:val="none"/>
              </w:rPr>
              <w:t>Threat</w:t>
            </w:r>
          </w:p>
        </w:tc>
      </w:tr>
      <w:tr>
        <w:tblPrEx>
          <w:tblCellMar>
            <w:top w:w="15" w:type="dxa"/>
            <w:left w:w="15" w:type="dxa"/>
            <w:bottom w:w="15" w:type="dxa"/>
            <w:right w:w="15" w:type="dxa"/>
          </w:tblCellMar>
        </w:tblPrEx>
        <w:trPr>
          <w:jc w:val="center"/>
        </w:trPr>
        <w:tc>
          <w:tcPr>
            <w:tcW w:w="2500" w:type="pct"/>
            <w:tcBorders>
              <w:top w:val="nil"/>
              <w:left w:val="single" w:color="000000" w:sz="6" w:space="0"/>
              <w:bottom w:val="single" w:color="000000" w:sz="6" w:space="0"/>
              <w:right w:val="single" w:color="000000" w:sz="6" w:space="0"/>
            </w:tcBorders>
          </w:tcPr>
          <w:p>
            <w:pPr>
              <w:numPr>
                <w:ilvl w:val="0"/>
                <w:numId w:val="9"/>
              </w:numPr>
              <w:spacing w:after="0" w:line="360" w:lineRule="auto"/>
              <w:ind w:left="360" w:right="113"/>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Tesco can expand its business operation in the foreign market </w:t>
            </w:r>
          </w:p>
          <w:p>
            <w:pPr>
              <w:numPr>
                <w:ilvl w:val="0"/>
                <w:numId w:val="9"/>
              </w:numPr>
              <w:spacing w:after="0" w:line="360" w:lineRule="auto"/>
              <w:ind w:left="360" w:right="113"/>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Tesco can follow </w:t>
            </w:r>
            <w:r>
              <w:rPr>
                <w:rFonts w:hint="default" w:ascii="Calibri" w:hAnsi="Calibri" w:eastAsia="Times New Roman" w:cs="Calibri"/>
                <w:b/>
                <w:i w:val="0"/>
                <w:iCs w:val="0"/>
                <w:sz w:val="24"/>
                <w:szCs w:val="24"/>
                <w:u w:val="none"/>
              </w:rPr>
              <w:t>the "One Hour Delivery”</w:t>
            </w:r>
            <w:r>
              <w:rPr>
                <w:rFonts w:hint="default" w:ascii="Calibri" w:hAnsi="Calibri" w:eastAsia="Times New Roman" w:cs="Calibri"/>
                <w:i w:val="0"/>
                <w:iCs w:val="0"/>
                <w:sz w:val="24"/>
                <w:szCs w:val="24"/>
                <w:u w:val="none"/>
              </w:rPr>
              <w:t xml:space="preserve"> procedure that helps to enhance sales growth </w:t>
            </w:r>
          </w:p>
        </w:tc>
        <w:tc>
          <w:tcPr>
            <w:tcW w:w="2500" w:type="pct"/>
            <w:tcBorders>
              <w:top w:val="nil"/>
              <w:left w:val="nil"/>
              <w:bottom w:val="single" w:color="000000" w:sz="6" w:space="0"/>
              <w:right w:val="single" w:color="000000" w:sz="6" w:space="0"/>
            </w:tcBorders>
          </w:tcPr>
          <w:p>
            <w:pPr>
              <w:pStyle w:val="20"/>
              <w:numPr>
                <w:ilvl w:val="0"/>
                <w:numId w:val="9"/>
              </w:numPr>
              <w:spacing w:after="0" w:line="360" w:lineRule="auto"/>
              <w:ind w:left="360" w:right="113"/>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 xml:space="preserve">Tesco faces </w:t>
            </w:r>
            <w:r>
              <w:rPr>
                <w:rFonts w:hint="default" w:ascii="Calibri" w:hAnsi="Calibri" w:eastAsia="Times New Roman" w:cs="Calibri"/>
                <w:b/>
                <w:i w:val="0"/>
                <w:iCs w:val="0"/>
                <w:sz w:val="24"/>
                <w:szCs w:val="24"/>
                <w:u w:val="none"/>
              </w:rPr>
              <w:t>“Supply chain issues”</w:t>
            </w:r>
            <w:r>
              <w:rPr>
                <w:rFonts w:hint="default" w:ascii="Calibri" w:hAnsi="Calibri" w:eastAsia="Times New Roman" w:cs="Calibri"/>
                <w:i w:val="0"/>
                <w:iCs w:val="0"/>
                <w:sz w:val="24"/>
                <w:szCs w:val="24"/>
                <w:u w:val="none"/>
              </w:rPr>
              <w:t xml:space="preserve"> that hamper the business performance</w:t>
            </w:r>
          </w:p>
          <w:p>
            <w:pPr>
              <w:pStyle w:val="20"/>
              <w:numPr>
                <w:ilvl w:val="0"/>
                <w:numId w:val="9"/>
              </w:numPr>
              <w:spacing w:after="0" w:line="360" w:lineRule="auto"/>
              <w:ind w:left="360" w:right="113"/>
              <w:jc w:val="both"/>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Rising costs of the raw material </w:t>
            </w:r>
          </w:p>
        </w:tc>
      </w:tr>
    </w:tbl>
    <w:p>
      <w:pPr>
        <w:spacing w:after="0" w:line="360" w:lineRule="auto"/>
        <w:jc w:val="center"/>
        <w:rPr>
          <w:rFonts w:hint="default" w:ascii="Calibri" w:hAnsi="Calibri" w:eastAsia="Times New Roman" w:cs="Calibri"/>
          <w:b/>
          <w:i w:val="0"/>
          <w:iCs w:val="0"/>
          <w:sz w:val="24"/>
          <w:szCs w:val="24"/>
          <w:u w:val="none"/>
        </w:rPr>
      </w:pPr>
      <w:r>
        <w:rPr>
          <w:rFonts w:hint="default" w:ascii="Calibri" w:hAnsi="Calibri" w:eastAsia="Times New Roman" w:cs="Calibri"/>
          <w:b/>
          <w:i w:val="0"/>
          <w:iCs w:val="0"/>
          <w:sz w:val="24"/>
          <w:szCs w:val="24"/>
          <w:u w:val="none"/>
        </w:rPr>
        <w:t>Table 3: SWOT analysis</w:t>
      </w:r>
    </w:p>
    <w:p>
      <w:pPr>
        <w:spacing w:after="0" w:line="360" w:lineRule="auto"/>
        <w:jc w:val="center"/>
        <w:rPr>
          <w:rFonts w:hint="default" w:ascii="Calibri" w:hAnsi="Calibri" w:eastAsia="Times New Roman" w:cs="Calibri"/>
          <w:i w:val="0"/>
          <w:iCs w:val="0"/>
          <w:sz w:val="24"/>
          <w:szCs w:val="24"/>
          <w:u w:val="none"/>
        </w:rPr>
      </w:pPr>
      <w:r>
        <w:rPr>
          <w:rFonts w:hint="default" w:ascii="Calibri" w:hAnsi="Calibri" w:eastAsia="Times New Roman" w:cs="Calibri"/>
          <w:i w:val="0"/>
          <w:iCs w:val="0"/>
          <w:sz w:val="24"/>
          <w:szCs w:val="24"/>
          <w:u w:val="none"/>
        </w:rPr>
        <w:t>(Source: Self-developed)</w:t>
      </w:r>
    </w:p>
    <w:p>
      <w:pPr>
        <w:spacing w:after="0" w:line="360" w:lineRule="auto"/>
        <w:jc w:val="both"/>
        <w:rPr>
          <w:rFonts w:hint="default" w:ascii="Calibri" w:hAnsi="Calibri" w:cs="Calibri"/>
          <w:b/>
          <w:i w:val="0"/>
          <w:iCs w:val="0"/>
          <w:sz w:val="24"/>
          <w:szCs w:val="24"/>
          <w:u w:val="none"/>
        </w:rPr>
      </w:pPr>
      <w:r>
        <w:rPr>
          <w:rFonts w:hint="default" w:ascii="Calibri" w:hAnsi="Calibri" w:cs="Calibri"/>
          <w:b/>
          <w:i w:val="0"/>
          <w:iCs w:val="0"/>
          <w:sz w:val="24"/>
          <w:szCs w:val="24"/>
          <w:u w:val="none"/>
        </w:rPr>
        <w:t>Analysis</w:t>
      </w:r>
    </w:p>
    <w:p>
      <w:pPr>
        <w:spacing w:after="0" w:line="360" w:lineRule="auto"/>
        <w:jc w:val="both"/>
        <w:rPr>
          <w:rFonts w:hint="default" w:ascii="Calibri" w:hAnsi="Calibri" w:cs="Calibri"/>
          <w:i w:val="0"/>
          <w:iCs w:val="0"/>
          <w:sz w:val="24"/>
          <w:szCs w:val="24"/>
          <w:u w:val="none"/>
        </w:rPr>
      </w:pPr>
      <w:r>
        <w:rPr>
          <w:rFonts w:hint="default" w:ascii="Calibri" w:hAnsi="Calibri" w:cs="Calibri"/>
          <w:i w:val="0"/>
          <w:iCs w:val="0"/>
          <w:sz w:val="24"/>
          <w:szCs w:val="24"/>
          <w:u w:val="none"/>
        </w:rPr>
        <w:t xml:space="preserve">The above tables show the main strength of the retail company Tesco a strong financial ability, a sufficient number of human resources and stores. The main weakness of the company is its high market competition and the main competitor of Tesco includes ASDA, Sainsbury's, Morrison's and so on (Keiningham </w:t>
      </w:r>
      <w:r>
        <w:rPr>
          <w:rFonts w:hint="default" w:ascii="Calibri" w:hAnsi="Calibri" w:cs="Calibri"/>
          <w:i w:val="0"/>
          <w:iCs w:val="0"/>
          <w:sz w:val="24"/>
          <w:szCs w:val="24"/>
          <w:u w:val="none"/>
        </w:rPr>
        <w:t>et al.</w:t>
      </w:r>
      <w:r>
        <w:rPr>
          <w:rFonts w:hint="default" w:ascii="Calibri" w:hAnsi="Calibri" w:cs="Calibri"/>
          <w:i w:val="0"/>
          <w:iCs w:val="0"/>
          <w:sz w:val="24"/>
          <w:szCs w:val="24"/>
          <w:u w:val="none"/>
        </w:rPr>
        <w:t xml:space="preserve"> 2020). Tesco can follow the “One Hour Delivery” procedure that works as an opportunity for the business and help the business to improve sales growth. Tesco faces “supply chain issues” that hamper the flow of product procedure and damages the business performance. </w:t>
      </w:r>
    </w:p>
    <w:p>
      <w:pPr>
        <w:pStyle w:val="3"/>
        <w:rPr>
          <w:rFonts w:hint="default" w:ascii="Calibri" w:hAnsi="Calibri" w:cs="Calibri"/>
          <w:i w:val="0"/>
          <w:iCs w:val="0"/>
          <w:sz w:val="24"/>
          <w:szCs w:val="24"/>
          <w:u w:val="none"/>
          <w:lang w:val="en-GB"/>
        </w:rPr>
      </w:pPr>
      <w:bookmarkStart w:id="6" w:name="_Toc122095106"/>
      <w:r>
        <w:rPr>
          <w:rFonts w:hint="default" w:ascii="Calibri" w:hAnsi="Calibri" w:cs="Calibri"/>
          <w:i w:val="0"/>
          <w:iCs w:val="0"/>
          <w:sz w:val="24"/>
          <w:szCs w:val="24"/>
          <w:u w:val="none"/>
          <w:lang w:val="en-GB"/>
        </w:rPr>
        <w:t>Segmentation, targeting and positioning</w:t>
      </w:r>
      <w:bookmarkEnd w:id="6"/>
    </w:p>
    <w:p>
      <w:pPr>
        <w:spacing w:after="0" w:line="360" w:lineRule="auto"/>
        <w:jc w:val="both"/>
        <w:rPr>
          <w:rFonts w:hint="default" w:ascii="Calibri" w:hAnsi="Calibri" w:cs="Calibri"/>
          <w:i w:val="0"/>
          <w:iCs w:val="0"/>
          <w:sz w:val="24"/>
          <w:szCs w:val="24"/>
          <w:u w:val="none"/>
          <w:lang w:val="en-GB"/>
        </w:rPr>
      </w:pPr>
      <w:r>
        <w:rPr>
          <w:rFonts w:hint="default" w:ascii="Calibri" w:hAnsi="Calibri" w:cs="Calibri"/>
          <w:i w:val="0"/>
          <w:iCs w:val="0"/>
          <w:sz w:val="24"/>
          <w:szCs w:val="24"/>
          <w:u w:val="none"/>
        </w:rPr>
        <w:t>Tesco follows four segments “</w:t>
      </w:r>
      <w:r>
        <w:rPr>
          <w:rFonts w:hint="default" w:ascii="Calibri" w:hAnsi="Calibri" w:cs="Calibri"/>
          <w:b/>
          <w:i w:val="0"/>
          <w:iCs w:val="0"/>
          <w:sz w:val="24"/>
          <w:szCs w:val="24"/>
          <w:u w:val="none"/>
        </w:rPr>
        <w:t>Geographic”, “Psychographic”, “Behavioural”, “Demographic”</w:t>
      </w:r>
      <w:r>
        <w:rPr>
          <w:rFonts w:hint="default" w:ascii="Calibri" w:hAnsi="Calibri" w:cs="Calibri"/>
          <w:i w:val="0"/>
          <w:iCs w:val="0"/>
          <w:sz w:val="24"/>
          <w:szCs w:val="24"/>
          <w:u w:val="none"/>
        </w:rPr>
        <w:t xml:space="preserve"> segmentation. Tesco keeps the availability of the product for all all-ages people with low and middle-income families. The occupation of people can be students, professionals, employees and unemployed. The company provides the products to the UK to 11 other countries. In terms of lifestyle, lifestyles can contend conformers, Traditionalists or anything. The benefit sought is cost advantages, variety, and the user status as an active user. Tesco is positioned as a multinational retail company that provides products at affordable prices (Tescoplc.com, 2022). The target market of Tesco is all-ages people with low and middle-income families in the UK.  </w:t>
      </w:r>
    </w:p>
    <w:p>
      <w:pPr>
        <w:pStyle w:val="3"/>
        <w:rPr>
          <w:rFonts w:hint="default" w:ascii="Calibri" w:hAnsi="Calibri" w:cs="Calibri"/>
          <w:i w:val="0"/>
          <w:iCs w:val="0"/>
          <w:sz w:val="24"/>
          <w:szCs w:val="24"/>
          <w:u w:val="none"/>
          <w:lang w:val="en-GB"/>
        </w:rPr>
      </w:pPr>
      <w:bookmarkStart w:id="7" w:name="_Toc122095107"/>
      <w:r>
        <w:rPr>
          <w:rFonts w:hint="default" w:ascii="Calibri" w:hAnsi="Calibri" w:cs="Calibri"/>
          <w:i w:val="0"/>
          <w:iCs w:val="0"/>
          <w:sz w:val="24"/>
          <w:szCs w:val="24"/>
          <w:u w:val="none"/>
          <w:lang w:val="en-GB"/>
        </w:rPr>
        <w:t>4Ps Marketing mix strategy</w:t>
      </w:r>
      <w:bookmarkEnd w:id="7"/>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i w:val="0"/>
          <w:iCs w:val="0"/>
          <w:u w:val="none"/>
        </w:rPr>
        <w:t xml:space="preserve">The </w:t>
      </w:r>
      <w:r>
        <w:rPr>
          <w:rFonts w:hint="default" w:ascii="Calibri" w:hAnsi="Calibri" w:cs="Calibri"/>
          <w:b/>
          <w:i w:val="0"/>
          <w:iCs w:val="0"/>
          <w:u w:val="none"/>
        </w:rPr>
        <w:t>“4Ps Marketing mix strategy”</w:t>
      </w:r>
      <w:r>
        <w:rPr>
          <w:rFonts w:hint="default" w:ascii="Calibri" w:hAnsi="Calibri" w:cs="Calibri"/>
          <w:i w:val="0"/>
          <w:iCs w:val="0"/>
          <w:u w:val="none"/>
        </w:rPr>
        <w:t xml:space="preserve"> has been taken to determine the product, place, promotional style, and pricing style of Tesco. </w:t>
      </w:r>
    </w:p>
    <w:p>
      <w:pPr>
        <w:pStyle w:val="11"/>
        <w:spacing w:before="0" w:beforeAutospacing="0" w:after="0" w:afterAutospacing="0" w:line="360" w:lineRule="auto"/>
        <w:jc w:val="both"/>
        <w:rPr>
          <w:rFonts w:hint="default" w:ascii="Calibri" w:hAnsi="Calibri" w:cs="Calibri"/>
          <w:b/>
          <w:i w:val="0"/>
          <w:iCs w:val="0"/>
          <w:u w:val="none"/>
        </w:rPr>
      </w:pPr>
      <w:r>
        <w:rPr>
          <w:rFonts w:hint="default" w:ascii="Calibri" w:hAnsi="Calibri" w:cs="Calibri"/>
          <w:b/>
          <w:i w:val="0"/>
          <w:iCs w:val="0"/>
          <w:u w:val="none"/>
        </w:rPr>
        <w:t>Tesco Product Strategy</w:t>
      </w:r>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i w:val="0"/>
          <w:iCs w:val="0"/>
          <w:u w:val="none"/>
        </w:rPr>
        <w:t>Tesco keeps a wide range of products including clothing, furniture, toys, books, electronics, telecom services, financial services, internet services and so on (Tescoplc.com, 2022). The company keeps the availability of multiple types of products that influences the consumers to purchase a variety of types of products from one shop.  </w:t>
      </w:r>
    </w:p>
    <w:p>
      <w:pPr>
        <w:pStyle w:val="11"/>
        <w:spacing w:before="0" w:beforeAutospacing="0" w:after="0" w:afterAutospacing="0" w:line="360" w:lineRule="auto"/>
        <w:jc w:val="both"/>
        <w:rPr>
          <w:rFonts w:hint="default" w:ascii="Calibri" w:hAnsi="Calibri" w:cs="Calibri"/>
          <w:b/>
          <w:i w:val="0"/>
          <w:iCs w:val="0"/>
          <w:u w:val="none"/>
        </w:rPr>
      </w:pPr>
      <w:r>
        <w:rPr>
          <w:rFonts w:hint="default" w:ascii="Calibri" w:hAnsi="Calibri" w:cs="Calibri"/>
          <w:b/>
          <w:i w:val="0"/>
          <w:iCs w:val="0"/>
          <w:u w:val="none"/>
        </w:rPr>
        <w:t>Tesco Pricing Strategy</w:t>
      </w:r>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i w:val="0"/>
          <w:iCs w:val="0"/>
          <w:u w:val="none"/>
        </w:rPr>
        <w:t>Tesco follows a Low-cost strategy to sell the product and provides the product to consumers at affordable prices. This strategy is very beneficial for the company to increase sales growth and improves business revenue.  </w:t>
      </w:r>
    </w:p>
    <w:p>
      <w:pPr>
        <w:pStyle w:val="11"/>
        <w:spacing w:before="0" w:beforeAutospacing="0" w:after="0" w:afterAutospacing="0" w:line="360" w:lineRule="auto"/>
        <w:jc w:val="both"/>
        <w:rPr>
          <w:rFonts w:hint="default" w:ascii="Calibri" w:hAnsi="Calibri" w:cs="Calibri"/>
          <w:b/>
          <w:i w:val="0"/>
          <w:iCs w:val="0"/>
          <w:u w:val="none"/>
        </w:rPr>
      </w:pPr>
      <w:r>
        <w:rPr>
          <w:rFonts w:hint="default" w:ascii="Calibri" w:hAnsi="Calibri" w:cs="Calibri"/>
          <w:b/>
          <w:i w:val="0"/>
          <w:iCs w:val="0"/>
          <w:u w:val="none"/>
        </w:rPr>
        <w:t>Tesco Place Strategy</w:t>
      </w:r>
    </w:p>
    <w:p>
      <w:pPr>
        <w:pStyle w:val="11"/>
        <w:spacing w:before="0" w:beforeAutospacing="0" w:after="0" w:afterAutospacing="0" w:line="360" w:lineRule="auto"/>
        <w:jc w:val="both"/>
        <w:rPr>
          <w:rFonts w:hint="default" w:ascii="Calibri" w:hAnsi="Calibri" w:cs="Calibri"/>
          <w:i w:val="0"/>
          <w:iCs w:val="0"/>
          <w:u w:val="none"/>
        </w:rPr>
      </w:pPr>
      <w:r>
        <w:rPr>
          <w:rFonts w:hint="default" w:ascii="Calibri" w:hAnsi="Calibri" w:cs="Calibri"/>
          <w:i w:val="0"/>
          <w:iCs w:val="0"/>
          <w:u w:val="none"/>
        </w:rPr>
        <w:t>The company sells the product to the UK to 11 other countries. In the year 2022, the total number of stores in Tesco is 4,752 (Statista.com, 2022e). The company sells its product online and in multi-format stores therefore the customer can purchase the product from multi-format stores and online.  </w:t>
      </w:r>
    </w:p>
    <w:p>
      <w:pPr>
        <w:pStyle w:val="11"/>
        <w:spacing w:before="0" w:beforeAutospacing="0" w:after="0" w:afterAutospacing="0" w:line="360" w:lineRule="auto"/>
        <w:jc w:val="both"/>
        <w:rPr>
          <w:rFonts w:hint="default" w:ascii="Calibri" w:hAnsi="Calibri" w:cs="Calibri"/>
          <w:b/>
          <w:i w:val="0"/>
          <w:iCs w:val="0"/>
          <w:u w:val="none"/>
        </w:rPr>
      </w:pPr>
      <w:r>
        <w:rPr>
          <w:rFonts w:hint="default" w:ascii="Calibri" w:hAnsi="Calibri" w:cs="Calibri"/>
          <w:b/>
          <w:i w:val="0"/>
          <w:iCs w:val="0"/>
          <w:u w:val="none"/>
        </w:rPr>
        <w:t>Tesco Promotion Strategy</w:t>
      </w:r>
    </w:p>
    <w:p>
      <w:pPr>
        <w:spacing w:after="0" w:line="360" w:lineRule="auto"/>
        <w:jc w:val="both"/>
        <w:rPr>
          <w:rFonts w:hint="default" w:ascii="Calibri" w:hAnsi="Calibri" w:cs="Calibri"/>
          <w:i w:val="0"/>
          <w:iCs w:val="0"/>
          <w:sz w:val="24"/>
          <w:szCs w:val="24"/>
          <w:u w:val="none"/>
        </w:rPr>
      </w:pPr>
      <w:r>
        <w:rPr>
          <w:rFonts w:hint="default" w:ascii="Calibri" w:hAnsi="Calibri" w:cs="Calibri"/>
          <w:i w:val="0"/>
          <w:iCs w:val="0"/>
          <w:sz w:val="24"/>
          <w:szCs w:val="24"/>
          <w:u w:val="none"/>
        </w:rPr>
        <w:t> Tesco makes the promotion of the product through media and print to send messages to a huge range of customers. The effective promotion of the product is very beneficial for the organisation to enhance sales growth and business revenue   </w:t>
      </w:r>
    </w:p>
    <w:p>
      <w:pPr>
        <w:pStyle w:val="3"/>
        <w:rPr>
          <w:rFonts w:hint="default" w:ascii="Calibri" w:hAnsi="Calibri" w:cs="Calibri"/>
          <w:i w:val="0"/>
          <w:iCs w:val="0"/>
          <w:sz w:val="24"/>
          <w:szCs w:val="24"/>
          <w:u w:val="none"/>
          <w:lang w:val="en-GB"/>
        </w:rPr>
      </w:pPr>
      <w:bookmarkStart w:id="8" w:name="_Toc122095108"/>
      <w:r>
        <w:rPr>
          <w:rFonts w:hint="default" w:ascii="Calibri" w:hAnsi="Calibri" w:cs="Calibri"/>
          <w:i w:val="0"/>
          <w:iCs w:val="0"/>
          <w:sz w:val="24"/>
          <w:szCs w:val="24"/>
          <w:u w:val="none"/>
          <w:lang w:val="en-GB"/>
        </w:rPr>
        <w:t>Conclusion</w:t>
      </w:r>
      <w:bookmarkEnd w:id="8"/>
    </w:p>
    <w:p>
      <w:pPr>
        <w:spacing w:after="0" w:line="360" w:lineRule="auto"/>
        <w:jc w:val="both"/>
        <w:rPr>
          <w:rFonts w:hint="default" w:ascii="Calibri" w:hAnsi="Calibri" w:cs="Calibri"/>
          <w:i w:val="0"/>
          <w:iCs w:val="0"/>
          <w:sz w:val="24"/>
          <w:szCs w:val="24"/>
          <w:u w:val="none"/>
        </w:rPr>
      </w:pPr>
      <w:r>
        <w:rPr>
          <w:rFonts w:hint="default" w:ascii="Calibri" w:hAnsi="Calibri" w:cs="Calibri"/>
          <w:i w:val="0"/>
          <w:iCs w:val="0"/>
          <w:sz w:val="24"/>
          <w:szCs w:val="24"/>
          <w:u w:val="none"/>
        </w:rPr>
        <w:t xml:space="preserve">The reputed multinational retail company Tesco sells the product through online and multi-format stores. In this report, the </w:t>
      </w:r>
      <w:r>
        <w:rPr>
          <w:rFonts w:hint="default" w:ascii="Calibri" w:hAnsi="Calibri" w:cs="Calibri"/>
          <w:b/>
          <w:i w:val="0"/>
          <w:iCs w:val="0"/>
          <w:sz w:val="24"/>
          <w:szCs w:val="24"/>
          <w:u w:val="none"/>
        </w:rPr>
        <w:t xml:space="preserve">“PESTLE analysis” </w:t>
      </w:r>
      <w:r>
        <w:rPr>
          <w:rFonts w:hint="default" w:ascii="Calibri" w:hAnsi="Calibri" w:cs="Calibri"/>
          <w:i w:val="0"/>
          <w:iCs w:val="0"/>
          <w:sz w:val="24"/>
          <w:szCs w:val="24"/>
          <w:u w:val="none"/>
        </w:rPr>
        <w:t>and</w:t>
      </w:r>
      <w:r>
        <w:rPr>
          <w:rFonts w:hint="default" w:ascii="Calibri" w:hAnsi="Calibri" w:cs="Calibri"/>
          <w:b/>
          <w:i w:val="0"/>
          <w:iCs w:val="0"/>
          <w:sz w:val="24"/>
          <w:szCs w:val="24"/>
          <w:u w:val="none"/>
        </w:rPr>
        <w:t xml:space="preserve"> “SWOT analysis” </w:t>
      </w:r>
      <w:r>
        <w:rPr>
          <w:rFonts w:hint="default" w:ascii="Calibri" w:hAnsi="Calibri" w:cs="Calibri"/>
          <w:i w:val="0"/>
          <w:iCs w:val="0"/>
          <w:sz w:val="24"/>
          <w:szCs w:val="24"/>
          <w:u w:val="none"/>
        </w:rPr>
        <w:t xml:space="preserve">have been used to examine the external factors and internal factors. In addition, </w:t>
      </w:r>
      <w:r>
        <w:rPr>
          <w:rFonts w:hint="default" w:ascii="Calibri" w:hAnsi="Calibri" w:cs="Calibri"/>
          <w:b/>
          <w:i w:val="0"/>
          <w:iCs w:val="0"/>
          <w:sz w:val="24"/>
          <w:szCs w:val="24"/>
          <w:u w:val="none"/>
        </w:rPr>
        <w:t>“Porter's Five Forces Model”</w:t>
      </w:r>
      <w:r>
        <w:rPr>
          <w:rFonts w:hint="default" w:ascii="Calibri" w:hAnsi="Calibri" w:cs="Calibri"/>
          <w:i w:val="0"/>
          <w:iCs w:val="0"/>
          <w:sz w:val="24"/>
          <w:szCs w:val="24"/>
          <w:u w:val="none"/>
        </w:rPr>
        <w:t xml:space="preserve"> has been used to figure out the main competitive forces of the retail industry. Furthermore, the segmentation, positioning and target market of the company has also been addressed. The finding shows, Tesco has established a good marketing position in the UK marketplaces that help the company to achieve strategic business objectives. The </w:t>
      </w:r>
      <w:r>
        <w:rPr>
          <w:rFonts w:hint="default" w:ascii="Calibri" w:hAnsi="Calibri" w:cs="Calibri"/>
          <w:b/>
          <w:i w:val="0"/>
          <w:iCs w:val="0"/>
          <w:sz w:val="24"/>
          <w:szCs w:val="24"/>
          <w:u w:val="none"/>
        </w:rPr>
        <w:t>“4Ps Marketing mix strategy”</w:t>
      </w:r>
      <w:r>
        <w:rPr>
          <w:rFonts w:hint="default" w:ascii="Calibri" w:hAnsi="Calibri" w:cs="Calibri"/>
          <w:i w:val="0"/>
          <w:iCs w:val="0"/>
          <w:sz w:val="24"/>
          <w:szCs w:val="24"/>
          <w:u w:val="none"/>
        </w:rPr>
        <w:t xml:space="preserve"> has been taken to determine the product, place, promotional style, and pricing style of Tesco. It can be concluded that the brand reputation and good marketing position of the retail company Tesco help the company to achieve its long-term business goal. </w:t>
      </w:r>
    </w:p>
    <w:p>
      <w:pPr>
        <w:pStyle w:val="2"/>
        <w:rPr>
          <w:rFonts w:hint="default" w:ascii="Calibri" w:hAnsi="Calibri" w:cs="Calibri"/>
          <w:i w:val="0"/>
          <w:iCs w:val="0"/>
          <w:sz w:val="24"/>
          <w:szCs w:val="24"/>
          <w:u w:val="none"/>
        </w:rPr>
      </w:pPr>
      <w:bookmarkStart w:id="9" w:name="_Toc122095109"/>
      <w:r>
        <w:rPr>
          <w:rFonts w:hint="default" w:ascii="Calibri" w:hAnsi="Calibri" w:cs="Calibri"/>
          <w:i w:val="0"/>
          <w:iCs w:val="0"/>
          <w:sz w:val="24"/>
          <w:szCs w:val="24"/>
          <w:u w:val="none"/>
        </w:rPr>
        <w:t>Question B</w:t>
      </w:r>
      <w:bookmarkEnd w:id="9"/>
    </w:p>
    <w:p>
      <w:pPr>
        <w:pStyle w:val="3"/>
        <w:rPr>
          <w:rFonts w:hint="default" w:ascii="Calibri" w:hAnsi="Calibri" w:cs="Calibri"/>
          <w:i w:val="0"/>
          <w:iCs w:val="0"/>
          <w:sz w:val="24"/>
          <w:szCs w:val="24"/>
          <w:u w:val="none"/>
        </w:rPr>
      </w:pPr>
      <w:bookmarkStart w:id="10" w:name="_Toc122095110"/>
      <w:r>
        <w:rPr>
          <w:rFonts w:hint="default" w:ascii="Calibri" w:hAnsi="Calibri" w:cs="Calibri"/>
          <w:i w:val="0"/>
          <w:iCs w:val="0"/>
          <w:sz w:val="24"/>
          <w:szCs w:val="24"/>
          <w:u w:val="none"/>
        </w:rPr>
        <w:t>Recommendations</w:t>
      </w:r>
      <w:bookmarkEnd w:id="10"/>
    </w:p>
    <w:p>
      <w:pPr>
        <w:spacing w:after="0" w:line="360" w:lineRule="auto"/>
        <w:jc w:val="both"/>
        <w:rPr>
          <w:rFonts w:hint="default" w:ascii="Calibri" w:hAnsi="Calibri" w:cs="Calibri"/>
          <w:i w:val="0"/>
          <w:iCs w:val="0"/>
          <w:sz w:val="24"/>
          <w:szCs w:val="24"/>
          <w:u w:val="none"/>
        </w:rPr>
      </w:pPr>
      <w:r>
        <w:rPr>
          <w:rFonts w:hint="default" w:ascii="Calibri" w:hAnsi="Calibri" w:cs="Calibri"/>
          <w:i w:val="0"/>
          <w:iCs w:val="0"/>
          <w:sz w:val="24"/>
          <w:szCs w:val="24"/>
          <w:u w:val="none"/>
        </w:rPr>
        <w:t xml:space="preserve">Tesco company to overcome the market competition and improves the financial performance of the business required following a </w:t>
      </w:r>
      <w:r>
        <w:rPr>
          <w:rFonts w:hint="default" w:ascii="Calibri" w:hAnsi="Calibri" w:cs="Calibri"/>
          <w:b/>
          <w:i w:val="0"/>
          <w:iCs w:val="0"/>
          <w:sz w:val="24"/>
          <w:szCs w:val="24"/>
          <w:u w:val="none"/>
        </w:rPr>
        <w:t>“competitive pricing strategy”</w:t>
      </w:r>
      <w:r>
        <w:rPr>
          <w:rFonts w:hint="default" w:ascii="Calibri" w:hAnsi="Calibri" w:cs="Calibri"/>
          <w:i w:val="0"/>
          <w:iCs w:val="0"/>
          <w:sz w:val="24"/>
          <w:szCs w:val="24"/>
          <w:u w:val="none"/>
        </w:rPr>
        <w:t xml:space="preserve">. As opined by Faith (2018), a </w:t>
      </w:r>
      <w:r>
        <w:rPr>
          <w:rFonts w:hint="default" w:ascii="Calibri" w:hAnsi="Calibri" w:cs="Calibri"/>
          <w:b/>
          <w:i w:val="0"/>
          <w:iCs w:val="0"/>
          <w:sz w:val="24"/>
          <w:szCs w:val="24"/>
          <w:u w:val="none"/>
        </w:rPr>
        <w:t xml:space="preserve">“competitive pricing strategy” </w:t>
      </w:r>
      <w:r>
        <w:rPr>
          <w:rFonts w:hint="default" w:ascii="Calibri" w:hAnsi="Calibri" w:cs="Calibri"/>
          <w:i w:val="0"/>
          <w:iCs w:val="0"/>
          <w:sz w:val="24"/>
          <w:szCs w:val="24"/>
          <w:u w:val="none"/>
        </w:rPr>
        <w:t xml:space="preserve">is very effective for the business to enhance sales growth in a minimal time. The company is required to focus on proper </w:t>
      </w:r>
      <w:r>
        <w:rPr>
          <w:rFonts w:hint="default" w:ascii="Calibri" w:hAnsi="Calibri" w:cs="Calibri"/>
          <w:b/>
          <w:i w:val="0"/>
          <w:iCs w:val="0"/>
          <w:sz w:val="24"/>
          <w:szCs w:val="24"/>
          <w:u w:val="none"/>
        </w:rPr>
        <w:t>“supply chain management”</w:t>
      </w:r>
      <w:r>
        <w:rPr>
          <w:rFonts w:hint="default" w:ascii="Calibri" w:hAnsi="Calibri" w:cs="Calibri"/>
          <w:i w:val="0"/>
          <w:iCs w:val="0"/>
          <w:sz w:val="24"/>
          <w:szCs w:val="24"/>
          <w:u w:val="none"/>
        </w:rPr>
        <w:t xml:space="preserve">, that helps the company to keep the availability of the product and the company can effectively maintain customer satisfaction. According to Sodhi and Tang (2021), proper </w:t>
      </w:r>
      <w:r>
        <w:rPr>
          <w:rFonts w:hint="default" w:ascii="Calibri" w:hAnsi="Calibri" w:cs="Calibri"/>
          <w:b/>
          <w:i w:val="0"/>
          <w:iCs w:val="0"/>
          <w:sz w:val="24"/>
          <w:szCs w:val="24"/>
          <w:u w:val="none"/>
        </w:rPr>
        <w:t>“supply chain management”</w:t>
      </w:r>
      <w:r>
        <w:rPr>
          <w:rFonts w:hint="default" w:ascii="Calibri" w:hAnsi="Calibri" w:cs="Calibri"/>
          <w:i w:val="0"/>
          <w:iCs w:val="0"/>
          <w:sz w:val="24"/>
          <w:szCs w:val="24"/>
          <w:u w:val="none"/>
        </w:rPr>
        <w:t> is very important for the retail business to enhance business growth. Therefore, the retail company Tesco is required to maintain proper management of the supply chain to properly meet customer requirements.  </w:t>
      </w:r>
    </w:p>
    <w:p>
      <w:pPr>
        <w:pStyle w:val="2"/>
        <w:rPr>
          <w:rFonts w:hint="default" w:ascii="Calibri" w:hAnsi="Calibri" w:cs="Calibri"/>
          <w:i w:val="0"/>
          <w:iCs w:val="0"/>
          <w:sz w:val="24"/>
          <w:szCs w:val="24"/>
          <w:u w:val="none"/>
        </w:rPr>
      </w:pPr>
      <w:r>
        <w:rPr>
          <w:rFonts w:hint="default" w:ascii="Calibri" w:hAnsi="Calibri" w:cs="Calibri"/>
          <w:i w:val="0"/>
          <w:iCs w:val="0"/>
          <w:sz w:val="24"/>
          <w:szCs w:val="24"/>
          <w:u w:val="none"/>
        </w:rPr>
        <w:br w:type="page"/>
      </w:r>
      <w:bookmarkStart w:id="11" w:name="_Toc122095111"/>
      <w:r>
        <w:rPr>
          <w:rFonts w:hint="default" w:ascii="Calibri" w:hAnsi="Calibri" w:cs="Calibri"/>
          <w:i w:val="0"/>
          <w:iCs w:val="0"/>
          <w:sz w:val="24"/>
          <w:szCs w:val="24"/>
          <w:u w:val="none"/>
        </w:rPr>
        <w:t>References</w:t>
      </w:r>
      <w:bookmarkEnd w:id="11"/>
    </w:p>
    <w:p>
      <w:pPr>
        <w:spacing w:after="0" w:line="360" w:lineRule="auto"/>
        <w:jc w:val="both"/>
        <w:rPr>
          <w:rFonts w:hint="default" w:ascii="Calibri" w:hAnsi="Calibri" w:cs="Calibri"/>
          <w:i w:val="0"/>
          <w:iCs w:val="0"/>
          <w:sz w:val="24"/>
          <w:szCs w:val="24"/>
          <w:u w:val="none"/>
        </w:rPr>
      </w:pPr>
      <w:r>
        <w:rPr>
          <w:rFonts w:hint="default" w:ascii="Calibri" w:hAnsi="Calibri" w:cs="Calibri"/>
          <w:i w:val="0"/>
          <w:iCs w:val="0"/>
          <w:color w:val="000000" w:themeColor="text1"/>
          <w:sz w:val="24"/>
          <w:szCs w:val="24"/>
          <w:u w:val="none"/>
          <w:shd w:val="clear" w:color="auto" w:fill="FFFFFF"/>
        </w:rPr>
        <w:t>Faith, D.O., 2018. A review of the effect of pricing strategies on the purchase of consumer goods. </w:t>
      </w:r>
      <w:r>
        <w:rPr>
          <w:rFonts w:hint="default" w:ascii="Calibri" w:hAnsi="Calibri" w:cs="Calibri"/>
          <w:i w:val="0"/>
          <w:iCs w:val="0"/>
          <w:color w:val="000000" w:themeColor="text1"/>
          <w:sz w:val="24"/>
          <w:szCs w:val="24"/>
          <w:u w:val="none"/>
          <w:shd w:val="clear" w:color="auto" w:fill="FFFFFF"/>
        </w:rPr>
        <w:t>International Journal of Research in Management, Science &amp; Technology (E-ISSN: 2321-3264) Vol</w:t>
      </w:r>
      <w:r>
        <w:rPr>
          <w:rFonts w:hint="default" w:ascii="Calibri" w:hAnsi="Calibri" w:cs="Calibri"/>
          <w:i w:val="0"/>
          <w:iCs w:val="0"/>
          <w:color w:val="000000" w:themeColor="text1"/>
          <w:sz w:val="24"/>
          <w:szCs w:val="24"/>
          <w:u w:val="none"/>
          <w:shd w:val="clear" w:color="auto" w:fill="FFFFFF"/>
        </w:rPr>
        <w:t>, </w:t>
      </w:r>
      <w:r>
        <w:rPr>
          <w:rFonts w:hint="default" w:ascii="Calibri" w:hAnsi="Calibri" w:cs="Calibri"/>
          <w:i w:val="0"/>
          <w:iCs w:val="0"/>
          <w:color w:val="000000" w:themeColor="text1"/>
          <w:sz w:val="24"/>
          <w:szCs w:val="24"/>
          <w:u w:val="none"/>
          <w:shd w:val="clear" w:color="auto" w:fill="FFFFFF"/>
        </w:rPr>
        <w:t>2</w:t>
      </w:r>
      <w:r>
        <w:rPr>
          <w:rFonts w:hint="default" w:ascii="Calibri" w:hAnsi="Calibri" w:cs="Calibri"/>
          <w:i w:val="0"/>
          <w:iCs w:val="0"/>
          <w:color w:val="000000" w:themeColor="text1"/>
          <w:sz w:val="24"/>
          <w:szCs w:val="24"/>
          <w:u w:val="none"/>
          <w:shd w:val="clear" w:color="auto" w:fill="FFFFFF"/>
        </w:rPr>
        <w:t>.</w:t>
      </w:r>
      <w:r>
        <w:rPr>
          <w:rFonts w:hint="default" w:ascii="Calibri" w:hAnsi="Calibri" w:cs="Calibri"/>
          <w:i w:val="0"/>
          <w:iCs w:val="0"/>
          <w:color w:val="000000" w:themeColor="text1"/>
          <w:sz w:val="24"/>
          <w:szCs w:val="24"/>
          <w:u w:val="none"/>
        </w:rPr>
        <w:t xml:space="preserve"> </w:t>
      </w:r>
      <w:r>
        <w:rPr>
          <w:rFonts w:hint="default" w:ascii="Calibri" w:hAnsi="Calibri" w:cs="Calibri"/>
          <w:i w:val="0"/>
          <w:iCs w:val="0"/>
          <w:color w:val="000000" w:themeColor="text1"/>
          <w:sz w:val="24"/>
          <w:szCs w:val="24"/>
          <w:u w:val="none"/>
          <w:shd w:val="clear" w:color="auto" w:fill="FFFFFF"/>
        </w:rPr>
        <w:t>https://papers.ssrn.com/sol3/papers.cfm?abstract_id=3122351</w:t>
      </w:r>
    </w:p>
    <w:p>
      <w:pPr>
        <w:spacing w:after="0" w:line="360" w:lineRule="auto"/>
        <w:jc w:val="both"/>
        <w:rPr>
          <w:rFonts w:hint="default" w:ascii="Calibri" w:hAnsi="Calibri" w:cs="Calibri"/>
          <w:i w:val="0"/>
          <w:iCs w:val="0"/>
          <w:color w:val="000000" w:themeColor="text1"/>
          <w:sz w:val="24"/>
          <w:szCs w:val="24"/>
          <w:u w:val="none"/>
        </w:rPr>
      </w:pPr>
      <w:r>
        <w:rPr>
          <w:rFonts w:hint="default" w:ascii="Calibri" w:hAnsi="Calibri" w:cs="Calibri"/>
          <w:i w:val="0"/>
          <w:iCs w:val="0"/>
          <w:color w:val="000000" w:themeColor="text1"/>
          <w:sz w:val="24"/>
          <w:szCs w:val="24"/>
          <w:u w:val="none"/>
          <w:shd w:val="clear" w:color="auto" w:fill="FFFFFF"/>
        </w:rPr>
        <w:t>Galera‐Zarco, C., Opazo‐Basáez, M., Marić, J. and García‐Feijoo, M., 2020. Digitalization and the inception of concentric strategic alliances: A case study in the retailing sector. </w:t>
      </w:r>
      <w:r>
        <w:rPr>
          <w:rFonts w:hint="default" w:ascii="Calibri" w:hAnsi="Calibri" w:cs="Calibri"/>
          <w:i w:val="0"/>
          <w:iCs w:val="0"/>
          <w:color w:val="000000" w:themeColor="text1"/>
          <w:sz w:val="24"/>
          <w:szCs w:val="24"/>
          <w:u w:val="none"/>
          <w:shd w:val="clear" w:color="auto" w:fill="FFFFFF"/>
        </w:rPr>
        <w:t>Strategic Change</w:t>
      </w:r>
      <w:r>
        <w:rPr>
          <w:rFonts w:hint="default" w:ascii="Calibri" w:hAnsi="Calibri" w:cs="Calibri"/>
          <w:i w:val="0"/>
          <w:iCs w:val="0"/>
          <w:color w:val="000000" w:themeColor="text1"/>
          <w:sz w:val="24"/>
          <w:szCs w:val="24"/>
          <w:u w:val="none"/>
          <w:shd w:val="clear" w:color="auto" w:fill="FFFFFF"/>
        </w:rPr>
        <w:t>, </w:t>
      </w:r>
      <w:r>
        <w:rPr>
          <w:rFonts w:hint="default" w:ascii="Calibri" w:hAnsi="Calibri" w:cs="Calibri"/>
          <w:i w:val="0"/>
          <w:iCs w:val="0"/>
          <w:color w:val="000000" w:themeColor="text1"/>
          <w:sz w:val="24"/>
          <w:szCs w:val="24"/>
          <w:u w:val="none"/>
          <w:shd w:val="clear" w:color="auto" w:fill="FFFFFF"/>
        </w:rPr>
        <w:t>29</w:t>
      </w:r>
      <w:r>
        <w:rPr>
          <w:rFonts w:hint="default" w:ascii="Calibri" w:hAnsi="Calibri" w:cs="Calibri"/>
          <w:i w:val="0"/>
          <w:iCs w:val="0"/>
          <w:color w:val="000000" w:themeColor="text1"/>
          <w:sz w:val="24"/>
          <w:szCs w:val="24"/>
          <w:u w:val="none"/>
          <w:shd w:val="clear" w:color="auto" w:fill="FFFFFF"/>
        </w:rPr>
        <w:t>(2), pp.165-177.</w:t>
      </w:r>
      <w:r>
        <w:rPr>
          <w:rFonts w:hint="default" w:ascii="Calibri" w:hAnsi="Calibri" w:cs="Calibri"/>
          <w:i w:val="0"/>
          <w:iCs w:val="0"/>
          <w:color w:val="000000" w:themeColor="text1"/>
          <w:sz w:val="24"/>
          <w:szCs w:val="24"/>
          <w:u w:val="none"/>
        </w:rPr>
        <w:t xml:space="preserve"> </w:t>
      </w: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"https://doi.org/10.1002/jsc.2319" </w:instrText>
      </w:r>
      <w:r>
        <w:rPr>
          <w:rFonts w:hint="default" w:ascii="Calibri" w:hAnsi="Calibri" w:cs="Calibri"/>
          <w:i w:val="0"/>
          <w:iCs w:val="0"/>
          <w:u w:val="none"/>
        </w:rPr>
        <w:fldChar w:fldCharType="separate"/>
      </w:r>
      <w:r>
        <w:rPr>
          <w:rStyle w:val="10"/>
          <w:rFonts w:hint="default" w:ascii="Calibri" w:hAnsi="Calibri" w:cs="Calibri"/>
          <w:i w:val="0"/>
          <w:iCs w:val="0"/>
          <w:color w:val="000000" w:themeColor="text1"/>
          <w:sz w:val="24"/>
          <w:szCs w:val="24"/>
          <w:u w:val="none"/>
        </w:rPr>
        <w:t>https://doi.org/10.1002/jsc.2319</w:t>
      </w:r>
      <w:r>
        <w:rPr>
          <w:rStyle w:val="10"/>
          <w:rFonts w:hint="default" w:ascii="Calibri" w:hAnsi="Calibri" w:cs="Calibri"/>
          <w:i w:val="0"/>
          <w:iCs w:val="0"/>
          <w:color w:val="000000" w:themeColor="text1"/>
          <w:sz w:val="24"/>
          <w:szCs w:val="24"/>
          <w:u w:val="none"/>
        </w:rPr>
        <w:fldChar w:fldCharType="end"/>
      </w:r>
    </w:p>
    <w:p>
      <w:pPr>
        <w:spacing w:after="0" w:line="360" w:lineRule="auto"/>
        <w:jc w:val="both"/>
        <w:rPr>
          <w:rFonts w:hint="default" w:ascii="Calibri" w:hAnsi="Calibri" w:cs="Calibri"/>
          <w:i w:val="0"/>
          <w:iCs w:val="0"/>
          <w:color w:val="000000" w:themeColor="text1"/>
          <w:sz w:val="24"/>
          <w:szCs w:val="24"/>
          <w:u w:val="none"/>
        </w:rPr>
      </w:pPr>
      <w:r>
        <w:rPr>
          <w:rFonts w:hint="default" w:ascii="Calibri" w:hAnsi="Calibri" w:cs="Calibri"/>
          <w:i w:val="0"/>
          <w:iCs w:val="0"/>
          <w:color w:val="000000" w:themeColor="text1"/>
          <w:sz w:val="24"/>
          <w:szCs w:val="24"/>
          <w:u w:val="none"/>
        </w:rPr>
        <w:t xml:space="preserve">Gov.uk (2022a). </w:t>
      </w:r>
      <w:r>
        <w:rPr>
          <w:rFonts w:hint="default" w:ascii="Calibri" w:hAnsi="Calibri" w:cs="Calibri"/>
          <w:i w:val="0"/>
          <w:iCs w:val="0"/>
          <w:color w:val="000000" w:themeColor="text1"/>
          <w:sz w:val="24"/>
          <w:szCs w:val="24"/>
          <w:u w:val="none"/>
        </w:rPr>
        <w:t>Income Tax rates and Personal Allowances.</w:t>
      </w:r>
      <w:r>
        <w:rPr>
          <w:rFonts w:hint="default" w:ascii="Calibri" w:hAnsi="Calibri" w:cs="Calibri"/>
          <w:i w:val="0"/>
          <w:iCs w:val="0"/>
          <w:color w:val="000000" w:themeColor="text1"/>
          <w:sz w:val="24"/>
          <w:szCs w:val="24"/>
          <w:u w:val="none"/>
        </w:rPr>
        <w:t xml:space="preserve"> Available from </w:t>
      </w: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"https://www.gov.uk/income-tax-rates.%20Accessed%20on%2016.12.2022" </w:instrText>
      </w:r>
      <w:r>
        <w:rPr>
          <w:rFonts w:hint="default" w:ascii="Calibri" w:hAnsi="Calibri" w:cs="Calibri"/>
          <w:i w:val="0"/>
          <w:iCs w:val="0"/>
          <w:u w:val="none"/>
        </w:rPr>
        <w:fldChar w:fldCharType="separate"/>
      </w:r>
      <w:r>
        <w:rPr>
          <w:rStyle w:val="10"/>
          <w:rFonts w:hint="default" w:ascii="Calibri" w:hAnsi="Calibri" w:cs="Calibri"/>
          <w:i w:val="0"/>
          <w:iCs w:val="0"/>
          <w:color w:val="000000" w:themeColor="text1"/>
          <w:sz w:val="24"/>
          <w:szCs w:val="24"/>
          <w:u w:val="none"/>
        </w:rPr>
        <w:t>https://www.gov.uk/income-tax-rates. Accessed on 16.12.2022</w:t>
      </w:r>
      <w:r>
        <w:rPr>
          <w:rStyle w:val="10"/>
          <w:rFonts w:hint="default" w:ascii="Calibri" w:hAnsi="Calibri" w:cs="Calibri"/>
          <w:i w:val="0"/>
          <w:iCs w:val="0"/>
          <w:color w:val="000000" w:themeColor="text1"/>
          <w:sz w:val="24"/>
          <w:szCs w:val="24"/>
          <w:u w:val="none"/>
        </w:rPr>
        <w:fldChar w:fldCharType="end"/>
      </w:r>
    </w:p>
    <w:p>
      <w:pPr>
        <w:spacing w:after="0" w:line="360" w:lineRule="auto"/>
        <w:jc w:val="both"/>
        <w:rPr>
          <w:rFonts w:hint="default" w:ascii="Calibri" w:hAnsi="Calibri" w:cs="Calibri"/>
          <w:i w:val="0"/>
          <w:iCs w:val="0"/>
          <w:color w:val="000000" w:themeColor="text1"/>
          <w:sz w:val="24"/>
          <w:szCs w:val="24"/>
          <w:u w:val="none"/>
        </w:rPr>
      </w:pPr>
      <w:r>
        <w:rPr>
          <w:rFonts w:hint="default" w:ascii="Calibri" w:hAnsi="Calibri" w:cs="Calibri"/>
          <w:i w:val="0"/>
          <w:iCs w:val="0"/>
          <w:color w:val="000000" w:themeColor="text1"/>
          <w:sz w:val="24"/>
          <w:szCs w:val="24"/>
          <w:u w:val="none"/>
        </w:rPr>
        <w:t xml:space="preserve">Gov.uk (2022b). </w:t>
      </w:r>
      <w:r>
        <w:rPr>
          <w:rFonts w:hint="default" w:ascii="Calibri" w:hAnsi="Calibri" w:cs="Calibri"/>
          <w:i w:val="0"/>
          <w:iCs w:val="0"/>
          <w:color w:val="000000" w:themeColor="text1"/>
          <w:sz w:val="24"/>
          <w:szCs w:val="24"/>
          <w:u w:val="none"/>
        </w:rPr>
        <w:t>Environmental Protection Act 1990.</w:t>
      </w:r>
      <w:r>
        <w:rPr>
          <w:rFonts w:hint="default" w:ascii="Calibri" w:hAnsi="Calibri" w:cs="Calibri"/>
          <w:i w:val="0"/>
          <w:iCs w:val="0"/>
          <w:color w:val="000000" w:themeColor="text1"/>
          <w:sz w:val="24"/>
          <w:szCs w:val="24"/>
          <w:u w:val="none"/>
        </w:rPr>
        <w:t xml:space="preserve"> Available from </w:t>
      </w: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"https://www.gov.uk/income-tax-rates.%20Accessed%20on%2016.12.2022" </w:instrText>
      </w:r>
      <w:r>
        <w:rPr>
          <w:rFonts w:hint="default" w:ascii="Calibri" w:hAnsi="Calibri" w:cs="Calibri"/>
          <w:i w:val="0"/>
          <w:iCs w:val="0"/>
          <w:u w:val="none"/>
        </w:rPr>
        <w:fldChar w:fldCharType="separate"/>
      </w:r>
      <w:r>
        <w:rPr>
          <w:rFonts w:hint="default" w:ascii="Calibri" w:hAnsi="Calibri" w:cs="Calibri"/>
          <w:i w:val="0"/>
          <w:iCs w:val="0"/>
          <w:color w:val="000000" w:themeColor="text1"/>
          <w:sz w:val="24"/>
          <w:szCs w:val="24"/>
          <w:u w:val="none"/>
        </w:rPr>
        <w:t xml:space="preserve"> </w:t>
      </w:r>
      <w:r>
        <w:rPr>
          <w:rStyle w:val="10"/>
          <w:rFonts w:hint="default" w:ascii="Calibri" w:hAnsi="Calibri" w:cs="Calibri"/>
          <w:i w:val="0"/>
          <w:iCs w:val="0"/>
          <w:color w:val="000000" w:themeColor="text1"/>
          <w:sz w:val="24"/>
          <w:szCs w:val="24"/>
          <w:u w:val="none"/>
        </w:rPr>
        <w:t>https://www.legislation.gov.uk/ukpga/1990/43/contents. Accessed on 16.12.2022</w:t>
      </w:r>
      <w:r>
        <w:rPr>
          <w:rStyle w:val="10"/>
          <w:rFonts w:hint="default" w:ascii="Calibri" w:hAnsi="Calibri" w:cs="Calibri"/>
          <w:i w:val="0"/>
          <w:iCs w:val="0"/>
          <w:color w:val="000000" w:themeColor="text1"/>
          <w:sz w:val="24"/>
          <w:szCs w:val="24"/>
          <w:u w:val="none"/>
        </w:rPr>
        <w:fldChar w:fldCharType="end"/>
      </w:r>
    </w:p>
    <w:p>
      <w:pPr>
        <w:spacing w:after="0" w:line="360" w:lineRule="auto"/>
        <w:jc w:val="both"/>
        <w:rPr>
          <w:rFonts w:hint="default" w:ascii="Calibri" w:hAnsi="Calibri" w:cs="Calibri"/>
          <w:i w:val="0"/>
          <w:iCs w:val="0"/>
          <w:color w:val="000000" w:themeColor="text1"/>
          <w:sz w:val="24"/>
          <w:szCs w:val="24"/>
          <w:u w:val="none"/>
        </w:rPr>
      </w:pPr>
      <w:r>
        <w:rPr>
          <w:rFonts w:hint="default" w:ascii="Calibri" w:hAnsi="Calibri" w:cs="Calibri"/>
          <w:i w:val="0"/>
          <w:iCs w:val="0"/>
          <w:color w:val="000000" w:themeColor="text1"/>
          <w:sz w:val="24"/>
          <w:szCs w:val="24"/>
          <w:u w:val="none"/>
        </w:rPr>
        <w:t>Gov.uk (2022c)</w:t>
      </w:r>
      <w:r>
        <w:rPr>
          <w:rFonts w:hint="default" w:ascii="Calibri" w:hAnsi="Calibri" w:cs="Calibri"/>
          <w:i w:val="0"/>
          <w:iCs w:val="0"/>
          <w:color w:val="000000" w:themeColor="text1"/>
          <w:sz w:val="24"/>
          <w:szCs w:val="24"/>
          <w:u w:val="none"/>
        </w:rPr>
        <w:t xml:space="preserve">.  Equality Act 2010. </w:t>
      </w:r>
      <w:r>
        <w:rPr>
          <w:rFonts w:hint="default" w:ascii="Calibri" w:hAnsi="Calibri" w:cs="Calibri"/>
          <w:i w:val="0"/>
          <w:iCs w:val="0"/>
          <w:color w:val="000000" w:themeColor="text1"/>
          <w:sz w:val="24"/>
          <w:szCs w:val="24"/>
          <w:u w:val="none"/>
        </w:rPr>
        <w:t xml:space="preserve">  Available from https://www.gov.uk/guidance/equality-act-2010-guidance#:~:text=The%20Equality%20Act%202010%20legally,strengthening%20protection%20in%20some%20situations. Accessed on 16.12.2022</w:t>
      </w:r>
    </w:p>
    <w:p>
      <w:pPr>
        <w:spacing w:after="0" w:line="360" w:lineRule="auto"/>
        <w:jc w:val="both"/>
        <w:rPr>
          <w:rFonts w:hint="default" w:ascii="Calibri" w:hAnsi="Calibri" w:cs="Calibri"/>
          <w:i w:val="0"/>
          <w:iCs w:val="0"/>
          <w:color w:val="000000" w:themeColor="text1"/>
          <w:sz w:val="24"/>
          <w:szCs w:val="24"/>
          <w:u w:val="none"/>
          <w:shd w:val="clear" w:color="auto" w:fill="FFFFFF"/>
        </w:rPr>
      </w:pPr>
      <w:r>
        <w:rPr>
          <w:rFonts w:hint="default" w:ascii="Calibri" w:hAnsi="Calibri" w:cs="Calibri"/>
          <w:i w:val="0"/>
          <w:iCs w:val="0"/>
          <w:color w:val="000000" w:themeColor="text1"/>
          <w:sz w:val="24"/>
          <w:szCs w:val="24"/>
          <w:u w:val="none"/>
          <w:shd w:val="clear" w:color="auto" w:fill="FFFFFF"/>
        </w:rPr>
        <w:t>Keiningham, T., Aksoy, L., Bruce, H.L., Cadet, F., Clennell, N., Hodgkinson, I.R. and Kearney, T., 2020. Customer experience driven business model innovation. </w:t>
      </w:r>
      <w:r>
        <w:rPr>
          <w:rFonts w:hint="default" w:ascii="Calibri" w:hAnsi="Calibri" w:cs="Calibri"/>
          <w:i w:val="0"/>
          <w:iCs w:val="0"/>
          <w:color w:val="000000" w:themeColor="text1"/>
          <w:sz w:val="24"/>
          <w:szCs w:val="24"/>
          <w:u w:val="none"/>
          <w:shd w:val="clear" w:color="auto" w:fill="FFFFFF"/>
        </w:rPr>
        <w:t>Journal of Business Research</w:t>
      </w:r>
      <w:r>
        <w:rPr>
          <w:rFonts w:hint="default" w:ascii="Calibri" w:hAnsi="Calibri" w:cs="Calibri"/>
          <w:i w:val="0"/>
          <w:iCs w:val="0"/>
          <w:color w:val="000000" w:themeColor="text1"/>
          <w:sz w:val="24"/>
          <w:szCs w:val="24"/>
          <w:u w:val="none"/>
          <w:shd w:val="clear" w:color="auto" w:fill="FFFFFF"/>
        </w:rPr>
        <w:t>, </w:t>
      </w:r>
      <w:r>
        <w:rPr>
          <w:rFonts w:hint="default" w:ascii="Calibri" w:hAnsi="Calibri" w:cs="Calibri"/>
          <w:i w:val="0"/>
          <w:iCs w:val="0"/>
          <w:color w:val="000000" w:themeColor="text1"/>
          <w:sz w:val="24"/>
          <w:szCs w:val="24"/>
          <w:u w:val="none"/>
          <w:shd w:val="clear" w:color="auto" w:fill="FFFFFF"/>
        </w:rPr>
        <w:t>116</w:t>
      </w:r>
      <w:r>
        <w:rPr>
          <w:rFonts w:hint="default" w:ascii="Calibri" w:hAnsi="Calibri" w:cs="Calibri"/>
          <w:i w:val="0"/>
          <w:iCs w:val="0"/>
          <w:color w:val="000000" w:themeColor="text1"/>
          <w:sz w:val="24"/>
          <w:szCs w:val="24"/>
          <w:u w:val="none"/>
          <w:shd w:val="clear" w:color="auto" w:fill="FFFFFF"/>
        </w:rPr>
        <w:t>, pp.431-440.</w:t>
      </w:r>
      <w:r>
        <w:rPr>
          <w:rFonts w:hint="default" w:ascii="Calibri" w:hAnsi="Calibri" w:cs="Calibri"/>
          <w:i w:val="0"/>
          <w:iCs w:val="0"/>
          <w:color w:val="000000" w:themeColor="text1"/>
          <w:sz w:val="24"/>
          <w:szCs w:val="24"/>
          <w:u w:val="none"/>
        </w:rPr>
        <w:t xml:space="preserve"> </w:t>
      </w: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"https://www.sciencedirect.com/science/article/pii/S014829631930462X" </w:instrText>
      </w:r>
      <w:r>
        <w:rPr>
          <w:rFonts w:hint="default" w:ascii="Calibri" w:hAnsi="Calibri" w:cs="Calibri"/>
          <w:i w:val="0"/>
          <w:iCs w:val="0"/>
          <w:u w:val="none"/>
        </w:rPr>
        <w:fldChar w:fldCharType="separate"/>
      </w:r>
      <w:r>
        <w:rPr>
          <w:rStyle w:val="10"/>
          <w:rFonts w:hint="default" w:ascii="Calibri" w:hAnsi="Calibri" w:cs="Calibri"/>
          <w:i w:val="0"/>
          <w:iCs w:val="0"/>
          <w:color w:val="000000" w:themeColor="text1"/>
          <w:sz w:val="24"/>
          <w:szCs w:val="24"/>
          <w:u w:val="none"/>
          <w:shd w:val="clear" w:color="auto" w:fill="FFFFFF"/>
        </w:rPr>
        <w:t>https://www.sciencedirect.com/science/article/pii/S014829631930462X</w:t>
      </w:r>
      <w:r>
        <w:rPr>
          <w:rStyle w:val="10"/>
          <w:rFonts w:hint="default" w:ascii="Calibri" w:hAnsi="Calibri" w:cs="Calibri"/>
          <w:i w:val="0"/>
          <w:iCs w:val="0"/>
          <w:color w:val="000000" w:themeColor="text1"/>
          <w:sz w:val="24"/>
          <w:szCs w:val="24"/>
          <w:u w:val="none"/>
          <w:shd w:val="clear" w:color="auto" w:fill="FFFFFF"/>
        </w:rPr>
        <w:fldChar w:fldCharType="end"/>
      </w:r>
    </w:p>
    <w:p>
      <w:pPr>
        <w:spacing w:after="0" w:line="360" w:lineRule="auto"/>
        <w:jc w:val="both"/>
        <w:rPr>
          <w:rFonts w:hint="default" w:ascii="Calibri" w:hAnsi="Calibri" w:cs="Calibri"/>
          <w:i w:val="0"/>
          <w:iCs w:val="0"/>
          <w:color w:val="000000" w:themeColor="text1"/>
          <w:sz w:val="24"/>
          <w:szCs w:val="24"/>
          <w:u w:val="none"/>
        </w:rPr>
      </w:pPr>
      <w:r>
        <w:rPr>
          <w:rFonts w:hint="default" w:ascii="Calibri" w:hAnsi="Calibri" w:cs="Calibri"/>
          <w:i w:val="0"/>
          <w:iCs w:val="0"/>
          <w:color w:val="000000" w:themeColor="text1"/>
          <w:sz w:val="24"/>
          <w:szCs w:val="24"/>
          <w:u w:val="none"/>
        </w:rPr>
        <w:t xml:space="preserve">Ons.gov.uk (2022a). </w:t>
      </w:r>
      <w:r>
        <w:rPr>
          <w:rFonts w:hint="default" w:ascii="Calibri" w:hAnsi="Calibri" w:cs="Calibri"/>
          <w:i w:val="0"/>
          <w:iCs w:val="0"/>
          <w:color w:val="000000" w:themeColor="text1"/>
          <w:sz w:val="24"/>
          <w:szCs w:val="24"/>
          <w:u w:val="none"/>
        </w:rPr>
        <w:t>Unemployment rate (aged 16 and over, seasonally adjusted): %.</w:t>
      </w:r>
      <w:r>
        <w:rPr>
          <w:rFonts w:hint="default" w:ascii="Calibri" w:hAnsi="Calibri" w:cs="Calibri"/>
          <w:i w:val="0"/>
          <w:iCs w:val="0"/>
          <w:color w:val="000000" w:themeColor="text1"/>
          <w:sz w:val="24"/>
          <w:szCs w:val="24"/>
          <w:u w:val="none"/>
        </w:rPr>
        <w:t xml:space="preserve"> Available from </w:t>
      </w: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"https://www.gov.uk/income-tax-rates.%20Accessed%20on%2016.12.2022" </w:instrText>
      </w:r>
      <w:r>
        <w:rPr>
          <w:rFonts w:hint="default" w:ascii="Calibri" w:hAnsi="Calibri" w:cs="Calibri"/>
          <w:i w:val="0"/>
          <w:iCs w:val="0"/>
          <w:u w:val="none"/>
        </w:rPr>
        <w:fldChar w:fldCharType="separate"/>
      </w:r>
      <w:r>
        <w:rPr>
          <w:rFonts w:hint="default" w:ascii="Calibri" w:hAnsi="Calibri" w:cs="Calibri"/>
          <w:i w:val="0"/>
          <w:iCs w:val="0"/>
          <w:color w:val="000000" w:themeColor="text1"/>
          <w:sz w:val="24"/>
          <w:szCs w:val="24"/>
          <w:u w:val="none"/>
        </w:rPr>
        <w:t xml:space="preserve"> </w:t>
      </w:r>
      <w:r>
        <w:rPr>
          <w:rStyle w:val="10"/>
          <w:rFonts w:hint="default" w:ascii="Calibri" w:hAnsi="Calibri" w:cs="Calibri"/>
          <w:i w:val="0"/>
          <w:iCs w:val="0"/>
          <w:color w:val="000000" w:themeColor="text1"/>
          <w:sz w:val="24"/>
          <w:szCs w:val="24"/>
          <w:u w:val="none"/>
        </w:rPr>
        <w:t>https://www.ons.gov.uk/employmentandlabourmarket/peoplenotinwork/unemployment#:~:text=Labour%20market%20overview%2C%20UK%3A%20December%202022&amp;text=The%20unemployment%20rate%20for%20August,seen%20across%20all%20age%20groups. Accessed on 16.12.2022</w:t>
      </w:r>
      <w:r>
        <w:rPr>
          <w:rStyle w:val="10"/>
          <w:rFonts w:hint="default" w:ascii="Calibri" w:hAnsi="Calibri" w:cs="Calibri"/>
          <w:i w:val="0"/>
          <w:iCs w:val="0"/>
          <w:color w:val="000000" w:themeColor="text1"/>
          <w:sz w:val="24"/>
          <w:szCs w:val="24"/>
          <w:u w:val="none"/>
        </w:rPr>
        <w:fldChar w:fldCharType="end"/>
      </w:r>
    </w:p>
    <w:p>
      <w:pPr>
        <w:spacing w:after="0" w:line="360" w:lineRule="auto"/>
        <w:jc w:val="both"/>
        <w:rPr>
          <w:rFonts w:hint="default" w:ascii="Calibri" w:hAnsi="Calibri" w:cs="Calibri"/>
          <w:i w:val="0"/>
          <w:iCs w:val="0"/>
          <w:color w:val="000000" w:themeColor="text1"/>
          <w:sz w:val="24"/>
          <w:szCs w:val="24"/>
          <w:u w:val="none"/>
        </w:rPr>
      </w:pPr>
      <w:r>
        <w:rPr>
          <w:rFonts w:hint="default" w:ascii="Calibri" w:hAnsi="Calibri" w:cs="Calibri"/>
          <w:i w:val="0"/>
          <w:iCs w:val="0"/>
          <w:color w:val="000000" w:themeColor="text1"/>
          <w:sz w:val="24"/>
          <w:szCs w:val="24"/>
          <w:u w:val="none"/>
        </w:rPr>
        <w:t xml:space="preserve">Ons.gov.uk (2022b). </w:t>
      </w:r>
      <w:r>
        <w:rPr>
          <w:rFonts w:hint="default" w:ascii="Calibri" w:hAnsi="Calibri" w:cs="Calibri"/>
          <w:i w:val="0"/>
          <w:iCs w:val="0"/>
          <w:color w:val="000000" w:themeColor="text1"/>
          <w:sz w:val="24"/>
          <w:szCs w:val="24"/>
          <w:u w:val="none"/>
        </w:rPr>
        <w:t xml:space="preserve">Retail sales, Great Britain: October 2022. </w:t>
      </w:r>
      <w:r>
        <w:rPr>
          <w:rFonts w:hint="default" w:ascii="Calibri" w:hAnsi="Calibri" w:cs="Calibri"/>
          <w:i w:val="0"/>
          <w:iCs w:val="0"/>
          <w:color w:val="000000" w:themeColor="text1"/>
          <w:sz w:val="24"/>
          <w:szCs w:val="24"/>
          <w:u w:val="none"/>
        </w:rPr>
        <w:t xml:space="preserve">Available from </w:t>
      </w: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"https://www.gov.uk/income-tax-rates.%20Accessed%20on%2016.12.2022" </w:instrText>
      </w:r>
      <w:r>
        <w:rPr>
          <w:rFonts w:hint="default" w:ascii="Calibri" w:hAnsi="Calibri" w:cs="Calibri"/>
          <w:i w:val="0"/>
          <w:iCs w:val="0"/>
          <w:u w:val="none"/>
        </w:rPr>
        <w:fldChar w:fldCharType="separate"/>
      </w:r>
      <w:r>
        <w:rPr>
          <w:rFonts w:hint="default" w:ascii="Calibri" w:hAnsi="Calibri" w:cs="Calibri"/>
          <w:i w:val="0"/>
          <w:iCs w:val="0"/>
          <w:color w:val="000000" w:themeColor="text1"/>
          <w:sz w:val="24"/>
          <w:szCs w:val="24"/>
          <w:u w:val="none"/>
        </w:rPr>
        <w:t xml:space="preserve"> </w:t>
      </w:r>
      <w:r>
        <w:rPr>
          <w:rStyle w:val="10"/>
          <w:rFonts w:hint="default" w:ascii="Calibri" w:hAnsi="Calibri" w:cs="Calibri"/>
          <w:i w:val="0"/>
          <w:iCs w:val="0"/>
          <w:color w:val="000000" w:themeColor="text1"/>
          <w:sz w:val="24"/>
          <w:szCs w:val="24"/>
          <w:u w:val="none"/>
        </w:rPr>
        <w:t>https://www.ons.gov.uk/businessindustryandtrade/retailindustry/bulletins/retailsales/october2022 Accessed on 16.12.2022</w:t>
      </w:r>
      <w:r>
        <w:rPr>
          <w:rStyle w:val="10"/>
          <w:rFonts w:hint="default" w:ascii="Calibri" w:hAnsi="Calibri" w:cs="Calibri"/>
          <w:i w:val="0"/>
          <w:iCs w:val="0"/>
          <w:color w:val="000000" w:themeColor="text1"/>
          <w:sz w:val="24"/>
          <w:szCs w:val="24"/>
          <w:u w:val="none"/>
        </w:rPr>
        <w:fldChar w:fldCharType="end"/>
      </w:r>
    </w:p>
    <w:p>
      <w:pPr>
        <w:spacing w:after="0" w:line="360" w:lineRule="auto"/>
        <w:jc w:val="both"/>
        <w:rPr>
          <w:rFonts w:hint="default" w:ascii="Calibri" w:hAnsi="Calibri" w:cs="Calibri"/>
          <w:i w:val="0"/>
          <w:iCs w:val="0"/>
          <w:color w:val="000000" w:themeColor="text1"/>
          <w:sz w:val="24"/>
          <w:szCs w:val="24"/>
          <w:u w:val="none"/>
          <w:shd w:val="clear" w:color="auto" w:fill="FFFFFF"/>
        </w:rPr>
      </w:pPr>
      <w:r>
        <w:rPr>
          <w:rFonts w:hint="default" w:ascii="Calibri" w:hAnsi="Calibri" w:cs="Calibri"/>
          <w:i w:val="0"/>
          <w:iCs w:val="0"/>
          <w:color w:val="000000" w:themeColor="text1"/>
          <w:sz w:val="24"/>
          <w:szCs w:val="24"/>
          <w:u w:val="none"/>
          <w:shd w:val="clear" w:color="auto" w:fill="FFFFFF"/>
        </w:rPr>
        <w:t>Sodhi, M.S. and Tang, C.S., 2021. Supply chain management for extreme conditions: research opportunities. </w:t>
      </w:r>
      <w:r>
        <w:rPr>
          <w:rFonts w:hint="default" w:ascii="Calibri" w:hAnsi="Calibri" w:cs="Calibri"/>
          <w:i w:val="0"/>
          <w:iCs w:val="0"/>
          <w:color w:val="000000" w:themeColor="text1"/>
          <w:sz w:val="24"/>
          <w:szCs w:val="24"/>
          <w:u w:val="none"/>
          <w:shd w:val="clear" w:color="auto" w:fill="FFFFFF"/>
        </w:rPr>
        <w:t>Journal of Supply Chain Management</w:t>
      </w:r>
      <w:r>
        <w:rPr>
          <w:rFonts w:hint="default" w:ascii="Calibri" w:hAnsi="Calibri" w:cs="Calibri"/>
          <w:i w:val="0"/>
          <w:iCs w:val="0"/>
          <w:color w:val="000000" w:themeColor="text1"/>
          <w:sz w:val="24"/>
          <w:szCs w:val="24"/>
          <w:u w:val="none"/>
          <w:shd w:val="clear" w:color="auto" w:fill="FFFFFF"/>
        </w:rPr>
        <w:t>, </w:t>
      </w:r>
      <w:r>
        <w:rPr>
          <w:rFonts w:hint="default" w:ascii="Calibri" w:hAnsi="Calibri" w:cs="Calibri"/>
          <w:i w:val="0"/>
          <w:iCs w:val="0"/>
          <w:color w:val="000000" w:themeColor="text1"/>
          <w:sz w:val="24"/>
          <w:szCs w:val="24"/>
          <w:u w:val="none"/>
          <w:shd w:val="clear" w:color="auto" w:fill="FFFFFF"/>
        </w:rPr>
        <w:t>57</w:t>
      </w:r>
      <w:r>
        <w:rPr>
          <w:rFonts w:hint="default" w:ascii="Calibri" w:hAnsi="Calibri" w:cs="Calibri"/>
          <w:i w:val="0"/>
          <w:iCs w:val="0"/>
          <w:color w:val="000000" w:themeColor="text1"/>
          <w:sz w:val="24"/>
          <w:szCs w:val="24"/>
          <w:u w:val="none"/>
          <w:shd w:val="clear" w:color="auto" w:fill="FFFFFF"/>
        </w:rPr>
        <w:t>(1), pp.7-16.</w:t>
      </w:r>
      <w:r>
        <w:rPr>
          <w:rFonts w:hint="default" w:ascii="Calibri" w:hAnsi="Calibri" w:cs="Calibri"/>
          <w:i w:val="0"/>
          <w:iCs w:val="0"/>
          <w:color w:val="000000" w:themeColor="text1"/>
          <w:sz w:val="24"/>
          <w:szCs w:val="24"/>
          <w:u w:val="none"/>
        </w:rPr>
        <w:t xml:space="preserve"> </w:t>
      </w: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"https://doi.org/10.1111/jscm.12255" </w:instrText>
      </w:r>
      <w:r>
        <w:rPr>
          <w:rFonts w:hint="default" w:ascii="Calibri" w:hAnsi="Calibri" w:cs="Calibri"/>
          <w:i w:val="0"/>
          <w:iCs w:val="0"/>
          <w:u w:val="none"/>
        </w:rPr>
        <w:fldChar w:fldCharType="separate"/>
      </w:r>
      <w:r>
        <w:rPr>
          <w:rStyle w:val="10"/>
          <w:rFonts w:hint="default" w:ascii="Calibri" w:hAnsi="Calibri" w:cs="Calibri"/>
          <w:i w:val="0"/>
          <w:iCs w:val="0"/>
          <w:color w:val="000000" w:themeColor="text1"/>
          <w:sz w:val="24"/>
          <w:szCs w:val="24"/>
          <w:u w:val="none"/>
          <w:shd w:val="clear" w:color="auto" w:fill="FFFFFF"/>
        </w:rPr>
        <w:t>https://doi.org/10.1111/jscm.12255</w:t>
      </w:r>
      <w:r>
        <w:rPr>
          <w:rStyle w:val="10"/>
          <w:rFonts w:hint="default" w:ascii="Calibri" w:hAnsi="Calibri" w:cs="Calibri"/>
          <w:i w:val="0"/>
          <w:iCs w:val="0"/>
          <w:color w:val="000000" w:themeColor="text1"/>
          <w:sz w:val="24"/>
          <w:szCs w:val="24"/>
          <w:u w:val="none"/>
          <w:shd w:val="clear" w:color="auto" w:fill="FFFFFF"/>
        </w:rPr>
        <w:fldChar w:fldCharType="end"/>
      </w:r>
    </w:p>
    <w:p>
      <w:pPr>
        <w:spacing w:after="0" w:line="360" w:lineRule="auto"/>
        <w:jc w:val="both"/>
        <w:rPr>
          <w:rFonts w:hint="default" w:ascii="Calibri" w:hAnsi="Calibri" w:cs="Calibri"/>
          <w:i w:val="0"/>
          <w:iCs w:val="0"/>
          <w:color w:val="000000" w:themeColor="text1"/>
          <w:sz w:val="24"/>
          <w:szCs w:val="24"/>
          <w:u w:val="none"/>
        </w:rPr>
      </w:pPr>
      <w:r>
        <w:rPr>
          <w:rFonts w:hint="default" w:ascii="Calibri" w:hAnsi="Calibri" w:cs="Calibri"/>
          <w:i w:val="0"/>
          <w:iCs w:val="0"/>
          <w:color w:val="000000" w:themeColor="text1"/>
          <w:sz w:val="24"/>
          <w:szCs w:val="24"/>
          <w:u w:val="none"/>
        </w:rPr>
        <w:t xml:space="preserve">Statista.com (2022a). </w:t>
      </w:r>
      <w:r>
        <w:rPr>
          <w:rFonts w:hint="default" w:ascii="Calibri" w:hAnsi="Calibri" w:cs="Calibri"/>
          <w:i w:val="0"/>
          <w:iCs w:val="0"/>
          <w:color w:val="000000" w:themeColor="text1"/>
          <w:sz w:val="24"/>
          <w:szCs w:val="24"/>
          <w:u w:val="none"/>
        </w:rPr>
        <w:t>Annual revenue of Tesco Group in the United Kingdom (UK) and the Republic of Ireland from financial year 2015 to 2022.</w:t>
      </w:r>
      <w:r>
        <w:rPr>
          <w:rFonts w:hint="default" w:ascii="Calibri" w:hAnsi="Calibri" w:cs="Calibri"/>
          <w:i w:val="0"/>
          <w:iCs w:val="0"/>
          <w:color w:val="000000" w:themeColor="text1"/>
          <w:sz w:val="24"/>
          <w:szCs w:val="24"/>
          <w:u w:val="none"/>
        </w:rPr>
        <w:t xml:space="preserve"> Available from https://www.statista.com/statistics/490931/tesco-group-finance-revenue-united-kingdom-uk/. Accessed on 16.12.2022</w:t>
      </w:r>
    </w:p>
    <w:p>
      <w:pPr>
        <w:spacing w:after="0" w:line="360" w:lineRule="auto"/>
        <w:jc w:val="both"/>
        <w:rPr>
          <w:rFonts w:hint="default" w:ascii="Calibri" w:hAnsi="Calibri" w:cs="Calibri"/>
          <w:i w:val="0"/>
          <w:iCs w:val="0"/>
          <w:color w:val="000000" w:themeColor="text1"/>
          <w:sz w:val="24"/>
          <w:szCs w:val="24"/>
          <w:u w:val="none"/>
        </w:rPr>
      </w:pPr>
      <w:r>
        <w:rPr>
          <w:rFonts w:hint="default" w:ascii="Calibri" w:hAnsi="Calibri" w:cs="Calibri"/>
          <w:i w:val="0"/>
          <w:iCs w:val="0"/>
          <w:color w:val="000000" w:themeColor="text1"/>
          <w:sz w:val="24"/>
          <w:szCs w:val="24"/>
          <w:u w:val="none"/>
        </w:rPr>
        <w:t xml:space="preserve">Statista.com (2022b). </w:t>
      </w:r>
      <w:r>
        <w:rPr>
          <w:rFonts w:hint="default" w:ascii="Calibri" w:hAnsi="Calibri" w:cs="Calibri"/>
          <w:i w:val="0"/>
          <w:iCs w:val="0"/>
          <w:color w:val="000000" w:themeColor="text1"/>
          <w:sz w:val="24"/>
          <w:szCs w:val="24"/>
          <w:u w:val="none"/>
        </w:rPr>
        <w:t>Crime in the UK - Statistics &amp; Facts.</w:t>
      </w:r>
      <w:r>
        <w:rPr>
          <w:rFonts w:hint="default" w:ascii="Calibri" w:hAnsi="Calibri" w:cs="Calibri"/>
          <w:i w:val="0"/>
          <w:iCs w:val="0"/>
          <w:color w:val="000000" w:themeColor="text1"/>
          <w:sz w:val="24"/>
          <w:szCs w:val="24"/>
          <w:u w:val="none"/>
        </w:rPr>
        <w:t xml:space="preserve"> Available from </w:t>
      </w: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"https://www.statista.com/topics/3793/crime-in-the-uk/" \l "topicOverview" </w:instrText>
      </w:r>
      <w:r>
        <w:rPr>
          <w:rFonts w:hint="default" w:ascii="Calibri" w:hAnsi="Calibri" w:cs="Calibri"/>
          <w:i w:val="0"/>
          <w:iCs w:val="0"/>
          <w:u w:val="none"/>
        </w:rPr>
        <w:fldChar w:fldCharType="separate"/>
      </w:r>
      <w:r>
        <w:rPr>
          <w:rStyle w:val="10"/>
          <w:rFonts w:hint="default" w:ascii="Calibri" w:hAnsi="Calibri" w:cs="Calibri"/>
          <w:i w:val="0"/>
          <w:iCs w:val="0"/>
          <w:color w:val="000000" w:themeColor="text1"/>
          <w:sz w:val="24"/>
          <w:szCs w:val="24"/>
          <w:u w:val="none"/>
        </w:rPr>
        <w:t>https://www.statista.com/topics/3793/crime-in-the-uk/#topicOverview</w:t>
      </w:r>
      <w:r>
        <w:rPr>
          <w:rStyle w:val="10"/>
          <w:rFonts w:hint="default" w:ascii="Calibri" w:hAnsi="Calibri" w:cs="Calibri"/>
          <w:i w:val="0"/>
          <w:iCs w:val="0"/>
          <w:color w:val="000000" w:themeColor="text1"/>
          <w:sz w:val="24"/>
          <w:szCs w:val="24"/>
          <w:u w:val="none"/>
        </w:rPr>
        <w:fldChar w:fldCharType="end"/>
      </w:r>
      <w:r>
        <w:rPr>
          <w:rFonts w:hint="default" w:ascii="Calibri" w:hAnsi="Calibri" w:cs="Calibri"/>
          <w:i w:val="0"/>
          <w:iCs w:val="0"/>
          <w:color w:val="000000" w:themeColor="text1"/>
          <w:sz w:val="24"/>
          <w:szCs w:val="24"/>
          <w:u w:val="none"/>
        </w:rPr>
        <w:t>. Accessed on 16.12.2022</w:t>
      </w:r>
    </w:p>
    <w:p>
      <w:pPr>
        <w:spacing w:after="0" w:line="360" w:lineRule="auto"/>
        <w:jc w:val="both"/>
        <w:rPr>
          <w:rFonts w:hint="default" w:ascii="Calibri" w:hAnsi="Calibri" w:cs="Calibri"/>
          <w:i w:val="0"/>
          <w:iCs w:val="0"/>
          <w:color w:val="000000" w:themeColor="text1"/>
          <w:sz w:val="24"/>
          <w:szCs w:val="24"/>
          <w:u w:val="none"/>
        </w:rPr>
      </w:pPr>
      <w:r>
        <w:rPr>
          <w:rFonts w:hint="default" w:ascii="Calibri" w:hAnsi="Calibri" w:cs="Calibri"/>
          <w:i w:val="0"/>
          <w:iCs w:val="0"/>
          <w:color w:val="000000" w:themeColor="text1"/>
          <w:sz w:val="24"/>
          <w:szCs w:val="24"/>
          <w:u w:val="none"/>
        </w:rPr>
        <w:t xml:space="preserve">Statista.com (2022c). </w:t>
      </w:r>
      <w:r>
        <w:rPr>
          <w:rFonts w:hint="default" w:ascii="Calibri" w:hAnsi="Calibri" w:cs="Calibri"/>
          <w:i w:val="0"/>
          <w:iCs w:val="0"/>
          <w:color w:val="000000" w:themeColor="text1"/>
          <w:sz w:val="24"/>
          <w:szCs w:val="24"/>
          <w:u w:val="none"/>
        </w:rPr>
        <w:t>Gross domestic product (GDP) growth rate in the United Kingdom 2027.</w:t>
      </w:r>
      <w:r>
        <w:rPr>
          <w:rFonts w:hint="default" w:ascii="Calibri" w:hAnsi="Calibri" w:cs="Calibri"/>
          <w:i w:val="0"/>
          <w:iCs w:val="0"/>
          <w:color w:val="000000" w:themeColor="text1"/>
          <w:sz w:val="24"/>
          <w:szCs w:val="24"/>
          <w:u w:val="none"/>
        </w:rPr>
        <w:t xml:space="preserve"> Available from https://www.statista.com/statistics/263613/gross-domestic-product-gdp-growth-rate-in-the-united-kingdom/. Accessed on 16.12.2022</w:t>
      </w:r>
    </w:p>
    <w:p>
      <w:pPr>
        <w:spacing w:after="0" w:line="360" w:lineRule="auto"/>
        <w:jc w:val="both"/>
        <w:rPr>
          <w:rFonts w:hint="default" w:ascii="Calibri" w:hAnsi="Calibri" w:cs="Calibri"/>
          <w:i w:val="0"/>
          <w:iCs w:val="0"/>
          <w:color w:val="000000" w:themeColor="text1"/>
          <w:sz w:val="24"/>
          <w:szCs w:val="24"/>
          <w:u w:val="none"/>
        </w:rPr>
      </w:pPr>
      <w:r>
        <w:rPr>
          <w:rFonts w:hint="default" w:ascii="Calibri" w:hAnsi="Calibri" w:cs="Calibri"/>
          <w:i w:val="0"/>
          <w:iCs w:val="0"/>
          <w:color w:val="000000" w:themeColor="text1"/>
          <w:sz w:val="24"/>
          <w:szCs w:val="24"/>
          <w:u w:val="none"/>
        </w:rPr>
        <w:t xml:space="preserve">Statista.com (2022d). </w:t>
      </w:r>
      <w:r>
        <w:rPr>
          <w:rFonts w:hint="default" w:ascii="Calibri" w:hAnsi="Calibri" w:cs="Calibri"/>
          <w:i w:val="0"/>
          <w:iCs w:val="0"/>
          <w:color w:val="000000" w:themeColor="text1"/>
          <w:sz w:val="24"/>
          <w:szCs w:val="24"/>
          <w:u w:val="none"/>
        </w:rPr>
        <w:t>E-commerce sales in the United Kingdom (UK) from 2014 to 2019, by technology.</w:t>
      </w:r>
      <w:r>
        <w:rPr>
          <w:rFonts w:hint="default" w:ascii="Calibri" w:hAnsi="Calibri" w:cs="Calibri"/>
          <w:i w:val="0"/>
          <w:iCs w:val="0"/>
          <w:color w:val="000000" w:themeColor="text1"/>
          <w:sz w:val="24"/>
          <w:szCs w:val="24"/>
          <w:u w:val="none"/>
        </w:rPr>
        <w:t xml:space="preserve"> Available from https://www.statista.com/statistics/282164/e-commerce-annual-sales-in-the-united-kingdom-uk-by-technology/. Accessed on 16.12.2022</w:t>
      </w:r>
    </w:p>
    <w:p>
      <w:pPr>
        <w:spacing w:after="0" w:line="360" w:lineRule="auto"/>
        <w:jc w:val="both"/>
        <w:rPr>
          <w:rFonts w:hint="default" w:ascii="Calibri" w:hAnsi="Calibri" w:cs="Calibri"/>
          <w:i w:val="0"/>
          <w:iCs w:val="0"/>
          <w:color w:val="000000" w:themeColor="text1"/>
          <w:sz w:val="24"/>
          <w:szCs w:val="24"/>
          <w:u w:val="none"/>
        </w:rPr>
      </w:pPr>
      <w:r>
        <w:rPr>
          <w:rFonts w:hint="default" w:ascii="Calibri" w:hAnsi="Calibri" w:cs="Calibri"/>
          <w:i w:val="0"/>
          <w:iCs w:val="0"/>
          <w:color w:val="000000" w:themeColor="text1"/>
          <w:sz w:val="24"/>
          <w:szCs w:val="24"/>
          <w:u w:val="none"/>
        </w:rPr>
        <w:t xml:space="preserve">Statista.com (2022e). </w:t>
      </w:r>
      <w:r>
        <w:rPr>
          <w:rFonts w:hint="default" w:ascii="Calibri" w:hAnsi="Calibri" w:cs="Calibri"/>
          <w:i w:val="0"/>
          <w:iCs w:val="0"/>
          <w:color w:val="000000" w:themeColor="text1"/>
          <w:sz w:val="24"/>
          <w:szCs w:val="24"/>
          <w:u w:val="none"/>
        </w:rPr>
        <w:t>Tesco's number of stores worldwide 2008-2022.</w:t>
      </w:r>
      <w:r>
        <w:rPr>
          <w:rFonts w:hint="default" w:ascii="Calibri" w:hAnsi="Calibri" w:cs="Calibri"/>
          <w:i w:val="0"/>
          <w:iCs w:val="0"/>
          <w:color w:val="000000" w:themeColor="text1"/>
          <w:sz w:val="24"/>
          <w:szCs w:val="24"/>
          <w:u w:val="none"/>
        </w:rPr>
        <w:t xml:space="preserve"> Available from https://www.statista.com/statistics/238667/tesco-plc-number-of-outlets-worldwide/. Accessed on 16.12.2022</w:t>
      </w:r>
    </w:p>
    <w:p>
      <w:pPr>
        <w:spacing w:after="0" w:line="360" w:lineRule="auto"/>
        <w:jc w:val="both"/>
        <w:rPr>
          <w:rFonts w:hint="default" w:ascii="Calibri" w:hAnsi="Calibri" w:cs="Calibri"/>
          <w:i w:val="0"/>
          <w:iCs w:val="0"/>
          <w:color w:val="000000" w:themeColor="text1"/>
          <w:sz w:val="24"/>
          <w:szCs w:val="24"/>
          <w:u w:val="none"/>
        </w:rPr>
      </w:pPr>
      <w:r>
        <w:rPr>
          <w:rFonts w:hint="default" w:ascii="Calibri" w:hAnsi="Calibri" w:cs="Calibri"/>
          <w:i w:val="0"/>
          <w:iCs w:val="0"/>
          <w:color w:val="000000" w:themeColor="text1"/>
          <w:sz w:val="24"/>
          <w:szCs w:val="24"/>
          <w:u w:val="none"/>
        </w:rPr>
        <w:t xml:space="preserve">Tescoplc.com (2022). </w:t>
      </w:r>
      <w:r>
        <w:rPr>
          <w:rFonts w:hint="default" w:ascii="Calibri" w:hAnsi="Calibri" w:cs="Calibri"/>
          <w:i w:val="0"/>
          <w:iCs w:val="0"/>
          <w:color w:val="000000" w:themeColor="text1"/>
          <w:sz w:val="24"/>
          <w:szCs w:val="24"/>
          <w:u w:val="none"/>
        </w:rPr>
        <w:t>About Us.</w:t>
      </w:r>
      <w:r>
        <w:rPr>
          <w:rFonts w:hint="default" w:ascii="Calibri" w:hAnsi="Calibri" w:cs="Calibri"/>
          <w:i w:val="0"/>
          <w:iCs w:val="0"/>
          <w:color w:val="000000" w:themeColor="text1"/>
          <w:sz w:val="24"/>
          <w:szCs w:val="24"/>
          <w:u w:val="none"/>
        </w:rPr>
        <w:t xml:space="preserve"> Available from </w:t>
      </w: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"https://www.tescoplc.com/about/" </w:instrText>
      </w:r>
      <w:r>
        <w:rPr>
          <w:rFonts w:hint="default" w:ascii="Calibri" w:hAnsi="Calibri" w:cs="Calibri"/>
          <w:i w:val="0"/>
          <w:iCs w:val="0"/>
          <w:u w:val="none"/>
        </w:rPr>
        <w:fldChar w:fldCharType="separate"/>
      </w:r>
      <w:r>
        <w:rPr>
          <w:rStyle w:val="10"/>
          <w:rFonts w:hint="default" w:ascii="Calibri" w:hAnsi="Calibri" w:cs="Calibri"/>
          <w:i w:val="0"/>
          <w:iCs w:val="0"/>
          <w:color w:val="000000" w:themeColor="text1"/>
          <w:sz w:val="24"/>
          <w:szCs w:val="24"/>
          <w:u w:val="none"/>
        </w:rPr>
        <w:t>https://www.tescoplc.com/about/</w:t>
      </w:r>
      <w:r>
        <w:rPr>
          <w:rStyle w:val="10"/>
          <w:rFonts w:hint="default" w:ascii="Calibri" w:hAnsi="Calibri" w:cs="Calibri"/>
          <w:i w:val="0"/>
          <w:iCs w:val="0"/>
          <w:color w:val="000000" w:themeColor="text1"/>
          <w:sz w:val="24"/>
          <w:szCs w:val="24"/>
          <w:u w:val="none"/>
        </w:rPr>
        <w:fldChar w:fldCharType="end"/>
      </w:r>
      <w:r>
        <w:rPr>
          <w:rFonts w:hint="default" w:ascii="Calibri" w:hAnsi="Calibri" w:cs="Calibri"/>
          <w:i w:val="0"/>
          <w:iCs w:val="0"/>
          <w:color w:val="000000" w:themeColor="text1"/>
          <w:sz w:val="24"/>
          <w:szCs w:val="24"/>
          <w:u w:val="none"/>
        </w:rPr>
        <w:t>. Accessed on 16.12.2022</w:t>
      </w:r>
    </w:p>
    <w:p>
      <w:pPr>
        <w:spacing w:after="0" w:line="360" w:lineRule="auto"/>
        <w:jc w:val="both"/>
        <w:rPr>
          <w:rFonts w:hint="default" w:ascii="Calibri" w:hAnsi="Calibri" w:cs="Calibri"/>
          <w:i w:val="0"/>
          <w:iCs w:val="0"/>
          <w:color w:val="000000" w:themeColor="text1"/>
          <w:sz w:val="24"/>
          <w:szCs w:val="24"/>
          <w:u w:val="none"/>
        </w:rPr>
      </w:pPr>
      <w:r>
        <w:rPr>
          <w:rFonts w:hint="default" w:ascii="Calibri" w:hAnsi="Calibri" w:cs="Calibri"/>
          <w:i w:val="0"/>
          <w:iCs w:val="0"/>
          <w:color w:val="000000" w:themeColor="text1"/>
          <w:sz w:val="24"/>
          <w:szCs w:val="24"/>
          <w:u w:val="none"/>
        </w:rPr>
        <w:t xml:space="preserve">Tescoplc.com (2022). </w:t>
      </w:r>
      <w:r>
        <w:rPr>
          <w:rFonts w:hint="default" w:ascii="Calibri" w:hAnsi="Calibri" w:cs="Calibri"/>
          <w:i w:val="0"/>
          <w:iCs w:val="0"/>
          <w:color w:val="000000" w:themeColor="text1"/>
          <w:sz w:val="24"/>
          <w:szCs w:val="24"/>
          <w:u w:val="none"/>
        </w:rPr>
        <w:t>About Us.</w:t>
      </w:r>
      <w:r>
        <w:rPr>
          <w:rFonts w:hint="default" w:ascii="Calibri" w:hAnsi="Calibri" w:cs="Calibri"/>
          <w:i w:val="0"/>
          <w:iCs w:val="0"/>
          <w:color w:val="000000" w:themeColor="text1"/>
          <w:sz w:val="24"/>
          <w:szCs w:val="24"/>
          <w:u w:val="none"/>
        </w:rPr>
        <w:t xml:space="preserve"> Available from </w:t>
      </w: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"https://www.tescoplc.com/about/" </w:instrText>
      </w:r>
      <w:r>
        <w:rPr>
          <w:rFonts w:hint="default" w:ascii="Calibri" w:hAnsi="Calibri" w:cs="Calibri"/>
          <w:i w:val="0"/>
          <w:iCs w:val="0"/>
          <w:u w:val="none"/>
        </w:rPr>
        <w:fldChar w:fldCharType="separate"/>
      </w:r>
      <w:r>
        <w:rPr>
          <w:rStyle w:val="10"/>
          <w:rFonts w:hint="default" w:ascii="Calibri" w:hAnsi="Calibri" w:cs="Calibri"/>
          <w:i w:val="0"/>
          <w:iCs w:val="0"/>
          <w:color w:val="000000" w:themeColor="text1"/>
          <w:sz w:val="24"/>
          <w:szCs w:val="24"/>
          <w:u w:val="none"/>
        </w:rPr>
        <w:t>https://www.tescoplc.com/about/</w:t>
      </w:r>
      <w:r>
        <w:rPr>
          <w:rStyle w:val="10"/>
          <w:rFonts w:hint="default" w:ascii="Calibri" w:hAnsi="Calibri" w:cs="Calibri"/>
          <w:i w:val="0"/>
          <w:iCs w:val="0"/>
          <w:color w:val="000000" w:themeColor="text1"/>
          <w:sz w:val="24"/>
          <w:szCs w:val="24"/>
          <w:u w:val="none"/>
        </w:rPr>
        <w:fldChar w:fldCharType="end"/>
      </w:r>
      <w:r>
        <w:rPr>
          <w:rFonts w:hint="default" w:ascii="Calibri" w:hAnsi="Calibri" w:cs="Calibri"/>
          <w:i w:val="0"/>
          <w:iCs w:val="0"/>
          <w:color w:val="000000" w:themeColor="text1"/>
          <w:sz w:val="24"/>
          <w:szCs w:val="24"/>
          <w:u w:val="none"/>
        </w:rPr>
        <w:t>. Accessed on 16.12.2022</w:t>
      </w:r>
    </w:p>
    <w:p>
      <w:pPr>
        <w:spacing w:after="0" w:line="360" w:lineRule="auto"/>
        <w:jc w:val="both"/>
        <w:rPr>
          <w:rFonts w:hint="default" w:ascii="Calibri" w:hAnsi="Calibri" w:cs="Calibri"/>
          <w:i w:val="0"/>
          <w:iCs w:val="0"/>
          <w:color w:val="000000" w:themeColor="text1"/>
          <w:sz w:val="24"/>
          <w:szCs w:val="24"/>
          <w:u w:val="none"/>
        </w:rPr>
      </w:pPr>
      <w:r>
        <w:rPr>
          <w:rFonts w:hint="default" w:ascii="Calibri" w:hAnsi="Calibri" w:cs="Calibri"/>
          <w:i w:val="0"/>
          <w:iCs w:val="0"/>
          <w:color w:val="000000" w:themeColor="text1"/>
          <w:sz w:val="24"/>
          <w:szCs w:val="24"/>
          <w:u w:val="none"/>
        </w:rPr>
        <w:t xml:space="preserve">Una.org.uk (2022). </w:t>
      </w:r>
      <w:r>
        <w:rPr>
          <w:rFonts w:hint="default" w:ascii="Calibri" w:hAnsi="Calibri" w:cs="Calibri"/>
          <w:i w:val="0"/>
          <w:iCs w:val="0"/>
          <w:color w:val="000000" w:themeColor="text1"/>
          <w:sz w:val="24"/>
          <w:szCs w:val="24"/>
          <w:u w:val="none"/>
        </w:rPr>
        <w:t xml:space="preserve">International Literacy Day. </w:t>
      </w:r>
      <w:r>
        <w:rPr>
          <w:rFonts w:hint="default" w:ascii="Calibri" w:hAnsi="Calibri" w:cs="Calibri"/>
          <w:i w:val="0"/>
          <w:iCs w:val="0"/>
          <w:color w:val="000000" w:themeColor="text1"/>
          <w:sz w:val="24"/>
          <w:szCs w:val="24"/>
          <w:u w:val="none"/>
        </w:rPr>
        <w:t xml:space="preserve">Available from </w:t>
      </w:r>
      <w:r>
        <w:rPr>
          <w:rFonts w:hint="default" w:ascii="Calibri" w:hAnsi="Calibri" w:cs="Calibri"/>
          <w:i w:val="0"/>
          <w:iCs w:val="0"/>
          <w:u w:val="none"/>
        </w:rPr>
        <w:fldChar w:fldCharType="begin"/>
      </w:r>
      <w:r>
        <w:rPr>
          <w:rFonts w:hint="default" w:ascii="Calibri" w:hAnsi="Calibri" w:cs="Calibri"/>
          <w:i w:val="0"/>
          <w:iCs w:val="0"/>
          <w:u w:val="none"/>
        </w:rPr>
        <w:instrText xml:space="preserve"> HYPERLINK "%20https://una.org.uk/international-literacy-day-factsheet.%20Accessed%20on%2016.12.2022" </w:instrText>
      </w:r>
      <w:r>
        <w:rPr>
          <w:rFonts w:hint="default" w:ascii="Calibri" w:hAnsi="Calibri" w:cs="Calibri"/>
          <w:i w:val="0"/>
          <w:iCs w:val="0"/>
          <w:u w:val="none"/>
        </w:rPr>
        <w:fldChar w:fldCharType="separate"/>
      </w:r>
      <w:r>
        <w:rPr>
          <w:rStyle w:val="10"/>
          <w:rFonts w:hint="default" w:ascii="Calibri" w:hAnsi="Calibri" w:cs="Calibri"/>
          <w:i w:val="0"/>
          <w:iCs w:val="0"/>
          <w:color w:val="000000" w:themeColor="text1"/>
          <w:sz w:val="24"/>
          <w:szCs w:val="24"/>
          <w:u w:val="none"/>
        </w:rPr>
        <w:t xml:space="preserve"> https://una.org.uk/international-literacy-day-factsheet. Accessed on 16.12.2022</w:t>
      </w:r>
      <w:r>
        <w:rPr>
          <w:rStyle w:val="10"/>
          <w:rFonts w:hint="default" w:ascii="Calibri" w:hAnsi="Calibri" w:cs="Calibri"/>
          <w:i w:val="0"/>
          <w:iCs w:val="0"/>
          <w:color w:val="000000" w:themeColor="text1"/>
          <w:sz w:val="24"/>
          <w:szCs w:val="24"/>
          <w:u w:val="none"/>
        </w:rPr>
        <w:fldChar w:fldCharType="end"/>
      </w:r>
    </w:p>
    <w:p>
      <w:pPr>
        <w:spacing w:after="0" w:line="360" w:lineRule="auto"/>
        <w:rPr>
          <w:rFonts w:hint="default" w:ascii="Calibri" w:hAnsi="Calibri" w:cs="Calibri"/>
          <w:i w:val="0"/>
          <w:iCs w:val="0"/>
          <w:sz w:val="24"/>
          <w:szCs w:val="24"/>
          <w:u w:val="none"/>
        </w:rPr>
      </w:pPr>
    </w:p>
    <w:p>
      <w:pPr>
        <w:pStyle w:val="2"/>
        <w:rPr>
          <w:rFonts w:hint="default" w:ascii="Calibri" w:hAnsi="Calibri" w:cs="Calibri"/>
          <w:i w:val="0"/>
          <w:iCs w:val="0"/>
          <w:sz w:val="24"/>
          <w:szCs w:val="24"/>
          <w:u w:val="none"/>
        </w:rPr>
      </w:pPr>
      <w:bookmarkStart w:id="12" w:name="_Toc122095112"/>
      <w:r>
        <w:rPr>
          <w:rFonts w:hint="default" w:ascii="Calibri" w:hAnsi="Calibri" w:cs="Calibri"/>
          <w:i w:val="0"/>
          <w:iCs w:val="0"/>
          <w:sz w:val="24"/>
          <w:szCs w:val="24"/>
          <w:u w:val="none"/>
        </w:rPr>
        <w:t>Appendices</w:t>
      </w:r>
      <w:bookmarkEnd w:id="12"/>
    </w:p>
    <w:p>
      <w:pPr>
        <w:pStyle w:val="3"/>
        <w:rPr>
          <w:rFonts w:hint="default" w:ascii="Calibri" w:hAnsi="Calibri" w:cs="Calibri"/>
          <w:i w:val="0"/>
          <w:iCs w:val="0"/>
          <w:sz w:val="24"/>
          <w:szCs w:val="24"/>
          <w:u w:val="none"/>
        </w:rPr>
      </w:pPr>
      <w:bookmarkStart w:id="13" w:name="_Toc122095113"/>
      <w:r>
        <w:rPr>
          <w:rFonts w:hint="default" w:ascii="Calibri" w:hAnsi="Calibri" w:cs="Calibri"/>
          <w:i w:val="0"/>
          <w:iCs w:val="0"/>
          <w:sz w:val="24"/>
          <w:szCs w:val="24"/>
          <w:u w:val="none"/>
        </w:rPr>
        <w:t>Appendix 1: Market competition</w:t>
      </w:r>
      <w:bookmarkEnd w:id="13"/>
    </w:p>
    <w:p>
      <w:pPr>
        <w:spacing w:after="0" w:line="360" w:lineRule="auto"/>
        <w:jc w:val="both"/>
        <w:rPr>
          <w:rFonts w:hint="default" w:ascii="Calibri" w:hAnsi="Calibri" w:cs="Calibri"/>
          <w:i w:val="0"/>
          <w:iCs w:val="0"/>
          <w:sz w:val="24"/>
          <w:szCs w:val="24"/>
          <w:u w:val="none"/>
        </w:rPr>
      </w:pPr>
      <w:r>
        <w:rPr>
          <w:rFonts w:hint="default" w:ascii="Calibri" w:hAnsi="Calibri" w:cs="Calibri"/>
          <w:i w:val="0"/>
          <w:iCs w:val="0"/>
          <w:sz w:val="24"/>
          <w:szCs w:val="24"/>
          <w:u w:val="none"/>
        </w:rPr>
        <w:drawing>
          <wp:inline distT="0" distB="0" distL="0" distR="0">
            <wp:extent cx="5486400" cy="3200400"/>
            <wp:effectExtent l="0" t="38100" r="0" b="952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pPr>
        <w:spacing w:after="0" w:line="360" w:lineRule="auto"/>
        <w:jc w:val="center"/>
        <w:rPr>
          <w:rFonts w:hint="default" w:ascii="Calibri" w:hAnsi="Calibri" w:cs="Calibri"/>
          <w:i w:val="0"/>
          <w:iCs w:val="0"/>
          <w:sz w:val="24"/>
          <w:szCs w:val="24"/>
          <w:u w:val="none"/>
        </w:rPr>
      </w:pPr>
      <w:r>
        <w:rPr>
          <w:rFonts w:hint="default" w:ascii="Calibri" w:hAnsi="Calibri" w:cs="Calibri"/>
          <w:i w:val="0"/>
          <w:iCs w:val="0"/>
          <w:sz w:val="24"/>
          <w:szCs w:val="24"/>
          <w:u w:val="none"/>
        </w:rPr>
        <w:t>(Source: Self-developed)</w:t>
      </w:r>
    </w:p>
    <w:p>
      <w:pPr>
        <w:spacing w:after="0" w:line="360" w:lineRule="auto"/>
        <w:jc w:val="both"/>
        <w:rPr>
          <w:rFonts w:hint="default" w:ascii="Calibri" w:hAnsi="Calibri" w:cs="Calibri"/>
          <w:i w:val="0"/>
          <w:iCs w:val="0"/>
          <w:sz w:val="24"/>
          <w:szCs w:val="24"/>
          <w:u w:val="none"/>
        </w:rPr>
      </w:pPr>
    </w:p>
    <w:p>
      <w:pPr>
        <w:spacing w:after="0" w:line="360" w:lineRule="auto"/>
        <w:jc w:val="both"/>
        <w:rPr>
          <w:rFonts w:hint="default" w:ascii="Calibri" w:hAnsi="Calibri" w:cs="Calibri"/>
          <w:i w:val="0"/>
          <w:iCs w:val="0"/>
          <w:sz w:val="24"/>
          <w:szCs w:val="24"/>
          <w:u w:val="none"/>
        </w:rPr>
      </w:pP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404704"/>
      <w:docPartObj>
        <w:docPartGallery w:val="AutoText"/>
      </w:docPartObj>
    </w:sdtPr>
    <w:sdtEndPr>
      <w:rPr>
        <w:rFonts w:ascii="Times New Roman" w:hAnsi="Times New Roman" w:cs="Times New Roman"/>
        <w:sz w:val="20"/>
      </w:rPr>
    </w:sdtEndPr>
    <w:sdtContent>
      <w:p>
        <w:pPr>
          <w:pStyle w:val="8"/>
          <w:jc w:val="right"/>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sz w:val="20"/>
          </w:rPr>
          <w:t>16</w:t>
        </w:r>
        <w:r>
          <w:rPr>
            <w:rFonts w:ascii="Times New Roman" w:hAnsi="Times New Roman" w:cs="Times New Roman"/>
            <w:sz w:val="20"/>
          </w:rPr>
          <w:fldChar w:fldCharType="end"/>
        </w:r>
      </w:p>
    </w:sdtContent>
  </w:sdt>
  <w:p>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A045FBF"/>
    <w:multiLevelType w:val="multilevel"/>
    <w:tmpl w:val="0A045FBF"/>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
    <w:nsid w:val="17A54F08"/>
    <w:multiLevelType w:val="multilevel"/>
    <w:tmpl w:val="17A54F08"/>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2">
    <w:nsid w:val="378D8608"/>
    <w:multiLevelType w:val="multilevel"/>
    <w:tmpl w:val="378D8608"/>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3E108D57"/>
    <w:multiLevelType w:val="multilevel"/>
    <w:tmpl w:val="3E108D57"/>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4">
    <w:nsid w:val="3FCD6B3C"/>
    <w:multiLevelType w:val="multilevel"/>
    <w:tmpl w:val="3FCD6B3C"/>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5">
    <w:nsid w:val="4C9F97F7"/>
    <w:multiLevelType w:val="multilevel"/>
    <w:tmpl w:val="4C9F97F7"/>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6">
    <w:nsid w:val="603720CB"/>
    <w:multiLevelType w:val="multilevel"/>
    <w:tmpl w:val="603720CB"/>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7">
    <w:nsid w:val="67CC810B"/>
    <w:multiLevelType w:val="multilevel"/>
    <w:tmpl w:val="67CC810B"/>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8">
    <w:nsid w:val="6F523DA5"/>
    <w:multiLevelType w:val="multilevel"/>
    <w:tmpl w:val="6F523DA5"/>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6"/>
  </w:num>
  <w:num w:numId="2">
    <w:abstractNumId w:val="5"/>
  </w:num>
  <w:num w:numId="3">
    <w:abstractNumId w:val="8"/>
  </w:num>
  <w:num w:numId="4">
    <w:abstractNumId w:val="3"/>
  </w:num>
  <w:num w:numId="5">
    <w:abstractNumId w:val="7"/>
  </w:num>
  <w:num w:numId="6">
    <w:abstractNumId w:val="2"/>
  </w:num>
  <w:num w:numId="7">
    <w:abstractNumId w:val="1"/>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9"/>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422DEB"/>
    <w:rsid w:val="00022A02"/>
    <w:rsid w:val="000267EA"/>
    <w:rsid w:val="00032F08"/>
    <w:rsid w:val="00053224"/>
    <w:rsid w:val="00081D88"/>
    <w:rsid w:val="000B6F05"/>
    <w:rsid w:val="000E0B52"/>
    <w:rsid w:val="0013007C"/>
    <w:rsid w:val="00140053"/>
    <w:rsid w:val="00156605"/>
    <w:rsid w:val="00190D40"/>
    <w:rsid w:val="001A1B2D"/>
    <w:rsid w:val="001B5D76"/>
    <w:rsid w:val="00227D4F"/>
    <w:rsid w:val="002810AD"/>
    <w:rsid w:val="002B4E9F"/>
    <w:rsid w:val="0033059B"/>
    <w:rsid w:val="00362266"/>
    <w:rsid w:val="003A2AF1"/>
    <w:rsid w:val="003C440A"/>
    <w:rsid w:val="003E4C65"/>
    <w:rsid w:val="0041534C"/>
    <w:rsid w:val="00422DEB"/>
    <w:rsid w:val="00437411"/>
    <w:rsid w:val="00443292"/>
    <w:rsid w:val="004A1F98"/>
    <w:rsid w:val="004A31BF"/>
    <w:rsid w:val="004C4749"/>
    <w:rsid w:val="004E4179"/>
    <w:rsid w:val="00540A9F"/>
    <w:rsid w:val="0058612A"/>
    <w:rsid w:val="005B610F"/>
    <w:rsid w:val="005B7A8F"/>
    <w:rsid w:val="005E1BBA"/>
    <w:rsid w:val="005F5E1D"/>
    <w:rsid w:val="00656A0B"/>
    <w:rsid w:val="006B1C2D"/>
    <w:rsid w:val="006D05CE"/>
    <w:rsid w:val="006F231A"/>
    <w:rsid w:val="00705552"/>
    <w:rsid w:val="0070616C"/>
    <w:rsid w:val="007557E4"/>
    <w:rsid w:val="007C2C87"/>
    <w:rsid w:val="007E7508"/>
    <w:rsid w:val="00816C51"/>
    <w:rsid w:val="008B3C9E"/>
    <w:rsid w:val="008F55F2"/>
    <w:rsid w:val="0090515C"/>
    <w:rsid w:val="00920D2B"/>
    <w:rsid w:val="00922FC9"/>
    <w:rsid w:val="00944B0B"/>
    <w:rsid w:val="00971D23"/>
    <w:rsid w:val="00986A54"/>
    <w:rsid w:val="009E50B8"/>
    <w:rsid w:val="00A30470"/>
    <w:rsid w:val="00A70A85"/>
    <w:rsid w:val="00A83B88"/>
    <w:rsid w:val="00AA2D5D"/>
    <w:rsid w:val="00AD0811"/>
    <w:rsid w:val="00B37427"/>
    <w:rsid w:val="00B410B1"/>
    <w:rsid w:val="00BC7623"/>
    <w:rsid w:val="00BC7FB7"/>
    <w:rsid w:val="00C45AC0"/>
    <w:rsid w:val="00C6403F"/>
    <w:rsid w:val="00C74CB3"/>
    <w:rsid w:val="00C86004"/>
    <w:rsid w:val="00C968DE"/>
    <w:rsid w:val="00CB3178"/>
    <w:rsid w:val="00CD50F9"/>
    <w:rsid w:val="00CE20BD"/>
    <w:rsid w:val="00D67792"/>
    <w:rsid w:val="00DA7CD5"/>
    <w:rsid w:val="00DB3215"/>
    <w:rsid w:val="00E10F2B"/>
    <w:rsid w:val="00EA66BB"/>
    <w:rsid w:val="00ED4F61"/>
    <w:rsid w:val="00F22E89"/>
    <w:rsid w:val="00F26D61"/>
    <w:rsid w:val="00FA4B5F"/>
    <w:rsid w:val="00FC5CD8"/>
    <w:rsid w:val="00FF3F10"/>
    <w:rsid w:val="2BB96C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en-US" w:bidi="ar-SA"/>
    </w:rPr>
  </w:style>
  <w:style w:type="paragraph" w:styleId="2">
    <w:name w:val="heading 1"/>
    <w:basedOn w:val="1"/>
    <w:next w:val="1"/>
    <w:link w:val="21"/>
    <w:qFormat/>
    <w:uiPriority w:val="9"/>
    <w:pPr>
      <w:keepNext/>
      <w:keepLines/>
      <w:spacing w:after="0" w:line="360" w:lineRule="auto"/>
      <w:jc w:val="both"/>
      <w:outlineLvl w:val="0"/>
    </w:pPr>
    <w:rPr>
      <w:rFonts w:ascii="Times New Roman" w:hAnsi="Times New Roman" w:eastAsiaTheme="majorEastAsia" w:cstheme="majorBidi"/>
      <w:b/>
      <w:bCs/>
      <w:color w:val="000000" w:themeColor="text1"/>
      <w:sz w:val="28"/>
      <w:szCs w:val="28"/>
    </w:rPr>
  </w:style>
  <w:style w:type="paragraph" w:styleId="3">
    <w:name w:val="heading 2"/>
    <w:basedOn w:val="1"/>
    <w:next w:val="1"/>
    <w:link w:val="22"/>
    <w:unhideWhenUsed/>
    <w:qFormat/>
    <w:uiPriority w:val="9"/>
    <w:pPr>
      <w:keepNext/>
      <w:keepLines/>
      <w:spacing w:after="0" w:line="360" w:lineRule="auto"/>
      <w:jc w:val="both"/>
      <w:outlineLvl w:val="1"/>
    </w:pPr>
    <w:rPr>
      <w:rFonts w:ascii="Times New Roman" w:hAnsi="Times New Roman" w:eastAsiaTheme="majorEastAsia" w:cstheme="majorBidi"/>
      <w:b/>
      <w:bCs/>
      <w:color w:val="000000" w:themeColor="text1"/>
      <w:sz w:val="26"/>
      <w:szCs w:val="26"/>
    </w:rPr>
  </w:style>
  <w:style w:type="character" w:default="1" w:styleId="4">
    <w:name w:val="Default Paragraph Font"/>
    <w:semiHidden/>
    <w:unhideWhenUsed/>
    <w:qFormat/>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alloon Text"/>
    <w:basedOn w:val="1"/>
    <w:link w:val="17"/>
    <w:semiHidden/>
    <w:unhideWhenUsed/>
    <w:qFormat/>
    <w:uiPriority w:val="99"/>
    <w:pPr>
      <w:spacing w:after="0" w:line="240" w:lineRule="auto"/>
    </w:pPr>
    <w:rPr>
      <w:rFonts w:ascii="Tahoma" w:hAnsi="Tahoma" w:cs="Tahoma"/>
      <w:sz w:val="16"/>
      <w:szCs w:val="16"/>
    </w:rPr>
  </w:style>
  <w:style w:type="character" w:styleId="7">
    <w:name w:val="Emphasis"/>
    <w:basedOn w:val="4"/>
    <w:qFormat/>
    <w:uiPriority w:val="20"/>
    <w:rPr>
      <w:i/>
      <w:iCs/>
    </w:rPr>
  </w:style>
  <w:style w:type="paragraph" w:styleId="8">
    <w:name w:val="footer"/>
    <w:basedOn w:val="1"/>
    <w:link w:val="16"/>
    <w:unhideWhenUsed/>
    <w:qFormat/>
    <w:uiPriority w:val="99"/>
    <w:pPr>
      <w:tabs>
        <w:tab w:val="center" w:pos="4680"/>
        <w:tab w:val="right" w:pos="9360"/>
      </w:tabs>
      <w:spacing w:after="0" w:line="240" w:lineRule="auto"/>
    </w:pPr>
  </w:style>
  <w:style w:type="paragraph" w:styleId="9">
    <w:name w:val="header"/>
    <w:basedOn w:val="1"/>
    <w:link w:val="15"/>
    <w:semiHidden/>
    <w:unhideWhenUsed/>
    <w:qFormat/>
    <w:uiPriority w:val="99"/>
    <w:pPr>
      <w:tabs>
        <w:tab w:val="center" w:pos="4680"/>
        <w:tab w:val="right" w:pos="9360"/>
      </w:tabs>
      <w:spacing w:after="0" w:line="240" w:lineRule="auto"/>
    </w:pPr>
  </w:style>
  <w:style w:type="character" w:styleId="10">
    <w:name w:val="Hyperlink"/>
    <w:basedOn w:val="4"/>
    <w:unhideWhenUsed/>
    <w:qFormat/>
    <w:uiPriority w:val="99"/>
    <w:rPr>
      <w:color w:val="0000FF" w:themeColor="hyperlink"/>
      <w:u w:val="single"/>
    </w:rPr>
  </w:style>
  <w:style w:type="paragraph" w:styleId="11">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table" w:styleId="12">
    <w:name w:val="Table Grid"/>
    <w:basedOn w:val="5"/>
    <w:qFormat/>
    <w:uiPriority w:val="5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13">
    <w:name w:val="toc 1"/>
    <w:basedOn w:val="1"/>
    <w:next w:val="1"/>
    <w:unhideWhenUsed/>
    <w:qFormat/>
    <w:uiPriority w:val="39"/>
    <w:pPr>
      <w:spacing w:after="100"/>
    </w:pPr>
  </w:style>
  <w:style w:type="paragraph" w:styleId="14">
    <w:name w:val="toc 2"/>
    <w:basedOn w:val="1"/>
    <w:next w:val="1"/>
    <w:unhideWhenUsed/>
    <w:qFormat/>
    <w:uiPriority w:val="39"/>
    <w:pPr>
      <w:spacing w:after="100"/>
      <w:ind w:left="220"/>
    </w:pPr>
  </w:style>
  <w:style w:type="character" w:customStyle="1" w:styleId="15">
    <w:name w:val="Header Char"/>
    <w:basedOn w:val="4"/>
    <w:link w:val="9"/>
    <w:semiHidden/>
    <w:uiPriority w:val="99"/>
  </w:style>
  <w:style w:type="character" w:customStyle="1" w:styleId="16">
    <w:name w:val="Footer Char"/>
    <w:basedOn w:val="4"/>
    <w:link w:val="8"/>
    <w:uiPriority w:val="99"/>
  </w:style>
  <w:style w:type="character" w:customStyle="1" w:styleId="17">
    <w:name w:val="Balloon Text Char"/>
    <w:basedOn w:val="4"/>
    <w:link w:val="6"/>
    <w:semiHidden/>
    <w:uiPriority w:val="99"/>
    <w:rPr>
      <w:rFonts w:ascii="Tahoma" w:hAnsi="Tahoma" w:cs="Tahoma"/>
      <w:sz w:val="16"/>
      <w:szCs w:val="16"/>
    </w:rPr>
  </w:style>
  <w:style w:type="table" w:customStyle="1" w:styleId="18">
    <w:name w:val="Table1"/>
    <w:basedOn w:val="5"/>
    <w:qFormat/>
    <w:uiPriority w:val="0"/>
    <w:pPr>
      <w:spacing w:after="0"/>
    </w:pPr>
    <w:rPr>
      <w:rFonts w:ascii="Arial" w:hAnsi="Arial" w:eastAsia="Arial" w:cs="Arial"/>
    </w:rPr>
    <w:tblPr>
      <w:tblCellMar>
        <w:top w:w="100" w:type="dxa"/>
        <w:left w:w="100" w:type="dxa"/>
        <w:bottom w:w="100" w:type="dxa"/>
        <w:right w:w="100" w:type="dxa"/>
      </w:tblCellMar>
    </w:tblPr>
  </w:style>
  <w:style w:type="table" w:customStyle="1" w:styleId="19">
    <w:name w:val="Table4"/>
    <w:basedOn w:val="5"/>
    <w:qFormat/>
    <w:uiPriority w:val="0"/>
    <w:pPr>
      <w:spacing w:after="0"/>
    </w:pPr>
    <w:rPr>
      <w:rFonts w:ascii="Arial" w:hAnsi="Arial" w:eastAsia="Arial" w:cs="Arial"/>
    </w:rPr>
    <w:tblPr>
      <w:tblCellMar>
        <w:top w:w="100" w:type="dxa"/>
        <w:left w:w="100" w:type="dxa"/>
        <w:bottom w:w="100" w:type="dxa"/>
        <w:right w:w="100" w:type="dxa"/>
      </w:tblCellMar>
    </w:tblPr>
  </w:style>
  <w:style w:type="paragraph" w:styleId="20">
    <w:name w:val="List Paragraph"/>
    <w:basedOn w:val="1"/>
    <w:qFormat/>
    <w:uiPriority w:val="34"/>
    <w:pPr>
      <w:ind w:left="720"/>
      <w:contextualSpacing/>
    </w:pPr>
  </w:style>
  <w:style w:type="character" w:customStyle="1" w:styleId="21">
    <w:name w:val="Heading 1 Char"/>
    <w:basedOn w:val="4"/>
    <w:link w:val="2"/>
    <w:qFormat/>
    <w:uiPriority w:val="9"/>
    <w:rPr>
      <w:rFonts w:ascii="Times New Roman" w:hAnsi="Times New Roman" w:eastAsiaTheme="majorEastAsia" w:cstheme="majorBidi"/>
      <w:b/>
      <w:bCs/>
      <w:color w:val="000000" w:themeColor="text1"/>
      <w:sz w:val="28"/>
      <w:szCs w:val="28"/>
    </w:rPr>
  </w:style>
  <w:style w:type="character" w:customStyle="1" w:styleId="22">
    <w:name w:val="Heading 2 Char"/>
    <w:basedOn w:val="4"/>
    <w:link w:val="3"/>
    <w:qFormat/>
    <w:uiPriority w:val="9"/>
    <w:rPr>
      <w:rFonts w:ascii="Times New Roman" w:hAnsi="Times New Roman" w:eastAsiaTheme="majorEastAsia" w:cstheme="majorBidi"/>
      <w:b/>
      <w:bCs/>
      <w:color w:val="000000" w:themeColor="text1"/>
      <w:sz w:val="26"/>
      <w:szCs w:val="26"/>
    </w:rPr>
  </w:style>
  <w:style w:type="paragraph" w:customStyle="1" w:styleId="23">
    <w:name w:val="TOC Heading"/>
    <w:basedOn w:val="2"/>
    <w:next w:val="1"/>
    <w:semiHidden/>
    <w:unhideWhenUsed/>
    <w:qFormat/>
    <w:uiPriority w:val="39"/>
    <w:pPr>
      <w:spacing w:before="480" w:line="276" w:lineRule="auto"/>
      <w:jc w:val="left"/>
      <w:outlineLvl w:val="9"/>
    </w:pPr>
    <w:rPr>
      <w:rFonts w:asciiTheme="majorHAnsi" w:hAnsiTheme="majorHAnsi"/>
      <w:color w:val="366091" w:themeColor="accent1" w:themeShade="BF"/>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customXml" Target="../customXml/item1.xml"/><Relationship Id="rId16" Type="http://schemas.openxmlformats.org/officeDocument/2006/relationships/numbering" Target="numbering.xml"/><Relationship Id="rId15" Type="http://schemas.microsoft.com/office/2007/relationships/diagramDrawing" Target="diagrams/drawing1.xml"/><Relationship Id="rId14" Type="http://schemas.openxmlformats.org/officeDocument/2006/relationships/diagramColors" Target="diagrams/colors1.xml"/><Relationship Id="rId13" Type="http://schemas.openxmlformats.org/officeDocument/2006/relationships/diagramQuickStyle" Target="diagrams/quickStyle1.xml"/><Relationship Id="rId12" Type="http://schemas.openxmlformats.org/officeDocument/2006/relationships/diagramLayout" Target="diagrams/layout1.xml"/><Relationship Id="rId11" Type="http://schemas.openxmlformats.org/officeDocument/2006/relationships/diagramData" Target="diagrams/data1.xml"/><Relationship Id="rId10" Type="http://schemas.openxmlformats.org/officeDocument/2006/relationships/image" Target="media/image4.png"/><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F49F059B-2DBF-4AA5-AE22-800CD9162C63}" type="doc">
      <dgm:prSet loTypeId="urn:microsoft.com/office/officeart/2005/8/layout/radial4#1" loCatId="relationship" qsTypeId="urn:microsoft.com/office/officeart/2005/8/quickstyle/3d2#1" qsCatId="3D" csTypeId="urn:microsoft.com/office/officeart/2005/8/colors/colorful1#1" csCatId="colorful" phldr="1"/>
      <dgm:spPr/>
      <dgm:t>
        <a:bodyPr/>
        <a:p>
          <a:endParaRPr lang="en-US"/>
        </a:p>
      </dgm:t>
    </dgm:pt>
    <dgm:pt modelId="{718B83F5-1538-45AD-AE68-9F36582E5EB7}">
      <dgm:prSet phldrT="[Text]" custT="1"/>
      <dgm:spPr/>
      <dgm:t>
        <a:bodyPr/>
        <a:p>
          <a:r>
            <a:rPr lang="en-US" sz="1400" b="1">
              <a:solidFill>
                <a:schemeClr val="tx1"/>
              </a:solidFill>
              <a:latin typeface="Times New Roman" panose="02020603050405020304" charset="0"/>
              <a:cs typeface="Times New Roman" panose="02020603050405020304" charset="0"/>
            </a:rPr>
            <a:t>Market competition</a:t>
          </a:r>
        </a:p>
      </dgm:t>
    </dgm:pt>
    <dgm:pt modelId="{73BA7F53-D167-4D58-986B-78BC01BD539A}" cxnId="{CB9E4919-C2AA-4319-A402-660FB67E5A2E}" type="parTrans">
      <dgm:prSet/>
      <dgm:spPr/>
      <dgm:t>
        <a:bodyPr/>
        <a:p>
          <a:endParaRPr lang="en-US"/>
        </a:p>
      </dgm:t>
    </dgm:pt>
    <dgm:pt modelId="{20504E64-3581-4080-8A2B-4896310A775C}" cxnId="{CB9E4919-C2AA-4319-A402-660FB67E5A2E}" type="sibTrans">
      <dgm:prSet/>
      <dgm:spPr/>
      <dgm:t>
        <a:bodyPr/>
        <a:p>
          <a:endParaRPr lang="en-US"/>
        </a:p>
      </dgm:t>
    </dgm:pt>
    <dgm:pt modelId="{A5EC1040-825A-4604-AFE3-51E8BA5A95A7}">
      <dgm:prSet phldrT="[Text]" custT="1"/>
      <dgm:spPr/>
      <dgm:t>
        <a:bodyPr/>
        <a:p>
          <a:r>
            <a:rPr lang="en-US" sz="1400" b="1">
              <a:solidFill>
                <a:schemeClr val="tx1"/>
              </a:solidFill>
              <a:latin typeface="Times New Roman" panose="02020603050405020304" charset="0"/>
              <a:cs typeface="Times New Roman" panose="02020603050405020304" charset="0"/>
            </a:rPr>
            <a:t>ASDA</a:t>
          </a:r>
        </a:p>
      </dgm:t>
    </dgm:pt>
    <dgm:pt modelId="{3CABE017-83FF-41CA-98DA-D7F8380CEF60}" cxnId="{996B5DFF-B640-42D5-AACD-EFC77EE95272}" type="parTrans">
      <dgm:prSet/>
      <dgm:spPr/>
      <dgm:t>
        <a:bodyPr/>
        <a:p>
          <a:endParaRPr lang="en-US"/>
        </a:p>
      </dgm:t>
    </dgm:pt>
    <dgm:pt modelId="{2804C289-B31E-4FD7-BB1B-A6F45623FD57}" cxnId="{996B5DFF-B640-42D5-AACD-EFC77EE95272}" type="sibTrans">
      <dgm:prSet/>
      <dgm:spPr/>
      <dgm:t>
        <a:bodyPr/>
        <a:p>
          <a:endParaRPr lang="en-US"/>
        </a:p>
      </dgm:t>
    </dgm:pt>
    <dgm:pt modelId="{824A136C-A6DA-4598-997E-BB108DA9EC24}">
      <dgm:prSet phldrT="[Text]" custT="1"/>
      <dgm:spPr/>
      <dgm:t>
        <a:bodyPr/>
        <a:p>
          <a:r>
            <a:rPr lang="en-US" sz="1400" b="1">
              <a:solidFill>
                <a:schemeClr val="tx1"/>
              </a:solidFill>
              <a:latin typeface="Times New Roman" panose="02020603050405020304" charset="0"/>
              <a:cs typeface="Times New Roman" panose="02020603050405020304" charset="0"/>
            </a:rPr>
            <a:t>Morrison's </a:t>
          </a:r>
        </a:p>
      </dgm:t>
    </dgm:pt>
    <dgm:pt modelId="{655DA64F-761D-4690-8DA6-E7227F0A190F}" cxnId="{0F5C1F5E-C7F0-4DC3-91D9-D1A7DE8391A1}" type="parTrans">
      <dgm:prSet/>
      <dgm:spPr/>
      <dgm:t>
        <a:bodyPr/>
        <a:p>
          <a:endParaRPr lang="en-US"/>
        </a:p>
      </dgm:t>
    </dgm:pt>
    <dgm:pt modelId="{E7167D84-1C82-4A06-91DB-DFD264A4FDCA}" cxnId="{0F5C1F5E-C7F0-4DC3-91D9-D1A7DE8391A1}" type="sibTrans">
      <dgm:prSet/>
      <dgm:spPr/>
      <dgm:t>
        <a:bodyPr/>
        <a:p>
          <a:endParaRPr lang="en-US"/>
        </a:p>
      </dgm:t>
    </dgm:pt>
    <dgm:pt modelId="{0F9BE34F-96DC-47AD-89A5-D768F274D1D2}">
      <dgm:prSet phldrT="[Text]" custT="1"/>
      <dgm:spPr/>
      <dgm:t>
        <a:bodyPr/>
        <a:p>
          <a:r>
            <a:rPr lang="en-US" sz="1400" b="1">
              <a:solidFill>
                <a:schemeClr val="tx1"/>
              </a:solidFill>
              <a:latin typeface="Times New Roman" panose="02020603050405020304" charset="0"/>
              <a:cs typeface="Times New Roman" panose="02020603050405020304" charset="0"/>
            </a:rPr>
            <a:t>Sainsbury's</a:t>
          </a:r>
        </a:p>
      </dgm:t>
    </dgm:pt>
    <dgm:pt modelId="{F666471B-944B-4462-9BB2-6375E55129E2}" cxnId="{0F312B86-2F57-48E2-8708-81899D47339E}" type="parTrans">
      <dgm:prSet/>
      <dgm:spPr/>
      <dgm:t>
        <a:bodyPr/>
        <a:p>
          <a:endParaRPr lang="en-US"/>
        </a:p>
      </dgm:t>
    </dgm:pt>
    <dgm:pt modelId="{3C079F0E-0A6F-4706-A052-456B42698047}" cxnId="{0F312B86-2F57-48E2-8708-81899D47339E}" type="sibTrans">
      <dgm:prSet/>
      <dgm:spPr/>
      <dgm:t>
        <a:bodyPr/>
        <a:p>
          <a:endParaRPr lang="en-US"/>
        </a:p>
      </dgm:t>
    </dgm:pt>
    <dgm:pt modelId="{E01E8209-B223-448C-BE25-0C8B9263E57B}" type="pres">
      <dgm:prSet presAssocID="{F49F059B-2DBF-4AA5-AE22-800CD9162C63}" presName="cycle" presStyleCnt="0">
        <dgm:presLayoutVars>
          <dgm:chMax val="1"/>
          <dgm:dir/>
          <dgm:animLvl val="ctr"/>
          <dgm:resizeHandles val="exact"/>
        </dgm:presLayoutVars>
      </dgm:prSet>
      <dgm:spPr/>
    </dgm:pt>
    <dgm:pt modelId="{B524407A-74A7-4762-B23C-B79EF698F111}" type="pres">
      <dgm:prSet presAssocID="{718B83F5-1538-45AD-AE68-9F36582E5EB7}" presName="centerShape" presStyleLbl="node0" presStyleIdx="0" presStyleCnt="1"/>
      <dgm:spPr/>
    </dgm:pt>
    <dgm:pt modelId="{6D9CB842-6EEF-4573-A633-EF95F649850F}" type="pres">
      <dgm:prSet presAssocID="{3CABE017-83FF-41CA-98DA-D7F8380CEF60}" presName="parTrans" presStyleLbl="bgSibTrans2D1" presStyleIdx="0" presStyleCnt="3"/>
      <dgm:spPr/>
    </dgm:pt>
    <dgm:pt modelId="{9627B0AE-3E88-48E1-A2C6-4F09F8B1C84E}" type="pres">
      <dgm:prSet presAssocID="{A5EC1040-825A-4604-AFE3-51E8BA5A95A7}" presName="node" presStyleLbl="node1" presStyleIdx="0" presStyleCnt="3">
        <dgm:presLayoutVars>
          <dgm:bulletEnabled val="1"/>
        </dgm:presLayoutVars>
      </dgm:prSet>
      <dgm:spPr/>
    </dgm:pt>
    <dgm:pt modelId="{D8A41E2C-2EC3-4C04-965B-88E2AAB1EFA9}" type="pres">
      <dgm:prSet presAssocID="{655DA64F-761D-4690-8DA6-E7227F0A190F}" presName="parTrans" presStyleLbl="bgSibTrans2D1" presStyleIdx="1" presStyleCnt="3"/>
      <dgm:spPr/>
    </dgm:pt>
    <dgm:pt modelId="{21D6A87A-D6C5-4906-A5B3-33B5282D85D5}" type="pres">
      <dgm:prSet presAssocID="{824A136C-A6DA-4598-997E-BB108DA9EC24}" presName="node" presStyleLbl="node1" presStyleIdx="1" presStyleCnt="3">
        <dgm:presLayoutVars>
          <dgm:bulletEnabled val="1"/>
        </dgm:presLayoutVars>
      </dgm:prSet>
      <dgm:spPr/>
    </dgm:pt>
    <dgm:pt modelId="{B401D5B8-DB24-4EDB-A6A7-D42D0CE9B1C3}" type="pres">
      <dgm:prSet presAssocID="{F666471B-944B-4462-9BB2-6375E55129E2}" presName="parTrans" presStyleLbl="bgSibTrans2D1" presStyleIdx="2" presStyleCnt="3"/>
      <dgm:spPr/>
    </dgm:pt>
    <dgm:pt modelId="{694E062D-AA8D-4092-8699-0B6D8BF68016}" type="pres">
      <dgm:prSet presAssocID="{0F9BE34F-96DC-47AD-89A5-D768F274D1D2}" presName="node" presStyleLbl="node1" presStyleIdx="2" presStyleCnt="3">
        <dgm:presLayoutVars>
          <dgm:bulletEnabled val="1"/>
        </dgm:presLayoutVars>
      </dgm:prSet>
      <dgm:spPr/>
    </dgm:pt>
  </dgm:ptLst>
  <dgm:cxnLst>
    <dgm:cxn modelId="{3FD85C05-8271-4E41-99F4-B2C6FEA1C966}" type="presOf" srcId="{A5EC1040-825A-4604-AFE3-51E8BA5A95A7}" destId="{9627B0AE-3E88-48E1-A2C6-4F09F8B1C84E}" srcOrd="0" destOrd="0" presId="urn:microsoft.com/office/officeart/2005/8/layout/radial4#1"/>
    <dgm:cxn modelId="{B9983A0D-10E0-43D5-9A7F-D8B6B3E8DD8F}" type="presOf" srcId="{3CABE017-83FF-41CA-98DA-D7F8380CEF60}" destId="{6D9CB842-6EEF-4573-A633-EF95F649850F}" srcOrd="0" destOrd="0" presId="urn:microsoft.com/office/officeart/2005/8/layout/radial4#1"/>
    <dgm:cxn modelId="{CB9E4919-C2AA-4319-A402-660FB67E5A2E}" srcId="{F49F059B-2DBF-4AA5-AE22-800CD9162C63}" destId="{718B83F5-1538-45AD-AE68-9F36582E5EB7}" srcOrd="0" destOrd="0" parTransId="{73BA7F53-D167-4D58-986B-78BC01BD539A}" sibTransId="{20504E64-3581-4080-8A2B-4896310A775C}"/>
    <dgm:cxn modelId="{3896A73F-5B21-4F60-B968-17C55933F1A5}" type="presOf" srcId="{655DA64F-761D-4690-8DA6-E7227F0A190F}" destId="{D8A41E2C-2EC3-4C04-965B-88E2AAB1EFA9}" srcOrd="0" destOrd="0" presId="urn:microsoft.com/office/officeart/2005/8/layout/radial4#1"/>
    <dgm:cxn modelId="{0F5C1F5E-C7F0-4DC3-91D9-D1A7DE8391A1}" srcId="{718B83F5-1538-45AD-AE68-9F36582E5EB7}" destId="{824A136C-A6DA-4598-997E-BB108DA9EC24}" srcOrd="1" destOrd="0" parTransId="{655DA64F-761D-4690-8DA6-E7227F0A190F}" sibTransId="{E7167D84-1C82-4A06-91DB-DFD264A4FDCA}"/>
    <dgm:cxn modelId="{221BD743-D7E6-4C84-BF94-8705A37338AB}" type="presOf" srcId="{F49F059B-2DBF-4AA5-AE22-800CD9162C63}" destId="{E01E8209-B223-448C-BE25-0C8B9263E57B}" srcOrd="0" destOrd="0" presId="urn:microsoft.com/office/officeart/2005/8/layout/radial4#1"/>
    <dgm:cxn modelId="{9D3B0E4C-6231-4B7A-8A16-77EC4F732C35}" type="presOf" srcId="{824A136C-A6DA-4598-997E-BB108DA9EC24}" destId="{21D6A87A-D6C5-4906-A5B3-33B5282D85D5}" srcOrd="0" destOrd="0" presId="urn:microsoft.com/office/officeart/2005/8/layout/radial4#1"/>
    <dgm:cxn modelId="{CB401A70-7270-42B4-A375-8B52978B15B6}" type="presOf" srcId="{0F9BE34F-96DC-47AD-89A5-D768F274D1D2}" destId="{694E062D-AA8D-4092-8699-0B6D8BF68016}" srcOrd="0" destOrd="0" presId="urn:microsoft.com/office/officeart/2005/8/layout/radial4#1"/>
    <dgm:cxn modelId="{B739D871-CFE6-4127-A847-A613323A38A9}" type="presOf" srcId="{F666471B-944B-4462-9BB2-6375E55129E2}" destId="{B401D5B8-DB24-4EDB-A6A7-D42D0CE9B1C3}" srcOrd="0" destOrd="0" presId="urn:microsoft.com/office/officeart/2005/8/layout/radial4#1"/>
    <dgm:cxn modelId="{0F312B86-2F57-48E2-8708-81899D47339E}" srcId="{718B83F5-1538-45AD-AE68-9F36582E5EB7}" destId="{0F9BE34F-96DC-47AD-89A5-D768F274D1D2}" srcOrd="2" destOrd="0" parTransId="{F666471B-944B-4462-9BB2-6375E55129E2}" sibTransId="{3C079F0E-0A6F-4706-A052-456B42698047}"/>
    <dgm:cxn modelId="{E64A10DC-D678-4A82-9BE6-0CC44705709D}" type="presOf" srcId="{718B83F5-1538-45AD-AE68-9F36582E5EB7}" destId="{B524407A-74A7-4762-B23C-B79EF698F111}" srcOrd="0" destOrd="0" presId="urn:microsoft.com/office/officeart/2005/8/layout/radial4#1"/>
    <dgm:cxn modelId="{996B5DFF-B640-42D5-AACD-EFC77EE95272}" srcId="{718B83F5-1538-45AD-AE68-9F36582E5EB7}" destId="{A5EC1040-825A-4604-AFE3-51E8BA5A95A7}" srcOrd="0" destOrd="0" parTransId="{3CABE017-83FF-41CA-98DA-D7F8380CEF60}" sibTransId="{2804C289-B31E-4FD7-BB1B-A6F45623FD57}"/>
    <dgm:cxn modelId="{189CD1B8-2390-40BF-89D8-9EB3CC55C034}" type="presParOf" srcId="{E01E8209-B223-448C-BE25-0C8B9263E57B}" destId="{B524407A-74A7-4762-B23C-B79EF698F111}" srcOrd="0" destOrd="0" presId="urn:microsoft.com/office/officeart/2005/8/layout/radial4#1"/>
    <dgm:cxn modelId="{021D4C53-3BB6-4E18-B993-D6C00D75E1F4}" type="presParOf" srcId="{E01E8209-B223-448C-BE25-0C8B9263E57B}" destId="{6D9CB842-6EEF-4573-A633-EF95F649850F}" srcOrd="1" destOrd="0" presId="urn:microsoft.com/office/officeart/2005/8/layout/radial4#1"/>
    <dgm:cxn modelId="{F776558C-BE4A-4FEE-9409-592D4F839411}" type="presParOf" srcId="{E01E8209-B223-448C-BE25-0C8B9263E57B}" destId="{9627B0AE-3E88-48E1-A2C6-4F09F8B1C84E}" srcOrd="2" destOrd="0" presId="urn:microsoft.com/office/officeart/2005/8/layout/radial4#1"/>
    <dgm:cxn modelId="{EE8E8661-AD8B-48FB-AF9C-5CEB98B46561}" type="presParOf" srcId="{E01E8209-B223-448C-BE25-0C8B9263E57B}" destId="{D8A41E2C-2EC3-4C04-965B-88E2AAB1EFA9}" srcOrd="3" destOrd="0" presId="urn:microsoft.com/office/officeart/2005/8/layout/radial4#1"/>
    <dgm:cxn modelId="{849F6EBD-3902-44F1-BDE2-F13EB0ED4AD7}" type="presParOf" srcId="{E01E8209-B223-448C-BE25-0C8B9263E57B}" destId="{21D6A87A-D6C5-4906-A5B3-33B5282D85D5}" srcOrd="4" destOrd="0" presId="urn:microsoft.com/office/officeart/2005/8/layout/radial4#1"/>
    <dgm:cxn modelId="{6612C70C-C91E-4BD8-A36B-71F8401397EC}" type="presParOf" srcId="{E01E8209-B223-448C-BE25-0C8B9263E57B}" destId="{B401D5B8-DB24-4EDB-A6A7-D42D0CE9B1C3}" srcOrd="5" destOrd="0" presId="urn:microsoft.com/office/officeart/2005/8/layout/radial4#1"/>
    <dgm:cxn modelId="{568A0B63-A790-4F2A-BAF3-1A34D70EB6B6}" type="presParOf" srcId="{E01E8209-B223-448C-BE25-0C8B9263E57B}" destId="{694E062D-AA8D-4092-8699-0B6D8BF68016}" srcOrd="6" destOrd="0" presId="urn:microsoft.com/office/officeart/2005/8/layout/radial4#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24407A-74A7-4762-B23C-B79EF698F111}">
      <dsp:nvSpPr>
        <dsp:cNvPr id="0" name=""/>
        <dsp:cNvSpPr/>
      </dsp:nvSpPr>
      <dsp:spPr>
        <a:xfrm>
          <a:off x="2013385" y="1739549"/>
          <a:ext cx="1459628" cy="1459628"/>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latin typeface="Times New Roman" pitchFamily="18" charset="0"/>
              <a:cs typeface="Times New Roman" pitchFamily="18" charset="0"/>
            </a:rPr>
            <a:t>Market competition</a:t>
          </a:r>
        </a:p>
      </dsp:txBody>
      <dsp:txXfrm>
        <a:off x="2227143" y="1953307"/>
        <a:ext cx="1032112" cy="1032112"/>
      </dsp:txXfrm>
    </dsp:sp>
    <dsp:sp modelId="{6D9CB842-6EEF-4573-A633-EF95F649850F}">
      <dsp:nvSpPr>
        <dsp:cNvPr id="0" name=""/>
        <dsp:cNvSpPr/>
      </dsp:nvSpPr>
      <dsp:spPr>
        <a:xfrm rot="12900000">
          <a:off x="1074621" y="1484629"/>
          <a:ext cx="1118566" cy="415994"/>
        </a:xfrm>
        <a:prstGeom prst="leftArrow">
          <a:avLst>
            <a:gd name="adj1" fmla="val 60000"/>
            <a:gd name="adj2" fmla="val 50000"/>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9627B0AE-3E88-48E1-A2C6-4F09F8B1C84E}">
      <dsp:nvSpPr>
        <dsp:cNvPr id="0" name=""/>
        <dsp:cNvSpPr/>
      </dsp:nvSpPr>
      <dsp:spPr>
        <a:xfrm>
          <a:off x="482442" y="817176"/>
          <a:ext cx="1386647" cy="1109317"/>
        </a:xfrm>
        <a:prstGeom prst="roundRect">
          <a:avLst>
            <a:gd name="adj" fmla="val 10000"/>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latin typeface="Times New Roman" pitchFamily="18" charset="0"/>
              <a:cs typeface="Times New Roman" pitchFamily="18" charset="0"/>
            </a:rPr>
            <a:t>ASDA</a:t>
          </a:r>
        </a:p>
      </dsp:txBody>
      <dsp:txXfrm>
        <a:off x="514933" y="849667"/>
        <a:ext cx="1321665" cy="1044335"/>
      </dsp:txXfrm>
    </dsp:sp>
    <dsp:sp modelId="{D8A41E2C-2EC3-4C04-965B-88E2AAB1EFA9}">
      <dsp:nvSpPr>
        <dsp:cNvPr id="0" name=""/>
        <dsp:cNvSpPr/>
      </dsp:nvSpPr>
      <dsp:spPr>
        <a:xfrm rot="16200000">
          <a:off x="2183916" y="907167"/>
          <a:ext cx="1118566" cy="415994"/>
        </a:xfrm>
        <a:prstGeom prst="leftArrow">
          <a:avLst>
            <a:gd name="adj1" fmla="val 60000"/>
            <a:gd name="adj2" fmla="val 50000"/>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21D6A87A-D6C5-4906-A5B3-33B5282D85D5}">
      <dsp:nvSpPr>
        <dsp:cNvPr id="0" name=""/>
        <dsp:cNvSpPr/>
      </dsp:nvSpPr>
      <dsp:spPr>
        <a:xfrm>
          <a:off x="2049876" y="1221"/>
          <a:ext cx="1386647" cy="1109317"/>
        </a:xfrm>
        <a:prstGeom prst="roundRect">
          <a:avLst>
            <a:gd name="adj" fmla="val 1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latin typeface="Times New Roman" pitchFamily="18" charset="0"/>
              <a:cs typeface="Times New Roman" pitchFamily="18" charset="0"/>
            </a:rPr>
            <a:t>Morrison's </a:t>
          </a:r>
        </a:p>
      </dsp:txBody>
      <dsp:txXfrm>
        <a:off x="2082367" y="33712"/>
        <a:ext cx="1321665" cy="1044335"/>
      </dsp:txXfrm>
    </dsp:sp>
    <dsp:sp modelId="{B401D5B8-DB24-4EDB-A6A7-D42D0CE9B1C3}">
      <dsp:nvSpPr>
        <dsp:cNvPr id="0" name=""/>
        <dsp:cNvSpPr/>
      </dsp:nvSpPr>
      <dsp:spPr>
        <a:xfrm rot="19500000">
          <a:off x="3293211" y="1484629"/>
          <a:ext cx="1118566" cy="415994"/>
        </a:xfrm>
        <a:prstGeom prst="leftArrow">
          <a:avLst>
            <a:gd name="adj1" fmla="val 60000"/>
            <a:gd name="adj2" fmla="val 50000"/>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694E062D-AA8D-4092-8699-0B6D8BF68016}">
      <dsp:nvSpPr>
        <dsp:cNvPr id="0" name=""/>
        <dsp:cNvSpPr/>
      </dsp:nvSpPr>
      <dsp:spPr>
        <a:xfrm>
          <a:off x="3617309" y="817176"/>
          <a:ext cx="1386647" cy="1109317"/>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latin typeface="Times New Roman" pitchFamily="18" charset="0"/>
              <a:cs typeface="Times New Roman" pitchFamily="18" charset="0"/>
            </a:rPr>
            <a:t>Sainsbury's</a:t>
          </a:r>
        </a:p>
      </dsp:txBody>
      <dsp:txXfrm>
        <a:off x="3649800" y="849667"/>
        <a:ext cx="1321665" cy="1044335"/>
      </dsp:txXfrm>
    </dsp:sp>
  </dsp:spTree>
</dsp:drawing>
</file>

<file path=word/diagrams/layout1.xml><?xml version="1.0" encoding="utf-8"?>
<dgm:layoutDef xmlns:dgm="http://schemas.openxmlformats.org/drawingml/2006/diagram" xmlns:a="http://schemas.openxmlformats.org/drawingml/2006/main" uniqueId="urn:microsoft.com/office/officeart/2005/8/layout/radial4#1">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Sty" val="arr"/>
              <dgm:param type="endSty" val="noArr"/>
              <dgm:param type="begPts" val="auto"/>
              <dgm:param type="endPts" val="ct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64EC72-0DA2-4214-AFBD-67CE9915F8D6}">
  <ds:schemaRefs/>
</ds:datastoreItem>
</file>

<file path=docProps/app.xml><?xml version="1.0" encoding="utf-8"?>
<Properties xmlns="http://schemas.openxmlformats.org/officeDocument/2006/extended-properties" xmlns:vt="http://schemas.openxmlformats.org/officeDocument/2006/docPropsVTypes">
  <Template>Normal</Template>
  <Pages>15</Pages>
  <Words>3032</Words>
  <Characters>17288</Characters>
  <Lines>144</Lines>
  <Paragraphs>40</Paragraphs>
  <TotalTime>5</TotalTime>
  <ScaleCrop>false</ScaleCrop>
  <LinksUpToDate>false</LinksUpToDate>
  <CharactersWithSpaces>20280</CharactersWithSpaces>
  <Application>WPS Office_11.2.0.11440_F1E327BC-269C-435d-A152-05C5408002CA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2022-12-16T04:45:00Z</dcterms:created>
  <dc:creator>User</dc:creator>
  <cp:lastModifiedBy>Hi</cp:lastModifiedBy>
  <dcterms:modified xsi:type="dcterms:W3CDTF">2023-01-03T15:49:45Z</dcterms:modified>
  <cp:revision>127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1033-11.2.0.11440</vt:lpwstr>
  </property>
  <property fmtid="{D5CDD505-2E9C-101B-9397-08002B2CF9AE}" pid="3" name="ICV">
    <vt:lpwstr>6021532972C3466FB608F3871AF225FD</vt:lpwstr>
  </property>
</Properties>
</file>