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1D42B3" w14:textId="77777777" w:rsidR="008D03F4" w:rsidRP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color w:val="000000"/>
          <w:kern w:val="0"/>
          <w:sz w:val="24"/>
          <w:szCs w:val="24"/>
          <w:lang w:eastAsia="en-GB"/>
          <w14:ligatures w14:val="none"/>
        </w:rPr>
      </w:pPr>
      <w:bookmarkStart w:id="0" w:name="_Hlk163466254"/>
      <w:r w:rsidRPr="008D03F4">
        <w:rPr>
          <w:rFonts w:ascii="Arial" w:eastAsia="Times New Roman" w:hAnsi="Arial" w:cs="Arial"/>
          <w:color w:val="000000" w:themeColor="text1"/>
          <w:kern w:val="0"/>
          <w:sz w:val="24"/>
          <w:szCs w:val="24"/>
          <w:lang w:eastAsia="en-GB"/>
          <w14:ligatures w14:val="none"/>
        </w:rPr>
        <w:t>+</w:t>
      </w:r>
      <w:r w:rsidRPr="008D03F4">
        <w:rPr>
          <w:rFonts w:ascii="Arial" w:eastAsia="Times New Roman" w:hAnsi="Arial" w:cs="Arial"/>
          <w:noProof/>
          <w:color w:val="000000"/>
          <w:kern w:val="0"/>
          <w:sz w:val="20"/>
          <w:szCs w:val="20"/>
          <w:lang w:eastAsia="en-GB"/>
          <w14:ligatures w14:val="none"/>
        </w:rPr>
        <w:drawing>
          <wp:inline distT="0" distB="0" distL="0" distR="0" wp14:anchorId="109FFB23" wp14:editId="64722B01">
            <wp:extent cx="2045368" cy="714179"/>
            <wp:effectExtent l="0" t="0" r="0" b="0"/>
            <wp:docPr id="383836317" name="Picture 17"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36317" name="Picture 17" descr="Black text on a white background&#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6A94B241" w14:textId="77777777" w:rsidR="008D03F4" w:rsidRP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color w:val="000000"/>
          <w:kern w:val="0"/>
          <w:sz w:val="24"/>
          <w:szCs w:val="24"/>
          <w:lang w:eastAsia="en-GB"/>
          <w14:ligatures w14:val="none"/>
        </w:rPr>
      </w:pPr>
    </w:p>
    <w:p w14:paraId="658750A9" w14:textId="77777777" w:rsidR="008D03F4" w:rsidRP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color w:val="000000"/>
          <w:kern w:val="0"/>
          <w:sz w:val="24"/>
          <w:szCs w:val="24"/>
          <w:lang w:eastAsia="en-GB"/>
          <w14:ligatures w14:val="none"/>
        </w:rPr>
      </w:pPr>
    </w:p>
    <w:p w14:paraId="132E5690" w14:textId="77777777" w:rsidR="008D03F4" w:rsidRP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b/>
          <w:color w:val="000000"/>
          <w:kern w:val="0"/>
          <w:sz w:val="36"/>
          <w:szCs w:val="40"/>
          <w:lang w:eastAsia="en-GB"/>
          <w14:ligatures w14:val="none"/>
        </w:rPr>
      </w:pPr>
      <w:r w:rsidRPr="008D03F4">
        <w:rPr>
          <w:rFonts w:ascii="Arial" w:eastAsia="Times New Roman" w:hAnsi="Arial" w:cs="Arial"/>
          <w:b/>
          <w:color w:val="000000"/>
          <w:kern w:val="0"/>
          <w:sz w:val="36"/>
          <w:szCs w:val="40"/>
          <w:lang w:eastAsia="en-GB"/>
          <w14:ligatures w14:val="none"/>
        </w:rPr>
        <w:t xml:space="preserve">Graduate Diploma Professional Police Practice </w:t>
      </w:r>
    </w:p>
    <w:p w14:paraId="73BB8CC1" w14:textId="77777777" w:rsidR="008D03F4" w:rsidRPr="008D03F4" w:rsidRDefault="008D03F4" w:rsidP="008D03F4">
      <w:pPr>
        <w:spacing w:after="0" w:line="240" w:lineRule="auto"/>
        <w:ind w:right="237"/>
        <w:rPr>
          <w:rFonts w:ascii="Arial" w:eastAsia="Times New Roman" w:hAnsi="Arial" w:cs="Arial"/>
          <w:b/>
          <w:kern w:val="0"/>
          <w:sz w:val="44"/>
          <w:szCs w:val="20"/>
          <w:lang w:eastAsia="en-GB"/>
          <w14:ligatures w14:val="none"/>
        </w:rPr>
      </w:pPr>
    </w:p>
    <w:p w14:paraId="7D13BC06" w14:textId="77777777" w:rsidR="008D03F4" w:rsidRPr="008D03F4" w:rsidRDefault="008D03F4" w:rsidP="008D03F4">
      <w:pPr>
        <w:spacing w:after="0" w:line="240" w:lineRule="auto"/>
        <w:ind w:right="237"/>
        <w:rPr>
          <w:rFonts w:ascii="Arial" w:eastAsia="Times New Roman" w:hAnsi="Arial" w:cs="Arial"/>
          <w:b/>
          <w:kern w:val="0"/>
          <w:sz w:val="44"/>
          <w:szCs w:val="20"/>
          <w:lang w:eastAsia="en-GB"/>
          <w14:ligatures w14:val="none"/>
        </w:rPr>
      </w:pPr>
      <w:r w:rsidRPr="008D03F4">
        <w:rPr>
          <w:rFonts w:ascii="Arial" w:eastAsia="Times New Roman" w:hAnsi="Arial" w:cs="Arial"/>
          <w:b/>
          <w:kern w:val="0"/>
          <w:sz w:val="44"/>
          <w:szCs w:val="20"/>
          <w:lang w:eastAsia="en-GB"/>
          <w14:ligatures w14:val="none"/>
        </w:rPr>
        <w:t>LEVEL 6 - 40 Credits</w:t>
      </w:r>
    </w:p>
    <w:p w14:paraId="79213261" w14:textId="77777777" w:rsidR="008D03F4" w:rsidRPr="008D03F4" w:rsidRDefault="008D03F4" w:rsidP="008D03F4">
      <w:pPr>
        <w:spacing w:after="0" w:line="240" w:lineRule="auto"/>
        <w:ind w:right="237"/>
        <w:rPr>
          <w:rFonts w:ascii="Arial" w:eastAsia="Times New Roman" w:hAnsi="Arial" w:cs="Arial"/>
          <w:b/>
          <w:kern w:val="0"/>
          <w:sz w:val="44"/>
          <w:szCs w:val="20"/>
          <w:lang w:eastAsia="en-GB"/>
          <w14:ligatures w14:val="none"/>
        </w:rPr>
      </w:pPr>
    </w:p>
    <w:p w14:paraId="0996AB5A" w14:textId="77777777" w:rsidR="008D03F4" w:rsidRPr="008D03F4" w:rsidRDefault="008D03F4" w:rsidP="008D03F4">
      <w:pPr>
        <w:spacing w:after="0" w:line="240" w:lineRule="auto"/>
        <w:ind w:right="237"/>
        <w:rPr>
          <w:rFonts w:ascii="Arial" w:eastAsia="Times New Roman" w:hAnsi="Arial" w:cs="Arial"/>
          <w:b/>
          <w:kern w:val="0"/>
          <w:sz w:val="44"/>
          <w:szCs w:val="20"/>
          <w:lang w:eastAsia="en-GB"/>
          <w14:ligatures w14:val="none"/>
        </w:rPr>
      </w:pPr>
    </w:p>
    <w:p w14:paraId="743855C3" w14:textId="77777777" w:rsidR="008D03F4" w:rsidRPr="008D03F4" w:rsidRDefault="008D03F4" w:rsidP="008D03F4">
      <w:pPr>
        <w:spacing w:after="0" w:line="240" w:lineRule="auto"/>
        <w:ind w:right="237"/>
        <w:rPr>
          <w:rFonts w:ascii="Arial" w:eastAsia="Times New Roman" w:hAnsi="Arial" w:cs="Arial"/>
          <w:b/>
          <w:kern w:val="0"/>
          <w:sz w:val="40"/>
          <w:szCs w:val="20"/>
          <w:lang w:eastAsia="en-GB"/>
          <w14:ligatures w14:val="none"/>
        </w:rPr>
      </w:pPr>
      <w:r w:rsidRPr="008D03F4">
        <w:rPr>
          <w:rFonts w:ascii="Arial" w:eastAsia="Times New Roman" w:hAnsi="Arial" w:cs="Arial"/>
          <w:b/>
          <w:kern w:val="0"/>
          <w:sz w:val="40"/>
          <w:szCs w:val="20"/>
          <w:lang w:eastAsia="en-GB"/>
          <w14:ligatures w14:val="none"/>
        </w:rPr>
        <w:t>Workbook title: Competency Based Workbook 2 (DHEP/DET)</w:t>
      </w:r>
    </w:p>
    <w:p w14:paraId="303F1147" w14:textId="77777777" w:rsidR="008D03F4" w:rsidRPr="008D03F4" w:rsidRDefault="008D03F4" w:rsidP="008D03F4">
      <w:pPr>
        <w:spacing w:after="0" w:line="240" w:lineRule="auto"/>
        <w:ind w:right="237"/>
        <w:rPr>
          <w:rFonts w:ascii="Arial" w:eastAsia="Times New Roman" w:hAnsi="Arial" w:cs="Arial"/>
          <w:b/>
          <w:kern w:val="0"/>
          <w:sz w:val="40"/>
          <w:szCs w:val="20"/>
          <w:lang w:eastAsia="en-GB"/>
          <w14:ligatures w14:val="none"/>
        </w:rPr>
      </w:pPr>
    </w:p>
    <w:p w14:paraId="7E8698F2" w14:textId="77777777" w:rsidR="008D03F4" w:rsidRPr="008D03F4" w:rsidRDefault="008D03F4" w:rsidP="008D03F4">
      <w:pPr>
        <w:spacing w:after="0" w:line="240" w:lineRule="auto"/>
        <w:ind w:right="237"/>
        <w:rPr>
          <w:rFonts w:ascii="Arial" w:eastAsia="Times New Roman" w:hAnsi="Arial" w:cs="Arial"/>
          <w:b/>
          <w:i/>
          <w:iCs/>
          <w:kern w:val="0"/>
          <w:sz w:val="40"/>
          <w:szCs w:val="20"/>
          <w:lang w:eastAsia="en-GB"/>
          <w14:ligatures w14:val="none"/>
        </w:rPr>
      </w:pPr>
      <w:r w:rsidRPr="008D03F4">
        <w:rPr>
          <w:rFonts w:ascii="Arial" w:eastAsia="Times New Roman" w:hAnsi="Arial" w:cs="Arial"/>
          <w:b/>
          <w:i/>
          <w:iCs/>
          <w:kern w:val="0"/>
          <w:sz w:val="40"/>
          <w:szCs w:val="20"/>
          <w:highlight w:val="yellow"/>
          <w:lang w:eastAsia="en-GB"/>
          <w14:ligatures w14:val="none"/>
        </w:rPr>
        <w:t>To be completed by DHEP Detective students only</w:t>
      </w:r>
      <w:r w:rsidRPr="008D03F4">
        <w:rPr>
          <w:rFonts w:ascii="Arial" w:eastAsia="Times New Roman" w:hAnsi="Arial" w:cs="Arial"/>
          <w:b/>
          <w:i/>
          <w:iCs/>
          <w:kern w:val="0"/>
          <w:sz w:val="40"/>
          <w:szCs w:val="20"/>
          <w:lang w:eastAsia="en-GB"/>
          <w14:ligatures w14:val="none"/>
        </w:rPr>
        <w:t xml:space="preserve"> </w:t>
      </w:r>
    </w:p>
    <w:p w14:paraId="0CA6790C" w14:textId="77777777" w:rsidR="008D03F4" w:rsidRPr="008D03F4" w:rsidRDefault="008D03F4" w:rsidP="008D03F4">
      <w:pPr>
        <w:spacing w:after="0" w:line="240" w:lineRule="auto"/>
        <w:ind w:right="237"/>
        <w:rPr>
          <w:rFonts w:ascii="Arial" w:eastAsia="Times New Roman" w:hAnsi="Arial" w:cs="Arial"/>
          <w:b/>
          <w:kern w:val="0"/>
          <w:sz w:val="36"/>
          <w:szCs w:val="20"/>
          <w:lang w:eastAsia="en-GB"/>
          <w14:ligatures w14:val="none"/>
        </w:rPr>
      </w:pPr>
    </w:p>
    <w:p w14:paraId="697E8205" w14:textId="77777777" w:rsidR="008D03F4" w:rsidRPr="008D03F4" w:rsidRDefault="008D03F4" w:rsidP="008D03F4">
      <w:pPr>
        <w:spacing w:after="0" w:line="240" w:lineRule="auto"/>
        <w:ind w:right="237"/>
        <w:rPr>
          <w:rFonts w:ascii="Arial" w:eastAsia="Times New Roman" w:hAnsi="Arial" w:cs="Arial"/>
          <w:b/>
          <w:kern w:val="0"/>
          <w:sz w:val="36"/>
          <w:szCs w:val="20"/>
          <w:lang w:eastAsia="en-GB"/>
          <w14:ligatures w14:val="none"/>
        </w:rPr>
      </w:pPr>
      <w:r w:rsidRPr="008D03F4">
        <w:rPr>
          <w:rFonts w:ascii="Arial" w:eastAsia="Times New Roman" w:hAnsi="Arial" w:cs="Arial"/>
          <w:b/>
          <w:kern w:val="0"/>
          <w:sz w:val="36"/>
          <w:szCs w:val="20"/>
          <w:lang w:eastAsia="en-GB"/>
          <w14:ligatures w14:val="none"/>
        </w:rPr>
        <w:t>(SOUTH WALES POLICE, GWENT POLICE AND UWTSD)</w:t>
      </w:r>
    </w:p>
    <w:p w14:paraId="354EF0A7" w14:textId="77777777" w:rsidR="008D03F4" w:rsidRPr="008D03F4" w:rsidRDefault="008D03F4" w:rsidP="008D03F4">
      <w:pPr>
        <w:spacing w:after="0" w:line="240" w:lineRule="auto"/>
        <w:ind w:right="237"/>
        <w:rPr>
          <w:rFonts w:ascii="Arial" w:eastAsia="Times New Roman" w:hAnsi="Arial" w:cs="Arial"/>
          <w:b/>
          <w:kern w:val="0"/>
          <w:sz w:val="44"/>
          <w:szCs w:val="20"/>
          <w:lang w:eastAsia="en-GB"/>
          <w14:ligatures w14:val="none"/>
        </w:rPr>
      </w:pPr>
    </w:p>
    <w:p w14:paraId="307313A8" w14:textId="77777777" w:rsidR="008D03F4" w:rsidRPr="008D03F4" w:rsidRDefault="008D03F4" w:rsidP="008D03F4">
      <w:pPr>
        <w:spacing w:after="0" w:line="240" w:lineRule="auto"/>
        <w:ind w:right="237"/>
        <w:rPr>
          <w:rFonts w:ascii="Arial" w:eastAsia="Times New Roman" w:hAnsi="Arial" w:cs="Arial"/>
          <w:b/>
          <w:kern w:val="0"/>
          <w:sz w:val="44"/>
          <w:szCs w:val="20"/>
          <w:lang w:eastAsia="en-GB"/>
          <w14:ligatures w14:val="none"/>
        </w:rPr>
      </w:pPr>
    </w:p>
    <w:p w14:paraId="49C5D777" w14:textId="77777777" w:rsidR="008D03F4" w:rsidRPr="008D03F4" w:rsidRDefault="008D03F4" w:rsidP="008D03F4">
      <w:pPr>
        <w:spacing w:after="0" w:line="240" w:lineRule="auto"/>
        <w:rPr>
          <w:rFonts w:ascii="Arial" w:eastAsia="Times New Roman" w:hAnsi="Arial" w:cs="Arial"/>
          <w:color w:val="000000"/>
          <w:kern w:val="0"/>
          <w:sz w:val="20"/>
          <w:szCs w:val="20"/>
          <w:lang w:eastAsia="en-GB"/>
          <w14:ligatures w14:val="none"/>
        </w:rPr>
      </w:pPr>
    </w:p>
    <w:tbl>
      <w:tblPr>
        <w:tblStyle w:val="TableGrid"/>
        <w:tblW w:w="0" w:type="auto"/>
        <w:tblLayout w:type="fixed"/>
        <w:tblLook w:val="06A0" w:firstRow="1" w:lastRow="0" w:firstColumn="1" w:lastColumn="0" w:noHBand="1" w:noVBand="1"/>
      </w:tblPr>
      <w:tblGrid>
        <w:gridCol w:w="9015"/>
      </w:tblGrid>
      <w:tr w:rsidR="008D03F4" w:rsidRPr="008D03F4" w14:paraId="19E0F77E" w14:textId="77777777" w:rsidTr="004049E6">
        <w:tc>
          <w:tcPr>
            <w:tcW w:w="9015" w:type="dxa"/>
          </w:tcPr>
          <w:p w14:paraId="45E7DC5A" w14:textId="24580C75" w:rsidR="008D03F4" w:rsidRPr="008D03F4" w:rsidRDefault="008D03F4" w:rsidP="008D03F4">
            <w:pPr>
              <w:overflowPunct w:val="0"/>
              <w:autoSpaceDE w:val="0"/>
              <w:autoSpaceDN w:val="0"/>
              <w:adjustRightInd w:val="0"/>
              <w:ind w:right="237"/>
              <w:textAlignment w:val="baseline"/>
              <w:rPr>
                <w:rFonts w:ascii="Arial" w:hAnsi="Arial" w:cs="Arial"/>
                <w:b/>
                <w:bCs/>
                <w:sz w:val="32"/>
                <w:szCs w:val="32"/>
                <w:lang w:eastAsia="en-GB"/>
              </w:rPr>
            </w:pPr>
            <w:r w:rsidRPr="008D03F4">
              <w:rPr>
                <w:rFonts w:ascii="Arial" w:hAnsi="Arial" w:cs="Arial"/>
                <w:b/>
                <w:bCs/>
                <w:sz w:val="32"/>
                <w:szCs w:val="32"/>
                <w:lang w:eastAsia="en-GB"/>
              </w:rPr>
              <w:t>Learner name: _</w:t>
            </w:r>
            <w:r w:rsidR="00D903CA">
              <w:rPr>
                <w:rFonts w:ascii="Arial" w:hAnsi="Arial" w:cs="Arial"/>
                <w:b/>
                <w:bCs/>
                <w:sz w:val="32"/>
                <w:szCs w:val="32"/>
                <w:lang w:eastAsia="en-GB"/>
              </w:rPr>
              <w:t>Andy Williams</w:t>
            </w:r>
            <w:r w:rsidRPr="008D03F4">
              <w:rPr>
                <w:rFonts w:ascii="Arial" w:hAnsi="Arial" w:cs="Arial"/>
                <w:b/>
                <w:bCs/>
                <w:sz w:val="32"/>
                <w:szCs w:val="32"/>
                <w:lang w:eastAsia="en-GB"/>
              </w:rPr>
              <w:t>_____________________________</w:t>
            </w:r>
          </w:p>
          <w:p w14:paraId="6AFD46A7" w14:textId="77777777" w:rsidR="008D03F4" w:rsidRPr="008D03F4" w:rsidRDefault="008D03F4" w:rsidP="008D03F4">
            <w:pPr>
              <w:overflowPunct w:val="0"/>
              <w:autoSpaceDE w:val="0"/>
              <w:autoSpaceDN w:val="0"/>
              <w:adjustRightInd w:val="0"/>
              <w:ind w:right="237"/>
              <w:textAlignment w:val="baseline"/>
              <w:rPr>
                <w:rFonts w:ascii="Arial" w:hAnsi="Arial" w:cs="Arial"/>
                <w:b/>
                <w:bCs/>
                <w:sz w:val="32"/>
                <w:szCs w:val="32"/>
                <w:lang w:eastAsia="en-GB"/>
              </w:rPr>
            </w:pPr>
          </w:p>
          <w:p w14:paraId="118C6C55" w14:textId="77777777" w:rsidR="008D03F4" w:rsidRPr="008D03F4" w:rsidRDefault="008D03F4" w:rsidP="008D03F4">
            <w:pPr>
              <w:overflowPunct w:val="0"/>
              <w:autoSpaceDE w:val="0"/>
              <w:autoSpaceDN w:val="0"/>
              <w:adjustRightInd w:val="0"/>
              <w:ind w:right="237"/>
              <w:textAlignment w:val="baseline"/>
              <w:rPr>
                <w:rFonts w:ascii="Arial" w:hAnsi="Arial" w:cs="Arial"/>
                <w:b/>
                <w:bCs/>
                <w:sz w:val="32"/>
                <w:szCs w:val="32"/>
                <w:lang w:eastAsia="en-GB"/>
              </w:rPr>
            </w:pPr>
            <w:r w:rsidRPr="008D03F4">
              <w:rPr>
                <w:rFonts w:ascii="Arial" w:hAnsi="Arial" w:cs="Arial"/>
                <w:b/>
                <w:bCs/>
                <w:sz w:val="32"/>
                <w:szCs w:val="32"/>
                <w:lang w:eastAsia="en-GB"/>
              </w:rPr>
              <w:t>Learner’s University Registration Number:</w:t>
            </w:r>
          </w:p>
          <w:p w14:paraId="5324AF80" w14:textId="77777777" w:rsidR="008D03F4" w:rsidRPr="008D03F4" w:rsidRDefault="008D03F4" w:rsidP="008D03F4">
            <w:pPr>
              <w:overflowPunct w:val="0"/>
              <w:autoSpaceDE w:val="0"/>
              <w:autoSpaceDN w:val="0"/>
              <w:adjustRightInd w:val="0"/>
              <w:ind w:right="237"/>
              <w:textAlignment w:val="baseline"/>
              <w:rPr>
                <w:rFonts w:ascii="Arial" w:hAnsi="Arial" w:cs="Arial"/>
                <w:b/>
                <w:bCs/>
                <w:sz w:val="32"/>
                <w:szCs w:val="32"/>
                <w:lang w:eastAsia="en-GB"/>
              </w:rPr>
            </w:pPr>
            <w:r w:rsidRPr="008D03F4">
              <w:rPr>
                <w:rFonts w:ascii="Arial" w:hAnsi="Arial" w:cs="Arial"/>
                <w:b/>
                <w:bCs/>
                <w:sz w:val="32"/>
                <w:szCs w:val="32"/>
                <w:lang w:eastAsia="en-GB"/>
              </w:rPr>
              <w:t>_______________________________</w:t>
            </w:r>
          </w:p>
          <w:p w14:paraId="416DAB4D" w14:textId="77777777" w:rsidR="008D03F4" w:rsidRPr="008D03F4" w:rsidRDefault="008D03F4" w:rsidP="008D03F4">
            <w:pPr>
              <w:overflowPunct w:val="0"/>
              <w:autoSpaceDE w:val="0"/>
              <w:autoSpaceDN w:val="0"/>
              <w:adjustRightInd w:val="0"/>
              <w:ind w:right="237"/>
              <w:textAlignment w:val="baseline"/>
              <w:rPr>
                <w:rFonts w:ascii="Arial" w:hAnsi="Arial" w:cs="Arial"/>
                <w:b/>
                <w:bCs/>
                <w:sz w:val="32"/>
                <w:szCs w:val="32"/>
                <w:lang w:eastAsia="en-GB"/>
              </w:rPr>
            </w:pPr>
          </w:p>
          <w:p w14:paraId="27516EBC" w14:textId="77777777" w:rsidR="008D03F4" w:rsidRPr="008D03F4" w:rsidRDefault="008D03F4" w:rsidP="008D03F4">
            <w:pPr>
              <w:overflowPunct w:val="0"/>
              <w:autoSpaceDE w:val="0"/>
              <w:autoSpaceDN w:val="0"/>
              <w:adjustRightInd w:val="0"/>
              <w:ind w:right="237"/>
              <w:textAlignment w:val="baseline"/>
              <w:rPr>
                <w:rFonts w:ascii="Arial" w:hAnsi="Arial" w:cs="Arial"/>
                <w:b/>
                <w:bCs/>
                <w:sz w:val="32"/>
                <w:szCs w:val="32"/>
                <w:lang w:eastAsia="en-GB"/>
              </w:rPr>
            </w:pPr>
          </w:p>
          <w:p w14:paraId="7A11D9E4" w14:textId="77777777" w:rsidR="008D03F4" w:rsidRPr="008D03F4" w:rsidRDefault="008D03F4" w:rsidP="008D03F4">
            <w:pPr>
              <w:overflowPunct w:val="0"/>
              <w:autoSpaceDE w:val="0"/>
              <w:autoSpaceDN w:val="0"/>
              <w:adjustRightInd w:val="0"/>
              <w:textAlignment w:val="baseline"/>
              <w:rPr>
                <w:rFonts w:ascii="Arial" w:hAnsi="Arial" w:cs="Arial"/>
                <w:b/>
                <w:bCs/>
                <w:color w:val="000000" w:themeColor="text1"/>
                <w:sz w:val="32"/>
                <w:szCs w:val="32"/>
                <w:lang w:eastAsia="en-GB"/>
              </w:rPr>
            </w:pPr>
          </w:p>
        </w:tc>
      </w:tr>
    </w:tbl>
    <w:p w14:paraId="66835365" w14:textId="77777777" w:rsidR="008D03F4" w:rsidRPr="008D03F4" w:rsidRDefault="008D03F4" w:rsidP="008D03F4">
      <w:pPr>
        <w:spacing w:after="0" w:line="240" w:lineRule="auto"/>
        <w:ind w:right="237"/>
        <w:rPr>
          <w:rFonts w:ascii="Arial" w:eastAsia="Times New Roman" w:hAnsi="Arial" w:cs="Arial"/>
          <w:b/>
          <w:kern w:val="0"/>
          <w:sz w:val="36"/>
          <w:szCs w:val="20"/>
          <w:lang w:eastAsia="en-GB"/>
          <w14:ligatures w14:val="none"/>
        </w:rPr>
      </w:pPr>
    </w:p>
    <w:p w14:paraId="5723337D" w14:textId="77777777" w:rsidR="008D03F4" w:rsidRPr="008D03F4" w:rsidRDefault="008D03F4" w:rsidP="008D03F4">
      <w:pPr>
        <w:spacing w:after="0" w:line="240" w:lineRule="auto"/>
        <w:ind w:right="237"/>
        <w:rPr>
          <w:rFonts w:ascii="Arial" w:eastAsia="Times New Roman" w:hAnsi="Arial" w:cs="Arial"/>
          <w:b/>
          <w:bCs/>
          <w:kern w:val="0"/>
          <w:sz w:val="40"/>
          <w:szCs w:val="40"/>
          <w:lang w:eastAsia="en-GB"/>
          <w14:ligatures w14:val="none"/>
        </w:rPr>
      </w:pPr>
      <w:r w:rsidRPr="008D03F4">
        <w:rPr>
          <w:rFonts w:ascii="Arial" w:eastAsia="Times New Roman" w:hAnsi="Arial" w:cs="Arial"/>
          <w:b/>
          <w:bCs/>
          <w:kern w:val="0"/>
          <w:sz w:val="40"/>
          <w:szCs w:val="40"/>
          <w:lang w:eastAsia="en-GB"/>
          <w14:ligatures w14:val="none"/>
        </w:rPr>
        <w:t>FACULTY OF BUSINESS AND MANAGEMENT</w:t>
      </w:r>
    </w:p>
    <w:p w14:paraId="7C7B2E87" w14:textId="77777777" w:rsidR="008D03F4" w:rsidRPr="008D03F4" w:rsidRDefault="008D03F4" w:rsidP="008D03F4">
      <w:pPr>
        <w:spacing w:after="0" w:line="240" w:lineRule="auto"/>
        <w:ind w:right="237"/>
        <w:rPr>
          <w:rFonts w:ascii="Arial" w:eastAsia="Times New Roman" w:hAnsi="Arial" w:cs="Arial"/>
          <w:b/>
          <w:kern w:val="0"/>
          <w:sz w:val="40"/>
          <w:szCs w:val="56"/>
          <w:lang w:eastAsia="en-GB"/>
          <w14:ligatures w14:val="none"/>
        </w:rPr>
      </w:pPr>
      <w:r w:rsidRPr="008D03F4">
        <w:rPr>
          <w:rFonts w:ascii="Arial" w:eastAsia="Times New Roman" w:hAnsi="Arial" w:cs="Arial"/>
          <w:b/>
          <w:kern w:val="0"/>
          <w:sz w:val="40"/>
          <w:szCs w:val="56"/>
          <w:lang w:eastAsia="en-GB"/>
          <w14:ligatures w14:val="none"/>
        </w:rPr>
        <w:t>PUBLIC SERVICE PROGRAMME</w:t>
      </w:r>
    </w:p>
    <w:p w14:paraId="1CB4F55E" w14:textId="77777777" w:rsidR="008D03F4" w:rsidRPr="008D03F4" w:rsidRDefault="008D03F4" w:rsidP="008D03F4">
      <w:pPr>
        <w:spacing w:after="0" w:line="240" w:lineRule="auto"/>
        <w:ind w:right="237"/>
        <w:rPr>
          <w:rFonts w:ascii="Arial" w:eastAsia="Times New Roman" w:hAnsi="Arial" w:cs="Arial"/>
          <w:b/>
          <w:i/>
          <w:kern w:val="0"/>
          <w:sz w:val="24"/>
          <w:szCs w:val="20"/>
          <w:lang w:eastAsia="en-GB"/>
          <w14:ligatures w14:val="none"/>
        </w:rPr>
      </w:pPr>
    </w:p>
    <w:p w14:paraId="6535E898" w14:textId="77777777" w:rsidR="008D03F4" w:rsidRPr="008D03F4" w:rsidRDefault="008D03F4" w:rsidP="008D03F4">
      <w:pPr>
        <w:spacing w:after="0" w:line="240" w:lineRule="auto"/>
        <w:ind w:right="237"/>
        <w:rPr>
          <w:rFonts w:ascii="Arial" w:eastAsia="Times New Roman" w:hAnsi="Arial" w:cs="Arial"/>
          <w:b/>
          <w:bCs/>
          <w:i/>
          <w:iCs/>
          <w:kern w:val="0"/>
          <w:sz w:val="24"/>
          <w:szCs w:val="24"/>
          <w:lang w:eastAsia="en-GB"/>
          <w14:ligatures w14:val="none"/>
        </w:rPr>
      </w:pPr>
      <w:r w:rsidRPr="008D03F4">
        <w:rPr>
          <w:rFonts w:ascii="Arial" w:eastAsia="Times New Roman" w:hAnsi="Arial" w:cs="Arial"/>
          <w:b/>
          <w:bCs/>
          <w:i/>
          <w:iCs/>
          <w:kern w:val="0"/>
          <w:sz w:val="24"/>
          <w:szCs w:val="24"/>
          <w:lang w:eastAsia="en-GB"/>
          <w14:ligatures w14:val="none"/>
        </w:rPr>
        <w:t xml:space="preserve">Module title: Policing in the Workplace 3 (DHEP) - BMPP6001D </w:t>
      </w:r>
    </w:p>
    <w:p w14:paraId="76B26EEC" w14:textId="77777777" w:rsid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kern w:val="0"/>
          <w:sz w:val="24"/>
          <w:szCs w:val="20"/>
          <w:lang w:eastAsia="en-GB"/>
          <w14:ligatures w14:val="none"/>
        </w:rPr>
      </w:pPr>
    </w:p>
    <w:p w14:paraId="39A31F31" w14:textId="0C88C9CD" w:rsidR="008D03F4" w:rsidRP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b/>
          <w:bCs/>
          <w:color w:val="000000"/>
          <w:kern w:val="0"/>
          <w:sz w:val="24"/>
          <w:szCs w:val="24"/>
          <w:lang w:eastAsia="en-GB"/>
          <w14:ligatures w14:val="none"/>
        </w:rPr>
      </w:pPr>
      <w:r w:rsidRPr="008D03F4">
        <w:rPr>
          <w:rFonts w:ascii="Arial" w:eastAsia="Arial" w:hAnsi="Arial" w:cs="Arial"/>
          <w:b/>
          <w:bCs/>
          <w:color w:val="000000" w:themeColor="text1"/>
          <w:kern w:val="0"/>
          <w:sz w:val="24"/>
          <w:szCs w:val="24"/>
          <w:lang w:eastAsia="en-GB"/>
          <w14:ligatures w14:val="none"/>
        </w:rPr>
        <w:t>Task 1</w:t>
      </w:r>
    </w:p>
    <w:p w14:paraId="41F0731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407B2BF7"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Relevant areas of the National Policing Curriculum: </w:t>
      </w:r>
    </w:p>
    <w:p w14:paraId="505285E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eastAsia="en-GB"/>
          <w14:ligatures w14:val="none"/>
        </w:rPr>
        <w:t>Vulnerability and Risk, Evidence-based policing</w:t>
      </w:r>
    </w:p>
    <w:p w14:paraId="08E90E8D"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6FDFD9D6"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You must choose </w:t>
      </w:r>
      <w:r w:rsidRPr="008D03F4">
        <w:rPr>
          <w:rFonts w:ascii="Arial" w:eastAsia="Times New Roman" w:hAnsi="Arial" w:cs="Arial"/>
          <w:b/>
          <w:bCs/>
          <w:color w:val="FF0000"/>
          <w:kern w:val="0"/>
          <w:sz w:val="24"/>
          <w:szCs w:val="24"/>
          <w:u w:val="single"/>
          <w:lang w:eastAsia="en-GB"/>
          <w14:ligatures w14:val="none"/>
        </w:rPr>
        <w:t>serious and complex investigation</w:t>
      </w:r>
      <w:r w:rsidRPr="008D03F4">
        <w:rPr>
          <w:rFonts w:ascii="Arial" w:eastAsia="Arial" w:hAnsi="Arial" w:cs="Arial"/>
          <w:color w:val="000000" w:themeColor="text1"/>
          <w:kern w:val="0"/>
          <w:sz w:val="24"/>
          <w:szCs w:val="24"/>
          <w:lang w:eastAsia="en-GB"/>
          <w14:ligatures w14:val="none"/>
        </w:rPr>
        <w:t xml:space="preserve"> in which you played a significant role with a victim of crime and reflect on what happened. </w:t>
      </w:r>
    </w:p>
    <w:p w14:paraId="79B4E3C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kern w:val="0"/>
          <w:sz w:val="24"/>
          <w:szCs w:val="24"/>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D03F4" w:rsidRPr="008D03F4" w14:paraId="5C1C8C34" w14:textId="77777777" w:rsidTr="004049E6">
        <w:tc>
          <w:tcPr>
            <w:tcW w:w="10188" w:type="dxa"/>
            <w:shd w:val="clear" w:color="auto" w:fill="auto"/>
          </w:tcPr>
          <w:p w14:paraId="2B93E918" w14:textId="77777777" w:rsidR="008D03F4" w:rsidRP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color w:val="000000"/>
                <w:kern w:val="0"/>
                <w:sz w:val="24"/>
                <w:szCs w:val="24"/>
                <w:lang w:eastAsia="en-GB"/>
                <w14:ligatures w14:val="none"/>
              </w:rPr>
            </w:pPr>
          </w:p>
          <w:p w14:paraId="64620B6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eastAsia="en-GB"/>
                <w14:ligatures w14:val="none"/>
              </w:rPr>
              <w:t>Give a brief description</w:t>
            </w:r>
            <w:r w:rsidRPr="008D03F4">
              <w:rPr>
                <w:rFonts w:ascii="Arial" w:eastAsia="Arial" w:hAnsi="Arial" w:cs="Arial"/>
                <w:color w:val="000000" w:themeColor="text1"/>
                <w:kern w:val="0"/>
                <w:sz w:val="24"/>
                <w:szCs w:val="24"/>
                <w:lang w:eastAsia="en-GB"/>
                <w14:ligatures w14:val="none"/>
              </w:rPr>
              <w:t xml:space="preserve"> of the </w:t>
            </w:r>
            <w:r w:rsidRPr="008D03F4">
              <w:rPr>
                <w:rFonts w:ascii="Arial" w:eastAsia="Arial" w:hAnsi="Arial" w:cs="Arial"/>
                <w:color w:val="000000" w:themeColor="text1"/>
                <w:kern w:val="0"/>
                <w:sz w:val="24"/>
                <w:szCs w:val="24"/>
                <w:highlight w:val="yellow"/>
                <w:lang w:eastAsia="en-GB"/>
                <w14:ligatures w14:val="none"/>
              </w:rPr>
              <w:t>investigation</w:t>
            </w:r>
            <w:r w:rsidRPr="008D03F4">
              <w:rPr>
                <w:rFonts w:ascii="Arial" w:eastAsia="Arial" w:hAnsi="Arial" w:cs="Arial"/>
                <w:color w:val="000000" w:themeColor="text1"/>
                <w:kern w:val="0"/>
                <w:sz w:val="24"/>
                <w:szCs w:val="24"/>
                <w:lang w:eastAsia="en-GB"/>
                <w14:ligatures w14:val="none"/>
              </w:rPr>
              <w:t xml:space="preserve"> including social and legislative contexts and any relevant cultural, ethnicity and language issues. </w:t>
            </w:r>
          </w:p>
          <w:p w14:paraId="205CEF93" w14:textId="77777777" w:rsidR="008D03F4" w:rsidRPr="008D03F4" w:rsidRDefault="008D03F4" w:rsidP="008D03F4">
            <w:pPr>
              <w:overflowPunct w:val="0"/>
              <w:autoSpaceDE w:val="0"/>
              <w:autoSpaceDN w:val="0"/>
              <w:adjustRightInd w:val="0"/>
              <w:spacing w:after="0" w:line="240" w:lineRule="auto"/>
              <w:textAlignment w:val="baseline"/>
              <w:rPr>
                <w:rFonts w:ascii="Arial" w:eastAsia="Arial" w:hAnsi="Arial" w:cs="Arial"/>
                <w:color w:val="000000" w:themeColor="text1"/>
                <w:kern w:val="0"/>
                <w:sz w:val="24"/>
                <w:szCs w:val="24"/>
                <w:lang w:eastAsia="en-GB"/>
                <w14:ligatures w14:val="none"/>
              </w:rPr>
            </w:pPr>
          </w:p>
          <w:p w14:paraId="285F9CDE" w14:textId="77777777" w:rsidR="008D03F4" w:rsidRPr="008D03F4" w:rsidRDefault="008D03F4" w:rsidP="008D03F4">
            <w:pPr>
              <w:overflowPunct w:val="0"/>
              <w:autoSpaceDE w:val="0"/>
              <w:autoSpaceDN w:val="0"/>
              <w:adjustRightInd w:val="0"/>
              <w:spacing w:after="0" w:line="240" w:lineRule="auto"/>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val="en-US" w:eastAsia="en-GB"/>
                <w14:ligatures w14:val="none"/>
              </w:rPr>
              <w:t xml:space="preserve">Critically evaluate </w:t>
            </w:r>
            <w:r w:rsidRPr="008D03F4">
              <w:rPr>
                <w:rFonts w:ascii="Arial" w:eastAsia="Arial" w:hAnsi="Arial" w:cs="Arial"/>
                <w:color w:val="000000" w:themeColor="text1"/>
                <w:kern w:val="0"/>
                <w:sz w:val="24"/>
                <w:szCs w:val="24"/>
                <w:lang w:val="en-US" w:eastAsia="en-GB"/>
                <w14:ligatures w14:val="none"/>
              </w:rPr>
              <w:t xml:space="preserve">the appropriateness of different approaches (by professionals and the police) in supporting or managing vulnerable people or people at risk of harm during the </w:t>
            </w:r>
            <w:r w:rsidRPr="008D03F4">
              <w:rPr>
                <w:rFonts w:ascii="Arial" w:eastAsia="Arial" w:hAnsi="Arial" w:cs="Arial"/>
                <w:color w:val="000000" w:themeColor="text1"/>
                <w:kern w:val="0"/>
                <w:sz w:val="24"/>
                <w:szCs w:val="24"/>
                <w:highlight w:val="yellow"/>
                <w:lang w:val="en-US" w:eastAsia="en-GB"/>
                <w14:ligatures w14:val="none"/>
              </w:rPr>
              <w:t>investigative process</w:t>
            </w:r>
          </w:p>
          <w:p w14:paraId="7711A88B" w14:textId="77777777" w:rsidR="008D03F4" w:rsidRPr="008D03F4" w:rsidRDefault="008D03F4" w:rsidP="008D03F4">
            <w:pPr>
              <w:overflowPunct w:val="0"/>
              <w:autoSpaceDE w:val="0"/>
              <w:autoSpaceDN w:val="0"/>
              <w:adjustRightInd w:val="0"/>
              <w:spacing w:after="0" w:line="240" w:lineRule="auto"/>
              <w:textAlignment w:val="baseline"/>
              <w:rPr>
                <w:rFonts w:ascii="Arial" w:eastAsia="Arial" w:hAnsi="Arial" w:cs="Arial"/>
                <w:color w:val="000000" w:themeColor="text1"/>
                <w:kern w:val="0"/>
                <w:sz w:val="24"/>
                <w:szCs w:val="24"/>
                <w:lang w:eastAsia="en-GB"/>
                <w14:ligatures w14:val="none"/>
              </w:rPr>
            </w:pPr>
          </w:p>
          <w:p w14:paraId="7B7BC9AA" w14:textId="77777777" w:rsidR="008D03F4" w:rsidRPr="008D03F4" w:rsidRDefault="008D03F4" w:rsidP="008D03F4">
            <w:pPr>
              <w:overflowPunct w:val="0"/>
              <w:autoSpaceDE w:val="0"/>
              <w:autoSpaceDN w:val="0"/>
              <w:adjustRightInd w:val="0"/>
              <w:spacing w:after="0" w:line="240" w:lineRule="auto"/>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val="en-US" w:eastAsia="en-GB"/>
                <w14:ligatures w14:val="none"/>
              </w:rPr>
              <w:t>Explore</w:t>
            </w:r>
            <w:r w:rsidRPr="008D03F4">
              <w:rPr>
                <w:rFonts w:ascii="Arial" w:eastAsia="Arial" w:hAnsi="Arial" w:cs="Arial"/>
                <w:b/>
                <w:bCs/>
                <w:color w:val="000000" w:themeColor="text1"/>
                <w:kern w:val="0"/>
                <w:sz w:val="24"/>
                <w:szCs w:val="24"/>
                <w:lang w:eastAsia="en-GB"/>
                <w14:ligatures w14:val="none"/>
              </w:rPr>
              <w:t xml:space="preserve"> </w:t>
            </w:r>
            <w:r w:rsidRPr="008D03F4">
              <w:rPr>
                <w:rFonts w:ascii="Arial" w:eastAsia="Arial" w:hAnsi="Arial" w:cs="Arial"/>
                <w:color w:val="000000" w:themeColor="text1"/>
                <w:kern w:val="0"/>
                <w:sz w:val="24"/>
                <w:szCs w:val="24"/>
                <w:lang w:eastAsia="en-GB"/>
                <w14:ligatures w14:val="none"/>
              </w:rPr>
              <w:t xml:space="preserve">what works in relation to tackling repeat victimisation and repeat offending during this </w:t>
            </w:r>
            <w:r w:rsidRPr="008D03F4">
              <w:rPr>
                <w:rFonts w:ascii="Arial" w:eastAsia="Arial" w:hAnsi="Arial" w:cs="Arial"/>
                <w:color w:val="000000" w:themeColor="text1"/>
                <w:kern w:val="0"/>
                <w:sz w:val="24"/>
                <w:szCs w:val="24"/>
                <w:highlight w:val="yellow"/>
                <w:lang w:eastAsia="en-GB"/>
                <w14:ligatures w14:val="none"/>
              </w:rPr>
              <w:t>investigation</w:t>
            </w:r>
            <w:r w:rsidRPr="008D03F4">
              <w:rPr>
                <w:rFonts w:ascii="Arial" w:eastAsia="Arial" w:hAnsi="Arial" w:cs="Arial"/>
                <w:color w:val="000000" w:themeColor="text1"/>
                <w:kern w:val="0"/>
                <w:sz w:val="24"/>
                <w:szCs w:val="24"/>
                <w:lang w:eastAsia="en-GB"/>
                <w14:ligatures w14:val="none"/>
              </w:rPr>
              <w:t xml:space="preserve">. Consider the use of evidence-based policing. </w:t>
            </w:r>
          </w:p>
          <w:p w14:paraId="56F4719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7AB7CC2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2000 words </w:t>
            </w:r>
            <w:r w:rsidRPr="008D03F4">
              <w:rPr>
                <w:rFonts w:ascii="Arial" w:eastAsia="Arial" w:hAnsi="Arial" w:cs="Arial"/>
                <w:i/>
                <w:iCs/>
                <w:color w:val="000000" w:themeColor="text1"/>
                <w:kern w:val="0"/>
                <w:sz w:val="24"/>
                <w:szCs w:val="24"/>
                <w:lang w:eastAsia="en-GB"/>
                <w14:ligatures w14:val="none"/>
              </w:rPr>
              <w:t>(+/- 10%: include your actual word count at the end of each section)</w:t>
            </w:r>
          </w:p>
          <w:p w14:paraId="781F195A"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kern w:val="0"/>
                <w:sz w:val="24"/>
                <w:szCs w:val="24"/>
                <w:lang w:eastAsia="en-GB"/>
                <w14:ligatures w14:val="none"/>
              </w:rPr>
            </w:pPr>
          </w:p>
        </w:tc>
      </w:tr>
    </w:tbl>
    <w:p w14:paraId="4E3B802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kern w:val="0"/>
          <w:sz w:val="24"/>
          <w:szCs w:val="24"/>
          <w:lang w:eastAsia="en-GB"/>
          <w14:ligatures w14:val="none"/>
        </w:rPr>
      </w:pPr>
    </w:p>
    <w:p w14:paraId="5BAF58A4"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70E85F9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b/>
          <w:bCs/>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eastAsia="en-GB"/>
          <w14:ligatures w14:val="none"/>
        </w:rPr>
        <w:t>ANSWER:</w:t>
      </w:r>
    </w:p>
    <w:p w14:paraId="1DA755A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b/>
          <w:bCs/>
          <w:color w:val="000000" w:themeColor="text1"/>
          <w:kern w:val="0"/>
          <w:sz w:val="24"/>
          <w:szCs w:val="24"/>
          <w:lang w:eastAsia="en-GB"/>
          <w14:ligatures w14:val="none"/>
        </w:rPr>
      </w:pPr>
    </w:p>
    <w:p w14:paraId="378CE96A"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33E35EE0"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Throughout this task, I will be discussing an incident I was involved in, whereby the victim was subjected to a knifepoint robbery, threats, and risk of physical harm. </w:t>
      </w:r>
    </w:p>
    <w:p w14:paraId="34BB8946"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Robbery is defined in Section 8 of the Theft Act 1968 by –</w:t>
      </w:r>
    </w:p>
    <w:p w14:paraId="198E0A5D"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793053A5"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(1)</w:t>
      </w:r>
      <w:r w:rsidRPr="008D03F4">
        <w:rPr>
          <w:rFonts w:ascii="Arial" w:eastAsia="Arial" w:hAnsi="Arial" w:cs="Arial"/>
          <w:color w:val="000000" w:themeColor="text1"/>
          <w:kern w:val="0"/>
          <w:sz w:val="24"/>
          <w:szCs w:val="24"/>
          <w:lang w:eastAsia="en-GB"/>
          <w14:ligatures w14:val="none"/>
        </w:rPr>
        <w:tab/>
        <w:t>A person is guilty of robbery if he steals, and immediately before or at the time of doing so, and to do so, he uses force on any person or puts or seeks to put any person in fear of being then and there subjected to force.</w:t>
      </w:r>
    </w:p>
    <w:p w14:paraId="4E05D42E"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50A9D0A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(2)</w:t>
      </w:r>
      <w:r w:rsidRPr="008D03F4">
        <w:rPr>
          <w:rFonts w:ascii="Arial" w:eastAsia="Arial" w:hAnsi="Arial" w:cs="Arial"/>
          <w:color w:val="000000" w:themeColor="text1"/>
          <w:kern w:val="0"/>
          <w:sz w:val="24"/>
          <w:szCs w:val="24"/>
          <w:lang w:eastAsia="en-GB"/>
          <w14:ligatures w14:val="none"/>
        </w:rPr>
        <w:tab/>
        <w:t>A person guilty of robbery, or of an assault with intent to rob, shall on conviction on indictment be liable to imprisonment for life.</w:t>
      </w:r>
    </w:p>
    <w:p w14:paraId="1DB5D495"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63A92A06"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6BBE1679"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About the incident, I will be discussing that while working at a local convenience store the victim; who was a student at the local university was approached by a male in the convenience store, where the male pulled a knife out demanding money from the Victim whilst threatening to cause her harm. Throughout this essay, I will discuss how I interacted with the victim and her employer and how I had to adapt my strategies regarding the investigation whilst I was involved in identifying and detaining the suspect whilst also ensuring the victim was safe and the needs of the victim were met throughout the investigation.  </w:t>
      </w:r>
    </w:p>
    <w:p w14:paraId="7671082E"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6953C006"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I'll be thinking back on the strategy I used to talk to the victim at first and how I interacted with the victim during the investigating process, keeping in mind the </w:t>
      </w:r>
      <w:r w:rsidRPr="008D03F4">
        <w:rPr>
          <w:rFonts w:ascii="Arial" w:eastAsia="Arial" w:hAnsi="Arial" w:cs="Arial"/>
          <w:color w:val="000000" w:themeColor="text1"/>
          <w:kern w:val="0"/>
          <w:sz w:val="24"/>
          <w:szCs w:val="24"/>
          <w:lang w:eastAsia="en-GB"/>
          <w14:ligatures w14:val="none"/>
        </w:rPr>
        <w:lastRenderedPageBreak/>
        <w:t>victims’ vulnerabilities and any other significant elements that may have contributed to the communication that I had with the victim. In addition, I'll be examining the measures implemented to safeguard the victim, the steps pursued in pursuing the offender, and the efforts made to prevent future offenses.</w:t>
      </w:r>
    </w:p>
    <w:p w14:paraId="4CFA9500"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4432ED47"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Officers who attended the scene of the crime had to obtain a victim account. The victim who was a female, was of Asian origin therefore officers have discussed with the her if she preferred to give an account in a language, she was more comfortable in.  Since all victims have the right to report a crime in a language they understand, as stated by the Victims Code of Practice (Ministry of Justice 2020), I initially believed that this might have been a problem because I do not speak any language other than English, and I would not be able to communicate with the victim in this way. However, the victims preferred means of contact was in English. </w:t>
      </w:r>
    </w:p>
    <w:p w14:paraId="70C5932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66AC5C78"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As the victim was a young female and the subject of a very serious crime, I felt it was important that the officers build rapport with the girl to ensure she felt supported and comfortable in providing the information we were seeking. It has been demonstrated that establishing a rapport with victims and witnesses is crucial to increasing the precision and volume of information obtained from them. How practitioners connect with witnesses to build a relationship or bond that makes them feel at ease in your presence is referred to as rapport. Although this might sound a little idealistic in some response situations, practitioners believe that rapport is a crucial component of the first account that should be established right away and kept up throughout the interaction. As the current guidelines on achieving the best evidence emphasize, once the initial account-taking has started, this step cannot be marked as finished.</w:t>
      </w:r>
    </w:p>
    <w:p w14:paraId="7D646518"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0F87537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The female who appeared to be very calm at the scene I still classed as vulnerable. Within the police, the College of Policing (2021) defines a person as vulnerable if “because of their situation or circumstances, they are unable to take care of or protect themselves or </w:t>
      </w:r>
    </w:p>
    <w:p w14:paraId="5598C42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others from harm or exploitation”. This statement is quite open for interpretation, and it allows officers to make their assessment as to whether a person is vulnerable or not. Due to the age of the female victim, her circumstances, and the seriousness of the crime, I classed the female as vulnerable. First responders can sometimes face difficulties identifying vulnerability during an encounter due to the wide range of risk factors and the complex relationship between risk factors (Robinson and others, 2016).</w:t>
      </w:r>
    </w:p>
    <w:p w14:paraId="60A91B06"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527EAABE"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606914A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3A499458"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33CCD9B9"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South Wales Police have pushed officers to consider the victim-focused approach as throughout my time in training we covered this topic several times and throughout my time away from the training department we received regular emails and updates giving us access to numerous documents. This is an area I feel comfortable dealing with as my previous role as an Effective Practice Lead, which involved dealing with vulnerable people within the criminal justice system, provided me with a good base knowledge of the support services available to individuals. </w:t>
      </w:r>
    </w:p>
    <w:p w14:paraId="54C95B4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Keay &amp; Kirby (2018) have also found that officers felt that there should be a clearer</w:t>
      </w:r>
    </w:p>
    <w:p w14:paraId="4BC0BC04"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lastRenderedPageBreak/>
        <w:t>concept of who is responsible for responding to vulnerability and should work closely with other agencies. This was second nature for myself, I felt as the Officer in Charge of this case I was comfortable working with the supporting agencies that I had put in place for my victim. With the victim being a university student, I also worked closely with security and tutors in the university regarding the victims’ course and how the incident would affect her attendance and her psychological wellbeing.</w:t>
      </w:r>
    </w:p>
    <w:p w14:paraId="3BF9C8E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789C615C"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My main concern with an incident like this regarding victim was her delayed emotional response to the trauma. Delayed trauma responses can also affect adults, though the effects may be different. In adults, it may manifest as difficulty managing emotions, withdrawal, and avoidance, feeling disconnected from others, increased anxiety and depression, irritability, flashbacks, or nightmares related to the trauma, and physical symptoms such as chronic pain or fatigue. The effects of a delayed emotional response can vary from person to person but may include difficulty managing emotions, withdrawal, and avoidance, feeling disconnected from others, increased anxiety, and depression. It also can cause a problem in forming relationships or maintaining existing relationships. </w:t>
      </w:r>
    </w:p>
    <w:p w14:paraId="22500FC4"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7479AA17"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Delayed emotional responses can also have long-term effects on mental health and overall well-being.</w:t>
      </w:r>
    </w:p>
    <w:p w14:paraId="7A7F3707"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7D6EFF5A"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Throughout the investigation, I had to keep the victim up to date on the outstanding suspect. I felt that the victim remained calm, she gave a very detailed description identifying some very distinct features about the suspect. </w:t>
      </w:r>
    </w:p>
    <w:p w14:paraId="26470A9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A report was circulated regarding the suspect, and it was by chance that an officer called in, identifying the suspect as having been dealt with by police earlier in the day. Due to the earlier incident, police had obtained all the relevant details which enabled us to obtain the name, address, and a Niche footprint of the individual. </w:t>
      </w:r>
    </w:p>
    <w:p w14:paraId="0E6F3109"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5AB8CD6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The investigation itself was a success. Due to the nature of the description given to us by our victim, we as investigators were able to identify the suspect and gather the pieces of evidence, we were required to identify the individual who was in the convenience store on the day holding a knife to our victim. </w:t>
      </w:r>
    </w:p>
    <w:p w14:paraId="7EABFB65"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26D846E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My concern was justified later in the investigation as my concern was, the victim was so calm throughout the questioning period and initial statement taking. My concern would be the aftereffects. </w:t>
      </w:r>
    </w:p>
    <w:p w14:paraId="522402E0"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4A8F1CB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Many people will go through terrible experiences at some point in their lives. Royal College of Psychiatrists (2021) states England, around one-third of adults say they have gone through at least one traumatic experience. But not everyone who goes through a horrific incident will end up with PTSD. Post-traumatic stress symptoms are a widespread response to criminal victimization. For most individuals, there is a natural recovery period that is mostly resolved within a few months post-offense (Horowitz 1976). Nevertheless, the pathological manifestation of PTSS as a psychiatric condition, PTSD, appears in an estimated 30 % of crime victims (Kilpatrick et al. 1987). However, even those who never qualify for the PTSD diagnosis can experience quality of life disruption because of the symptoms experienced (Kubzansky et al. 2007; Gillock et al. 2005).</w:t>
      </w:r>
    </w:p>
    <w:p w14:paraId="6F4EAF4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38A6A26A"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6BB186C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b/>
          <w:bCs/>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eastAsia="en-GB"/>
          <w14:ligatures w14:val="none"/>
        </w:rPr>
        <w:t>REPEAT VICTIMIZATION</w:t>
      </w:r>
    </w:p>
    <w:p w14:paraId="148BC0E8"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507444A5"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Research indicates that focusing on nearby neighbours and recurrent burglary victims can lower the rate of both victimisation and total crime (Grove and others, 2012; Johnson, 2013). The best strategies for decreasing recurrent victimisation were usually situational crime prevention measures that were properly designed and executed.</w:t>
      </w:r>
    </w:p>
    <w:p w14:paraId="177A48E8"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494BB36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It may also be beneficial to concentrate on individuals who are most at risk from and negatively impacted by antisocial behaviour (Innes and Weston, 2010). By addressing the most difficult issues first, the police may inspire the community to play a bigger part in watching out for one another.</w:t>
      </w:r>
    </w:p>
    <w:p w14:paraId="782DC54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0EF5958D"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Emphasizing recurrent victimization offers a way to distribute resources for crime prevention effectively and knowledgeably. The common goal of these programs is to lessen the likelihood that for example recently burglarized homes—or those located close to recently burglarized homes—will become targets of new burglaries soon.</w:t>
      </w:r>
    </w:p>
    <w:p w14:paraId="7E76FF96"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363814A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The following programs have been implemented as a part of a repeat victimization strategy to lower home invasions:</w:t>
      </w:r>
    </w:p>
    <w:p w14:paraId="207C372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585BFA9A"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w:t>
      </w:r>
      <w:r w:rsidRPr="008D03F4">
        <w:rPr>
          <w:rFonts w:ascii="Arial" w:eastAsia="Arial" w:hAnsi="Arial" w:cs="Arial"/>
          <w:color w:val="000000" w:themeColor="text1"/>
          <w:kern w:val="0"/>
          <w:sz w:val="24"/>
          <w:szCs w:val="24"/>
          <w:lang w:eastAsia="en-GB"/>
          <w14:ligatures w14:val="none"/>
        </w:rPr>
        <w:tab/>
        <w:t>Neighbourhood Watch</w:t>
      </w:r>
    </w:p>
    <w:p w14:paraId="5BA9CB5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w:t>
      </w:r>
      <w:r w:rsidRPr="008D03F4">
        <w:rPr>
          <w:rFonts w:ascii="Arial" w:eastAsia="Arial" w:hAnsi="Arial" w:cs="Arial"/>
          <w:color w:val="000000" w:themeColor="text1"/>
          <w:kern w:val="0"/>
          <w:sz w:val="24"/>
          <w:szCs w:val="24"/>
          <w:lang w:eastAsia="en-GB"/>
          <w14:ligatures w14:val="none"/>
        </w:rPr>
        <w:tab/>
        <w:t>provision of crime prevention advice</w:t>
      </w:r>
    </w:p>
    <w:p w14:paraId="1BE9FFC7"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w:t>
      </w:r>
      <w:r w:rsidRPr="008D03F4">
        <w:rPr>
          <w:rFonts w:ascii="Arial" w:eastAsia="Arial" w:hAnsi="Arial" w:cs="Arial"/>
          <w:color w:val="000000" w:themeColor="text1"/>
          <w:kern w:val="0"/>
          <w:sz w:val="24"/>
          <w:szCs w:val="24"/>
          <w:lang w:eastAsia="en-GB"/>
          <w14:ligatures w14:val="none"/>
        </w:rPr>
        <w:tab/>
        <w:t>property marking</w:t>
      </w:r>
    </w:p>
    <w:p w14:paraId="7B0639D9"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w:t>
      </w:r>
      <w:r w:rsidRPr="008D03F4">
        <w:rPr>
          <w:rFonts w:ascii="Arial" w:eastAsia="Arial" w:hAnsi="Arial" w:cs="Arial"/>
          <w:color w:val="000000" w:themeColor="text1"/>
          <w:kern w:val="0"/>
          <w:sz w:val="24"/>
          <w:szCs w:val="24"/>
          <w:lang w:eastAsia="en-GB"/>
          <w14:ligatures w14:val="none"/>
        </w:rPr>
        <w:tab/>
        <w:t>target hardening (increasing the security of a property)</w:t>
      </w:r>
    </w:p>
    <w:p w14:paraId="38E641C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w:t>
      </w:r>
      <w:r w:rsidRPr="008D03F4">
        <w:rPr>
          <w:rFonts w:ascii="Arial" w:eastAsia="Arial" w:hAnsi="Arial" w:cs="Arial"/>
          <w:color w:val="000000" w:themeColor="text1"/>
          <w:kern w:val="0"/>
          <w:sz w:val="24"/>
          <w:szCs w:val="24"/>
          <w:lang w:eastAsia="en-GB"/>
          <w14:ligatures w14:val="none"/>
        </w:rPr>
        <w:tab/>
        <w:t>cocoon watch (provision of crime prevention advice, support, and guidance to neighbours and surrounding addresses of burgled properties)</w:t>
      </w:r>
    </w:p>
    <w:p w14:paraId="74754FC5"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53821D6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The analysis of the programs listed above also found that the best ways to lower recurrent home burglaries for example were to implement situational preventative strategies that were specifically targeted, such as neighbourhood watch programmes and target hardening. As the degree of intervention implementation rose, so did the efficacy of these crime prevention methods.</w:t>
      </w:r>
    </w:p>
    <w:p w14:paraId="41AF7E98"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04985634"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To summarise the above; Neighbourhood Watch programs urge residents to install security measures like better lighting, secure locks, and property marking by raising awareness and educating them about crime prevention. These steps can discourage possible perpetrators and reduce the allure of neighbourhoods as crime scenes.</w:t>
      </w:r>
    </w:p>
    <w:p w14:paraId="632FB938"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Research indicates that target-hardening techniques encouraged by Neighbourhood Watch initiatives help lower rates of property crime and burglary (Ratcliffe et al., 2011; Weisel &amp; McGilloway, 2012).</w:t>
      </w:r>
    </w:p>
    <w:p w14:paraId="38E1794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3CF57945"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b/>
          <w:bCs/>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eastAsia="en-GB"/>
          <w14:ligatures w14:val="none"/>
        </w:rPr>
        <w:t>Conclusion</w:t>
      </w:r>
    </w:p>
    <w:p w14:paraId="303A30EC"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437393F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In Conclusion, I felt due to the training and knowledge from my previous role held me in good stead to deal with the vulnerability of victims. I was aware of the referral pathways that would aid in the support of the victim, and I used this to good effect. </w:t>
      </w:r>
      <w:r w:rsidRPr="008D03F4">
        <w:rPr>
          <w:rFonts w:ascii="Arial" w:eastAsia="Arial" w:hAnsi="Arial" w:cs="Arial"/>
          <w:color w:val="000000" w:themeColor="text1"/>
          <w:kern w:val="0"/>
          <w:sz w:val="24"/>
          <w:szCs w:val="24"/>
          <w:lang w:eastAsia="en-GB"/>
          <w14:ligatures w14:val="none"/>
        </w:rPr>
        <w:lastRenderedPageBreak/>
        <w:t xml:space="preserve">However, the policing side was more difficult as disclosure and the timings of the referrals had to be correct in line with force policy. The timings were more difficult as the longer the investigation went on, I did not want to lose the confidence of the victim in myself by the fact I did not want her top to become deflated in her wellbeing because of the length of time the result would take. </w:t>
      </w:r>
    </w:p>
    <w:p w14:paraId="43FF65F5"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Fortunately, due to the nature of the incident and overwhelming evidence the individual pleaded ‘Guilty’ and was charged with a lengthy prison sentence. Through knowledge of case working from the previous role, I felt regular engagement helped keep the victim-focused and up to date with the investigation which in effect made her accepting support far easier.</w:t>
      </w:r>
    </w:p>
    <w:p w14:paraId="37F746F0"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Without the recognition by officers to engage with the victim to provide relevant support to the victim initially formed the foundation of trust and participation by the victim in the investigation proved very effective as the victim cooperated throughout with little obstruction.</w:t>
      </w:r>
    </w:p>
    <w:p w14:paraId="24694459"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756FD808"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Also, co-operation between local law enforcement and residents improves communication and builds trust. The efficacy of Neighbourhood Watch organisations can be increased by police officers offering resources, guidance, and support.</w:t>
      </w:r>
    </w:p>
    <w:p w14:paraId="5EBF929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According to research, when police participate in Neighbourhood Watch programmes, the public views police as more legitimate and effective (Cordner &amp; Carter, 2010; Gau &amp; Pratt, 2008).</w:t>
      </w:r>
    </w:p>
    <w:p w14:paraId="76682D21" w14:textId="77777777" w:rsidR="008D03F4" w:rsidRPr="008D03F4" w:rsidRDefault="008D03F4" w:rsidP="008D03F4">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kern w:val="0"/>
          <w:sz w:val="24"/>
          <w:szCs w:val="24"/>
          <w:lang w:eastAsia="en-GB"/>
          <w14:ligatures w14:val="none"/>
        </w:rPr>
      </w:pPr>
    </w:p>
    <w:p w14:paraId="15984F9D"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0F3300FF"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r w:rsidRPr="008D03F4">
        <w:rPr>
          <w:rFonts w:ascii="Arial" w:eastAsia="Times New Roman" w:hAnsi="Arial" w:cs="Arial"/>
          <w:b/>
          <w:bCs/>
          <w:color w:val="000000"/>
          <w:kern w:val="0"/>
          <w:sz w:val="24"/>
          <w:szCs w:val="24"/>
          <w:lang w:eastAsia="en-GB"/>
          <w14:ligatures w14:val="none"/>
        </w:rPr>
        <w:t>Word Count - 1916</w:t>
      </w:r>
    </w:p>
    <w:p w14:paraId="32B9EAA3"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216B4B4E"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2C34ABE1"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7BB2A795"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0FD3FEF6"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52E8D259"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48DA75E6"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7FE9E306"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4AB761A7"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782A22E6"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0389CC97"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587A7A38"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6DAFAD7A"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079F1A2F"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7DBC3019"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378E23AC"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62FB493C"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5D357523"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66DBA098" w14:textId="77777777" w:rsidR="008D03F4" w:rsidRPr="008D03F4" w:rsidRDefault="008D03F4" w:rsidP="008D03F4">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kern w:val="0"/>
          <w:sz w:val="24"/>
          <w:szCs w:val="24"/>
          <w:lang w:eastAsia="en-GB"/>
          <w14:ligatures w14:val="none"/>
        </w:rPr>
      </w:pPr>
    </w:p>
    <w:p w14:paraId="12ACE21B" w14:textId="77777777" w:rsidR="008D03F4" w:rsidRPr="008D03F4" w:rsidRDefault="008D03F4" w:rsidP="008D03F4">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kern w:val="0"/>
          <w:sz w:val="24"/>
          <w:szCs w:val="24"/>
          <w:lang w:eastAsia="en-GB"/>
          <w14:ligatures w14:val="none"/>
        </w:rPr>
      </w:pPr>
    </w:p>
    <w:p w14:paraId="0D6AD517"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567D9E6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2C33E25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5D7DF6A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446CF5A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231816D4" w14:textId="77777777" w:rsidR="008D03F4" w:rsidRPr="008D03F4" w:rsidRDefault="008D03F4" w:rsidP="008D03F4">
      <w:pPr>
        <w:overflowPunct w:val="0"/>
        <w:autoSpaceDE w:val="0"/>
        <w:autoSpaceDN w:val="0"/>
        <w:adjustRightInd w:val="0"/>
        <w:spacing w:after="0" w:line="240" w:lineRule="auto"/>
        <w:ind w:right="237"/>
        <w:jc w:val="center"/>
        <w:textAlignment w:val="baseline"/>
        <w:rPr>
          <w:rFonts w:ascii="Arial" w:eastAsia="Arial" w:hAnsi="Arial" w:cs="Arial"/>
          <w:color w:val="000000" w:themeColor="text1"/>
          <w:kern w:val="0"/>
          <w:sz w:val="28"/>
          <w:szCs w:val="28"/>
          <w:lang w:eastAsia="en-GB"/>
          <w14:ligatures w14:val="none"/>
        </w:rPr>
      </w:pPr>
      <w:r w:rsidRPr="008D03F4">
        <w:rPr>
          <w:rFonts w:ascii="Arial" w:eastAsia="Arial" w:hAnsi="Arial" w:cs="Arial"/>
          <w:b/>
          <w:bCs/>
          <w:color w:val="000000" w:themeColor="text1"/>
          <w:kern w:val="0"/>
          <w:sz w:val="28"/>
          <w:szCs w:val="28"/>
          <w:u w:val="single"/>
          <w:lang w:eastAsia="en-GB"/>
          <w14:ligatures w14:val="none"/>
        </w:rPr>
        <w:lastRenderedPageBreak/>
        <w:t>Task 2</w:t>
      </w:r>
    </w:p>
    <w:p w14:paraId="6E3087B9" w14:textId="77777777" w:rsidR="008D03F4" w:rsidRPr="008D03F4" w:rsidRDefault="008D03F4" w:rsidP="008D03F4">
      <w:pPr>
        <w:overflowPunct w:val="0"/>
        <w:autoSpaceDE w:val="0"/>
        <w:autoSpaceDN w:val="0"/>
        <w:adjustRightInd w:val="0"/>
        <w:spacing w:after="0" w:line="240" w:lineRule="auto"/>
        <w:ind w:left="2880" w:right="237"/>
        <w:textAlignment w:val="baseline"/>
        <w:rPr>
          <w:rFonts w:ascii="Arial" w:eastAsia="Arial" w:hAnsi="Arial" w:cs="Arial"/>
          <w:color w:val="000000" w:themeColor="text1"/>
          <w:kern w:val="0"/>
          <w:sz w:val="24"/>
          <w:szCs w:val="24"/>
          <w:lang w:eastAsia="en-GB"/>
          <w14:ligatures w14:val="none"/>
        </w:rPr>
      </w:pPr>
    </w:p>
    <w:p w14:paraId="56D3B3B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u w:val="single"/>
          <w:lang w:eastAsia="en-GB"/>
          <w14:ligatures w14:val="none"/>
        </w:rPr>
      </w:pPr>
      <w:r w:rsidRPr="008D03F4">
        <w:rPr>
          <w:rFonts w:ascii="Arial" w:eastAsia="Arial" w:hAnsi="Arial" w:cs="Arial"/>
          <w:b/>
          <w:bCs/>
          <w:color w:val="000000" w:themeColor="text1"/>
          <w:kern w:val="0"/>
          <w:sz w:val="24"/>
          <w:szCs w:val="24"/>
          <w:u w:val="single"/>
          <w:lang w:eastAsia="en-GB"/>
          <w14:ligatures w14:val="none"/>
        </w:rPr>
        <w:t>Relevant areas of the National Policing Curriculum:</w:t>
      </w:r>
      <w:r w:rsidRPr="008D03F4">
        <w:rPr>
          <w:rFonts w:ascii="Arial" w:eastAsia="Arial" w:hAnsi="Arial" w:cs="Arial"/>
          <w:b/>
          <w:bCs/>
          <w:color w:val="000000" w:themeColor="text1"/>
          <w:kern w:val="0"/>
          <w:sz w:val="24"/>
          <w:szCs w:val="24"/>
          <w:lang w:eastAsia="en-GB"/>
          <w14:ligatures w14:val="none"/>
        </w:rPr>
        <w:t xml:space="preserve"> </w:t>
      </w:r>
    </w:p>
    <w:p w14:paraId="12A1BEA9"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u w:val="single"/>
          <w:lang w:eastAsia="en-GB"/>
          <w14:ligatures w14:val="none"/>
        </w:rPr>
      </w:pPr>
    </w:p>
    <w:p w14:paraId="621C0AB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u w:val="single"/>
          <w:lang w:eastAsia="en-GB"/>
          <w14:ligatures w14:val="none"/>
        </w:rPr>
      </w:pPr>
    </w:p>
    <w:p w14:paraId="68D33C6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u w:val="single"/>
          <w:lang w:eastAsia="en-GB"/>
          <w14:ligatures w14:val="none"/>
        </w:rPr>
      </w:pPr>
      <w:r w:rsidRPr="008D03F4">
        <w:rPr>
          <w:rFonts w:ascii="Arial" w:eastAsia="Arial" w:hAnsi="Arial" w:cs="Arial"/>
          <w:b/>
          <w:bCs/>
          <w:color w:val="000000" w:themeColor="text1"/>
          <w:kern w:val="0"/>
          <w:sz w:val="24"/>
          <w:szCs w:val="24"/>
          <w:u w:val="single"/>
          <w:lang w:eastAsia="en-GB"/>
          <w14:ligatures w14:val="none"/>
        </w:rPr>
        <w:t>Conducting Investigations</w:t>
      </w:r>
    </w:p>
    <w:p w14:paraId="0AC24C2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5AEF9E1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You should choose an </w:t>
      </w:r>
      <w:r w:rsidRPr="008D03F4">
        <w:rPr>
          <w:rFonts w:ascii="Arial" w:eastAsia="Times New Roman" w:hAnsi="Arial" w:cs="Arial"/>
          <w:b/>
          <w:bCs/>
          <w:color w:val="FF0000"/>
          <w:kern w:val="0"/>
          <w:sz w:val="24"/>
          <w:szCs w:val="24"/>
          <w:u w:val="single"/>
          <w:lang w:eastAsia="en-GB"/>
          <w14:ligatures w14:val="none"/>
        </w:rPr>
        <w:t xml:space="preserve">serious and complex investigation </w:t>
      </w:r>
      <w:r w:rsidRPr="008D03F4">
        <w:rPr>
          <w:rFonts w:ascii="Arial" w:eastAsia="Arial" w:hAnsi="Arial" w:cs="Arial"/>
          <w:color w:val="000000" w:themeColor="text1"/>
          <w:kern w:val="0"/>
          <w:sz w:val="24"/>
          <w:szCs w:val="24"/>
          <w:lang w:eastAsia="en-GB"/>
          <w14:ligatures w14:val="none"/>
        </w:rPr>
        <w:t>that you have been involved in</w:t>
      </w:r>
      <w:r w:rsidRPr="008D03F4">
        <w:rPr>
          <w:rFonts w:ascii="Arial" w:eastAsia="Arial" w:hAnsi="Arial" w:cs="Arial"/>
          <w:b/>
          <w:bCs/>
          <w:color w:val="000000" w:themeColor="text1"/>
          <w:kern w:val="0"/>
          <w:sz w:val="24"/>
          <w:szCs w:val="24"/>
          <w:lang w:eastAsia="en-GB"/>
          <w14:ligatures w14:val="none"/>
        </w:rPr>
        <w:t xml:space="preserve"> that was of a complex nature, </w:t>
      </w:r>
      <w:r w:rsidRPr="008D03F4">
        <w:rPr>
          <w:rFonts w:ascii="Arial" w:eastAsia="Arial" w:hAnsi="Arial" w:cs="Arial"/>
          <w:color w:val="000000" w:themeColor="text1"/>
          <w:kern w:val="0"/>
          <w:sz w:val="24"/>
          <w:szCs w:val="24"/>
          <w:lang w:eastAsia="en-GB"/>
          <w14:ligatures w14:val="none"/>
        </w:rPr>
        <w:t>in which you played a significant role.</w:t>
      </w:r>
    </w:p>
    <w:p w14:paraId="3590240E"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75C40F2A"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p>
    <w:tbl>
      <w:tblPr>
        <w:tblStyle w:val="TableGrid"/>
        <w:tblW w:w="0" w:type="auto"/>
        <w:tblLayout w:type="fixed"/>
        <w:tblLook w:val="06A0" w:firstRow="1" w:lastRow="0" w:firstColumn="1" w:lastColumn="0" w:noHBand="1" w:noVBand="1"/>
      </w:tblPr>
      <w:tblGrid>
        <w:gridCol w:w="9015"/>
      </w:tblGrid>
      <w:tr w:rsidR="008D03F4" w:rsidRPr="008D03F4" w14:paraId="39680AD9" w14:textId="77777777" w:rsidTr="004049E6">
        <w:trPr>
          <w:trHeight w:val="3420"/>
        </w:trPr>
        <w:tc>
          <w:tcPr>
            <w:tcW w:w="9015" w:type="dxa"/>
          </w:tcPr>
          <w:p w14:paraId="7D86B58A" w14:textId="77777777" w:rsidR="008D03F4" w:rsidRPr="008D03F4" w:rsidRDefault="008D03F4" w:rsidP="008D03F4">
            <w:pPr>
              <w:overflowPunct w:val="0"/>
              <w:autoSpaceDE w:val="0"/>
              <w:autoSpaceDN w:val="0"/>
              <w:adjustRightInd w:val="0"/>
              <w:ind w:right="237"/>
              <w:jc w:val="both"/>
              <w:textAlignment w:val="baseline"/>
              <w:rPr>
                <w:rFonts w:ascii="Arial" w:hAnsi="Arial" w:cs="Arial"/>
                <w:color w:val="000000"/>
                <w:sz w:val="24"/>
                <w:szCs w:val="24"/>
                <w:lang w:eastAsia="en-GB"/>
              </w:rPr>
            </w:pPr>
          </w:p>
          <w:p w14:paraId="33EF75EE" w14:textId="77777777" w:rsidR="008D03F4" w:rsidRPr="008D03F4" w:rsidRDefault="008D03F4" w:rsidP="008D03F4">
            <w:pPr>
              <w:overflowPunct w:val="0"/>
              <w:autoSpaceDE w:val="0"/>
              <w:autoSpaceDN w:val="0"/>
              <w:adjustRightInd w:val="0"/>
              <w:ind w:right="237"/>
              <w:jc w:val="both"/>
              <w:textAlignment w:val="baseline"/>
              <w:rPr>
                <w:rFonts w:ascii="Arial" w:eastAsia="Arial" w:hAnsi="Arial" w:cs="Arial"/>
                <w:color w:val="000000" w:themeColor="text1"/>
                <w:sz w:val="24"/>
                <w:szCs w:val="24"/>
                <w:lang w:eastAsia="en-GB"/>
              </w:rPr>
            </w:pPr>
            <w:r w:rsidRPr="008D03F4">
              <w:rPr>
                <w:rFonts w:ascii="Arial" w:eastAsia="Arial" w:hAnsi="Arial" w:cs="Arial"/>
                <w:b/>
                <w:bCs/>
                <w:color w:val="000000" w:themeColor="text1"/>
                <w:sz w:val="24"/>
                <w:szCs w:val="24"/>
                <w:lang w:eastAsia="en-GB"/>
              </w:rPr>
              <w:t>Critically evaluate</w:t>
            </w:r>
            <w:r w:rsidRPr="008D03F4">
              <w:rPr>
                <w:rFonts w:ascii="Arial" w:eastAsia="Arial" w:hAnsi="Arial" w:cs="Arial"/>
                <w:color w:val="000000" w:themeColor="text1"/>
                <w:sz w:val="24"/>
                <w:szCs w:val="24"/>
                <w:lang w:eastAsia="en-GB"/>
              </w:rPr>
              <w:t xml:space="preserve"> the processes employed in a </w:t>
            </w:r>
            <w:r w:rsidRPr="008D03F4">
              <w:rPr>
                <w:rFonts w:ascii="Arial" w:eastAsia="Arial" w:hAnsi="Arial" w:cs="Arial"/>
                <w:color w:val="000000" w:themeColor="text1"/>
                <w:sz w:val="24"/>
                <w:szCs w:val="24"/>
                <w:highlight w:val="yellow"/>
                <w:lang w:eastAsia="en-GB"/>
              </w:rPr>
              <w:t>complex investigation</w:t>
            </w:r>
            <w:r w:rsidRPr="008D03F4">
              <w:rPr>
                <w:rFonts w:ascii="Arial" w:eastAsia="Arial" w:hAnsi="Arial" w:cs="Arial"/>
                <w:color w:val="000000" w:themeColor="text1"/>
                <w:sz w:val="24"/>
                <w:szCs w:val="24"/>
                <w:lang w:eastAsia="en-GB"/>
              </w:rPr>
              <w:t xml:space="preserve"> you have been involved in, and the fast-track actions that you have utilised.</w:t>
            </w:r>
          </w:p>
          <w:p w14:paraId="048BFC9D" w14:textId="77777777" w:rsidR="008D03F4" w:rsidRPr="008D03F4" w:rsidRDefault="008D03F4" w:rsidP="008D03F4">
            <w:pPr>
              <w:overflowPunct w:val="0"/>
              <w:autoSpaceDE w:val="0"/>
              <w:autoSpaceDN w:val="0"/>
              <w:adjustRightInd w:val="0"/>
              <w:ind w:right="237"/>
              <w:jc w:val="both"/>
              <w:textAlignment w:val="baseline"/>
              <w:rPr>
                <w:rFonts w:ascii="Arial" w:eastAsia="Arial" w:hAnsi="Arial" w:cs="Arial"/>
                <w:color w:val="000000" w:themeColor="text1"/>
                <w:sz w:val="24"/>
                <w:szCs w:val="24"/>
                <w:lang w:eastAsia="en-GB"/>
              </w:rPr>
            </w:pPr>
          </w:p>
          <w:p w14:paraId="0966BBA6" w14:textId="77777777" w:rsidR="008D03F4" w:rsidRPr="008D03F4" w:rsidRDefault="008D03F4" w:rsidP="008D03F4">
            <w:pPr>
              <w:overflowPunct w:val="0"/>
              <w:autoSpaceDE w:val="0"/>
              <w:autoSpaceDN w:val="0"/>
              <w:adjustRightInd w:val="0"/>
              <w:ind w:right="237"/>
              <w:jc w:val="both"/>
              <w:textAlignment w:val="baseline"/>
              <w:rPr>
                <w:rFonts w:ascii="Arial" w:eastAsia="Arial" w:hAnsi="Arial" w:cs="Arial"/>
                <w:color w:val="000000" w:themeColor="text1"/>
                <w:sz w:val="24"/>
                <w:szCs w:val="24"/>
                <w:lang w:eastAsia="en-GB"/>
              </w:rPr>
            </w:pPr>
          </w:p>
          <w:p w14:paraId="45399404" w14:textId="77777777" w:rsidR="008D03F4" w:rsidRPr="008D03F4" w:rsidRDefault="008D03F4" w:rsidP="008D03F4">
            <w:pPr>
              <w:overflowPunct w:val="0"/>
              <w:autoSpaceDE w:val="0"/>
              <w:autoSpaceDN w:val="0"/>
              <w:adjustRightInd w:val="0"/>
              <w:ind w:right="237"/>
              <w:jc w:val="both"/>
              <w:textAlignment w:val="baseline"/>
              <w:rPr>
                <w:rFonts w:ascii="Arial" w:eastAsia="Arial" w:hAnsi="Arial" w:cs="Arial"/>
                <w:color w:val="000000" w:themeColor="text1"/>
                <w:sz w:val="24"/>
                <w:szCs w:val="24"/>
                <w:lang w:eastAsia="en-GB"/>
              </w:rPr>
            </w:pPr>
            <w:r w:rsidRPr="008D03F4">
              <w:rPr>
                <w:rFonts w:ascii="Arial" w:eastAsia="Arial" w:hAnsi="Arial" w:cs="Arial"/>
                <w:color w:val="000000" w:themeColor="text1"/>
                <w:sz w:val="24"/>
                <w:szCs w:val="24"/>
                <w:lang w:eastAsia="en-GB"/>
              </w:rPr>
              <w:t xml:space="preserve">Evaluate the support you have provided to victims, witnesses, and offenders (where appropriate) during a </w:t>
            </w:r>
            <w:r w:rsidRPr="008D03F4">
              <w:rPr>
                <w:rFonts w:ascii="Arial" w:eastAsia="Arial" w:hAnsi="Arial" w:cs="Arial"/>
                <w:color w:val="000000" w:themeColor="text1"/>
                <w:sz w:val="24"/>
                <w:szCs w:val="24"/>
                <w:highlight w:val="yellow"/>
                <w:lang w:eastAsia="en-GB"/>
              </w:rPr>
              <w:t>complex investigation</w:t>
            </w:r>
            <w:r w:rsidRPr="008D03F4">
              <w:rPr>
                <w:rFonts w:ascii="Arial" w:eastAsia="Arial" w:hAnsi="Arial" w:cs="Arial"/>
                <w:color w:val="000000" w:themeColor="text1"/>
                <w:sz w:val="24"/>
                <w:szCs w:val="24"/>
                <w:lang w:eastAsia="en-GB"/>
              </w:rPr>
              <w:t xml:space="preserve"> and reference the management of your own personal values and attitudes in relation to this.</w:t>
            </w:r>
          </w:p>
          <w:p w14:paraId="4CF02695" w14:textId="77777777" w:rsidR="008D03F4" w:rsidRPr="008D03F4" w:rsidRDefault="008D03F4" w:rsidP="008D03F4">
            <w:pPr>
              <w:overflowPunct w:val="0"/>
              <w:autoSpaceDE w:val="0"/>
              <w:autoSpaceDN w:val="0"/>
              <w:adjustRightInd w:val="0"/>
              <w:ind w:right="237"/>
              <w:jc w:val="both"/>
              <w:textAlignment w:val="baseline"/>
              <w:rPr>
                <w:rFonts w:ascii="Arial" w:hAnsi="Arial" w:cs="Arial"/>
                <w:color w:val="000000"/>
                <w:sz w:val="24"/>
                <w:szCs w:val="24"/>
                <w:lang w:eastAsia="en-GB"/>
              </w:rPr>
            </w:pPr>
          </w:p>
          <w:p w14:paraId="340506C2" w14:textId="77777777" w:rsidR="008D03F4" w:rsidRPr="008D03F4" w:rsidRDefault="008D03F4" w:rsidP="008D03F4">
            <w:pPr>
              <w:overflowPunct w:val="0"/>
              <w:autoSpaceDE w:val="0"/>
              <w:autoSpaceDN w:val="0"/>
              <w:adjustRightInd w:val="0"/>
              <w:ind w:right="237"/>
              <w:jc w:val="both"/>
              <w:textAlignment w:val="baseline"/>
              <w:rPr>
                <w:rFonts w:ascii="Arial" w:hAnsi="Arial" w:cs="Arial"/>
                <w:i/>
                <w:iCs/>
                <w:color w:val="000000"/>
                <w:sz w:val="24"/>
                <w:szCs w:val="24"/>
                <w:lang w:eastAsia="en-GB"/>
              </w:rPr>
            </w:pPr>
            <w:r w:rsidRPr="008D03F4">
              <w:rPr>
                <w:rFonts w:ascii="Arial" w:hAnsi="Arial" w:cs="Arial"/>
                <w:color w:val="000000"/>
                <w:sz w:val="24"/>
                <w:szCs w:val="24"/>
                <w:lang w:eastAsia="en-GB"/>
              </w:rPr>
              <w:t xml:space="preserve">2000 words </w:t>
            </w:r>
            <w:r w:rsidRPr="008D03F4">
              <w:rPr>
                <w:rFonts w:ascii="Arial" w:hAnsi="Arial" w:cs="Arial"/>
                <w:i/>
                <w:iCs/>
                <w:color w:val="000000"/>
                <w:sz w:val="24"/>
                <w:szCs w:val="24"/>
                <w:lang w:eastAsia="en-GB"/>
              </w:rPr>
              <w:t>(+/- 10%: include your actual word count at the end of each section)</w:t>
            </w:r>
          </w:p>
          <w:p w14:paraId="3FE11825" w14:textId="77777777" w:rsidR="008D03F4" w:rsidRPr="008D03F4" w:rsidRDefault="008D03F4" w:rsidP="008D03F4">
            <w:pPr>
              <w:overflowPunct w:val="0"/>
              <w:autoSpaceDE w:val="0"/>
              <w:autoSpaceDN w:val="0"/>
              <w:adjustRightInd w:val="0"/>
              <w:textAlignment w:val="baseline"/>
              <w:rPr>
                <w:rFonts w:ascii="Arial" w:hAnsi="Arial" w:cs="Arial"/>
                <w:color w:val="000000" w:themeColor="text1"/>
                <w:sz w:val="28"/>
                <w:szCs w:val="28"/>
                <w:lang w:eastAsia="en-GB"/>
              </w:rPr>
            </w:pPr>
          </w:p>
        </w:tc>
      </w:tr>
    </w:tbl>
    <w:p w14:paraId="677504A4"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0F3FF14E"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2318FC2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r w:rsidRPr="008D03F4">
        <w:rPr>
          <w:rFonts w:ascii="Arial" w:eastAsia="Times New Roman" w:hAnsi="Arial" w:cs="Arial"/>
          <w:b/>
          <w:bCs/>
          <w:color w:val="000000" w:themeColor="text1"/>
          <w:kern w:val="0"/>
          <w:sz w:val="28"/>
          <w:szCs w:val="28"/>
          <w:lang w:eastAsia="en-GB"/>
          <w14:ligatures w14:val="none"/>
        </w:rPr>
        <w:t xml:space="preserve">Answer: </w:t>
      </w:r>
    </w:p>
    <w:p w14:paraId="108D39B6"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p>
    <w:p w14:paraId="14EBA5AE"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r w:rsidRPr="008D03F4">
        <w:rPr>
          <w:rFonts w:ascii="Arial" w:eastAsia="Times New Roman" w:hAnsi="Arial" w:cs="Arial"/>
          <w:b/>
          <w:bCs/>
          <w:color w:val="000000" w:themeColor="text1"/>
          <w:kern w:val="0"/>
          <w:sz w:val="24"/>
          <w:szCs w:val="24"/>
          <w:lang w:eastAsia="en-GB"/>
          <w14:ligatures w14:val="none"/>
        </w:rPr>
        <w:t>INTRODUCTION</w:t>
      </w:r>
    </w:p>
    <w:p w14:paraId="2F3FBE48"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3B73A13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Complex police investigations in the UK encompass a wide array of crimes, including but not limited to organized crime, terrorism, cybercrime, and high-profile homicides. These investigations often involve multiple agencies, intricate legal frameworks, and extensive evidentiary considerations, making them inherently challenging (Ellison &amp; Smyth, 2019)</w:t>
      </w:r>
    </w:p>
    <w:p w14:paraId="5DFD1C70"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5238E3E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One of the primary challenges in complex investigations is the coordination and collaboration among various stakeholders, including law enforcement agencies, intelligence services, forensic experts, and legal professionals (Chamberlain et al., 2018). Ensuring effective communication and information sharing while respecting legal boundaries and preserving evidentiary integrity is essential but often difficult to achieve.</w:t>
      </w:r>
    </w:p>
    <w:p w14:paraId="6B8B1DD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530542B5"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r w:rsidRPr="008D03F4">
        <w:rPr>
          <w:rFonts w:ascii="Arial" w:eastAsia="Times New Roman" w:hAnsi="Arial" w:cs="Arial"/>
          <w:b/>
          <w:bCs/>
          <w:color w:val="000000" w:themeColor="text1"/>
          <w:kern w:val="0"/>
          <w:sz w:val="24"/>
          <w:szCs w:val="24"/>
          <w:lang w:eastAsia="en-GB"/>
          <w14:ligatures w14:val="none"/>
        </w:rPr>
        <w:t>THE STUDY</w:t>
      </w:r>
    </w:p>
    <w:p w14:paraId="0BDD062E"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3942BFD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The Process Employed in Complex UK Police Investigations and Complex police investigations often involve a range of intricate procedures, from initial crime scene management to evidence collection, analysis, and eventual prosecution. A pivotal aspect of these investigations is the gathering of evidence, which typically involves forensic techniques, witness statements, CCTV footage analysis, and digital </w:t>
      </w:r>
      <w:r w:rsidRPr="008D03F4">
        <w:rPr>
          <w:rFonts w:ascii="Arial" w:eastAsia="Times New Roman" w:hAnsi="Arial" w:cs="Arial"/>
          <w:color w:val="000000" w:themeColor="text1"/>
          <w:kern w:val="0"/>
          <w:sz w:val="24"/>
          <w:szCs w:val="24"/>
          <w:lang w:eastAsia="en-GB"/>
          <w14:ligatures w14:val="none"/>
        </w:rPr>
        <w:lastRenderedPageBreak/>
        <w:t xml:space="preserve">forensics. Moreover, collaborative efforts between various law enforcement agencies, such as the police, forensic teams, and specialist units, are crucial for comprehensive investigations. </w:t>
      </w:r>
    </w:p>
    <w:p w14:paraId="50C59C1A"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48026FD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One key element in complex investigations is using advanced technology and forensic methods. For instance, DNA analysis advancements have revolutionized identifying suspects and linking them to crime scenes. Similarly, the use of digital forensics has become increasingly vital in cases involving cybercrime or digital evidence. These technological advancements have significantly enhanced the efficiency and accuracy of investigations, leading to higher conviction rates and improved outcomes. </w:t>
      </w:r>
    </w:p>
    <w:p w14:paraId="2089F94E"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682DE985"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Furthermore, the UK's legal framework, including the Police and Criminal Evidence Act (1984) and the Criminal Procedure Rules, provides a structured approach to conducting investigations while safeguarding the rights of individuals. The establishment of protocols for interviewing suspects, obtaining search warrants, and conducting searches ensures that investigations adhere to legal standards, thereby enhancing the integrity of the process.</w:t>
      </w:r>
    </w:p>
    <w:p w14:paraId="44647865"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5D6B95CE"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However, despite the progress made in investigative techniques and legal frameworks, challenges persist within the process of complex investigations. Delays in forensic analysis, resource constraints, and bureaucratic hurdles can impede the progress of investigations, potentially leading to case backlogs and compromised outcomes. Moreover, the increasing sophistication of criminal activities, such as cyber-enabled crimes and organized crime networks, poses novel challenges for law enforcement agencies, necessitating ongoing adaptation and training to keep pace with evolving threats. </w:t>
      </w:r>
    </w:p>
    <w:p w14:paraId="035ED4E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68199BC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397AB5B4"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3399970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2642C85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6B0BCC26"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3EA3D04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2D793098"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1D4A0F0A"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3D2FA19D"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6757D99A"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3043D36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35128DF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23DDB56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0B859E8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201FF7B7"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056EEA5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0B20002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65B323D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247223F4"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49DA1A5C"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4F3229A4"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527459D6"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54A737BD"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r w:rsidRPr="008D03F4">
        <w:rPr>
          <w:rFonts w:ascii="Arial" w:eastAsia="Times New Roman" w:hAnsi="Arial" w:cs="Arial"/>
          <w:b/>
          <w:bCs/>
          <w:color w:val="000000" w:themeColor="text1"/>
          <w:kern w:val="0"/>
          <w:sz w:val="24"/>
          <w:szCs w:val="24"/>
          <w:lang w:eastAsia="en-GB"/>
          <w14:ligatures w14:val="none"/>
        </w:rPr>
        <w:lastRenderedPageBreak/>
        <w:t>THE INVESTIGATION</w:t>
      </w:r>
    </w:p>
    <w:p w14:paraId="2E123510"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0B8A73C4"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Diagram A – College of Policing (2023)  </w:t>
      </w:r>
    </w:p>
    <w:p w14:paraId="5987EE95"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4ED8B5CD"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College of Policing (2023) outlines the process of an investigation (Diagram A) and although all investigations are different there are similar stages throughout each one. </w:t>
      </w:r>
    </w:p>
    <w:p w14:paraId="6AC353FC"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6279D49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noProof/>
          <w:color w:val="000000" w:themeColor="text1"/>
          <w:kern w:val="0"/>
          <w:sz w:val="24"/>
          <w:szCs w:val="24"/>
          <w:lang w:eastAsia="en-GB"/>
          <w14:ligatures w14:val="none"/>
        </w:rPr>
        <w:drawing>
          <wp:inline distT="0" distB="0" distL="0" distR="0" wp14:anchorId="0AE8B589" wp14:editId="1C88F907">
            <wp:extent cx="5462270" cy="3602990"/>
            <wp:effectExtent l="0" t="0" r="5080" b="0"/>
            <wp:docPr id="920181378" name="Picture 1" descr="A diagram of a crime investig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181378" name="Picture 1" descr="A diagram of a crime investigatio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62270" cy="3602990"/>
                    </a:xfrm>
                    <a:prstGeom prst="rect">
                      <a:avLst/>
                    </a:prstGeom>
                    <a:noFill/>
                  </pic:spPr>
                </pic:pic>
              </a:graphicData>
            </a:graphic>
          </wp:inline>
        </w:drawing>
      </w:r>
    </w:p>
    <w:p w14:paraId="76DCBFB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0DB32DFE"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2DF81568"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215A1019"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 </w:t>
      </w:r>
    </w:p>
    <w:p w14:paraId="17285657"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The investigation I was involved in was section 18 with intent which is defined by ‘Whosoever shall unlawfully and maliciously by any means whatsoever wound or cause any grievous bodily harm to any person, with intent, to do some. grievous bodily harm to any person, or with intent to resist or prevent the lawful apprehension or detainer of any person, shall be guilty of a felony, and being convicted thereof shall be liable to be kept in penal servitude for life (Offence Against the Persons Act 1861).</w:t>
      </w:r>
    </w:p>
    <w:p w14:paraId="0185177C"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69E29549"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This involved an individual who assaulted another individual with a Knife, causing the individual severe injuries to his chest area. The individual was conveyed to the hospital. The suspect was at large for a day until officers arrested the suspect later the next day. </w:t>
      </w:r>
    </w:p>
    <w:p w14:paraId="3485F5ED"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1238535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The investigation was complex as there were numerous barriers to overcome to achieve the evidence needed to locate the suspect and identify the suspect as the person who caused the harm to the victim. There were also several external partners involved in the investigation including Ambulance, housing, and social services. </w:t>
      </w:r>
    </w:p>
    <w:p w14:paraId="15E162E8"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lastRenderedPageBreak/>
        <w:t xml:space="preserve">The initial call came from a witness who attended a house party when the incident took place. Due to the high level of alcohol that was consumed by the individual and the state of shock that the witness was in, a first account was initially taken. Then a further statement would be taken when the witness was in a less intoxicated state. </w:t>
      </w:r>
    </w:p>
    <w:p w14:paraId="029C2A4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INITIAL RESPONSE AND SCENE MANAGEMENT:</w:t>
      </w:r>
    </w:p>
    <w:p w14:paraId="3C0E06DC"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The initial response to the incident sets the tone for the investigation. Police officers must secure the crime scene, preserve evidence, and provide immediate medical assistance to victims. At this scene, there was a clear victim who was bleeding from the chest area, distressed witnesses, and forensic opportunities. </w:t>
      </w:r>
    </w:p>
    <w:p w14:paraId="0129FA7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Witnesses at the scene were also assessed and if deemed fit a statement was taken at the scene. </w:t>
      </w:r>
    </w:p>
    <w:p w14:paraId="4279ADB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51096E0A"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It was important at this point that I knew the services available to all witnesses at the scene to provide the support required and take the statements.</w:t>
      </w:r>
    </w:p>
    <w:p w14:paraId="71CF5BE8"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Upon arrival at the scene, numerous agencies would be involved in the investigation. Such as the Fire brigade, Forensics, ambulance service, and the police.  Effective multi-agency collaboration is a cornerstone of successful complex investigations. Agencies such as the National Crime Agency (NCA), regional police forces, and specialized units work together to pool resources, expertise, and intelligence (Dixon et al., 2020). This collaborative approach enhances information sharing, operational coordination, and the ability to tackle cross-border criminal activities.</w:t>
      </w:r>
    </w:p>
    <w:p w14:paraId="3B05D129"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6935F1BA"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Support Provided to Victims, Witnesses, and offenders play distinct roles within the criminal justice system, each requiring tailored support mechanisms throughout the investigation process. Victim support services, such as Victim Support UK, offer emotional support, practical assistance, and information to individuals affected by crime, helping them navigate the complexities of the criminal justice process. Moreover, initiatives like the Victim Personal Statement allow victims to express the impact of the crime on their lives, empowering them to participate in legal proceedings and assert their rights. </w:t>
      </w:r>
    </w:p>
    <w:p w14:paraId="5587529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437986BD"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Similarly, witnesses are supported to facilitate their cooperation with law enforcement agencies. Witness Care Units (WCUs) in the UK assist witnesses by providing information about court procedures, arranging pre-trial visits, and offering emotional support during the trial process. These initiatives aim to alleviate the stress and anxiety often experienced by witnesses, thereby enhancing their willingness to testify and contribute to the investigation.</w:t>
      </w:r>
    </w:p>
    <w:p w14:paraId="2832C67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3EF5B4B4"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r w:rsidRPr="008D03F4">
        <w:rPr>
          <w:rFonts w:ascii="Arial" w:eastAsia="Times New Roman" w:hAnsi="Arial" w:cs="Arial"/>
          <w:b/>
          <w:bCs/>
          <w:color w:val="000000" w:themeColor="text1"/>
          <w:kern w:val="0"/>
          <w:sz w:val="24"/>
          <w:szCs w:val="24"/>
          <w:lang w:eastAsia="en-GB"/>
          <w14:ligatures w14:val="none"/>
        </w:rPr>
        <w:t xml:space="preserve"> CCTV OPPORTUNITIES</w:t>
      </w:r>
    </w:p>
    <w:p w14:paraId="73222A90"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00C7D9F7"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CCTV plays a pivotal role in aiding complex police investigations by providing crucial visual evidence, enhancing situational awareness, and facilitating the identification and apprehension of suspects. Its widespread deployment in public spaces, commercial establishments, and residential areas offers comprehensive coverage that can capture various stages of criminal activities, including premeditation, commission, and escape (Cerezo et al., 2019).</w:t>
      </w:r>
    </w:p>
    <w:p w14:paraId="0E0191C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6D41555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Moreover, CCTV footage serves as a valuable investigative tool for corroborating witness testimonies, establishing timelines, and reconstructing crime scenes. In </w:t>
      </w:r>
      <w:r w:rsidRPr="008D03F4">
        <w:rPr>
          <w:rFonts w:ascii="Arial" w:eastAsia="Times New Roman" w:hAnsi="Arial" w:cs="Arial"/>
          <w:color w:val="000000" w:themeColor="text1"/>
          <w:kern w:val="0"/>
          <w:sz w:val="24"/>
          <w:szCs w:val="24"/>
          <w:lang w:eastAsia="en-GB"/>
          <w14:ligatures w14:val="none"/>
        </w:rPr>
        <w:lastRenderedPageBreak/>
        <w:t>cases of serious offenses such as grievous bodily harm (GBH), homicide, or terrorism, where the stakes are high and evidentiary requirements stringent, CCTV evidence can be instrumental in securing convictions and delivering justice (Gill et al., 2014).</w:t>
      </w:r>
    </w:p>
    <w:p w14:paraId="7E746AE5"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For this investigation what was crucial in terms of media footage was the person reporting had positioned the ring doorbell to capture the suspect speaking to the reporting person of what had happened. The footage was crucial to the outcome of the investigation.</w:t>
      </w:r>
    </w:p>
    <w:p w14:paraId="5335CBE6"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 </w:t>
      </w:r>
    </w:p>
    <w:p w14:paraId="51DC285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In the UK, ring doorbell film is becoming a more and more useful tool for police investigations. Its capacity to record images of possible suspects, cars, or illegal activities makes it crucial since it may help law enforcement track down offenders and compile evidence.</w:t>
      </w:r>
    </w:p>
    <w:p w14:paraId="06059AFC"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20175A30"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There have been many instances in the past few years where Ring doorbell footage has been important in solving crimes. For instance, Ring doorbell cameras have captured photos of suspects entering or departing residences in burglary cases, giving detectives important leads. In a similar vein, Ring doorbell footage has assisted law enforcement in identifying and apprehending offenders in situations of package theft and vandalism.</w:t>
      </w:r>
    </w:p>
    <w:p w14:paraId="3AEBB675"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7FC38A3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Moreover, Ring doorbell footage can provide valuable timestamps, allowing investigators to establish timelines of events and corroborate witness statements. This can be particularly useful in cases where the exact timing of an incident is crucial for establishing guilt or innocence.</w:t>
      </w:r>
    </w:p>
    <w:p w14:paraId="0B9AF09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520BE3A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The image the footage ring doorbell footage provided us as investigators were the suspect's name, identity, visual, and a confession on the footage of the stabbing as well as a visual on the weapon used. The time of the incident and the time at which the suspect left the scene.</w:t>
      </w:r>
    </w:p>
    <w:p w14:paraId="2D2A97D4"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560F5F08"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The suspect was named and then interviewed providing a ‘No comment interview.’ Suspects under legal advice frequently employ this strategy to prevent self-incrimination. When assessing the use of "no comment" interviews, one must take legal rights, ethical issues, and the investigation process into account.</w:t>
      </w:r>
    </w:p>
    <w:p w14:paraId="26BD8688"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However, this was expected given the evidence we had regarding the injuries and the CCTV footage from the ring doorbell. </w:t>
      </w:r>
    </w:p>
    <w:p w14:paraId="4FDED3F7"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I then, from experience of working with offenders and victims had to provide the relative support required. </w:t>
      </w:r>
    </w:p>
    <w:p w14:paraId="32768C4A"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08F0B965"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Support for victims, witnesses, and offenders is integral to maintaining trust in the justice system and ensuring fair treatment. This support I had to consider was as follows –</w:t>
      </w:r>
    </w:p>
    <w:p w14:paraId="1605083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5A1A2756"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w:t>
      </w:r>
      <w:r w:rsidRPr="008D03F4">
        <w:rPr>
          <w:rFonts w:ascii="Arial" w:eastAsia="Times New Roman" w:hAnsi="Arial" w:cs="Arial"/>
          <w:color w:val="000000" w:themeColor="text1"/>
          <w:kern w:val="0"/>
          <w:sz w:val="24"/>
          <w:szCs w:val="24"/>
          <w:lang w:eastAsia="en-GB"/>
          <w14:ligatures w14:val="none"/>
        </w:rPr>
        <w:tab/>
      </w:r>
      <w:r w:rsidRPr="008D03F4">
        <w:rPr>
          <w:rFonts w:ascii="Arial" w:eastAsia="Times New Roman" w:hAnsi="Arial" w:cs="Arial"/>
          <w:b/>
          <w:bCs/>
          <w:color w:val="000000" w:themeColor="text1"/>
          <w:kern w:val="0"/>
          <w:sz w:val="24"/>
          <w:szCs w:val="24"/>
          <w:lang w:eastAsia="en-GB"/>
          <w14:ligatures w14:val="none"/>
        </w:rPr>
        <w:t>Victim Support:</w:t>
      </w:r>
      <w:r w:rsidRPr="008D03F4">
        <w:rPr>
          <w:rFonts w:ascii="Arial" w:eastAsia="Times New Roman" w:hAnsi="Arial" w:cs="Arial"/>
          <w:color w:val="000000" w:themeColor="text1"/>
          <w:kern w:val="0"/>
          <w:sz w:val="24"/>
          <w:szCs w:val="24"/>
          <w:lang w:eastAsia="en-GB"/>
          <w14:ligatures w14:val="none"/>
        </w:rPr>
        <w:t xml:space="preserve"> Giving victims access to resources, updates on the investigation's progress, and emotional support. Making referrals to victim support agencies can help them get well and take part in the legal system. </w:t>
      </w:r>
    </w:p>
    <w:p w14:paraId="3863EEE7"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Enhancing the quality of care given to victims of crime and expanding access to victim support services can lessen the negative effects of victimisation and make it easier for victims to participate in the investigative process.</w:t>
      </w:r>
    </w:p>
    <w:p w14:paraId="6CD0D388"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lastRenderedPageBreak/>
        <w:t>Research indicates that complete victim support services, such as information sharing, practical help, and emotional support, help victims achieve better results and are more satisfied with the criminal justice system (Harper et al., 2017; Maguire et al., 2019).</w:t>
      </w:r>
    </w:p>
    <w:p w14:paraId="224FEA6A"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6EE0AE76"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w:t>
      </w:r>
      <w:r w:rsidRPr="008D03F4">
        <w:rPr>
          <w:rFonts w:ascii="Arial" w:eastAsia="Times New Roman" w:hAnsi="Arial" w:cs="Arial"/>
          <w:color w:val="000000" w:themeColor="text1"/>
          <w:kern w:val="0"/>
          <w:sz w:val="24"/>
          <w:szCs w:val="24"/>
          <w:lang w:eastAsia="en-GB"/>
          <w14:ligatures w14:val="none"/>
        </w:rPr>
        <w:tab/>
      </w:r>
      <w:r w:rsidRPr="008D03F4">
        <w:rPr>
          <w:rFonts w:ascii="Arial" w:eastAsia="Times New Roman" w:hAnsi="Arial" w:cs="Arial"/>
          <w:b/>
          <w:bCs/>
          <w:color w:val="000000" w:themeColor="text1"/>
          <w:kern w:val="0"/>
          <w:sz w:val="24"/>
          <w:szCs w:val="24"/>
          <w:lang w:eastAsia="en-GB"/>
          <w14:ligatures w14:val="none"/>
        </w:rPr>
        <w:t>Witness Care</w:t>
      </w:r>
      <w:r w:rsidRPr="008D03F4">
        <w:rPr>
          <w:rFonts w:ascii="Arial" w:eastAsia="Times New Roman" w:hAnsi="Arial" w:cs="Arial"/>
          <w:color w:val="000000" w:themeColor="text1"/>
          <w:kern w:val="0"/>
          <w:sz w:val="24"/>
          <w:szCs w:val="24"/>
          <w:lang w:eastAsia="en-GB"/>
          <w14:ligatures w14:val="none"/>
        </w:rPr>
        <w:t>: Giving support and comfort to witnesses during their participation in the inquiry and judicial process. It is imperative to guarantee their safety and well-being in addition to offering advice and unambiguous communication.</w:t>
      </w:r>
    </w:p>
    <w:p w14:paraId="3C91C96C"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3FE90515"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w:t>
      </w:r>
      <w:r w:rsidRPr="008D03F4">
        <w:rPr>
          <w:rFonts w:ascii="Arial" w:eastAsia="Times New Roman" w:hAnsi="Arial" w:cs="Arial"/>
          <w:color w:val="000000" w:themeColor="text1"/>
          <w:kern w:val="0"/>
          <w:sz w:val="24"/>
          <w:szCs w:val="24"/>
          <w:lang w:eastAsia="en-GB"/>
          <w14:ligatures w14:val="none"/>
        </w:rPr>
        <w:tab/>
      </w:r>
      <w:r w:rsidRPr="008D03F4">
        <w:rPr>
          <w:rFonts w:ascii="Arial" w:eastAsia="Times New Roman" w:hAnsi="Arial" w:cs="Arial"/>
          <w:b/>
          <w:bCs/>
          <w:color w:val="000000" w:themeColor="text1"/>
          <w:kern w:val="0"/>
          <w:sz w:val="24"/>
          <w:szCs w:val="24"/>
          <w:lang w:eastAsia="en-GB"/>
          <w14:ligatures w14:val="none"/>
        </w:rPr>
        <w:t>Offender Management:</w:t>
      </w:r>
      <w:r w:rsidRPr="008D03F4">
        <w:rPr>
          <w:rFonts w:ascii="Arial" w:eastAsia="Times New Roman" w:hAnsi="Arial" w:cs="Arial"/>
          <w:color w:val="000000" w:themeColor="text1"/>
          <w:kern w:val="0"/>
          <w:sz w:val="24"/>
          <w:szCs w:val="24"/>
          <w:lang w:eastAsia="en-GB"/>
          <w14:ligatures w14:val="none"/>
        </w:rPr>
        <w:t xml:space="preserve"> While the primary focus is on investigation and prosecution, providing appropriate support and interventions to offenders, where applicable, can address underlying issues and prevent reoffending. This was addressed by the supporting agencies when the Offender was in the cells. Relative support agencies have access to offer support to the offender. </w:t>
      </w:r>
    </w:p>
    <w:p w14:paraId="6974D017"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415FFDEA"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Data sharing with support agencies is also crucial as during the building of the file for this investigation, I required medical notes from the ambulance and hospital. Information sharing and coordination in complicated investigations can be enhanced by streamlining data-sharing procedures and encouraging cooperation between law enforcement agencies and other stakeholders, such as social service and healthcare providers. </w:t>
      </w:r>
    </w:p>
    <w:p w14:paraId="1A9CC1A4"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By thew use of the Medical App, applications and obtaining the notes was far more efficient and effective in supporting the investigation.,  </w:t>
      </w:r>
    </w:p>
    <w:p w14:paraId="0ABD7CE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226E93D3" w14:textId="77777777" w:rsidR="008D03F4" w:rsidRPr="008D03F4" w:rsidRDefault="008D03F4" w:rsidP="008D03F4">
      <w:pPr>
        <w:overflowPunct w:val="0"/>
        <w:autoSpaceDE w:val="0"/>
        <w:autoSpaceDN w:val="0"/>
        <w:adjustRightInd w:val="0"/>
        <w:spacing w:after="0" w:line="240" w:lineRule="auto"/>
        <w:ind w:left="720" w:right="237"/>
        <w:contextualSpacing/>
        <w:jc w:val="both"/>
        <w:textAlignment w:val="baseline"/>
        <w:rPr>
          <w:rFonts w:ascii="Arial" w:eastAsia="Times New Roman" w:hAnsi="Arial" w:cs="Arial"/>
          <w:color w:val="000000" w:themeColor="text1"/>
          <w:kern w:val="0"/>
          <w:sz w:val="24"/>
          <w:szCs w:val="24"/>
          <w:lang w:eastAsia="en-GB"/>
          <w14:ligatures w14:val="none"/>
        </w:rPr>
      </w:pPr>
    </w:p>
    <w:p w14:paraId="0729C59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688D233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098BEEA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584EA2E7"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5BCC60E4"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4AADF706"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r w:rsidRPr="008D03F4">
        <w:rPr>
          <w:rFonts w:ascii="Arial" w:eastAsia="Times New Roman" w:hAnsi="Arial" w:cs="Arial"/>
          <w:b/>
          <w:bCs/>
          <w:color w:val="000000" w:themeColor="text1"/>
          <w:kern w:val="0"/>
          <w:sz w:val="24"/>
          <w:szCs w:val="24"/>
          <w:lang w:eastAsia="en-GB"/>
          <w14:ligatures w14:val="none"/>
        </w:rPr>
        <w:t>CONCLUSION</w:t>
      </w:r>
    </w:p>
    <w:p w14:paraId="0EEA861D"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5627AD59"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Complex police investigations in the UK involve a multifaceted process encompassing evidence gathering, forensic analysis, and legal procedures. While technological advancements have bolstered the efficacy of investigations, challenges persist in terms of resource allocation and adapting to evolving crime trends. Moreover, support mechanisms for victims, witnesses, and offenders play a crucial role in ensuring a fair and effective criminal justice system. </w:t>
      </w:r>
    </w:p>
    <w:p w14:paraId="4B320C9E"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5A1AE8B5"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Moving forward, efforts to streamline investigative processes, enhance collaboration between agencies, and prioritize victim-centric approaches are essential for addressing existing challenges. Similarly, ongoing investment in support services for all stakeholders, coupled with a focus on rehabilitation and reintegration, can contribute to the overall effectiveness and fairness of the UK's policing and criminal justice framework.</w:t>
      </w:r>
    </w:p>
    <w:p w14:paraId="555E4364"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1C4C32CA"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D03F4">
        <w:rPr>
          <w:rFonts w:ascii="Arial" w:eastAsia="Times New Roman" w:hAnsi="Arial" w:cs="Arial"/>
          <w:color w:val="000000" w:themeColor="text1"/>
          <w:kern w:val="0"/>
          <w:sz w:val="24"/>
          <w:szCs w:val="24"/>
          <w:lang w:eastAsia="en-GB"/>
          <w14:ligatures w14:val="none"/>
        </w:rPr>
        <w:t xml:space="preserve">This investigation, given the nature of the incident, was relatively straight forward, and fortunately, with today's technology such as the ring doorbell footage that was provided to us the suspect was found quite easily. The weapon used in the incident </w:t>
      </w:r>
      <w:r w:rsidRPr="008D03F4">
        <w:rPr>
          <w:rFonts w:ascii="Arial" w:eastAsia="Times New Roman" w:hAnsi="Arial" w:cs="Arial"/>
          <w:color w:val="000000" w:themeColor="text1"/>
          <w:kern w:val="0"/>
          <w:sz w:val="24"/>
          <w:szCs w:val="24"/>
          <w:lang w:eastAsia="en-GB"/>
          <w14:ligatures w14:val="none"/>
        </w:rPr>
        <w:lastRenderedPageBreak/>
        <w:t>was found later in the morning due to statements provided by witnesses. However, not all witnesses are too keen to come forward as they are afraid of repercussions on themselves and their families. Again, we were lucky that the CCTV could be argued against. Despite the ‘ NO COMMENT’ interview the suspect has pleaded and I am at the time of this assignment awaiting the sentence.</w:t>
      </w:r>
    </w:p>
    <w:p w14:paraId="32453298"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p>
    <w:p w14:paraId="23B2C870"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r w:rsidRPr="008D03F4">
        <w:rPr>
          <w:rFonts w:ascii="Arial" w:eastAsia="Times New Roman" w:hAnsi="Arial" w:cs="Arial"/>
          <w:b/>
          <w:bCs/>
          <w:color w:val="000000" w:themeColor="text1"/>
          <w:kern w:val="0"/>
          <w:sz w:val="24"/>
          <w:szCs w:val="24"/>
          <w:lang w:eastAsia="en-GB"/>
          <w14:ligatures w14:val="none"/>
        </w:rPr>
        <w:t>Word Count - 1954</w:t>
      </w:r>
    </w:p>
    <w:p w14:paraId="1CC034A6"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p>
    <w:p w14:paraId="14B0947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p>
    <w:p w14:paraId="553CF3CC"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p>
    <w:p w14:paraId="1E61AD08"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Authentication signature: </w:t>
      </w:r>
    </w:p>
    <w:p w14:paraId="2437D02B"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 </w:t>
      </w:r>
    </w:p>
    <w:p w14:paraId="0C39C74F"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Please sign to confirm that the work submitted is your own and has not been copied from another: </w:t>
      </w:r>
    </w:p>
    <w:p w14:paraId="1F9FD254"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 </w:t>
      </w:r>
    </w:p>
    <w:p w14:paraId="5154B5EF"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Signed: </w:t>
      </w:r>
    </w:p>
    <w:p w14:paraId="39D46E5D"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 </w:t>
      </w:r>
    </w:p>
    <w:p w14:paraId="259AA5C7"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sectPr w:rsidR="008D03F4" w:rsidRPr="008D03F4" w:rsidSect="00850FE6">
          <w:headerReference w:type="even" r:id="rId7"/>
          <w:headerReference w:type="default" r:id="rId8"/>
          <w:footerReference w:type="even" r:id="rId9"/>
          <w:footerReference w:type="default" r:id="rId10"/>
          <w:headerReference w:type="first" r:id="rId11"/>
          <w:footerReference w:type="first" r:id="rId12"/>
          <w:pgSz w:w="11906" w:h="16838" w:code="9"/>
          <w:pgMar w:top="1440" w:right="1440" w:bottom="1440" w:left="1440" w:header="720" w:footer="720" w:gutter="0"/>
          <w:cols w:space="720"/>
          <w:docGrid w:linePitch="272"/>
        </w:sectPr>
      </w:pPr>
      <w:r w:rsidRPr="008D03F4">
        <w:rPr>
          <w:rFonts w:ascii="Arial" w:eastAsia="Arial" w:hAnsi="Arial" w:cs="Arial"/>
          <w:b/>
          <w:bCs/>
          <w:color w:val="000000" w:themeColor="text1"/>
          <w:kern w:val="0"/>
          <w:sz w:val="24"/>
          <w:szCs w:val="24"/>
          <w:lang w:eastAsia="en-GB"/>
          <w14:ligatures w14:val="none"/>
        </w:rPr>
        <w:t>Date</w:t>
      </w:r>
    </w:p>
    <w:p w14:paraId="38D67B6A"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b/>
          <w:bCs/>
          <w:color w:val="000000"/>
          <w:kern w:val="0"/>
          <w:sz w:val="24"/>
          <w:szCs w:val="24"/>
          <w:lang w:eastAsia="en-GB"/>
          <w14:ligatures w14:val="none"/>
        </w:rPr>
      </w:pPr>
      <w:r w:rsidRPr="008D03F4">
        <w:rPr>
          <w:rFonts w:ascii="Arial" w:eastAsia="Times New Roman" w:hAnsi="Arial" w:cs="Arial"/>
          <w:b/>
          <w:bCs/>
          <w:color w:val="000000"/>
          <w:kern w:val="0"/>
          <w:sz w:val="24"/>
          <w:szCs w:val="24"/>
          <w:lang w:eastAsia="en-GB"/>
          <w14:ligatures w14:val="none"/>
        </w:rPr>
        <w:lastRenderedPageBreak/>
        <w:t>Bibliography</w:t>
      </w:r>
    </w:p>
    <w:p w14:paraId="17496D39"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76EFE3C5"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 </w:t>
      </w:r>
    </w:p>
    <w:p w14:paraId="6C01E204"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1F48B18F"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42D08966"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College of Policing. (2020). Code of Ethics. (accessed 22nd March 2024)</w:t>
      </w:r>
    </w:p>
    <w:p w14:paraId="5533EEB6"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4459A218"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3DAC54BA"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Grove LE and others. 2012. 'Preventing repeat victimization: A systematic review.' Brottsförebyggande rådet/The Swedish National Council for Crime Prevention. (accessed 16th March 2024)</w:t>
      </w:r>
    </w:p>
    <w:p w14:paraId="173B2D87"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544E523C"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5BB5987E"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Her Majesty's Inspectorate of Constabulary and Fire &amp; Rescue Services (HMICFRS). (2021). Policing Through the Pandemic: The Service So Far. (accessed 18th March 2024)</w:t>
      </w:r>
    </w:p>
    <w:p w14:paraId="60A80BAA"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29D45632"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51FB830C"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Home Office. (2024). Police and Criminal Evidence Act (1984). (accessed 18th March 2024)</w:t>
      </w:r>
    </w:p>
    <w:p w14:paraId="38DF36C1"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66446A52"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69AFAE51"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Horowitz, M. J. (1976). Stress response syndromes. New York: Jason Aronson. (accessed 18 th March 2024)</w:t>
      </w:r>
    </w:p>
    <w:p w14:paraId="13BF5429"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2E0C709A"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2E489744"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hyperlink r:id="rId13" w:history="1">
        <w:r w:rsidRPr="008D03F4">
          <w:rPr>
            <w:rFonts w:ascii="Arial" w:eastAsia="Times New Roman" w:hAnsi="Arial" w:cs="Arial"/>
            <w:color w:val="0000FF"/>
            <w:kern w:val="0"/>
            <w:sz w:val="24"/>
            <w:szCs w:val="24"/>
            <w:u w:val="single"/>
            <w:lang w:eastAsia="en-GB"/>
            <w14:ligatures w14:val="none"/>
          </w:rPr>
          <w:t>https://faithbehavioralhealth.com/why-do-i-have-a-delayed-emotional-response/</w:t>
        </w:r>
      </w:hyperlink>
      <w:r w:rsidRPr="008D03F4">
        <w:rPr>
          <w:rFonts w:ascii="Arial" w:eastAsia="Times New Roman" w:hAnsi="Arial" w:cs="Arial"/>
          <w:color w:val="000000"/>
          <w:kern w:val="0"/>
          <w:sz w:val="24"/>
          <w:szCs w:val="24"/>
          <w:lang w:eastAsia="en-GB"/>
          <w14:ligatures w14:val="none"/>
        </w:rPr>
        <w:t xml:space="preserve"> </w:t>
      </w:r>
    </w:p>
    <w:p w14:paraId="31DFE4F2"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755ED833"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529916E2"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Independent Office for Police Conduct (IOPC). (2022). Annual Report. (accessed 18 th March 2024)</w:t>
      </w:r>
    </w:p>
    <w:p w14:paraId="560FCDC4"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3755C719"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70C3DD53"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Jackson, J., Bradford, B., Stanko, E. A., &amp; Hohl, K. (2011). Just Authority? Trust in the Police in England and Wales. Routledge. (accessed 22nd March 2024)</w:t>
      </w:r>
    </w:p>
    <w:p w14:paraId="250EB1CA"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3FC756F1"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5D5F3D1B"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Kilpatrick, D. G., Saunders, B. E., Veronen, L. J., Best, C. L., &amp; Von, J. M. (1987). Criminal victimization: (accessed 18 th March 2024) (accessed 18 th March 2024)</w:t>
      </w:r>
    </w:p>
    <w:p w14:paraId="29B821AE"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17F0E721"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0FDFAB71"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Kubzansky, L., Koenen, K., Spiro, A., Vokonas, S., &amp; Sparrow, D. (2007).</w:t>
      </w:r>
    </w:p>
    <w:p w14:paraId="12C0C859"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08D2BDF3"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17CDCEEC"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lastRenderedPageBreak/>
        <w:t xml:space="preserve"> Prospective study of posttraumatic stress disorder symptoms and coronary heart disease in the normative aging study. Archives of General Psychiatry, 64(1), 109–116. (accessed 22nd March 2024)</w:t>
      </w:r>
    </w:p>
    <w:p w14:paraId="4D87FDB0"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751C2D7D"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550A0B78"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Lifetime prevalence, reporting to police, and psychological impact. Crime &amp; Delinquency, 33(4), 479–489. (accessed 18 th March 2024)</w:t>
      </w:r>
    </w:p>
    <w:p w14:paraId="7D66EC8E"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708E0E5A"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08E907BD" w14:textId="14C97BD3" w:rsidR="008D03F4" w:rsidRDefault="008D03F4" w:rsidP="008D03F4">
      <w:pPr>
        <w:spacing w:line="240" w:lineRule="auto"/>
        <w:rPr>
          <w:b/>
          <w:bCs/>
        </w:rPr>
      </w:pPr>
      <w:r w:rsidRPr="008D03F4">
        <w:rPr>
          <w:rFonts w:ascii="Arial" w:eastAsia="Times New Roman" w:hAnsi="Arial" w:cs="Arial"/>
          <w:color w:val="000000"/>
          <w:kern w:val="0"/>
          <w:sz w:val="24"/>
          <w:szCs w:val="24"/>
          <w:lang w:eastAsia="en-GB"/>
          <w14:ligatures w14:val="none"/>
        </w:rPr>
        <w:t>Royal College of Psychiatrists (2021). Post-traumatic stress disorder (PTSD) | Royal College of Psychiatrists. www.rcpsych.ac.uk. Available at: https://www.rcpsych.ac.uk/mental-health/mental-illnesses-and-mental-health-problems/post-traumatic-stress-disorder. (accessed 18 th Ma</w:t>
      </w:r>
      <w:bookmarkEnd w:id="0"/>
    </w:p>
    <w:p w14:paraId="533DCF08" w14:textId="77777777" w:rsidR="008D03F4" w:rsidRDefault="008D03F4">
      <w:pPr>
        <w:rPr>
          <w:b/>
          <w:bCs/>
        </w:rPr>
      </w:pPr>
      <w:r>
        <w:rPr>
          <w:b/>
          <w:bCs/>
        </w:rPr>
        <w:br w:type="page"/>
      </w:r>
    </w:p>
    <w:p w14:paraId="3D53213F" w14:textId="6EDA9973" w:rsidR="00F65BED" w:rsidRPr="00F65BED" w:rsidRDefault="00F65BED" w:rsidP="00F65BED">
      <w:pPr>
        <w:spacing w:line="240" w:lineRule="auto"/>
        <w:rPr>
          <w:b/>
          <w:bCs/>
        </w:rPr>
      </w:pPr>
      <w:r w:rsidRPr="00F65BED">
        <w:rPr>
          <w:b/>
          <w:bCs/>
        </w:rPr>
        <w:lastRenderedPageBreak/>
        <w:t>Essay one:</w:t>
      </w:r>
    </w:p>
    <w:p w14:paraId="784460A5" w14:textId="708BFCAC" w:rsidR="00FA67D3" w:rsidRPr="00F65BED" w:rsidRDefault="00F65BED" w:rsidP="00F65BED">
      <w:pPr>
        <w:spacing w:line="240" w:lineRule="auto"/>
        <w:rPr>
          <w:b/>
          <w:bCs/>
        </w:rPr>
      </w:pPr>
      <w:r w:rsidRPr="00F65BED">
        <w:rPr>
          <w:b/>
          <w:bCs/>
        </w:rPr>
        <w:t>Research conducted on behalf of HMICFRS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w:t>
      </w:r>
      <w:r>
        <w:rPr>
          <w:b/>
          <w:bCs/>
        </w:rPr>
        <w:t xml:space="preserve"> </w:t>
      </w:r>
      <w:r w:rsidRPr="00F65BED">
        <w:rPr>
          <w:b/>
          <w:bCs/>
        </w:rPr>
        <w:t>Your answer must be based on academic research rather than personal experience.</w:t>
      </w:r>
    </w:p>
    <w:p w14:paraId="17D8C74D" w14:textId="77777777" w:rsidR="00FA67D3" w:rsidRPr="00AF69C3" w:rsidRDefault="00FA67D3">
      <w:pPr>
        <w:rPr>
          <w:b/>
          <w:bCs/>
          <w:u w:val="single"/>
        </w:rPr>
      </w:pPr>
      <w:r w:rsidRPr="00AF69C3">
        <w:rPr>
          <w:b/>
          <w:bCs/>
          <w:u w:val="single"/>
        </w:rPr>
        <w:t>Introduction</w:t>
      </w:r>
    </w:p>
    <w:p w14:paraId="42B6D851" w14:textId="77777777" w:rsidR="00FA67D3" w:rsidRPr="00FA67D3" w:rsidRDefault="00FA67D3">
      <w:pPr>
        <w:rPr>
          <w:u w:val="single"/>
        </w:rPr>
      </w:pPr>
    </w:p>
    <w:p w14:paraId="67B9F2A5" w14:textId="77777777" w:rsidR="00B37A8A" w:rsidRDefault="00B37A8A" w:rsidP="00B37A8A">
      <w:r>
        <w:t xml:space="preserve">The National Police Chiefs council summarises its plan for 2025 as follows: ‘Continuing work to build a culture which values difference, openness and transparency, underpinned by the shared values and behaviours set out in the Code of Ethics.’ </w:t>
      </w:r>
    </w:p>
    <w:p w14:paraId="2747109C" w14:textId="76C346B1" w:rsidR="00B37A8A" w:rsidRDefault="00B37A8A" w:rsidP="00B37A8A">
      <w:r>
        <w:t xml:space="preserve">NPCC </w:t>
      </w:r>
      <w:r w:rsidR="001F12E9">
        <w:t>‘Policing</w:t>
      </w:r>
      <w:r>
        <w:t xml:space="preserve"> Vision 2025’</w:t>
      </w:r>
    </w:p>
    <w:p w14:paraId="7C5C5288" w14:textId="77777777" w:rsidR="002227D5" w:rsidRDefault="002227D5" w:rsidP="00B37A8A"/>
    <w:p w14:paraId="63DF265E" w14:textId="31DA4EFF" w:rsidR="002227D5" w:rsidRDefault="002227D5" w:rsidP="002227D5">
      <w:r>
        <w:t>In the present and the future, the Competency and Values Framework (CVF) seeks to assist all law enforcement professionals. It lays out behaviours and values that are acknowledged nationwide, which will serve as a constant basis for a variety of local and national procedures. With this structure in place, everyone involved in law enforcement will know exactly what is expected of them, raising the bar for the public's safety and benefit.</w:t>
      </w:r>
    </w:p>
    <w:p w14:paraId="03E5C3A7" w14:textId="1F154DAD" w:rsidR="002227D5" w:rsidRDefault="002227D5" w:rsidP="002227D5">
      <w:r>
        <w:rPr>
          <w:noProof/>
        </w:rPr>
        <mc:AlternateContent>
          <mc:Choice Requires="wps">
            <w:drawing>
              <wp:anchor distT="45720" distB="45720" distL="114300" distR="114300" simplePos="0" relativeHeight="251659264" behindDoc="0" locked="0" layoutInCell="1" allowOverlap="1" wp14:anchorId="2AD517F3" wp14:editId="1E136F66">
                <wp:simplePos x="0" y="0"/>
                <wp:positionH relativeFrom="margin">
                  <wp:posOffset>4181475</wp:posOffset>
                </wp:positionH>
                <wp:positionV relativeFrom="paragraph">
                  <wp:posOffset>398780</wp:posOffset>
                </wp:positionV>
                <wp:extent cx="1536700" cy="1404620"/>
                <wp:effectExtent l="0" t="0" r="2540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6700" cy="1404620"/>
                        </a:xfrm>
                        <a:prstGeom prst="rect">
                          <a:avLst/>
                        </a:prstGeom>
                        <a:solidFill>
                          <a:srgbClr val="FFFFFF"/>
                        </a:solidFill>
                        <a:ln w="9525">
                          <a:solidFill>
                            <a:srgbClr val="000000"/>
                          </a:solidFill>
                          <a:miter lim="800000"/>
                          <a:headEnd/>
                          <a:tailEnd/>
                        </a:ln>
                      </wps:spPr>
                      <wps:txbx>
                        <w:txbxContent>
                          <w:p w14:paraId="58DEA949" w14:textId="3656A922" w:rsidR="002227D5" w:rsidRDefault="002227D5">
                            <w:r w:rsidRPr="002227D5">
                              <w:t>The framework has six competencies that are clustered into three groups. Under each competency are three levels that show what behaviours will look like in practice. All the competencies are underpinned by four values that should support everything we do as a police service</w:t>
                            </w: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AD517F3" id="_x0000_t202" coordsize="21600,21600" o:spt="202" path="m,l,21600r21600,l21600,xe">
                <v:stroke joinstyle="miter"/>
                <v:path gradientshapeok="t" o:connecttype="rect"/>
              </v:shapetype>
              <v:shape id="Text Box 2" o:spid="_x0000_s1026" type="#_x0000_t202" style="position:absolute;margin-left:329.25pt;margin-top:31.4pt;width:121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">
                <v:textbox style="mso-fit-shape-to-text:t">
                  <w:txbxContent>
                    <w:p w14:paraId="58DEA949" w14:textId="3656A922" w:rsidR="002227D5" w:rsidRDefault="002227D5">
                      <w:r w:rsidRPr="002227D5">
                        <w:t>The framework has six competencies that are clustered into three groups. Under each competency are three levels that show what behaviours will look like in practice. All the competencies are underpinned by four values that should support everything we do as a police service</w:t>
                      </w:r>
                      <w:r>
                        <w:t>.</w:t>
                      </w:r>
                    </w:p>
                  </w:txbxContent>
                </v:textbox>
                <w10:wrap type="square" anchorx="margin"/>
              </v:shape>
            </w:pict>
          </mc:Fallback>
        </mc:AlternateContent>
      </w:r>
      <w:r>
        <w:rPr>
          <w:noProof/>
        </w:rPr>
        <w:drawing>
          <wp:inline distT="0" distB="0" distL="0" distR="0" wp14:anchorId="2886E3AB" wp14:editId="77596480">
            <wp:extent cx="3886200" cy="3629025"/>
            <wp:effectExtent l="0" t="0" r="0" b="9525"/>
            <wp:docPr id="1898908018" name="Picture 1" descr="A diagram of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908018" name="Picture 1" descr="A diagram of values&#10;&#10;Description automatically generated"/>
                    <pic:cNvPicPr/>
                  </pic:nvPicPr>
                  <pic:blipFill>
                    <a:blip r:embed="rId14"/>
                    <a:stretch>
                      <a:fillRect/>
                    </a:stretch>
                  </pic:blipFill>
                  <pic:spPr>
                    <a:xfrm>
                      <a:off x="0" y="0"/>
                      <a:ext cx="3886200" cy="3629025"/>
                    </a:xfrm>
                    <a:prstGeom prst="rect">
                      <a:avLst/>
                    </a:prstGeom>
                  </pic:spPr>
                </pic:pic>
              </a:graphicData>
            </a:graphic>
          </wp:inline>
        </w:drawing>
      </w:r>
      <w:r>
        <w:t>(College of policing, 2024)</w:t>
      </w:r>
    </w:p>
    <w:p w14:paraId="635ABD84" w14:textId="77777777" w:rsidR="0005317C" w:rsidRDefault="0005317C" w:rsidP="002227D5"/>
    <w:p w14:paraId="7345EA21" w14:textId="012F96EA" w:rsidR="0005317C" w:rsidRPr="0005317C" w:rsidRDefault="0005317C" w:rsidP="0005317C">
      <w:pPr>
        <w:rPr>
          <w:b/>
          <w:bCs/>
        </w:rPr>
      </w:pPr>
      <w:r w:rsidRPr="0005317C">
        <w:rPr>
          <w:b/>
          <w:bCs/>
        </w:rPr>
        <w:t>Ensuring Police Integrity and Fair Treatment</w:t>
      </w:r>
    </w:p>
    <w:p w14:paraId="5C33F5D6" w14:textId="77777777" w:rsidR="0005317C" w:rsidRDefault="0005317C" w:rsidP="0005317C">
      <w:r>
        <w:lastRenderedPageBreak/>
        <w:t>To ensure police officers act with integrity and treat the public fairly, various mechanisms and regulations have been established in the UK. One significant measure is the Independent Office for Police Conduct (IOPC), which investigates complaints and allegations of misconduct against police officers (IOPC, 2022). Additionally, police forces have codes of conduct and standards of behaviour that officers are expected to adhere to (College of Policing, 2020). These standards emphasize principles such as honesty, fairness, and respect for human rights.</w:t>
      </w:r>
    </w:p>
    <w:p w14:paraId="144A34A3" w14:textId="77777777" w:rsidR="0005317C" w:rsidRDefault="0005317C" w:rsidP="0005317C"/>
    <w:p w14:paraId="4BCAF1BE" w14:textId="1568123E" w:rsidR="00B37A8A" w:rsidRDefault="0005317C">
      <w:r>
        <w:t>Despite these measures, challenges persist in ensuring police accountability and fairness. Instances of police misconduct, including excessive use of force and discriminatory practices, continue to be reported (HMICFRS, 2021). Critics argue that the existing disciplinary processes are often slow, opaque, and may lack sufficient independence. Moreover, the effectiveness of oversight bodies such as the IOPC has been questioned, with concerns raised about their resources and powers.</w:t>
      </w:r>
    </w:p>
    <w:p w14:paraId="48AFAECF" w14:textId="77777777" w:rsidR="0005317C" w:rsidRDefault="0005317C"/>
    <w:p w14:paraId="054A4574" w14:textId="7F41ABC8" w:rsidR="00712B0C" w:rsidRDefault="00712B0C">
      <w:r w:rsidRPr="00712B0C">
        <w:t xml:space="preserve">The foundation of effective police is public confidence. This depends on the police profession acting </w:t>
      </w:r>
      <w:r w:rsidR="0005317C">
        <w:t>ethically and professionally</w:t>
      </w:r>
      <w:r w:rsidRPr="00712B0C">
        <w:t xml:space="preserve"> in terms of how it respects, pays attention to, reacts to, enhances, and assists the public.</w:t>
      </w:r>
    </w:p>
    <w:p w14:paraId="7C97D124" w14:textId="77777777" w:rsidR="0005317C" w:rsidRDefault="0005317C"/>
    <w:p w14:paraId="2E17D38A" w14:textId="33B4FC2E" w:rsidR="00506033" w:rsidRDefault="00506033" w:rsidP="00506033">
      <w:r>
        <w:t>Confidence is described as representing a generalised support for the police as an institution (Cao, 2015), including the views of the whole population, and not just those who come into direct contact with the police (Hohl et al., 2010).</w:t>
      </w:r>
    </w:p>
    <w:p w14:paraId="04EDD2C4" w14:textId="77777777" w:rsidR="0005317C" w:rsidRDefault="0005317C" w:rsidP="00506033"/>
    <w:p w14:paraId="17327CBB" w14:textId="7A3C71F9" w:rsidR="00506033" w:rsidRDefault="00506033" w:rsidP="00506033">
      <w:r>
        <w:t xml:space="preserve">Trust is related to police integrity and compliance with ethical standards (Albrecht, 2019). Expectations of future police encounters are recognised as important when measuring trust (Jackson et al., 2011). Trust in the police is more likely if people feel they will be treated with procedural justice and crime is tackled effectively (Sargeant et al., 2017). A lack of trust and confidence can undermine </w:t>
      </w:r>
      <w:r w:rsidR="0005317C">
        <w:t xml:space="preserve">the </w:t>
      </w:r>
      <w:r>
        <w:t>perceived legitimacy of the police (Hohl et al., 2013).</w:t>
      </w:r>
    </w:p>
    <w:p w14:paraId="5A6EDEE8" w14:textId="77777777" w:rsidR="0005317C" w:rsidRDefault="0005317C" w:rsidP="00506033"/>
    <w:p w14:paraId="2AD2D499" w14:textId="4C6AAE7E" w:rsidR="00506033" w:rsidRDefault="00506033" w:rsidP="00506033">
      <w:r>
        <w:t>Trust includes evaluations and expectations of personal experiences with the local police or individual officers. It has been viewed as being a generator of confidence in future police behaviour. For example, if police behaviour does not meet public expectations, then strong underlying public trust can help sustain public support in their future actions (Skogan, 2009).</w:t>
      </w:r>
    </w:p>
    <w:p w14:paraId="4B6B5DFE" w14:textId="77777777" w:rsidR="0005317C" w:rsidRDefault="0005317C" w:rsidP="00A62E48"/>
    <w:p w14:paraId="13C76F4C" w14:textId="5BFF4D3F" w:rsidR="00A62E48" w:rsidRDefault="00A62E48" w:rsidP="00A62E48">
      <w:r>
        <w:t xml:space="preserve">It makes sense that police would want to wear cameras to record their everyday interactions for investigation purposes. In situations like Michael Brown, Tamir Rice, or George Floyd, perhaps having body cameras record the action would have been beneficial. Although the problem can appear straightforward, it isn't always.  Concerns about how and when to use the video material are inherent to the use of body cams. Should the video footage be released to the public, for instance? </w:t>
      </w:r>
    </w:p>
    <w:p w14:paraId="66F6CB96" w14:textId="77777777" w:rsidR="0005317C" w:rsidRDefault="0005317C" w:rsidP="00A62E48"/>
    <w:p w14:paraId="467CDE67" w14:textId="7F6C4806" w:rsidR="00A62E48" w:rsidRDefault="00A62E48" w:rsidP="00A62E48">
      <w:r w:rsidRPr="00A62E48">
        <w:t xml:space="preserve">One of the most thorough and rigorous examinations of its sort, the Metropolitan Police Department in Washington, D.C., was the subject of a research that concluded that the use of force by officers, </w:t>
      </w:r>
      <w:r w:rsidRPr="00A62E48">
        <w:lastRenderedPageBreak/>
        <w:t>complaints from civilians, the prosecution of cases, and other outcomes were not significantly affected by body cameras. Body cams only slightly decreased complaints from the public and the use of force, according to another research conducted by the Las Vegas Metropolitan Police Department.</w:t>
      </w:r>
    </w:p>
    <w:p w14:paraId="4DE39C05" w14:textId="77777777" w:rsidR="00640EEE" w:rsidRDefault="00640EEE" w:rsidP="00A62E48"/>
    <w:p w14:paraId="4C051A47" w14:textId="3B41398B" w:rsidR="00640EEE" w:rsidRDefault="00640EEE" w:rsidP="00A62E48">
      <w:r>
        <w:t xml:space="preserve">Factors that contribute to officers acting with integrity and </w:t>
      </w:r>
      <w:r w:rsidR="0005317C">
        <w:t>treating</w:t>
      </w:r>
      <w:r>
        <w:t xml:space="preserve"> people fairly and with respect include - </w:t>
      </w:r>
    </w:p>
    <w:p w14:paraId="080A6297" w14:textId="77777777" w:rsidR="00640EEE" w:rsidRDefault="00640EEE" w:rsidP="00A62E48"/>
    <w:p w14:paraId="3DC0ABE7" w14:textId="159B4722" w:rsidR="00723F85" w:rsidRPr="00FF6611" w:rsidRDefault="00723F85">
      <w:pPr>
        <w:rPr>
          <w:b/>
          <w:bCs/>
        </w:rPr>
      </w:pPr>
      <w:r w:rsidRPr="00FF6611">
        <w:rPr>
          <w:b/>
          <w:bCs/>
        </w:rPr>
        <w:t>B</w:t>
      </w:r>
      <w:r w:rsidR="00A62E48" w:rsidRPr="00FF6611">
        <w:rPr>
          <w:b/>
          <w:bCs/>
        </w:rPr>
        <w:t>o</w:t>
      </w:r>
      <w:r w:rsidRPr="00FF6611">
        <w:rPr>
          <w:b/>
          <w:bCs/>
        </w:rPr>
        <w:t>dy camera</w:t>
      </w:r>
    </w:p>
    <w:p w14:paraId="31B5E0D8" w14:textId="5B612713" w:rsidR="00FF6611" w:rsidRDefault="00FF6611">
      <w:pPr>
        <w:rPr>
          <w:rFonts w:ascii="Arial" w:hAnsi="Arial" w:cs="Arial"/>
          <w:color w:val="0B0C0C"/>
          <w:sz w:val="29"/>
          <w:szCs w:val="29"/>
          <w:shd w:val="clear" w:color="auto" w:fill="FFFFFF"/>
        </w:rPr>
      </w:pPr>
      <w:r w:rsidRPr="00FF6611">
        <w:t>Body-worn cameras (BWCs) are recording devices worn by officers. They can collect audio and video data during police encounters with members of the public. Guidance relating to BWC deployment and use differs across forces and jurisdictions. This summary provides a review of the effectiveness of using these devices to reduce crime. Neither review was primarily focused on crime reduction outcomes, with most outcomes measured relating to police processes and activities.</w:t>
      </w:r>
      <w:r>
        <w:t xml:space="preserve"> (College of Policing, 2024)</w:t>
      </w:r>
      <w:r w:rsidR="009F0A25">
        <w:rPr>
          <w:rFonts w:ascii="Arial" w:hAnsi="Arial" w:cs="Arial"/>
          <w:color w:val="0B0C0C"/>
          <w:sz w:val="29"/>
          <w:szCs w:val="29"/>
          <w:shd w:val="clear" w:color="auto" w:fill="FFFFFF"/>
        </w:rPr>
        <w:t>.</w:t>
      </w:r>
      <w:r w:rsidR="009F0A25" w:rsidRPr="009F0A25">
        <w:t xml:space="preserve"> </w:t>
      </w:r>
      <w:r w:rsidR="0005317C">
        <w:rPr>
          <w:rFonts w:cstheme="minorHAnsi"/>
          <w:color w:val="0B0C0C"/>
          <w:shd w:val="clear" w:color="auto" w:fill="FFFFFF"/>
        </w:rPr>
        <w:t>The use</w:t>
      </w:r>
      <w:r w:rsidR="009F0A25" w:rsidRPr="009F0A25">
        <w:rPr>
          <w:rFonts w:cstheme="minorHAnsi"/>
          <w:color w:val="0B0C0C"/>
          <w:shd w:val="clear" w:color="auto" w:fill="FFFFFF"/>
        </w:rPr>
        <w:t xml:space="preserve"> of body-worn cameras (BWCs) has increased in recent years. BWCs are considered an important tool that may improve police-community relations and enhance police legitimacy </w:t>
      </w:r>
      <w:r w:rsidR="0005317C">
        <w:rPr>
          <w:rFonts w:cstheme="minorHAnsi"/>
          <w:color w:val="0B0C0C"/>
          <w:shd w:val="clear" w:color="auto" w:fill="FFFFFF"/>
        </w:rPr>
        <w:t>through</w:t>
      </w:r>
      <w:r w:rsidR="009F0A25" w:rsidRPr="009F0A25">
        <w:rPr>
          <w:rFonts w:cstheme="minorHAnsi"/>
          <w:color w:val="0B0C0C"/>
          <w:shd w:val="clear" w:color="auto" w:fill="FFFFFF"/>
        </w:rPr>
        <w:t xml:space="preserve"> improved transparency and increased trust in the police. In the US, Sousa et al. (2018) examined public perceptions of BWC use and levels of trust in the police. They found that beliefs about the technology increasing transparency, improving police-citizen </w:t>
      </w:r>
      <w:r w:rsidR="0005317C" w:rsidRPr="009F0A25">
        <w:rPr>
          <w:rFonts w:cstheme="minorHAnsi"/>
          <w:color w:val="0B0C0C"/>
          <w:shd w:val="clear" w:color="auto" w:fill="FFFFFF"/>
        </w:rPr>
        <w:t>relations,</w:t>
      </w:r>
      <w:r w:rsidR="009F0A25" w:rsidRPr="009F0A25">
        <w:rPr>
          <w:rFonts w:cstheme="minorHAnsi"/>
          <w:color w:val="0B0C0C"/>
          <w:shd w:val="clear" w:color="auto" w:fill="FFFFFF"/>
        </w:rPr>
        <w:t xml:space="preserve"> and increasing public trust had a significant effect on increasing public support for officers’ use of BWCs</w:t>
      </w:r>
      <w:r w:rsidR="009F0A25" w:rsidRPr="009F0A25">
        <w:rPr>
          <w:rFonts w:ascii="Arial" w:hAnsi="Arial" w:cs="Arial"/>
          <w:color w:val="0B0C0C"/>
          <w:sz w:val="29"/>
          <w:szCs w:val="29"/>
          <w:shd w:val="clear" w:color="auto" w:fill="FFFFFF"/>
        </w:rPr>
        <w:t>.</w:t>
      </w:r>
    </w:p>
    <w:p w14:paraId="5359F002" w14:textId="77777777" w:rsidR="00E21476" w:rsidRDefault="00E21476" w:rsidP="00E21476">
      <w:r>
        <w:t>BWCs record audio and video evidence of events, which is useful for court cases, investigations, and prosecutions. Compared to oral or written reports, this evidence is frequently thought to be more trustworthy and convincing.</w:t>
      </w:r>
    </w:p>
    <w:p w14:paraId="24F08A92" w14:textId="3C596541" w:rsidR="00E21476" w:rsidRDefault="00E21476" w:rsidP="00E21476">
      <w:r>
        <w:t>Research has indicated that the use of BWC footage can improve the calibre of evidence used in court and increase the likelihood of successful convictions (Ariel et al., 2016).</w:t>
      </w:r>
    </w:p>
    <w:p w14:paraId="63AD0164" w14:textId="77777777" w:rsidR="004916B2" w:rsidRDefault="004916B2">
      <w:pPr>
        <w:rPr>
          <w:b/>
          <w:bCs/>
        </w:rPr>
      </w:pPr>
    </w:p>
    <w:p w14:paraId="04CF1332" w14:textId="2331DA65" w:rsidR="002227D5" w:rsidRDefault="00723F85">
      <w:pPr>
        <w:rPr>
          <w:b/>
          <w:bCs/>
        </w:rPr>
      </w:pPr>
      <w:r w:rsidRPr="002227D5">
        <w:rPr>
          <w:b/>
          <w:bCs/>
        </w:rPr>
        <w:t>More open conversation</w:t>
      </w:r>
      <w:r w:rsidR="00AF69C3">
        <w:rPr>
          <w:b/>
          <w:bCs/>
        </w:rPr>
        <w:t>.</w:t>
      </w:r>
      <w:r w:rsidR="002227D5" w:rsidRPr="002227D5">
        <w:rPr>
          <w:b/>
          <w:bCs/>
        </w:rPr>
        <w:t xml:space="preserve"> </w:t>
      </w:r>
    </w:p>
    <w:p w14:paraId="5E25C4E1" w14:textId="332688E4" w:rsidR="00723F85" w:rsidRDefault="002227D5">
      <w:r>
        <w:t xml:space="preserve">Due to the policies and procedures that are now in place within organisations. Conversations are more open in relation to daily topics. Officers are receiving the required training to deal with various scenarios, weather within the organisation or outside. </w:t>
      </w:r>
      <w:r w:rsidR="004916B2">
        <w:t xml:space="preserve">These are also done through </w:t>
      </w:r>
      <w:r w:rsidR="0005317C">
        <w:t>social</w:t>
      </w:r>
      <w:r w:rsidR="004916B2">
        <w:t xml:space="preserve"> media, complaints procedures from the public, </w:t>
      </w:r>
      <w:r w:rsidR="0005317C">
        <w:t xml:space="preserve">and </w:t>
      </w:r>
      <w:r w:rsidR="004916B2">
        <w:t xml:space="preserve">more visible officers such as PCSO’s and Neighbourhood police. </w:t>
      </w:r>
    </w:p>
    <w:p w14:paraId="4400086C" w14:textId="77777777" w:rsidR="00640EEE" w:rsidRDefault="00640EEE">
      <w:pPr>
        <w:rPr>
          <w:b/>
          <w:bCs/>
        </w:rPr>
      </w:pPr>
    </w:p>
    <w:p w14:paraId="26A3AEC8" w14:textId="2AC002A2" w:rsidR="00640EEE" w:rsidRDefault="00723F85">
      <w:pPr>
        <w:rPr>
          <w:b/>
          <w:bCs/>
        </w:rPr>
      </w:pPr>
      <w:r w:rsidRPr="002227D5">
        <w:rPr>
          <w:b/>
          <w:bCs/>
        </w:rPr>
        <w:t>Highlighted behaviour</w:t>
      </w:r>
      <w:r w:rsidR="00AF69C3">
        <w:rPr>
          <w:b/>
          <w:bCs/>
        </w:rPr>
        <w:t>.</w:t>
      </w:r>
    </w:p>
    <w:p w14:paraId="4CEBDE02" w14:textId="6D189F9A" w:rsidR="004916B2" w:rsidRDefault="00640EEE">
      <w:pPr>
        <w:rPr>
          <w:b/>
          <w:bCs/>
        </w:rPr>
      </w:pPr>
      <w:r w:rsidRPr="00640EEE">
        <w:t>Challenging and Reporting Improper Conduct: Police officers report or challenge violations of this code as well as improper behaviour by their peers, taking appropriate action where necessary</w:t>
      </w:r>
      <w:r w:rsidRPr="00640EEE">
        <w:rPr>
          <w:b/>
          <w:bCs/>
        </w:rPr>
        <w:t>.</w:t>
      </w:r>
    </w:p>
    <w:p w14:paraId="0DE699DE" w14:textId="77777777" w:rsidR="004916B2" w:rsidRPr="002227D5" w:rsidRDefault="004916B2">
      <w:pPr>
        <w:rPr>
          <w:b/>
          <w:bCs/>
        </w:rPr>
      </w:pPr>
    </w:p>
    <w:p w14:paraId="283277B2" w14:textId="77777777" w:rsidR="008D03F4" w:rsidRDefault="008D03F4" w:rsidP="00AF69C3">
      <w:pPr>
        <w:rPr>
          <w:b/>
          <w:bCs/>
        </w:rPr>
      </w:pPr>
    </w:p>
    <w:p w14:paraId="6EA3FD03" w14:textId="77777777" w:rsidR="008D03F4" w:rsidRDefault="008D03F4" w:rsidP="00AF69C3">
      <w:pPr>
        <w:rPr>
          <w:b/>
          <w:bCs/>
        </w:rPr>
      </w:pPr>
    </w:p>
    <w:p w14:paraId="7AC8F9B2" w14:textId="3326B2BE" w:rsidR="00974B44" w:rsidRPr="0005317C" w:rsidRDefault="00AF69C3" w:rsidP="00AF69C3">
      <w:pPr>
        <w:rPr>
          <w:b/>
          <w:bCs/>
        </w:rPr>
      </w:pPr>
      <w:r w:rsidRPr="00AF69C3">
        <w:rPr>
          <w:b/>
          <w:bCs/>
        </w:rPr>
        <w:lastRenderedPageBreak/>
        <w:t>CONCLUSION</w:t>
      </w:r>
    </w:p>
    <w:p w14:paraId="7FF44DF2" w14:textId="40465A17" w:rsidR="00974B44" w:rsidRDefault="00974B44" w:rsidP="00974B44">
      <w:r>
        <w:t>In conclusion, while measures have been implemented to ensure police integrity and fair treatment of the public in the UK, challenges remain in achieving these objectives effectively. Enhancing accountability and transparency within police forces, alongside strengthening oversight mechanisms such as the IOPC, is essential to address instances of misconduct and uphold public trust.</w:t>
      </w:r>
    </w:p>
    <w:p w14:paraId="5A5F485B" w14:textId="626E7ABA" w:rsidR="00974B44" w:rsidRDefault="00974B44" w:rsidP="00974B44">
      <w:r>
        <w:t xml:space="preserve">Moreover, partnership working represents a promising strategy for improving community engagement with the police in the UK. By fostering collaboration and communication between the police and communities, partnerships can contribute to safer, more cohesive neighbourhoods where the rights and dignity of all individuals are respected. As we strive for a more just and equitable society, the promotion of integrity within </w:t>
      </w:r>
      <w:r w:rsidR="0005317C">
        <w:t xml:space="preserve">policing </w:t>
      </w:r>
      <w:r>
        <w:t>and meaningful engagement with communities must remain central priorities.</w:t>
      </w:r>
    </w:p>
    <w:p w14:paraId="1467A640" w14:textId="77777777" w:rsidR="00974B44" w:rsidRDefault="00974B44" w:rsidP="00974B44"/>
    <w:p w14:paraId="66EEBF5D" w14:textId="77777777" w:rsidR="00974B44" w:rsidRDefault="00974B44" w:rsidP="00AF69C3"/>
    <w:p w14:paraId="5C8329C9" w14:textId="1CDD3667" w:rsidR="00AF69C3" w:rsidRDefault="00974B44" w:rsidP="00AF69C3">
      <w:r>
        <w:t>WORD COUNT - 11</w:t>
      </w:r>
      <w:r w:rsidR="00E21476">
        <w:t>77</w:t>
      </w:r>
    </w:p>
    <w:p w14:paraId="1AC97EA6" w14:textId="77777777" w:rsidR="00AF69C3" w:rsidRPr="00AF69C3" w:rsidRDefault="00AF69C3" w:rsidP="00AF69C3"/>
    <w:p w14:paraId="2C634749" w14:textId="58648398" w:rsidR="00AF69C3" w:rsidRDefault="00AF69C3"/>
    <w:p w14:paraId="5502C614" w14:textId="77777777" w:rsidR="00974B44" w:rsidRDefault="00974B44" w:rsidP="00974B44">
      <w:pPr>
        <w:ind w:left="360"/>
      </w:pPr>
    </w:p>
    <w:p w14:paraId="5ED37081" w14:textId="77777777" w:rsidR="00F65BED" w:rsidRDefault="00F65BED" w:rsidP="00974B44">
      <w:pPr>
        <w:ind w:left="360"/>
      </w:pPr>
    </w:p>
    <w:p w14:paraId="5B0349B1" w14:textId="77777777" w:rsidR="00F65BED" w:rsidRDefault="00F65BED" w:rsidP="00974B44">
      <w:pPr>
        <w:ind w:left="360"/>
      </w:pPr>
    </w:p>
    <w:p w14:paraId="2955F08C" w14:textId="77777777" w:rsidR="00F65BED" w:rsidRDefault="00F65BED" w:rsidP="00974B44">
      <w:pPr>
        <w:ind w:left="360"/>
      </w:pPr>
    </w:p>
    <w:p w14:paraId="6E828783" w14:textId="77777777" w:rsidR="00F65BED" w:rsidRDefault="00F65BED" w:rsidP="00974B44">
      <w:pPr>
        <w:ind w:left="360"/>
      </w:pPr>
    </w:p>
    <w:p w14:paraId="285AC1C6" w14:textId="77777777" w:rsidR="00F65BED" w:rsidRDefault="00F65BED" w:rsidP="00974B44">
      <w:pPr>
        <w:ind w:left="360"/>
      </w:pPr>
    </w:p>
    <w:p w14:paraId="729B907A" w14:textId="77777777" w:rsidR="00F65BED" w:rsidRDefault="00F65BED" w:rsidP="00974B44">
      <w:pPr>
        <w:ind w:left="360"/>
      </w:pPr>
    </w:p>
    <w:p w14:paraId="5CDC1E4B" w14:textId="77777777" w:rsidR="00F65BED" w:rsidRDefault="00F65BED" w:rsidP="00974B44">
      <w:pPr>
        <w:ind w:left="360"/>
      </w:pPr>
    </w:p>
    <w:p w14:paraId="56338422" w14:textId="77777777" w:rsidR="00F65BED" w:rsidRDefault="00F65BED" w:rsidP="00974B44">
      <w:pPr>
        <w:ind w:left="360"/>
      </w:pPr>
    </w:p>
    <w:p w14:paraId="4F2F032B" w14:textId="77777777" w:rsidR="00F65BED" w:rsidRDefault="00F65BED" w:rsidP="00974B44">
      <w:pPr>
        <w:ind w:left="360"/>
      </w:pPr>
    </w:p>
    <w:p w14:paraId="6D183264" w14:textId="77777777" w:rsidR="00F65BED" w:rsidRDefault="00F65BED" w:rsidP="00974B44">
      <w:pPr>
        <w:ind w:left="360"/>
      </w:pPr>
    </w:p>
    <w:p w14:paraId="6A2214AD" w14:textId="77777777" w:rsidR="00F65BED" w:rsidRDefault="00F65BED" w:rsidP="00974B44">
      <w:pPr>
        <w:ind w:left="360"/>
      </w:pPr>
    </w:p>
    <w:p w14:paraId="28093B5B" w14:textId="77777777" w:rsidR="00F65BED" w:rsidRDefault="00F65BED" w:rsidP="00974B44">
      <w:pPr>
        <w:ind w:left="360"/>
      </w:pPr>
    </w:p>
    <w:p w14:paraId="22C3393E" w14:textId="77777777" w:rsidR="00F65BED" w:rsidRDefault="00F65BED" w:rsidP="00974B44">
      <w:pPr>
        <w:ind w:left="360"/>
      </w:pPr>
    </w:p>
    <w:p w14:paraId="2D22CA3F" w14:textId="77777777" w:rsidR="00F65BED" w:rsidRDefault="00F65BED" w:rsidP="00974B44">
      <w:pPr>
        <w:ind w:left="360"/>
      </w:pPr>
    </w:p>
    <w:p w14:paraId="13603365" w14:textId="77777777" w:rsidR="00F65BED" w:rsidRDefault="00F65BED" w:rsidP="00974B44">
      <w:pPr>
        <w:ind w:left="360"/>
      </w:pPr>
    </w:p>
    <w:p w14:paraId="63087F6A" w14:textId="77777777" w:rsidR="00F65BED" w:rsidRDefault="00F65BED" w:rsidP="00974B44">
      <w:pPr>
        <w:ind w:left="360"/>
      </w:pPr>
    </w:p>
    <w:p w14:paraId="04FD3BAD" w14:textId="77777777" w:rsidR="00F65BED" w:rsidRDefault="00F65BED" w:rsidP="00974B44">
      <w:pPr>
        <w:ind w:left="360"/>
      </w:pPr>
    </w:p>
    <w:p w14:paraId="1C54CA07" w14:textId="77777777" w:rsidR="00F65BED" w:rsidRPr="00F65BED" w:rsidRDefault="00F65BED" w:rsidP="00974B44">
      <w:pPr>
        <w:ind w:left="360"/>
        <w:rPr>
          <w:b/>
          <w:bCs/>
        </w:rPr>
      </w:pPr>
      <w:r w:rsidRPr="00F65BED">
        <w:rPr>
          <w:b/>
          <w:bCs/>
        </w:rPr>
        <w:lastRenderedPageBreak/>
        <w:t>Essay two:</w:t>
      </w:r>
    </w:p>
    <w:p w14:paraId="1E8D7582" w14:textId="0E9190D7" w:rsidR="00F65BED" w:rsidRDefault="00F65BED" w:rsidP="00974B44">
      <w:pPr>
        <w:ind w:left="360"/>
        <w:rPr>
          <w:b/>
          <w:bCs/>
        </w:rPr>
      </w:pPr>
      <w:r w:rsidRPr="00F65BED">
        <w:rPr>
          <w:b/>
          <w:bCs/>
        </w:rPr>
        <w:t xml:space="preserve">Community policing – Why is partnership the most effective strategy for improving community engagement? • Information and intelligence – </w:t>
      </w:r>
    </w:p>
    <w:p w14:paraId="7D918D8E" w14:textId="77777777" w:rsidR="00F65BED" w:rsidRDefault="00F65BED" w:rsidP="00974B44">
      <w:pPr>
        <w:ind w:left="360"/>
        <w:rPr>
          <w:b/>
          <w:bCs/>
        </w:rPr>
      </w:pPr>
    </w:p>
    <w:p w14:paraId="7A8FC707" w14:textId="77777777" w:rsidR="00F65BED" w:rsidRPr="00F65BED" w:rsidRDefault="00F65BED" w:rsidP="00F65BED">
      <w:pPr>
        <w:ind w:left="360"/>
        <w:rPr>
          <w:b/>
          <w:bCs/>
        </w:rPr>
      </w:pPr>
      <w:r w:rsidRPr="00F65BED">
        <w:rPr>
          <w:b/>
          <w:bCs/>
        </w:rPr>
        <w:t>Introduction</w:t>
      </w:r>
    </w:p>
    <w:p w14:paraId="78D35E90" w14:textId="77777777" w:rsidR="00F65BED" w:rsidRPr="00F65BED" w:rsidRDefault="00F65BED" w:rsidP="00F65BED">
      <w:pPr>
        <w:ind w:left="360"/>
      </w:pPr>
      <w:r w:rsidRPr="00F65BED">
        <w:t>Community engagement is a fundamental aspect of modern policing, aiming to foster trust, cooperation, and collaboration between law enforcement agencies and the communities they serve. In the United Kingdom (UK), the significance of community engagement in policing has been increasingly recognized, especially in addressing issues such as crime prevention, public safety, and community cohesion. One of the most effective strategies employed by UK police forces to enhance the community.</w:t>
      </w:r>
    </w:p>
    <w:p w14:paraId="5FDFA070" w14:textId="77777777" w:rsidR="00F65BED" w:rsidRPr="00F65BED" w:rsidRDefault="00F65BED" w:rsidP="00F65BED">
      <w:pPr>
        <w:ind w:left="360"/>
        <w:rPr>
          <w:b/>
          <w:bCs/>
        </w:rPr>
      </w:pPr>
    </w:p>
    <w:p w14:paraId="211AD8B5" w14:textId="77777777" w:rsidR="00F65BED" w:rsidRPr="00F65BED" w:rsidRDefault="00F65BED" w:rsidP="00F65BED">
      <w:pPr>
        <w:ind w:left="360"/>
        <w:rPr>
          <w:b/>
          <w:bCs/>
        </w:rPr>
      </w:pPr>
      <w:r w:rsidRPr="00F65BED">
        <w:rPr>
          <w:b/>
          <w:bCs/>
        </w:rPr>
        <w:t xml:space="preserve">Importance of Community Engagement in Policing: </w:t>
      </w:r>
    </w:p>
    <w:p w14:paraId="1DF86070" w14:textId="77777777" w:rsidR="00F65BED" w:rsidRPr="00F65BED" w:rsidRDefault="00F65BED" w:rsidP="00F65BED">
      <w:pPr>
        <w:ind w:left="360"/>
        <w:rPr>
          <w:b/>
          <w:bCs/>
        </w:rPr>
      </w:pPr>
    </w:p>
    <w:p w14:paraId="5C986381" w14:textId="5001A25C" w:rsidR="00F65BED" w:rsidRPr="00F65BED" w:rsidRDefault="00F65BED" w:rsidP="00F65BED">
      <w:pPr>
        <w:ind w:left="360"/>
      </w:pPr>
      <w:r w:rsidRPr="00F65BED">
        <w:t xml:space="preserve">Community engagement in policing refers to the active involvement of local communities in identifying and solving problems related to crime, disorder, and public safety. It entails building positive relationships, mutual trust, and collaboration between police officers and community members. Effective community engagement not only leads to a safer and more secure environment but also promotes social inclusion reduces fear of crime and enhances the legitimacy of law enforcement agencies. </w:t>
      </w:r>
    </w:p>
    <w:p w14:paraId="5D2E3C41" w14:textId="77777777" w:rsidR="00F65BED" w:rsidRPr="00F65BED" w:rsidRDefault="00F65BED" w:rsidP="00F65BED">
      <w:pPr>
        <w:ind w:left="360"/>
        <w:rPr>
          <w:b/>
          <w:bCs/>
        </w:rPr>
      </w:pPr>
    </w:p>
    <w:p w14:paraId="51CA7522" w14:textId="77777777" w:rsidR="00F65BED" w:rsidRPr="00F65BED" w:rsidRDefault="00F65BED" w:rsidP="00F65BED">
      <w:pPr>
        <w:ind w:left="360"/>
        <w:rPr>
          <w:b/>
          <w:bCs/>
        </w:rPr>
      </w:pPr>
    </w:p>
    <w:p w14:paraId="199EE527" w14:textId="3282071B" w:rsidR="00F65BED" w:rsidRPr="00F65BED" w:rsidRDefault="00F65BED" w:rsidP="00F65BED">
      <w:pPr>
        <w:ind w:left="360"/>
        <w:rPr>
          <w:b/>
          <w:bCs/>
        </w:rPr>
      </w:pPr>
      <w:r w:rsidRPr="00F65BED">
        <w:rPr>
          <w:b/>
          <w:bCs/>
        </w:rPr>
        <w:t>Reasons for the Effectiveness of Partnership Strategies:</w:t>
      </w:r>
    </w:p>
    <w:p w14:paraId="7FC9BCB7" w14:textId="77777777" w:rsidR="00F65BED" w:rsidRPr="00F65BED" w:rsidRDefault="00F65BED" w:rsidP="00F65BED">
      <w:pPr>
        <w:ind w:left="360"/>
      </w:pPr>
      <w:r w:rsidRPr="00F65BED">
        <w:t>Several factors contribute to the effectiveness of partnership strategies in improving community engagement within the UK police force:</w:t>
      </w:r>
    </w:p>
    <w:p w14:paraId="7959B77B" w14:textId="77777777" w:rsidR="00F65BED" w:rsidRPr="00F65BED" w:rsidRDefault="00F65BED" w:rsidP="00F65BED">
      <w:pPr>
        <w:ind w:left="360"/>
        <w:rPr>
          <w:b/>
          <w:bCs/>
        </w:rPr>
      </w:pPr>
    </w:p>
    <w:p w14:paraId="01E0E565" w14:textId="77777777" w:rsidR="00F65BED" w:rsidRPr="00F65BED" w:rsidRDefault="00F65BED" w:rsidP="00F65BED">
      <w:pPr>
        <w:ind w:left="360"/>
      </w:pPr>
      <w:r w:rsidRPr="00F65BED">
        <w:rPr>
          <w:b/>
          <w:bCs/>
        </w:rPr>
        <w:t xml:space="preserve">Trust and Credibility: </w:t>
      </w:r>
      <w:r w:rsidRPr="00F65BED">
        <w:t>Partnership working helps build trust and credibility between police officers and community members. By collaborating with local stakeholders, police forces demonstrate their commitment to listening to the concerns of the community and addressing them in a transparent and accountable manner. This trust is essential for fostering cooperation, sharing information, and mobilizing community resources to tackle crime and disorder effectively.</w:t>
      </w:r>
    </w:p>
    <w:p w14:paraId="2BCD02F9" w14:textId="77777777" w:rsidR="00F65BED" w:rsidRPr="00F65BED" w:rsidRDefault="00F65BED" w:rsidP="00F65BED">
      <w:pPr>
        <w:ind w:left="360"/>
        <w:rPr>
          <w:b/>
          <w:bCs/>
        </w:rPr>
      </w:pPr>
    </w:p>
    <w:p w14:paraId="72F7D589" w14:textId="77777777" w:rsidR="00F65BED" w:rsidRPr="00F65BED" w:rsidRDefault="00F65BED" w:rsidP="00F65BED">
      <w:pPr>
        <w:ind w:left="360"/>
        <w:rPr>
          <w:b/>
          <w:bCs/>
        </w:rPr>
      </w:pPr>
      <w:r w:rsidRPr="00F65BED">
        <w:rPr>
          <w:b/>
          <w:bCs/>
        </w:rPr>
        <w:t xml:space="preserve">Local Knowledge and Expertise: </w:t>
      </w:r>
      <w:r w:rsidRPr="00F65BED">
        <w:t>Community partners possess invaluable local knowledge, expertise, and networks that can enhance the effectiveness of policing efforts. They understand the social dynamics, cultural nuances, and emerging issues within their communities, which may not be readily apparent to external agencies. By engaging with community partners, police officers gain access to vital intelligence, insights, and resources that can inform decision-making and improve the relevance and impact of their interventions.</w:t>
      </w:r>
    </w:p>
    <w:p w14:paraId="28C7D9C3" w14:textId="77777777" w:rsidR="00F65BED" w:rsidRPr="00F65BED" w:rsidRDefault="00F65BED" w:rsidP="00F65BED">
      <w:pPr>
        <w:ind w:left="360"/>
        <w:rPr>
          <w:b/>
          <w:bCs/>
        </w:rPr>
      </w:pPr>
    </w:p>
    <w:p w14:paraId="15F9E463" w14:textId="77777777" w:rsidR="00F65BED" w:rsidRPr="00F65BED" w:rsidRDefault="00F65BED" w:rsidP="00F65BED">
      <w:pPr>
        <w:ind w:left="360"/>
      </w:pPr>
      <w:r w:rsidRPr="00F65BED">
        <w:rPr>
          <w:b/>
          <w:bCs/>
        </w:rPr>
        <w:t xml:space="preserve">Proactive Problem-Solving: </w:t>
      </w:r>
      <w:r w:rsidRPr="00F65BED">
        <w:t>Instead of only responding to incidents as they happen, partnership working promotes a proactive and problem-solving approach to policing, emphasising preventing crime and addressing underlying risk factors. Police departments can spot new patterns, foresee future issues, and create focused plans to reduce risks and vulnerabilities in the community by working with community partners. This proactive approach not only improves public safety but also gives neighbourhood members a sense of empowerment and responsibility.</w:t>
      </w:r>
    </w:p>
    <w:p w14:paraId="2EBB5593" w14:textId="77777777" w:rsidR="00F65BED" w:rsidRPr="00F65BED" w:rsidRDefault="00F65BED" w:rsidP="00F65BED">
      <w:pPr>
        <w:ind w:left="360"/>
        <w:rPr>
          <w:b/>
          <w:bCs/>
        </w:rPr>
      </w:pPr>
    </w:p>
    <w:p w14:paraId="63CEB74D" w14:textId="77777777" w:rsidR="00F65BED" w:rsidRPr="00F65BED" w:rsidRDefault="00F65BED" w:rsidP="00F65BED">
      <w:pPr>
        <w:ind w:left="360"/>
      </w:pPr>
      <w:r w:rsidRPr="00F65BED">
        <w:rPr>
          <w:b/>
          <w:bCs/>
        </w:rPr>
        <w:t xml:space="preserve">Enhanced Service Delivery: </w:t>
      </w:r>
      <w:r w:rsidRPr="00F65BED">
        <w:t>Partnership working enables police forces to deliver more responsive, accessible, and culturally sensitive services that meet the diverse needs of their communities. By working closely with community partners, police officers can co-design and co-deliver initiatives that are tailored to the specific needs, preferences, and priorities of different groups within the community. This approach ensures that policing interventions are inclusive, equitable, and effective in addressing the root causes of crime and social disorder.</w:t>
      </w:r>
    </w:p>
    <w:p w14:paraId="0C5AE915" w14:textId="77777777" w:rsidR="00F65BED" w:rsidRPr="00F65BED" w:rsidRDefault="00F65BED" w:rsidP="00F65BED">
      <w:pPr>
        <w:ind w:left="360"/>
        <w:rPr>
          <w:b/>
          <w:bCs/>
        </w:rPr>
      </w:pPr>
    </w:p>
    <w:p w14:paraId="16AC7185" w14:textId="77777777" w:rsidR="00F65BED" w:rsidRPr="00F65BED" w:rsidRDefault="00F65BED" w:rsidP="00F65BED">
      <w:pPr>
        <w:ind w:left="360"/>
      </w:pPr>
      <w:r w:rsidRPr="00F65BED">
        <w:rPr>
          <w:b/>
          <w:bCs/>
        </w:rPr>
        <w:t xml:space="preserve">Strengthened Community Resilience: </w:t>
      </w:r>
      <w:r w:rsidRPr="00F65BED">
        <w:t>Partnership working contributes to building resilient communities that are better equipped to prevent and respond to crime, emergencies, and other challenges. By fostering collaboration and mutual support among diverse stakeholders, police forces help strengthen social cohesion, civic engagement, and community resilience. This collective resilience enables communities to withstand external shocks, overcome adversity, and bounce back stronger from crises, thereby enhancing their overall well-being and quality of life.</w:t>
      </w:r>
    </w:p>
    <w:p w14:paraId="708BB934" w14:textId="77777777" w:rsidR="00F65BED" w:rsidRPr="00F65BED" w:rsidRDefault="00F65BED" w:rsidP="00F65BED">
      <w:pPr>
        <w:ind w:left="360"/>
        <w:rPr>
          <w:b/>
          <w:bCs/>
        </w:rPr>
      </w:pPr>
    </w:p>
    <w:p w14:paraId="3B4D0171" w14:textId="77777777" w:rsidR="00F65BED" w:rsidRPr="00F65BED" w:rsidRDefault="00F65BED" w:rsidP="00F65BED">
      <w:pPr>
        <w:ind w:left="360"/>
      </w:pPr>
      <w:r w:rsidRPr="00F65BED">
        <w:rPr>
          <w:b/>
          <w:bCs/>
        </w:rPr>
        <w:t xml:space="preserve">Promoting Problem-Oriented Policing: </w:t>
      </w:r>
      <w:r w:rsidRPr="00F65BED">
        <w:t>The ideas of problem-oriented policing, which emphasize proactive problem-solving and customized interventions to address root causes of crime and disturbance, are in line with partnership tactics (Eck &amp; Spelman, 1987). The police can detect and evaluate recurrent problems, such as antisocial behaviour, drug-related crime, or juvenile violence, by working with the community. Then, they can create focused mitigation plans. Communities that use this problem-solving strategy feel more empowered and take ownership of the solutions to their problems since they are actively involved in creating those answers.</w:t>
      </w:r>
    </w:p>
    <w:p w14:paraId="143D2824" w14:textId="77777777" w:rsidR="00F65BED" w:rsidRPr="00F65BED" w:rsidRDefault="00F65BED" w:rsidP="00F65BED">
      <w:pPr>
        <w:ind w:left="360"/>
        <w:rPr>
          <w:b/>
          <w:bCs/>
        </w:rPr>
      </w:pPr>
    </w:p>
    <w:p w14:paraId="0939A9A0" w14:textId="77777777" w:rsidR="00F65BED" w:rsidRPr="00F65BED" w:rsidRDefault="00F65BED" w:rsidP="00F65BED">
      <w:pPr>
        <w:ind w:left="360"/>
      </w:pPr>
      <w:r w:rsidRPr="00F65BED">
        <w:rPr>
          <w:b/>
          <w:bCs/>
        </w:rPr>
        <w:t xml:space="preserve">Enhancing Public Safety and Well-being: </w:t>
      </w:r>
      <w:r w:rsidRPr="00F65BED">
        <w:t>Ultimately, partnership strategies contribute to enhancing public safety and well-being by fostering resilient and cohesive communities. Research demonstrates that effective partnerships between the police and communities can lead to reductions in crime rates, increased feelings of safety, and improved quality of life for residents (Skogan &amp; Hartnett, 1997). By working collaboratively to address the root causes of crime and disorder, law enforcement agencies and community stakeholders can create safer environments where individuals can thrive and prosper.</w:t>
      </w:r>
    </w:p>
    <w:p w14:paraId="042D099D" w14:textId="77777777" w:rsidR="00F65BED" w:rsidRPr="00F65BED" w:rsidRDefault="00F65BED" w:rsidP="00F65BED">
      <w:pPr>
        <w:ind w:left="360"/>
        <w:rPr>
          <w:b/>
          <w:bCs/>
        </w:rPr>
      </w:pPr>
    </w:p>
    <w:p w14:paraId="4ED67F23" w14:textId="77777777" w:rsidR="00F65BED" w:rsidRPr="00F65BED" w:rsidRDefault="00F65BED" w:rsidP="00F65BED">
      <w:pPr>
        <w:ind w:left="360"/>
        <w:rPr>
          <w:b/>
          <w:bCs/>
        </w:rPr>
      </w:pPr>
    </w:p>
    <w:p w14:paraId="15D836E9" w14:textId="77777777" w:rsidR="00F65BED" w:rsidRPr="00F65BED" w:rsidRDefault="00F65BED" w:rsidP="00F65BED">
      <w:pPr>
        <w:ind w:left="360"/>
        <w:rPr>
          <w:b/>
          <w:bCs/>
        </w:rPr>
      </w:pPr>
    </w:p>
    <w:p w14:paraId="5139111B" w14:textId="77777777" w:rsidR="00F65BED" w:rsidRDefault="00F65BED" w:rsidP="00F65BED">
      <w:pPr>
        <w:ind w:left="360"/>
        <w:rPr>
          <w:b/>
          <w:bCs/>
        </w:rPr>
      </w:pPr>
    </w:p>
    <w:p w14:paraId="22BF5047" w14:textId="415767E2" w:rsidR="00F65BED" w:rsidRPr="00F65BED" w:rsidRDefault="00F65BED" w:rsidP="00F65BED">
      <w:pPr>
        <w:ind w:left="360"/>
        <w:rPr>
          <w:b/>
          <w:bCs/>
        </w:rPr>
      </w:pPr>
      <w:r w:rsidRPr="00F65BED">
        <w:rPr>
          <w:b/>
          <w:bCs/>
        </w:rPr>
        <w:lastRenderedPageBreak/>
        <w:t xml:space="preserve">Case Studies and Examples: </w:t>
      </w:r>
    </w:p>
    <w:p w14:paraId="20778026" w14:textId="77777777" w:rsidR="00F65BED" w:rsidRPr="00F65BED" w:rsidRDefault="00F65BED" w:rsidP="00F65BED">
      <w:pPr>
        <w:ind w:left="360"/>
        <w:rPr>
          <w:b/>
          <w:bCs/>
        </w:rPr>
      </w:pPr>
    </w:p>
    <w:p w14:paraId="237BE8CE" w14:textId="77777777" w:rsidR="00F65BED" w:rsidRPr="00F65BED" w:rsidRDefault="00F65BED" w:rsidP="00F65BED">
      <w:pPr>
        <w:ind w:left="360"/>
      </w:pPr>
      <w:r w:rsidRPr="00F65BED">
        <w:t xml:space="preserve">The success of partnership tactics in enhancing community participation within the UK police force is demonstrated by many cases. To address specific issues like anti-social behaviour, domestic violence, and youth crime, for example, police officers, local authorities, voluntary organisations, and residents have successfully collaborated through initiatives like Neighbourhood Policing Teams, Community Safety Partnerships, and Multi-Agency Safeguarding Hubs. In various urban and rural locations across the UK, these partnerships have improved community resilience, decreased crime rates, and raised public trust in law enforcement. </w:t>
      </w:r>
    </w:p>
    <w:p w14:paraId="639EE6BF" w14:textId="77777777" w:rsidR="00F65BED" w:rsidRPr="00F65BED" w:rsidRDefault="00F65BED" w:rsidP="00F65BED">
      <w:pPr>
        <w:ind w:left="360"/>
      </w:pPr>
      <w:r w:rsidRPr="00F65BED">
        <w:t>The Community Safety Partnership model, which brings together police, local authorities, voluntary organisations, and residents to tackle crime and disorder, has been successful in reducing antisocial behaviour and improving perceptions of safety in various communities across the UK (Home Office, 2009).</w:t>
      </w:r>
    </w:p>
    <w:p w14:paraId="62072B44" w14:textId="77777777" w:rsidR="00F65BED" w:rsidRPr="00F65BED" w:rsidRDefault="00F65BED" w:rsidP="00F65BED">
      <w:pPr>
        <w:ind w:left="360"/>
        <w:rPr>
          <w:b/>
          <w:bCs/>
        </w:rPr>
      </w:pPr>
    </w:p>
    <w:p w14:paraId="4813AF89" w14:textId="77777777" w:rsidR="00F65BED" w:rsidRPr="00F65BED" w:rsidRDefault="00F65BED" w:rsidP="00F65BED">
      <w:pPr>
        <w:ind w:left="360"/>
        <w:rPr>
          <w:b/>
          <w:bCs/>
        </w:rPr>
      </w:pPr>
      <w:r w:rsidRPr="00F65BED">
        <w:rPr>
          <w:b/>
          <w:bCs/>
        </w:rPr>
        <w:t>Conclusion</w:t>
      </w:r>
    </w:p>
    <w:p w14:paraId="364200D3" w14:textId="77777777" w:rsidR="00F65BED" w:rsidRPr="00F65BED" w:rsidRDefault="00F65BED" w:rsidP="00F65BED">
      <w:pPr>
        <w:ind w:left="360"/>
        <w:rPr>
          <w:b/>
          <w:bCs/>
        </w:rPr>
      </w:pPr>
    </w:p>
    <w:p w14:paraId="1D266144" w14:textId="77777777" w:rsidR="00F65BED" w:rsidRPr="00F65BED" w:rsidRDefault="00F65BED" w:rsidP="00F65BED">
      <w:pPr>
        <w:ind w:left="360"/>
      </w:pPr>
      <w:r w:rsidRPr="00F65BED">
        <w:t>In conclusion, partnership working is widely recognized as the most effective strategy for improving community engagement within the UK police force. By collaborating with local stakeholders, police forces can build trust, leverage local knowledge, promote proactive problem-solving, enhance service delivery, and strengthen community resilience. These partnerships enable police officers to work more effectively with communities to prevent crime, address social disorder, and improve public safety. Moving forward, it is essential for police forces to continue investing in partnership working and actively involve communities in shaping the future of policing in the UK.</w:t>
      </w:r>
    </w:p>
    <w:p w14:paraId="4C61647B" w14:textId="77777777" w:rsidR="00F65BED" w:rsidRPr="00F65BED" w:rsidRDefault="00F65BED" w:rsidP="00974B44">
      <w:pPr>
        <w:ind w:left="360"/>
        <w:rPr>
          <w:b/>
          <w:bCs/>
        </w:rPr>
      </w:pPr>
    </w:p>
    <w:p w14:paraId="373DFEBB" w14:textId="130097F5" w:rsidR="00640EEE" w:rsidRDefault="00F65BED" w:rsidP="00F65BED">
      <w:r>
        <w:t>WORD COUNT – 912</w:t>
      </w:r>
    </w:p>
    <w:p w14:paraId="2AD67542" w14:textId="77777777" w:rsidR="00F65BED" w:rsidRDefault="00F65BED" w:rsidP="00F65BED"/>
    <w:p w14:paraId="553F058B" w14:textId="77777777" w:rsidR="00F65BED" w:rsidRDefault="00F65BED" w:rsidP="00F65BED"/>
    <w:p w14:paraId="25C5666F" w14:textId="77777777" w:rsidR="00F65BED" w:rsidRDefault="00F65BED" w:rsidP="00F65BED"/>
    <w:p w14:paraId="503AA46F" w14:textId="77777777" w:rsidR="00F65BED" w:rsidRDefault="00F65BED" w:rsidP="00F65BED"/>
    <w:p w14:paraId="7B1EE39D" w14:textId="77777777" w:rsidR="00F65BED" w:rsidRDefault="00F65BED" w:rsidP="00F65BED"/>
    <w:p w14:paraId="3AB7AAD6" w14:textId="77777777" w:rsidR="00F65BED" w:rsidRDefault="00F65BED" w:rsidP="00F65BED"/>
    <w:p w14:paraId="2E017F52" w14:textId="77777777" w:rsidR="00F65BED" w:rsidRDefault="00F65BED" w:rsidP="00F65BED"/>
    <w:p w14:paraId="260FC6B3" w14:textId="77777777" w:rsidR="00F65BED" w:rsidRDefault="00F65BED" w:rsidP="00F65BED"/>
    <w:p w14:paraId="6B85B1EF" w14:textId="77777777" w:rsidR="00F65BED" w:rsidRDefault="00F65BED" w:rsidP="00F65BED"/>
    <w:p w14:paraId="13296CC2" w14:textId="77777777" w:rsidR="00640EEE" w:rsidRDefault="00640EEE" w:rsidP="00640EEE"/>
    <w:p w14:paraId="1A7D9EB2" w14:textId="77777777" w:rsidR="00640EEE" w:rsidRDefault="00640EEE" w:rsidP="00640EEE"/>
    <w:p w14:paraId="6E6A6590" w14:textId="77777777" w:rsidR="00F65BED" w:rsidRPr="00F65BED" w:rsidRDefault="00F65BED" w:rsidP="00F65BED">
      <w:pPr>
        <w:rPr>
          <w:b/>
          <w:bCs/>
        </w:rPr>
      </w:pPr>
      <w:r w:rsidRPr="00F65BED">
        <w:rPr>
          <w:b/>
          <w:bCs/>
        </w:rPr>
        <w:lastRenderedPageBreak/>
        <w:t xml:space="preserve">Essay four: </w:t>
      </w:r>
    </w:p>
    <w:p w14:paraId="23DDBBB0" w14:textId="3B35D7CB" w:rsidR="00F65BED" w:rsidRDefault="00F65BED" w:rsidP="00F65BED">
      <w:pPr>
        <w:rPr>
          <w:b/>
          <w:bCs/>
        </w:rPr>
      </w:pPr>
      <w:r w:rsidRPr="00F65BED">
        <w:rPr>
          <w:b/>
          <w:bCs/>
        </w:rPr>
        <w:t>Examine the various socio-economic and psychological characteristics which can make people vulnerable to exploitation by criminal gangs. Your answer must be based on academic research rather than personal experience.</w:t>
      </w:r>
    </w:p>
    <w:p w14:paraId="2A71DE34" w14:textId="77777777" w:rsidR="00F65BED" w:rsidRDefault="00F65BED" w:rsidP="00F65BED">
      <w:pPr>
        <w:rPr>
          <w:b/>
          <w:bCs/>
        </w:rPr>
      </w:pPr>
    </w:p>
    <w:p w14:paraId="3D04A143" w14:textId="0C761E37" w:rsidR="00F65BED" w:rsidRPr="00F65BED" w:rsidRDefault="00F65BED" w:rsidP="00F65BED">
      <w:pPr>
        <w:rPr>
          <w:b/>
          <w:bCs/>
        </w:rPr>
      </w:pPr>
      <w:r w:rsidRPr="00F65BED">
        <w:rPr>
          <w:b/>
          <w:bCs/>
        </w:rPr>
        <w:t>Introduction</w:t>
      </w:r>
    </w:p>
    <w:p w14:paraId="75AB6B37" w14:textId="77777777" w:rsidR="00F65BED" w:rsidRDefault="00F65BED" w:rsidP="00F65BED"/>
    <w:p w14:paraId="4C3D220D" w14:textId="77777777" w:rsidR="00F65BED" w:rsidRDefault="00F65BED" w:rsidP="00F65BED">
      <w:r>
        <w:t>Criminal gangs pose a significant threat to communities across the United Kingdom (UK), exploiting vulnerabilities within society to further their illicit activities. Understanding the socio-economic and psychological characteristics that render individuals vulnerable to exploitation by these gangs is crucial for effective policing and prevention efforts. This essay will examine various factors contributing to vulnerability, including socio-economic disparities, psychological susceptibility, and systemic failures, within the context of British policing.</w:t>
      </w:r>
    </w:p>
    <w:p w14:paraId="60503D57" w14:textId="77777777" w:rsidR="00F65BED" w:rsidRDefault="00F65BED" w:rsidP="00F65BED"/>
    <w:p w14:paraId="014E0CAC" w14:textId="71322137" w:rsidR="00F65BED" w:rsidRDefault="00F65BED" w:rsidP="00F65BED">
      <w:r>
        <w:t xml:space="preserve">Sometimes the harm to the public is not as obvious. There is an increase in online crime that occurs through encrypted apps, the dark web, and behind closed doors. </w:t>
      </w:r>
      <w:r w:rsidR="005B5EDE">
        <w:t>The National Crime Agency estimates</w:t>
      </w:r>
      <w:r>
        <w:t xml:space="preserve"> that in the UK, there are between 680,000 and 830,000 people (1.3% to 1.6% of the adult population) who are sexually dangerous to children to varying degrees. We also estimate that exposure to indecent images of children raises the possibility that offenders will escalate to physical abuse. We have witnessed drug cartels using cryptocurrency to launder their profits and encrypted apps for communication, as well as cybercriminals offering ransomware as a service online and facilitating fraud. Furthermore, we've seen big tech companies implement end-to-end encryption in a way that they know will make it more difficult for law enforcement to be able to decode them.</w:t>
      </w:r>
    </w:p>
    <w:p w14:paraId="2A48E2B3" w14:textId="51B8D4B6" w:rsidR="00F65BED" w:rsidRDefault="00F65BED" w:rsidP="00F65BED">
      <w:r>
        <w:t>Up to 46,000 children are believed to be involved in gang activity in the UK. Social services are struggling to tackle the issue and politicians are unable to agree on the best way to combat its underlying causes.</w:t>
      </w:r>
      <w:r w:rsidR="005B5EDE">
        <w:t xml:space="preserve"> (</w:t>
      </w:r>
      <w:r w:rsidR="005B5EDE" w:rsidRPr="00F65BED">
        <w:t>National Crime Agency. 2017).</w:t>
      </w:r>
    </w:p>
    <w:p w14:paraId="492DBA0E" w14:textId="77777777" w:rsidR="00F65BED" w:rsidRDefault="00F65BED" w:rsidP="00F65BED">
      <w:r>
        <w:t>Children as young as 12 are known to be transporting and selling drugs for urban gangs.</w:t>
      </w:r>
    </w:p>
    <w:p w14:paraId="7A4785EF" w14:textId="77777777" w:rsidR="00F65BED" w:rsidRDefault="00F65BED" w:rsidP="00F65BED">
      <w:r>
        <w:t>They can spend weeks at a time in the countryside, returning only when their supply is sold out. Orders from local customers are relayed to them via a dedicated phone line – the so-called ‘country line’ - which is usually manned by higher-ranking gang members back in London.</w:t>
      </w:r>
    </w:p>
    <w:p w14:paraId="24EA1810" w14:textId="77777777" w:rsidR="00F65BED" w:rsidRDefault="00F65BED" w:rsidP="00F65BED">
      <w:r>
        <w:t>The country lines phenomenon has been flagged by a cross-party initiative of 19 local councils as “the next big grooming scandal.”</w:t>
      </w:r>
    </w:p>
    <w:p w14:paraId="43A9E991" w14:textId="77777777" w:rsidR="00F65BED" w:rsidRPr="00F65BED" w:rsidRDefault="00F65BED" w:rsidP="00F65BED">
      <w:pPr>
        <w:rPr>
          <w:b/>
          <w:bCs/>
        </w:rPr>
      </w:pPr>
    </w:p>
    <w:p w14:paraId="68722BA7" w14:textId="77777777" w:rsidR="00F65BED" w:rsidRPr="00F65BED" w:rsidRDefault="00F65BED" w:rsidP="00F65BED">
      <w:pPr>
        <w:rPr>
          <w:b/>
          <w:bCs/>
        </w:rPr>
      </w:pPr>
      <w:r w:rsidRPr="00F65BED">
        <w:rPr>
          <w:b/>
          <w:bCs/>
        </w:rPr>
        <w:t>The study</w:t>
      </w:r>
    </w:p>
    <w:p w14:paraId="7F01868C" w14:textId="77777777" w:rsidR="00F65BED" w:rsidRDefault="00F65BED" w:rsidP="00F65BED">
      <w:r>
        <w:t xml:space="preserve">Effective policing and prevention efforts must adopt a multi-faceted approach that addresses both the root causes of vulnerability and the mechanisms of exploitation employed by criminal gangs. This necessitates collaboration between law enforcement agencies, social services, and community organizations to provide comprehensive support and interventions for at-risk individuals and communities. By addressing underlying vulnerabilities and empowering individuals to resist </w:t>
      </w:r>
      <w:r>
        <w:lastRenderedPageBreak/>
        <w:t>exploitation, British policing can mitigate the influence of criminal gangs and create safer, more resilient communities.</w:t>
      </w:r>
    </w:p>
    <w:p w14:paraId="7893A3BD" w14:textId="77777777" w:rsidR="00F65BED" w:rsidRDefault="00F65BED" w:rsidP="00F65BED"/>
    <w:p w14:paraId="52FD85AA" w14:textId="77777777" w:rsidR="00F65BED" w:rsidRPr="00F65BED" w:rsidRDefault="00F65BED" w:rsidP="00F65BED">
      <w:pPr>
        <w:rPr>
          <w:b/>
          <w:bCs/>
        </w:rPr>
      </w:pPr>
      <w:r w:rsidRPr="00F65BED">
        <w:rPr>
          <w:b/>
          <w:bCs/>
        </w:rPr>
        <w:t>Socio-Economic Factors</w:t>
      </w:r>
    </w:p>
    <w:p w14:paraId="62FDBC46" w14:textId="77777777" w:rsidR="00F65BED" w:rsidRDefault="00F65BED" w:rsidP="00F65BED">
      <w:r>
        <w:t>Socio-economic disparities play a significant role in making individuals susceptible to exploitation by criminal gangs. Economic deprivation, lack of opportunities, and social exclusion create fertile ground for recruitment into criminal activities. In disadvantaged communities where poverty is prevalent, young people may perceive involvement in gangs as a means of attaining financial security or social status (Bennett &amp; Holloway, 2014).</w:t>
      </w:r>
    </w:p>
    <w:p w14:paraId="3B2CAA63" w14:textId="77777777" w:rsidR="00F65BED" w:rsidRDefault="00F65BED" w:rsidP="00F65BED"/>
    <w:p w14:paraId="3B917374" w14:textId="77777777" w:rsidR="00F65BED" w:rsidRDefault="00F65BED" w:rsidP="00F65BED">
      <w:r>
        <w:t>Furthermore, marginalization and discrimination faced by minority ethnic groups contribute to their vulnerability to gang exploitation. Limited access to education, employment, and social support exacerbates the risk of involvement in criminal activities (Crawford, 2020). Moreover, the cycle of poverty perpetuates across generations, trapping families in environments where gang involvement becomes normalized and perceived as a viable option for survival.</w:t>
      </w:r>
    </w:p>
    <w:p w14:paraId="5606FAA9" w14:textId="77777777" w:rsidR="00F65BED" w:rsidRDefault="00F65BED" w:rsidP="00F65BED">
      <w:r>
        <w:t>Housing Instability: Homelessness or unstable housing situations can increase vulnerability to exploitation by criminal gangs, as individuals may seek protection or support networks within these groups (UK Government, 2021).</w:t>
      </w:r>
    </w:p>
    <w:p w14:paraId="64CB1735" w14:textId="77777777" w:rsidR="00F65BED" w:rsidRDefault="00F65BED" w:rsidP="00F65BED">
      <w:r>
        <w:t>Unemployment and Underemployment: Limited employment prospects can leave individuals feeling disillusioned and excluded from mainstream society, making them more susceptible to recruitment by criminal gangs offering financial incentives or a sense of belonging (Klein et al., 2016).</w:t>
      </w:r>
    </w:p>
    <w:p w14:paraId="5E464915" w14:textId="77777777" w:rsidR="00F65BED" w:rsidRDefault="00F65BED" w:rsidP="00F65BED"/>
    <w:p w14:paraId="496E9BFF" w14:textId="77777777" w:rsidR="00F65BED" w:rsidRPr="00F65BED" w:rsidRDefault="00F65BED" w:rsidP="00F65BED">
      <w:pPr>
        <w:rPr>
          <w:b/>
          <w:bCs/>
        </w:rPr>
      </w:pPr>
      <w:r w:rsidRPr="00F65BED">
        <w:rPr>
          <w:b/>
          <w:bCs/>
        </w:rPr>
        <w:t>Psychological Factors</w:t>
      </w:r>
    </w:p>
    <w:p w14:paraId="336358A9" w14:textId="77777777" w:rsidR="00F65BED" w:rsidRDefault="00F65BED" w:rsidP="00F65BED">
      <w:r>
        <w:t>Psychological vulnerabilities, such as low self-esteem, trauma, and a sense of hopelessness, also increase susceptibility to exploitation by criminal gangs. Individuals experiencing adverse childhood experiences, such as abuse or neglect, are more likely to seek belonging and validation from alternative sources, including gangs (Bjerregaard &amp; Smith, 2014). Trauma and Adverse Childhood Experiences (ACEs): can have long-lasting psychological effects, increasing susceptibility to involvement in criminal activities as a coping mechanism or seeking validation from others (Lindsey et al., 2018).</w:t>
      </w:r>
    </w:p>
    <w:p w14:paraId="054D08C4" w14:textId="77777777" w:rsidR="00F65BED" w:rsidRDefault="00F65BED" w:rsidP="00F65BED">
      <w:r>
        <w:t>Lack of Social Support: Individuals who lack strong familial or social support networks may be drawn to criminal gangs seeking a sense of belonging and camaraderie (Shaw et al., 2019).</w:t>
      </w:r>
    </w:p>
    <w:p w14:paraId="7755F19C" w14:textId="77777777" w:rsidR="00F65BED" w:rsidRDefault="00F65BED" w:rsidP="00F65BED">
      <w:r>
        <w:t>Moreover, individuals with untreated mental health issues, such as depression or anxiety, may be targeted by gangs offering a sense of belonging and purpose. Exploitative tactics, such as love bombing and manipulation, prey on vulnerable individuals' emotional vulnerabilities, coercing them into criminal activities (National Crime Agency, 2017).</w:t>
      </w:r>
    </w:p>
    <w:p w14:paraId="3722E688" w14:textId="77777777" w:rsidR="00F65BED" w:rsidRDefault="00F65BED" w:rsidP="00F65BED"/>
    <w:p w14:paraId="1CB5132D" w14:textId="77777777" w:rsidR="008D03F4" w:rsidRDefault="008D03F4" w:rsidP="00F65BED">
      <w:pPr>
        <w:rPr>
          <w:b/>
          <w:bCs/>
        </w:rPr>
      </w:pPr>
    </w:p>
    <w:p w14:paraId="3E5458DD" w14:textId="77777777" w:rsidR="008D03F4" w:rsidRDefault="008D03F4" w:rsidP="00F65BED">
      <w:pPr>
        <w:rPr>
          <w:b/>
          <w:bCs/>
        </w:rPr>
      </w:pPr>
    </w:p>
    <w:p w14:paraId="50F2C8CC" w14:textId="69AD7452" w:rsidR="00F65BED" w:rsidRPr="00F65BED" w:rsidRDefault="00F65BED" w:rsidP="00F65BED">
      <w:pPr>
        <w:rPr>
          <w:b/>
          <w:bCs/>
        </w:rPr>
      </w:pPr>
      <w:r w:rsidRPr="00F65BED">
        <w:rPr>
          <w:b/>
          <w:bCs/>
        </w:rPr>
        <w:lastRenderedPageBreak/>
        <w:t>Systemic Failures</w:t>
      </w:r>
    </w:p>
    <w:p w14:paraId="0D0E0857" w14:textId="77777777" w:rsidR="00F65BED" w:rsidRDefault="00F65BED" w:rsidP="00F65BED">
      <w:r>
        <w:t>Systemic failures within the criminal justice system and social services exacerbate vulnerabilities to gang exploitation. Inadequate support for at-risk individuals, including insufficient mental health services and youth intervention programs, leaves gaps that criminal gangs exploit for recruitment purposes (House of Commons Home Affairs Committee, 2020).</w:t>
      </w:r>
    </w:p>
    <w:p w14:paraId="6E6296FE" w14:textId="77777777" w:rsidR="00F65BED" w:rsidRDefault="00F65BED" w:rsidP="00F65BED">
      <w:r>
        <w:t>Moreover, punitive approaches to crime disproportionately impact marginalized communities, further entrenching cycles of poverty and vulnerability. Policing strategies focused solely on enforcement may exacerbate distrust and alienation within communities, hindering efforts to address underlying vulnerabilities (Newburn &amp; Reiner, 2007).</w:t>
      </w:r>
    </w:p>
    <w:p w14:paraId="5747809D" w14:textId="77777777" w:rsidR="00F65BED" w:rsidRDefault="00F65BED" w:rsidP="00F65BED"/>
    <w:p w14:paraId="6D1DE811" w14:textId="77777777" w:rsidR="00F65BED" w:rsidRPr="00F65BED" w:rsidRDefault="00F65BED" w:rsidP="00F65BED">
      <w:pPr>
        <w:rPr>
          <w:b/>
          <w:bCs/>
        </w:rPr>
      </w:pPr>
    </w:p>
    <w:p w14:paraId="2F5CB6A2" w14:textId="77777777" w:rsidR="00F65BED" w:rsidRPr="00F65BED" w:rsidRDefault="00F65BED" w:rsidP="00F65BED">
      <w:pPr>
        <w:rPr>
          <w:b/>
          <w:bCs/>
        </w:rPr>
      </w:pPr>
      <w:r w:rsidRPr="00F65BED">
        <w:rPr>
          <w:b/>
          <w:bCs/>
        </w:rPr>
        <w:t>Conclusion</w:t>
      </w:r>
    </w:p>
    <w:p w14:paraId="12D73268" w14:textId="77777777" w:rsidR="00F65BED" w:rsidRDefault="00F65BED" w:rsidP="00F65BED">
      <w:r>
        <w:t>In conclusion, vulnerability to exploitation by criminal gangs in the UK is influenced by a complex interplay of socio-economic and psychological factors. Economic deprivation, social exclusion, and discrimination create environments where individuals are more susceptible to recruitment into criminal activities. Psychological vulnerabilities, such as trauma and low self-esteem, further compound the risk of exploitation. Additionally, systemic failures within the criminal justice system and social services exacerbate vulnerabilities, perpetuating cycles of poverty and marginalization. Addressing these underlying vulnerabilities requires a multifaceted approach that addresses issues such as poverty, unemployment, housing instability, trauma, and mental health. Prevention and intervention efforts should focus on providing support, opportunities, and resources to at-risk individuals, strengthening community resilience, and disrupting the influence and operations of criminal gangs.</w:t>
      </w:r>
    </w:p>
    <w:p w14:paraId="64B5732E" w14:textId="77777777" w:rsidR="00F65BED" w:rsidRDefault="00F65BED" w:rsidP="00F65BED"/>
    <w:p w14:paraId="6FA3FBF8" w14:textId="3E019B7D" w:rsidR="00640EEE" w:rsidRDefault="00F65BED" w:rsidP="00F65BED">
      <w:r>
        <w:t>WORD COUNT – 955</w:t>
      </w:r>
    </w:p>
    <w:p w14:paraId="0BEF0E1B" w14:textId="77777777" w:rsidR="00F65BED" w:rsidRDefault="00F65BED" w:rsidP="00F65BED"/>
    <w:p w14:paraId="29707C26" w14:textId="77777777" w:rsidR="00F65BED" w:rsidRDefault="00F65BED" w:rsidP="00F65BED"/>
    <w:p w14:paraId="469B9211" w14:textId="77777777" w:rsidR="00F65BED" w:rsidRDefault="00F65BED" w:rsidP="00F65BED"/>
    <w:p w14:paraId="7231D5B1" w14:textId="77777777" w:rsidR="00F65BED" w:rsidRDefault="00F65BED" w:rsidP="00F65BED"/>
    <w:p w14:paraId="31BEB445" w14:textId="77777777" w:rsidR="00F65BED" w:rsidRDefault="00F65BED" w:rsidP="00F65BED"/>
    <w:p w14:paraId="0921DC8B" w14:textId="77777777" w:rsidR="00F65BED" w:rsidRDefault="00F65BED" w:rsidP="00F65BED"/>
    <w:p w14:paraId="403ADFD1" w14:textId="77777777" w:rsidR="00F65BED" w:rsidRDefault="00F65BED" w:rsidP="00F65BED"/>
    <w:p w14:paraId="4FEF55CE" w14:textId="77777777" w:rsidR="00F65BED" w:rsidRDefault="00F65BED" w:rsidP="00F65BED"/>
    <w:p w14:paraId="55E9A031" w14:textId="77777777" w:rsidR="00F65BED" w:rsidRDefault="00F65BED" w:rsidP="00F65BED"/>
    <w:p w14:paraId="4346B01C" w14:textId="77777777" w:rsidR="00F65BED" w:rsidRDefault="00F65BED" w:rsidP="00F65BED"/>
    <w:p w14:paraId="485A6913" w14:textId="77777777" w:rsidR="00F65BED" w:rsidRDefault="00F65BED" w:rsidP="00F65BED"/>
    <w:p w14:paraId="2AD8998A" w14:textId="77777777" w:rsidR="00F65BED" w:rsidRDefault="00F65BED" w:rsidP="00F65BED"/>
    <w:p w14:paraId="23CE5560" w14:textId="77777777" w:rsidR="00F65BED" w:rsidRDefault="00F65BED" w:rsidP="00F65BED"/>
    <w:p w14:paraId="55FCC91C" w14:textId="77777777" w:rsidR="00F65BED" w:rsidRDefault="00F65BED" w:rsidP="00F65BED"/>
    <w:p w14:paraId="66379A7F" w14:textId="77777777" w:rsidR="00F65BED" w:rsidRPr="00F65BED" w:rsidRDefault="00F65BED" w:rsidP="00F65BED">
      <w:pPr>
        <w:rPr>
          <w:b/>
          <w:bCs/>
        </w:rPr>
      </w:pPr>
      <w:r w:rsidRPr="00F65BED">
        <w:rPr>
          <w:b/>
          <w:bCs/>
        </w:rPr>
        <w:t>Essay five:</w:t>
      </w:r>
    </w:p>
    <w:p w14:paraId="119800C4" w14:textId="689639E3" w:rsidR="00F65BED" w:rsidRDefault="00F65BED" w:rsidP="00F65BED">
      <w:pPr>
        <w:rPr>
          <w:b/>
          <w:bCs/>
        </w:rPr>
      </w:pPr>
      <w:r w:rsidRPr="00F65BED">
        <w:rPr>
          <w:b/>
          <w:bCs/>
        </w:rPr>
        <w:t xml:space="preserve"> Critically assess the effectiveness of options available to reduce re-offending. You may choose a specific type of offence for this answer e.g. domestic violence, anti-social behaviour, knife crime. Your answer must be based on academic research, but you may make reference to relevant case studies.</w:t>
      </w:r>
    </w:p>
    <w:p w14:paraId="66D1809E" w14:textId="77777777" w:rsidR="00F65BED" w:rsidRDefault="00F65BED" w:rsidP="00F65BED">
      <w:pPr>
        <w:rPr>
          <w:b/>
          <w:bCs/>
        </w:rPr>
      </w:pPr>
    </w:p>
    <w:p w14:paraId="25A36965" w14:textId="77777777" w:rsidR="00F65BED" w:rsidRPr="00F65BED" w:rsidRDefault="00F65BED" w:rsidP="00F65BED">
      <w:pPr>
        <w:rPr>
          <w:b/>
          <w:bCs/>
          <w:u w:val="single"/>
        </w:rPr>
      </w:pPr>
      <w:r w:rsidRPr="00F65BED">
        <w:rPr>
          <w:b/>
          <w:bCs/>
          <w:u w:val="single"/>
        </w:rPr>
        <w:t>Introduction</w:t>
      </w:r>
    </w:p>
    <w:p w14:paraId="090F18FE" w14:textId="77777777" w:rsidR="00F65BED" w:rsidRPr="00F65BED" w:rsidRDefault="00F65BED" w:rsidP="00F65BED">
      <w:r w:rsidRPr="00F65BED">
        <w:t>In the UK, knife crime is a serious threat to public safety and has terrible effects on both individuals and communities. Numerous tactics have been put into place in response to this problem to lower the recidivism rate among those implicated in knife-related incidents. With the help of pertinent references, this essay evaluates these tactics critically to pinpoint their advantages, disadvantages, and potential areas for development.</w:t>
      </w:r>
    </w:p>
    <w:p w14:paraId="233E7ED3" w14:textId="77777777" w:rsidR="00F65BED" w:rsidRPr="00F65BED" w:rsidRDefault="00F65BED" w:rsidP="00F65BED">
      <w:pPr>
        <w:rPr>
          <w:b/>
          <w:bCs/>
        </w:rPr>
      </w:pPr>
    </w:p>
    <w:p w14:paraId="2F94211F" w14:textId="77777777" w:rsidR="00F65BED" w:rsidRPr="00F65BED" w:rsidRDefault="00F65BED" w:rsidP="00F65BED">
      <w:pPr>
        <w:rPr>
          <w:b/>
          <w:bCs/>
          <w:u w:val="single"/>
        </w:rPr>
      </w:pPr>
      <w:r w:rsidRPr="00F65BED">
        <w:rPr>
          <w:b/>
          <w:bCs/>
          <w:u w:val="single"/>
        </w:rPr>
        <w:t>The Scope of Knife Crime in the UK:</w:t>
      </w:r>
    </w:p>
    <w:p w14:paraId="60C76C24" w14:textId="77777777" w:rsidR="00F65BED" w:rsidRPr="00F65BED" w:rsidRDefault="00F65BED" w:rsidP="00F65BED">
      <w:pPr>
        <w:rPr>
          <w:b/>
          <w:bCs/>
        </w:rPr>
      </w:pPr>
    </w:p>
    <w:p w14:paraId="5D8C7EA9" w14:textId="77777777" w:rsidR="00F65BED" w:rsidRPr="00F65BED" w:rsidRDefault="00F65BED" w:rsidP="00F65BED">
      <w:r w:rsidRPr="00F65BED">
        <w:t>Knife crime encompasses a range of offenses, including knife possession, assault with a deadly weapon, and homicide. The prevalence of knife crime in the UK has garnered widespread attention due to its impact on public safety and the increasing number of incidents involving young people (Home Office, 2020). Addressing knife crime requires a multifaceted approach that combines law enforcement efforts, prevention initiatives, and rehabilitation programs.</w:t>
      </w:r>
    </w:p>
    <w:p w14:paraId="71E41493" w14:textId="77777777" w:rsidR="00F65BED" w:rsidRPr="00F65BED" w:rsidRDefault="00F65BED" w:rsidP="00F65BED">
      <w:pPr>
        <w:rPr>
          <w:b/>
          <w:bCs/>
        </w:rPr>
      </w:pPr>
    </w:p>
    <w:p w14:paraId="55F63CEB" w14:textId="77777777" w:rsidR="00F65BED" w:rsidRPr="00F65BED" w:rsidRDefault="00F65BED" w:rsidP="00F65BED">
      <w:pPr>
        <w:rPr>
          <w:b/>
          <w:bCs/>
          <w:u w:val="single"/>
        </w:rPr>
      </w:pPr>
      <w:r w:rsidRPr="00F65BED">
        <w:rPr>
          <w:b/>
          <w:bCs/>
          <w:u w:val="single"/>
        </w:rPr>
        <w:t>Understanding the Context of Knife Crime and why it seems to have increased in the uk.</w:t>
      </w:r>
    </w:p>
    <w:p w14:paraId="628BE467" w14:textId="77777777" w:rsidR="00F65BED" w:rsidRPr="00F65BED" w:rsidRDefault="00F65BED" w:rsidP="00F65BED">
      <w:pPr>
        <w:rPr>
          <w:b/>
          <w:bCs/>
        </w:rPr>
      </w:pPr>
    </w:p>
    <w:p w14:paraId="2BC625E0" w14:textId="77777777" w:rsidR="00F65BED" w:rsidRPr="00F65BED" w:rsidRDefault="00F65BED" w:rsidP="00F65BED">
      <w:r w:rsidRPr="00F65BED">
        <w:t>Knife crime encompasses various offenses involving the use, possession, or threat of a knife or sharp instrument. It often intersects with issues such as gang violence, drug trafficking, and youth involvement in criminal activities. According to the Office for National Statistics (ONS), knife crime offenses have risen recently, highlighting the urgent need for effective intervention strategies (ONS, 2021).</w:t>
      </w:r>
    </w:p>
    <w:p w14:paraId="6BA7CFC6" w14:textId="77777777" w:rsidR="00F65BED" w:rsidRPr="00F65BED" w:rsidRDefault="00F65BED" w:rsidP="00F65BED"/>
    <w:p w14:paraId="1FDAD11F" w14:textId="77777777" w:rsidR="00F65BED" w:rsidRPr="00F65BED" w:rsidRDefault="00F65BED" w:rsidP="00F65BED">
      <w:r w:rsidRPr="00F65BED">
        <w:t>Knife crime is a complex issue influenced by various social, economic, and cultural factors. Several reasons have been suggested for the increase in knife crime in the UK:</w:t>
      </w:r>
    </w:p>
    <w:p w14:paraId="28956536" w14:textId="77777777" w:rsidR="00F65BED" w:rsidRPr="00F65BED" w:rsidRDefault="00F65BED" w:rsidP="00F65BED">
      <w:pPr>
        <w:numPr>
          <w:ilvl w:val="0"/>
          <w:numId w:val="2"/>
        </w:numPr>
      </w:pPr>
      <w:r w:rsidRPr="00F65BED">
        <w:t>Cuts to Policing and Youth Services: Budget cuts to policing and youth services have led to reductions in the number of police officers on the streets and in community programs aimed at preventing youth involvement in crime. This has potentially created gaps in law enforcement and intervention efforts, allowing knife crime to proliferate.</w:t>
      </w:r>
    </w:p>
    <w:p w14:paraId="06587F05" w14:textId="77777777" w:rsidR="00F65BED" w:rsidRPr="00F65BED" w:rsidRDefault="00F65BED" w:rsidP="00F65BED">
      <w:pPr>
        <w:numPr>
          <w:ilvl w:val="0"/>
          <w:numId w:val="2"/>
        </w:numPr>
      </w:pPr>
      <w:r w:rsidRPr="00F65BED">
        <w:lastRenderedPageBreak/>
        <w:t>Gang Activity: The use of knives in gang-related violence is a major factor in the total rate of knife crime. Gang-related violence can be fuelled by various factors, including territory disputes, drug trafficking, and socioeconomic dynamics within communities.</w:t>
      </w:r>
    </w:p>
    <w:p w14:paraId="0C0D915A" w14:textId="77777777" w:rsidR="00F65BED" w:rsidRPr="00F65BED" w:rsidRDefault="00F65BED" w:rsidP="00F65BED">
      <w:pPr>
        <w:numPr>
          <w:ilvl w:val="0"/>
          <w:numId w:val="2"/>
        </w:numPr>
      </w:pPr>
      <w:r w:rsidRPr="00F65BED">
        <w:t>Socioeconomic Factors: Socioeconomic deprivation, including poverty, lack of opportunities, and social exclusion, can contribute to an environment where knife crime thrives. Young people facing economic hardship or social marginalization may turn to crime, including carrying knives for protection or as a symbol of status.</w:t>
      </w:r>
    </w:p>
    <w:p w14:paraId="7F8DD573" w14:textId="77777777" w:rsidR="00F65BED" w:rsidRPr="00F65BED" w:rsidRDefault="00F65BED" w:rsidP="00F65BED">
      <w:pPr>
        <w:numPr>
          <w:ilvl w:val="0"/>
          <w:numId w:val="2"/>
        </w:numPr>
      </w:pPr>
      <w:r w:rsidRPr="00F65BED">
        <w:t>Drug Trade: The illegal drug trade is closely linked to knife crime, as disputes over territory, competition between dealers, and the need to protect illicit activities can escalate into violence involving knives.</w:t>
      </w:r>
    </w:p>
    <w:p w14:paraId="7F429FF9" w14:textId="77777777" w:rsidR="00F65BED" w:rsidRPr="00F65BED" w:rsidRDefault="00F65BED" w:rsidP="00F65BED">
      <w:pPr>
        <w:numPr>
          <w:ilvl w:val="0"/>
          <w:numId w:val="2"/>
        </w:numPr>
      </w:pPr>
      <w:r w:rsidRPr="00F65BED">
        <w:t>Social Media and Peer Influence: Social media sites have the power to normalise the carrying of guns by young people and aid in the distribution of violent content. People may also carry knives due to peer pressure or a desire to blend in with particular social groups.</w:t>
      </w:r>
    </w:p>
    <w:p w14:paraId="3A0015C2" w14:textId="77777777" w:rsidR="00F65BED" w:rsidRPr="00F65BED" w:rsidRDefault="00F65BED" w:rsidP="00F65BED">
      <w:pPr>
        <w:numPr>
          <w:ilvl w:val="0"/>
          <w:numId w:val="2"/>
        </w:numPr>
      </w:pPr>
      <w:r w:rsidRPr="00F65BED">
        <w:t>County Lines: The phenomenon of "county lines," where urban gangs exploit vulnerable individuals to distribute drugs in smaller towns and rural areas, has contributed to the spread of knife crime beyond major cities.</w:t>
      </w:r>
    </w:p>
    <w:p w14:paraId="304F8885" w14:textId="77777777" w:rsidR="00F65BED" w:rsidRPr="00F65BED" w:rsidRDefault="00F65BED" w:rsidP="00F65BED">
      <w:pPr>
        <w:numPr>
          <w:ilvl w:val="0"/>
          <w:numId w:val="2"/>
        </w:numPr>
      </w:pPr>
      <w:r w:rsidRPr="00F65BED">
        <w:t>Cultural Factors: According to some experts, young people's attitudes on violence and carrying a weapon may be influenced by a "culture of violence" or the glamorization of knife crime that exists in some areas and is promoted through social media, music, and movies.</w:t>
      </w:r>
    </w:p>
    <w:p w14:paraId="7635365F" w14:textId="77777777" w:rsidR="00F65BED" w:rsidRPr="00F65BED" w:rsidRDefault="00F65BED" w:rsidP="00F65BED">
      <w:pPr>
        <w:rPr>
          <w:b/>
          <w:bCs/>
        </w:rPr>
      </w:pPr>
    </w:p>
    <w:p w14:paraId="7273D577" w14:textId="77777777" w:rsidR="00F65BED" w:rsidRPr="00F65BED" w:rsidRDefault="00F65BED" w:rsidP="00F65BED">
      <w:pPr>
        <w:rPr>
          <w:b/>
          <w:bCs/>
        </w:rPr>
      </w:pPr>
    </w:p>
    <w:p w14:paraId="60D13947" w14:textId="77777777" w:rsidR="00F65BED" w:rsidRPr="00F65BED" w:rsidRDefault="00F65BED" w:rsidP="00F65BED">
      <w:pPr>
        <w:rPr>
          <w:b/>
          <w:bCs/>
          <w:u w:val="single"/>
        </w:rPr>
      </w:pPr>
      <w:r w:rsidRPr="00F65BED">
        <w:rPr>
          <w:b/>
          <w:bCs/>
          <w:u w:val="single"/>
        </w:rPr>
        <w:t>Strategies to Reduce Re-offending:</w:t>
      </w:r>
    </w:p>
    <w:p w14:paraId="558F4D28" w14:textId="77777777" w:rsidR="00F65BED" w:rsidRPr="00F65BED" w:rsidRDefault="00F65BED" w:rsidP="00F65BED">
      <w:pPr>
        <w:rPr>
          <w:b/>
          <w:bCs/>
        </w:rPr>
      </w:pPr>
    </w:p>
    <w:p w14:paraId="758FD4BD" w14:textId="77777777" w:rsidR="00F65BED" w:rsidRPr="00F65BED" w:rsidRDefault="00F65BED" w:rsidP="00F65BED">
      <w:pPr>
        <w:rPr>
          <w:b/>
          <w:bCs/>
        </w:rPr>
      </w:pPr>
      <w:r w:rsidRPr="00F65BED">
        <w:rPr>
          <w:b/>
          <w:bCs/>
        </w:rPr>
        <w:t>Law Enforcement Measures:</w:t>
      </w:r>
    </w:p>
    <w:p w14:paraId="29E1555E" w14:textId="77777777" w:rsidR="00F65BED" w:rsidRPr="00F65BED" w:rsidRDefault="00F65BED" w:rsidP="00F65BED">
      <w:r w:rsidRPr="00F65BED">
        <w:t>To combat knife crime, law enforcement organisations use a variety of strategies, such as intelligence-led interventions, stop-and-search operations, and targeted patrols (Gannon &amp; Canter, 2018). These steps are intended to stop people from carrying blades, dismantle criminal organisations, and capture perpetrators. On the other hand, detractors contend that oppressive law enforcement practices could worsen community tensions and unfairly target particular groups of people, creating a climate of distrust and isolation (Hester &amp; Lilley, 2016).</w:t>
      </w:r>
    </w:p>
    <w:p w14:paraId="4494B09E" w14:textId="77777777" w:rsidR="00F65BED" w:rsidRPr="00F65BED" w:rsidRDefault="00F65BED" w:rsidP="00F65BED">
      <w:pPr>
        <w:rPr>
          <w:b/>
          <w:bCs/>
        </w:rPr>
      </w:pPr>
    </w:p>
    <w:p w14:paraId="17488374" w14:textId="77777777" w:rsidR="00F65BED" w:rsidRPr="00F65BED" w:rsidRDefault="00F65BED" w:rsidP="00F65BED">
      <w:pPr>
        <w:rPr>
          <w:b/>
          <w:bCs/>
        </w:rPr>
      </w:pPr>
      <w:r w:rsidRPr="00F65BED">
        <w:rPr>
          <w:b/>
          <w:bCs/>
        </w:rPr>
        <w:t>Prevention and Early Intervention:</w:t>
      </w:r>
    </w:p>
    <w:p w14:paraId="53E7BBC0" w14:textId="77777777" w:rsidR="00F65BED" w:rsidRPr="00F65BED" w:rsidRDefault="00F65BED" w:rsidP="00F65BED">
      <w:r w:rsidRPr="00F65BED">
        <w:t>Implementing early intervention strategies targeting young people at risk of involvement in knife crime, such as school-based prevention programs, youth mentoring schemes, and family support services (Sampson et al., 2020)</w:t>
      </w:r>
    </w:p>
    <w:p w14:paraId="7C1AA0F1" w14:textId="77777777" w:rsidR="00F65BED" w:rsidRPr="00F65BED" w:rsidRDefault="00F65BED" w:rsidP="00F65BED">
      <w:r w:rsidRPr="00F65BED">
        <w:t xml:space="preserve">The main goals of preventative tactics are to deal with the underlying causes of knife crime and to step in early to divert people from criminal activity. The goal of youth engagement programs, mentoring programs, and educational interventions is to give at-risk people a network of supportive people and constructive alternatives (Taylor et al., 2019). Although these programs can be successful </w:t>
      </w:r>
      <w:r w:rsidRPr="00F65BED">
        <w:lastRenderedPageBreak/>
        <w:t>in keeping young people away from crime, their influence may be restricted by a lack of financing and difficulties in reaching vulnerable groups.</w:t>
      </w:r>
    </w:p>
    <w:p w14:paraId="249D48D8" w14:textId="77777777" w:rsidR="00F65BED" w:rsidRPr="00F65BED" w:rsidRDefault="00F65BED" w:rsidP="00F65BED">
      <w:pPr>
        <w:rPr>
          <w:b/>
          <w:bCs/>
        </w:rPr>
      </w:pPr>
    </w:p>
    <w:p w14:paraId="410053B8" w14:textId="77777777" w:rsidR="00F65BED" w:rsidRPr="00F65BED" w:rsidRDefault="00F65BED" w:rsidP="00F65BED">
      <w:pPr>
        <w:rPr>
          <w:b/>
          <w:bCs/>
        </w:rPr>
      </w:pPr>
      <w:r w:rsidRPr="00F65BED">
        <w:rPr>
          <w:b/>
          <w:bCs/>
        </w:rPr>
        <w:t>Rehabilitation and Support Services:</w:t>
      </w:r>
    </w:p>
    <w:p w14:paraId="44989E19" w14:textId="77777777" w:rsidR="00F65BED" w:rsidRPr="00F65BED" w:rsidRDefault="00F65BED" w:rsidP="00F65BED">
      <w:r w:rsidRPr="00F65BED">
        <w:t>For individuals already involved in knife crime, rehabilitation programs offer opportunities for rehabilitation and reintegration into society. These programs may include counselling, anger management courses, and skills training to address underlying issues and equip offenders with the tools to lead law-abiding lives (Dawson &amp; Stevens, 2020). However, access to such services may be uneven across different regions, and the effectiveness of interventions may vary depending on individual circumstances and motivation for change.</w:t>
      </w:r>
    </w:p>
    <w:p w14:paraId="2DF60045" w14:textId="77777777" w:rsidR="00F65BED" w:rsidRPr="00F65BED" w:rsidRDefault="00F65BED" w:rsidP="00F65BED">
      <w:pPr>
        <w:rPr>
          <w:b/>
          <w:bCs/>
        </w:rPr>
      </w:pPr>
      <w:r w:rsidRPr="00F65BED">
        <w:rPr>
          <w:b/>
          <w:bCs/>
        </w:rPr>
        <w:t xml:space="preserve">Mentoring and Support Services: </w:t>
      </w:r>
    </w:p>
    <w:p w14:paraId="51753314" w14:textId="77777777" w:rsidR="00F65BED" w:rsidRPr="00F65BED" w:rsidRDefault="00F65BED" w:rsidP="00F65BED">
      <w:r w:rsidRPr="00F65BED">
        <w:t>Offering mentoring and support services to individuals involved in knife crime to help them reintegrate into society, access education, training, and employment opportunities, and develop prosocial skills and behaviours (Kenny &amp; Scott, 2018)</w:t>
      </w:r>
    </w:p>
    <w:p w14:paraId="18356235" w14:textId="77777777" w:rsidR="00F65BED" w:rsidRPr="00F65BED" w:rsidRDefault="00F65BED" w:rsidP="00F65BED">
      <w:pPr>
        <w:rPr>
          <w:b/>
          <w:bCs/>
        </w:rPr>
      </w:pPr>
    </w:p>
    <w:p w14:paraId="530539DC" w14:textId="77777777" w:rsidR="00F65BED" w:rsidRPr="00F65BED" w:rsidRDefault="00F65BED" w:rsidP="00F65BED">
      <w:pPr>
        <w:rPr>
          <w:b/>
          <w:bCs/>
        </w:rPr>
      </w:pPr>
      <w:r w:rsidRPr="00F65BED">
        <w:rPr>
          <w:b/>
          <w:bCs/>
        </w:rPr>
        <w:t>Resource Constraints:</w:t>
      </w:r>
    </w:p>
    <w:p w14:paraId="0A898604" w14:textId="77777777" w:rsidR="00F65BED" w:rsidRPr="00F65BED" w:rsidRDefault="00F65BED" w:rsidP="00F65BED">
      <w:r w:rsidRPr="00F65BED">
        <w:t xml:space="preserve"> Limited funding and resources for implementing and sustaining effective intervention programs and support services.</w:t>
      </w:r>
    </w:p>
    <w:p w14:paraId="58E6F9CE" w14:textId="77777777" w:rsidR="00F65BED" w:rsidRPr="00F65BED" w:rsidRDefault="00F65BED" w:rsidP="00F65BED"/>
    <w:p w14:paraId="300A3013" w14:textId="77777777" w:rsidR="00F65BED" w:rsidRPr="00F65BED" w:rsidRDefault="00F65BED" w:rsidP="00F65BED">
      <w:pPr>
        <w:rPr>
          <w:b/>
          <w:bCs/>
        </w:rPr>
      </w:pPr>
    </w:p>
    <w:p w14:paraId="11E31362" w14:textId="77777777" w:rsidR="00F65BED" w:rsidRPr="00F65BED" w:rsidRDefault="00F65BED" w:rsidP="00F65BED">
      <w:pPr>
        <w:rPr>
          <w:b/>
          <w:bCs/>
        </w:rPr>
      </w:pPr>
      <w:r w:rsidRPr="00F65BED">
        <w:rPr>
          <w:b/>
          <w:bCs/>
        </w:rPr>
        <w:t xml:space="preserve">Coordination and Collaboration: </w:t>
      </w:r>
    </w:p>
    <w:p w14:paraId="4F6B5F35" w14:textId="77777777" w:rsidR="00F65BED" w:rsidRPr="00F65BED" w:rsidRDefault="00F65BED" w:rsidP="00F65BED">
      <w:r w:rsidRPr="00F65BED">
        <w:t>Lack of coordination and collaboration between different agencies and stakeholders involved in tackling knife crime, leading to fragmented approaches and duplication of efforts.</w:t>
      </w:r>
    </w:p>
    <w:p w14:paraId="65304E77" w14:textId="77777777" w:rsidR="00F65BED" w:rsidRPr="00F65BED" w:rsidRDefault="00F65BED" w:rsidP="00F65BED">
      <w:r w:rsidRPr="00F65BED">
        <w:t xml:space="preserve">Long-term Sustainability: </w:t>
      </w:r>
    </w:p>
    <w:p w14:paraId="093F1FBF" w14:textId="77777777" w:rsidR="00F65BED" w:rsidRPr="00F65BED" w:rsidRDefault="00F65BED" w:rsidP="00F65BED">
      <w:pPr>
        <w:rPr>
          <w:b/>
          <w:bCs/>
        </w:rPr>
      </w:pPr>
      <w:r w:rsidRPr="00F65BED">
        <w:t>Ensuring the long-term sustainability and scalability of intervention strategies beyond short-term initiatives and funding cycles</w:t>
      </w:r>
      <w:r w:rsidRPr="00F65BED">
        <w:rPr>
          <w:b/>
          <w:bCs/>
        </w:rPr>
        <w:t>.</w:t>
      </w:r>
    </w:p>
    <w:p w14:paraId="55B1A72B" w14:textId="77777777" w:rsidR="00F65BED" w:rsidRPr="00F65BED" w:rsidRDefault="00F65BED" w:rsidP="00F65BED">
      <w:pPr>
        <w:rPr>
          <w:b/>
          <w:bCs/>
        </w:rPr>
      </w:pPr>
    </w:p>
    <w:p w14:paraId="1B671316" w14:textId="77777777" w:rsidR="00F65BED" w:rsidRPr="00F65BED" w:rsidRDefault="00F65BED" w:rsidP="00F65BED">
      <w:pPr>
        <w:rPr>
          <w:b/>
          <w:bCs/>
        </w:rPr>
      </w:pPr>
    </w:p>
    <w:p w14:paraId="5C53ED23" w14:textId="77777777" w:rsidR="00F65BED" w:rsidRPr="00F65BED" w:rsidRDefault="00F65BED" w:rsidP="00F65BED">
      <w:pPr>
        <w:rPr>
          <w:b/>
          <w:bCs/>
        </w:rPr>
      </w:pPr>
      <w:r w:rsidRPr="00F65BED">
        <w:rPr>
          <w:b/>
          <w:bCs/>
        </w:rPr>
        <w:t>Critical Assessment and Recommendations:</w:t>
      </w:r>
    </w:p>
    <w:p w14:paraId="1ABD2FC2" w14:textId="77777777" w:rsidR="00F65BED" w:rsidRPr="00F65BED" w:rsidRDefault="00F65BED" w:rsidP="00F65BED">
      <w:pPr>
        <w:rPr>
          <w:b/>
          <w:bCs/>
        </w:rPr>
      </w:pPr>
    </w:p>
    <w:p w14:paraId="66DDE95C" w14:textId="77777777" w:rsidR="00F65BED" w:rsidRPr="00F65BED" w:rsidRDefault="00F65BED" w:rsidP="00F65BED">
      <w:r w:rsidRPr="00F65BED">
        <w:t>While the strategies outlined above represent important efforts to reduce re-offending among individuals involved in knife crime, several challenges persist:</w:t>
      </w:r>
    </w:p>
    <w:p w14:paraId="6A4E5DFD" w14:textId="77777777" w:rsidR="00F65BED" w:rsidRPr="00F65BED" w:rsidRDefault="00F65BED" w:rsidP="00F65BED">
      <w:pPr>
        <w:rPr>
          <w:b/>
          <w:bCs/>
        </w:rPr>
      </w:pPr>
    </w:p>
    <w:p w14:paraId="200560D3" w14:textId="77777777" w:rsidR="00F65BED" w:rsidRDefault="00F65BED" w:rsidP="00F65BED">
      <w:pPr>
        <w:rPr>
          <w:b/>
          <w:bCs/>
        </w:rPr>
      </w:pPr>
    </w:p>
    <w:p w14:paraId="4CC2F2E4" w14:textId="77777777" w:rsidR="00F65BED" w:rsidRDefault="00F65BED" w:rsidP="00F65BED">
      <w:pPr>
        <w:rPr>
          <w:b/>
          <w:bCs/>
        </w:rPr>
      </w:pPr>
    </w:p>
    <w:p w14:paraId="5B789E81" w14:textId="096041A4" w:rsidR="00F65BED" w:rsidRPr="00F65BED" w:rsidRDefault="00F65BED" w:rsidP="00F65BED">
      <w:pPr>
        <w:rPr>
          <w:b/>
          <w:bCs/>
        </w:rPr>
      </w:pPr>
      <w:r w:rsidRPr="00F65BED">
        <w:rPr>
          <w:b/>
          <w:bCs/>
        </w:rPr>
        <w:lastRenderedPageBreak/>
        <w:t>Equity and Access:</w:t>
      </w:r>
    </w:p>
    <w:p w14:paraId="3D65B4C6" w14:textId="77777777" w:rsidR="00F65BED" w:rsidRPr="00F65BED" w:rsidRDefault="00F65BED" w:rsidP="00F65BED">
      <w:r w:rsidRPr="00F65BED">
        <w:t>Ensuring fair access to interventions and support services for people from different communities and backgrounds is imperative. Socioeconomic gaps and structural obstacles that could impede people's access to opportunities and assistance should be addressed (Densley &amp; Peterson, 2019).</w:t>
      </w:r>
    </w:p>
    <w:p w14:paraId="01D4D7B7" w14:textId="77777777" w:rsidR="00F65BED" w:rsidRPr="00F65BED" w:rsidRDefault="00F65BED" w:rsidP="00F65BED">
      <w:pPr>
        <w:rPr>
          <w:b/>
          <w:bCs/>
        </w:rPr>
      </w:pPr>
    </w:p>
    <w:p w14:paraId="5D643B68" w14:textId="77777777" w:rsidR="00F65BED" w:rsidRPr="00F65BED" w:rsidRDefault="00F65BED" w:rsidP="00F65BED">
      <w:pPr>
        <w:rPr>
          <w:b/>
          <w:bCs/>
        </w:rPr>
      </w:pPr>
      <w:r w:rsidRPr="00F65BED">
        <w:rPr>
          <w:b/>
          <w:bCs/>
        </w:rPr>
        <w:t>Collaboration and Coordination:</w:t>
      </w:r>
    </w:p>
    <w:p w14:paraId="6947D9E6" w14:textId="77777777" w:rsidR="00F65BED" w:rsidRPr="00F65BED" w:rsidRDefault="00F65BED" w:rsidP="00F65BED">
      <w:pPr>
        <w:rPr>
          <w:b/>
          <w:bCs/>
        </w:rPr>
      </w:pPr>
      <w:r w:rsidRPr="00F65BED">
        <w:t>Effective collaboration between law enforcement agencies, community organizations, and government agencies is essential to develop holistic and coordinated responses to knife crime (Sidebottom et al., 2017). Improved information sharing, joint planning, and resource allocation can enhance the impact of interventions and maximize outcomes</w:t>
      </w:r>
      <w:r w:rsidRPr="00F65BED">
        <w:rPr>
          <w:b/>
          <w:bCs/>
        </w:rPr>
        <w:t>.</w:t>
      </w:r>
    </w:p>
    <w:p w14:paraId="047F4A97" w14:textId="77777777" w:rsidR="00F65BED" w:rsidRPr="00F65BED" w:rsidRDefault="00F65BED" w:rsidP="00F65BED">
      <w:pPr>
        <w:rPr>
          <w:b/>
          <w:bCs/>
        </w:rPr>
      </w:pPr>
    </w:p>
    <w:p w14:paraId="225D23E7" w14:textId="77777777" w:rsidR="00F65BED" w:rsidRPr="00F65BED" w:rsidRDefault="00F65BED" w:rsidP="00F65BED">
      <w:pPr>
        <w:rPr>
          <w:b/>
          <w:bCs/>
        </w:rPr>
      </w:pPr>
      <w:r w:rsidRPr="00F65BED">
        <w:rPr>
          <w:b/>
          <w:bCs/>
        </w:rPr>
        <w:t>Evidence-Based Practices:</w:t>
      </w:r>
    </w:p>
    <w:p w14:paraId="6A370C5D" w14:textId="77777777" w:rsidR="00F65BED" w:rsidRPr="00F65BED" w:rsidRDefault="00F65BED" w:rsidP="00F65BED">
      <w:r w:rsidRPr="00F65BED">
        <w:t>Interventions should be informed by empirical evidence and rigorous evaluation to determine their effectiveness and inform future decision-making (Pitts et al., 2018). Investing in research and evaluation studies can help identify promising practices, assess their impact, and guide the allocation of resources.</w:t>
      </w:r>
    </w:p>
    <w:p w14:paraId="5CE23582" w14:textId="77777777" w:rsidR="00F65BED" w:rsidRPr="00F65BED" w:rsidRDefault="00F65BED" w:rsidP="00F65BED">
      <w:pPr>
        <w:rPr>
          <w:b/>
          <w:bCs/>
        </w:rPr>
      </w:pPr>
    </w:p>
    <w:p w14:paraId="6D2BA161" w14:textId="77777777" w:rsidR="00F65BED" w:rsidRPr="00F65BED" w:rsidRDefault="00F65BED" w:rsidP="00F65BED">
      <w:pPr>
        <w:rPr>
          <w:b/>
          <w:bCs/>
        </w:rPr>
      </w:pPr>
    </w:p>
    <w:p w14:paraId="3DDAE852" w14:textId="77777777" w:rsidR="00F65BED" w:rsidRPr="00F65BED" w:rsidRDefault="00F65BED" w:rsidP="00F65BED">
      <w:pPr>
        <w:rPr>
          <w:b/>
          <w:bCs/>
        </w:rPr>
      </w:pPr>
      <w:r w:rsidRPr="00F65BED">
        <w:rPr>
          <w:b/>
          <w:bCs/>
        </w:rPr>
        <w:t>Conclusion:</w:t>
      </w:r>
    </w:p>
    <w:p w14:paraId="120F62CA" w14:textId="77777777" w:rsidR="00F65BED" w:rsidRPr="00F65BED" w:rsidRDefault="00F65BED" w:rsidP="00F65BED">
      <w:pPr>
        <w:rPr>
          <w:b/>
          <w:bCs/>
        </w:rPr>
      </w:pPr>
    </w:p>
    <w:p w14:paraId="734DA06B" w14:textId="77777777" w:rsidR="00F65BED" w:rsidRPr="00F65BED" w:rsidRDefault="00F65BED" w:rsidP="00F65BED">
      <w:r w:rsidRPr="00F65BED">
        <w:t>Addressing knife crime in the UK requires a comprehensive and nuanced approach that combines law enforcement efforts, prevention initiatives, and rehabilitation programs. While progress has been made in implementing strategies to reduce re-offending, there are ongoing challenges that must be addressed to achieve meaningful and sustainable outcomes. By critically assessing existing strategies and prioritizing collaboration, equity, and evidence-based practices, stakeholders can work towards mitigating the impact of knife crime and fostering safer communities for all.</w:t>
      </w:r>
    </w:p>
    <w:p w14:paraId="4D0B96AC" w14:textId="77777777" w:rsidR="00F65BED" w:rsidRPr="00F65BED" w:rsidRDefault="00F65BED" w:rsidP="00F65BED">
      <w:pPr>
        <w:rPr>
          <w:b/>
          <w:bCs/>
        </w:rPr>
      </w:pPr>
    </w:p>
    <w:p w14:paraId="67CE161F" w14:textId="77777777" w:rsidR="00640EEE" w:rsidRDefault="00640EEE" w:rsidP="00640EEE"/>
    <w:p w14:paraId="1CA630D0" w14:textId="43221FD8" w:rsidR="00640EEE" w:rsidRDefault="00F65BED" w:rsidP="00640EEE">
      <w:r>
        <w:t>WORD COUNT – 1141</w:t>
      </w:r>
    </w:p>
    <w:p w14:paraId="568FD33C" w14:textId="77777777" w:rsidR="00F65BED" w:rsidRDefault="00F65BED" w:rsidP="00640EEE"/>
    <w:p w14:paraId="375B44B1" w14:textId="77777777" w:rsidR="00F65BED" w:rsidRDefault="00F65BED" w:rsidP="00640EEE"/>
    <w:p w14:paraId="64CA1742" w14:textId="77777777" w:rsidR="00F65BED" w:rsidRDefault="00F65BED" w:rsidP="00640EEE"/>
    <w:p w14:paraId="51A535C7" w14:textId="77777777" w:rsidR="00F65BED" w:rsidRDefault="00F65BED" w:rsidP="00640EEE"/>
    <w:p w14:paraId="6DD518CE" w14:textId="77777777" w:rsidR="00F65BED" w:rsidRDefault="00F65BED" w:rsidP="00640EEE"/>
    <w:p w14:paraId="71432D48" w14:textId="77777777" w:rsidR="00F65BED" w:rsidRDefault="00F65BED" w:rsidP="00640EEE"/>
    <w:p w14:paraId="10231B3E" w14:textId="77777777" w:rsidR="00F65BED" w:rsidRDefault="00F65BED" w:rsidP="00640EEE"/>
    <w:p w14:paraId="3D461693" w14:textId="4070282D" w:rsidR="00F65BED" w:rsidRDefault="00F65BED" w:rsidP="00640EEE">
      <w:pPr>
        <w:rPr>
          <w:b/>
          <w:bCs/>
          <w:u w:val="single"/>
        </w:rPr>
      </w:pPr>
      <w:r w:rsidRPr="00F65BED">
        <w:rPr>
          <w:b/>
          <w:bCs/>
          <w:u w:val="single"/>
        </w:rPr>
        <w:lastRenderedPageBreak/>
        <w:t>BIBLIOGRAPHY</w:t>
      </w:r>
    </w:p>
    <w:p w14:paraId="735AA958" w14:textId="77777777" w:rsidR="00F65BED" w:rsidRPr="00F65BED" w:rsidRDefault="00F65BED" w:rsidP="00F65BED">
      <w:r w:rsidRPr="00F65BED">
        <w:t>BBC News - "Why is knife crime on the rise?": https://www.bbc.com/news/uk-42749089</w:t>
      </w:r>
    </w:p>
    <w:p w14:paraId="781F8C2D" w14:textId="77777777" w:rsidR="00F65BED" w:rsidRPr="00F65BED" w:rsidRDefault="00F65BED" w:rsidP="00F65BED"/>
    <w:p w14:paraId="6D519A3F" w14:textId="77777777" w:rsidR="00F65BED" w:rsidRPr="00F65BED" w:rsidRDefault="00F65BED" w:rsidP="00F65BED">
      <w:r w:rsidRPr="00F65BED">
        <w:t>Bennett, T., &amp; Holloway, K. (2014). Gang membership, delinquent peers, and delinquent behavior. Journal of Criminal Justice, 42(6), 553-561. (accessed 16th March 2024)</w:t>
      </w:r>
    </w:p>
    <w:p w14:paraId="6E97657C" w14:textId="77777777" w:rsidR="00F65BED" w:rsidRPr="00F65BED" w:rsidRDefault="00F65BED" w:rsidP="00F65BED"/>
    <w:p w14:paraId="411D36F7" w14:textId="77777777" w:rsidR="00F65BED" w:rsidRPr="00F65BED" w:rsidRDefault="00F65BED" w:rsidP="00F65BED">
      <w:r w:rsidRPr="00F65BED">
        <w:t>Bjerregaard, B., &amp; Smith, C. (2014). Gender differences in gang membership and delinquency: A longitudinal perspective. Justice Quarterly, 31(6), 995-1028.  (accessed 16th March 2024)</w:t>
      </w:r>
    </w:p>
    <w:p w14:paraId="18D27162" w14:textId="77777777" w:rsidR="00F65BED" w:rsidRPr="00F65BED" w:rsidRDefault="00F65BED" w:rsidP="00F65BED"/>
    <w:p w14:paraId="5C54734C" w14:textId="77777777" w:rsidR="00F65BED" w:rsidRPr="00F65BED" w:rsidRDefault="00F65BED" w:rsidP="00F65BED">
      <w:r w:rsidRPr="00F65BED">
        <w:t>College of policing. (2024). College of policing. [Online]. College of policing. Available at: https://www.college.police.uk/ethics/code-of-ethics/guidance [Accessed 6 March 2024].</w:t>
      </w:r>
    </w:p>
    <w:p w14:paraId="2ED81B61" w14:textId="77777777" w:rsidR="00F65BED" w:rsidRPr="00F65BED" w:rsidRDefault="00F65BED" w:rsidP="00F65BED"/>
    <w:p w14:paraId="339F19E0" w14:textId="77777777" w:rsidR="00F65BED" w:rsidRPr="00F65BED" w:rsidRDefault="00F65BED" w:rsidP="00F65BED">
      <w:r w:rsidRPr="00F65BED">
        <w:t>Cubitt T., Lesic, R., Myers, G. &amp; Corry, R. (2017) Body-worn video: A systematic review of literature. Australian &amp; New Zealand Journal of Criminology, 50(3), 379-396. [Accessed 12 March 2024].</w:t>
      </w:r>
    </w:p>
    <w:p w14:paraId="79B084B5" w14:textId="77777777" w:rsidR="00F65BED" w:rsidRPr="00F65BED" w:rsidRDefault="00F65BED" w:rsidP="00F65BED"/>
    <w:p w14:paraId="03E007E6" w14:textId="77777777" w:rsidR="00F65BED" w:rsidRPr="00F65BED" w:rsidRDefault="00F65BED" w:rsidP="00F65BED">
      <w:r w:rsidRPr="00F65BED">
        <w:t>Crawford, A. (2020). Crime Prevention in England and Wales: The Way Forward. Palgrave Macmillan. (accessed 16th March 2024)</w:t>
      </w:r>
    </w:p>
    <w:p w14:paraId="449BA4A6" w14:textId="77777777" w:rsidR="00F65BED" w:rsidRPr="00F65BED" w:rsidRDefault="00F65BED" w:rsidP="00F65BED"/>
    <w:p w14:paraId="22084095" w14:textId="77777777" w:rsidR="00F65BED" w:rsidRPr="00F65BED" w:rsidRDefault="00F65BED" w:rsidP="00F65BED">
      <w:r w:rsidRPr="00F65BED">
        <w:t>Dawson, P., &amp; Stevens, A. (2020). Rehabilitation, reintegration, and desistance from knife crime: A qualitative study of practitioners' perspectives. European Journal of Criminology. (accessed 16th March 2024)</w:t>
      </w:r>
    </w:p>
    <w:p w14:paraId="31A26A86" w14:textId="77777777" w:rsidR="00F65BED" w:rsidRPr="00F65BED" w:rsidRDefault="00F65BED" w:rsidP="00F65BED"/>
    <w:p w14:paraId="3EDD5AB7" w14:textId="77777777" w:rsidR="00F65BED" w:rsidRPr="00F65BED" w:rsidRDefault="00F65BED" w:rsidP="00F65BED">
      <w:r w:rsidRPr="00F65BED">
        <w:t>Densley, J. A., &amp; Peterson, J. (2019). Mapping the social contagion of violence: The role of co-offending networks. Journal of Quantitative Criminology, 35(1), 23-45. (accessed 26th March 2024)</w:t>
      </w:r>
    </w:p>
    <w:p w14:paraId="4CEDF59F" w14:textId="77777777" w:rsidR="00F65BED" w:rsidRPr="00F65BED" w:rsidRDefault="00F65BED" w:rsidP="00F65BED"/>
    <w:p w14:paraId="5FF4B81D" w14:textId="77777777" w:rsidR="00F65BED" w:rsidRPr="00F65BED" w:rsidRDefault="00F65BED" w:rsidP="00F65BED">
      <w:r w:rsidRPr="00F65BED">
        <w:t>Gannon, T. A., &amp; Canter, D. V. (2018). The characteristics of British knife crimes: A comparative analysis. Journal of Investigative Psychology and Offender Profiling, 15(1), 86-107.  (accessed 26th March 2024)</w:t>
      </w:r>
    </w:p>
    <w:p w14:paraId="4A482B31" w14:textId="77777777" w:rsidR="00F65BED" w:rsidRPr="00F65BED" w:rsidRDefault="00F65BED" w:rsidP="00F65BED"/>
    <w:p w14:paraId="4DADDDE7" w14:textId="77777777" w:rsidR="00F65BED" w:rsidRPr="00F65BED" w:rsidRDefault="00F65BED" w:rsidP="00F65BED"/>
    <w:p w14:paraId="2226BE5D" w14:textId="77777777" w:rsidR="00F65BED" w:rsidRPr="00F65BED" w:rsidRDefault="00F65BED" w:rsidP="00F65BED">
      <w:r w:rsidRPr="00F65BED">
        <w:t>Hester, R., &amp; Lilley, S. (2016). The impact of stop and search powers on communities in England: A review of the evidence. Open Society Foundations. (accessed 26th March 2024)</w:t>
      </w:r>
    </w:p>
    <w:p w14:paraId="4361A849" w14:textId="77777777" w:rsidR="00F65BED" w:rsidRPr="00F65BED" w:rsidRDefault="00F65BED" w:rsidP="00F65BED"/>
    <w:p w14:paraId="1481E2B2" w14:textId="77777777" w:rsidR="00F65BED" w:rsidRPr="00F65BED" w:rsidRDefault="00F65BED" w:rsidP="00F65BED">
      <w:r w:rsidRPr="00F65BED">
        <w:t>Home Office. (2020). Knife crime statistics for England and Wales: Year ending March 2020. Home Office Statistical Bulletin. (accessed 16th March 2024)</w:t>
      </w:r>
    </w:p>
    <w:p w14:paraId="55E288E6" w14:textId="77777777" w:rsidR="00F65BED" w:rsidRPr="00F65BED" w:rsidRDefault="00F65BED" w:rsidP="00F65BED"/>
    <w:p w14:paraId="6EAACF45" w14:textId="77777777" w:rsidR="00F65BED" w:rsidRPr="00F65BED" w:rsidRDefault="00F65BED" w:rsidP="00F65BED">
      <w:r w:rsidRPr="00F65BED">
        <w:t>Home Office - "Serious violence strategy": https://www.gov.uk/government/publications/serious-violence-strategy. (accessed 26th March 2024)</w:t>
      </w:r>
    </w:p>
    <w:p w14:paraId="29DE839A" w14:textId="77777777" w:rsidR="00F65BED" w:rsidRPr="00F65BED" w:rsidRDefault="00F65BED" w:rsidP="00F65BED"/>
    <w:p w14:paraId="586B7666" w14:textId="77777777" w:rsidR="00F65BED" w:rsidRPr="00F65BED" w:rsidRDefault="00F65BED" w:rsidP="00F65BED">
      <w:r w:rsidRPr="00F65BED">
        <w:t>House of Commons Home Affairs Committee. (2020). Policing for the Future. Retrieved from https://committees.parliament.uk/publications/4211/documents/40342/default/</w:t>
      </w:r>
    </w:p>
    <w:p w14:paraId="2DA9FD86" w14:textId="77777777" w:rsidR="00F65BED" w:rsidRPr="00F65BED" w:rsidRDefault="00F65BED" w:rsidP="00F65BED"/>
    <w:p w14:paraId="6D6FC8AE" w14:textId="77777777" w:rsidR="00F65BED" w:rsidRPr="00F65BED" w:rsidRDefault="00F65BED" w:rsidP="00F65BED">
      <w:r w:rsidRPr="00F65BED">
        <w:t>National Crime Agency. (2017). County Lines Gangs: Exploiting Vulnerable People. Retrieved from https://www.nationalcrimeagency.gov.uk/who-we-are/publications/174-county-lines-gangs-exploiting-vulnerable-people</w:t>
      </w:r>
    </w:p>
    <w:p w14:paraId="7472B498" w14:textId="77777777" w:rsidR="00F65BED" w:rsidRPr="00F65BED" w:rsidRDefault="00F65BED" w:rsidP="00F65BED"/>
    <w:p w14:paraId="6F870EF2" w14:textId="77777777" w:rsidR="00F65BED" w:rsidRPr="00F65BED" w:rsidRDefault="00F65BED" w:rsidP="00F65BED">
      <w:r w:rsidRPr="00F65BED">
        <w:t>Newburn, T., &amp; Reiner, R. (2007). Policing and the Police. In Handbook of Policing (pp. 1-37). Routledge. (accessed 16th March 2024)</w:t>
      </w:r>
    </w:p>
    <w:p w14:paraId="2B555120" w14:textId="77777777" w:rsidR="00F65BED" w:rsidRPr="00F65BED" w:rsidRDefault="00F65BED" w:rsidP="00F65BED"/>
    <w:p w14:paraId="0316122B" w14:textId="77777777" w:rsidR="00F65BED" w:rsidRPr="00F65BED" w:rsidRDefault="00F65BED" w:rsidP="00F65BED">
      <w:r w:rsidRPr="00F65BED">
        <w:t>NPCC. (2016). policing vision. [Online]. Police chiefs and PCCs set out a vision for policing in 2025. Last Updated: 2024. Available at: https://news.npcc.police.uk/releases/police-chiefs-and-pccs-set-out-a-vision-for-policing-in-2025 [Accessed 6 March 2024].</w:t>
      </w:r>
    </w:p>
    <w:p w14:paraId="00C3B16C" w14:textId="77777777" w:rsidR="00F65BED" w:rsidRPr="00F65BED" w:rsidRDefault="00F65BED" w:rsidP="00F65BED"/>
    <w:p w14:paraId="6E7A3FBF" w14:textId="77777777" w:rsidR="00F65BED" w:rsidRPr="00F65BED" w:rsidRDefault="00F65BED" w:rsidP="00F65BED">
      <w:r w:rsidRPr="00F65BED">
        <w:t>Pitts, J., Liddle, M., Heslop, R., &amp; Rechel, B. (2018). A review of evidence and effective interventions. Health evidence network synthesis report. (accessed 16th March 2024)</w:t>
      </w:r>
    </w:p>
    <w:p w14:paraId="62EC661C" w14:textId="77777777" w:rsidR="00F65BED" w:rsidRPr="00F65BED" w:rsidRDefault="00F65BED" w:rsidP="00F65BED"/>
    <w:p w14:paraId="22162434" w14:textId="77777777" w:rsidR="00F65BED" w:rsidRPr="00F65BED" w:rsidRDefault="00F65BED" w:rsidP="00F65BED">
      <w:r w:rsidRPr="00F65BED">
        <w:t>Sidebottom, A., Tompson, L., &amp; Bullock, K. (2017). Investigating serious and organized crime in local areas: Understanding and supporting police work. Journal of Criminal Justice, 53, 56-65. (accessed 16th March 2024)</w:t>
      </w:r>
    </w:p>
    <w:p w14:paraId="4677A52C" w14:textId="77777777" w:rsidR="00F65BED" w:rsidRPr="00F65BED" w:rsidRDefault="00F65BED" w:rsidP="00F65BED"/>
    <w:p w14:paraId="7708715B" w14:textId="77777777" w:rsidR="00F65BED" w:rsidRPr="00F65BED" w:rsidRDefault="00F65BED" w:rsidP="00F65BED">
      <w:r w:rsidRPr="00F65BED">
        <w:t>Taylor, R., Morley, S., &amp; Hall, A. (2019). Local experiences of knife crime: A study of young people in London. Journal of Interpersonal Violence.</w:t>
      </w:r>
    </w:p>
    <w:p w14:paraId="19F1B13D" w14:textId="77777777" w:rsidR="00F65BED" w:rsidRPr="00F65BED" w:rsidRDefault="00F65BED" w:rsidP="00F65BED"/>
    <w:p w14:paraId="68292A54" w14:textId="77777777" w:rsidR="00F65BED" w:rsidRPr="00F65BED" w:rsidRDefault="00F65BED" w:rsidP="00F65BED">
      <w:r w:rsidRPr="00F65BED">
        <w:t>The Conversation - "Knife crime: causes and solutions": https://theconversation.com/knife-crime-causes-and-solutions-111418</w:t>
      </w:r>
    </w:p>
    <w:p w14:paraId="0E49C910" w14:textId="77777777" w:rsidR="00F65BED" w:rsidRPr="00F65BED" w:rsidRDefault="00F65BED" w:rsidP="00F65BED"/>
    <w:p w14:paraId="17A45FC0" w14:textId="3FB3178C" w:rsidR="00F65BED" w:rsidRPr="00F65BED" w:rsidRDefault="00F65BED" w:rsidP="00F65BED">
      <w:r w:rsidRPr="00F65BED">
        <w:t>The Guardian - "Austerity and inequality fuelling rise in knife crime – police chief": https://www.theguardian.com/uk-news/2019/jan/27/austerity-and-inequality-fuelling-rise-in-knife-crime-police-chief</w:t>
      </w:r>
    </w:p>
    <w:p w14:paraId="5BBD123B" w14:textId="31BBE457" w:rsidR="008D03F4" w:rsidRPr="00F65BED" w:rsidRDefault="008D03F4" w:rsidP="00640EEE"/>
    <w:sectPr w:rsidR="008D03F4" w:rsidRPr="00F65B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0825B" w14:textId="77777777" w:rsidR="0000000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E523C1" w14:textId="77777777" w:rsidR="00000000"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p w14:paraId="1E9960A2" w14:textId="77777777" w:rsidR="00000000" w:rsidRPr="00BB5EAA" w:rsidRDefault="0000000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EE5C4B"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C6341E" w14:textId="77777777" w:rsidR="00000000"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06E81D" w14:textId="77777777" w:rsidR="00000000"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AB71C8" w14:textId="77777777" w:rsidR="0000000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6029A1"/>
    <w:multiLevelType w:val="hybridMultilevel"/>
    <w:tmpl w:val="CFAC7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CA71FA"/>
    <w:multiLevelType w:val="multilevel"/>
    <w:tmpl w:val="A79A3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4744487">
    <w:abstractNumId w:val="0"/>
  </w:num>
  <w:num w:numId="2" w16cid:durableId="5440984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F85"/>
    <w:rsid w:val="0005317C"/>
    <w:rsid w:val="00097705"/>
    <w:rsid w:val="000D382E"/>
    <w:rsid w:val="001F12E9"/>
    <w:rsid w:val="002227D5"/>
    <w:rsid w:val="004916B2"/>
    <w:rsid w:val="00501503"/>
    <w:rsid w:val="00506033"/>
    <w:rsid w:val="005B5EDE"/>
    <w:rsid w:val="005F7D5D"/>
    <w:rsid w:val="00640EEE"/>
    <w:rsid w:val="006555A4"/>
    <w:rsid w:val="00712B0C"/>
    <w:rsid w:val="00723F85"/>
    <w:rsid w:val="00850FE6"/>
    <w:rsid w:val="008D03F4"/>
    <w:rsid w:val="00974B44"/>
    <w:rsid w:val="009F0A25"/>
    <w:rsid w:val="00A62E48"/>
    <w:rsid w:val="00AF69C3"/>
    <w:rsid w:val="00B37A8A"/>
    <w:rsid w:val="00B41FE1"/>
    <w:rsid w:val="00D903CA"/>
    <w:rsid w:val="00E21476"/>
    <w:rsid w:val="00E833D6"/>
    <w:rsid w:val="00F65BED"/>
    <w:rsid w:val="00FA67D3"/>
    <w:rsid w:val="00FB73EA"/>
    <w:rsid w:val="00FF6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66D4A6"/>
  <w15:chartTrackingRefBased/>
  <w15:docId w15:val="{F0787827-CBC4-41FC-82BB-EB6A84107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1503"/>
    <w:pPr>
      <w:ind w:left="720"/>
      <w:contextualSpacing/>
    </w:pPr>
  </w:style>
  <w:style w:type="character" w:styleId="Hyperlink">
    <w:name w:val="Hyperlink"/>
    <w:basedOn w:val="DefaultParagraphFont"/>
    <w:uiPriority w:val="99"/>
    <w:unhideWhenUsed/>
    <w:rsid w:val="008D03F4"/>
    <w:rPr>
      <w:color w:val="0563C1" w:themeColor="hyperlink"/>
      <w:u w:val="single"/>
    </w:rPr>
  </w:style>
  <w:style w:type="character" w:styleId="UnresolvedMention">
    <w:name w:val="Unresolved Mention"/>
    <w:basedOn w:val="DefaultParagraphFont"/>
    <w:uiPriority w:val="99"/>
    <w:semiHidden/>
    <w:unhideWhenUsed/>
    <w:rsid w:val="008D03F4"/>
    <w:rPr>
      <w:color w:val="605E5C"/>
      <w:shd w:val="clear" w:color="auto" w:fill="E1DFDD"/>
    </w:rPr>
  </w:style>
  <w:style w:type="paragraph" w:styleId="Header">
    <w:name w:val="header"/>
    <w:basedOn w:val="Normal"/>
    <w:link w:val="HeaderChar"/>
    <w:uiPriority w:val="99"/>
    <w:semiHidden/>
    <w:unhideWhenUsed/>
    <w:rsid w:val="008D03F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D03F4"/>
  </w:style>
  <w:style w:type="paragraph" w:styleId="Footer">
    <w:name w:val="footer"/>
    <w:basedOn w:val="Normal"/>
    <w:link w:val="FooterChar"/>
    <w:uiPriority w:val="99"/>
    <w:semiHidden/>
    <w:unhideWhenUsed/>
    <w:rsid w:val="008D03F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D03F4"/>
  </w:style>
  <w:style w:type="table" w:styleId="TableGrid">
    <w:name w:val="Table Grid"/>
    <w:basedOn w:val="TableNormal"/>
    <w:rsid w:val="008D03F4"/>
    <w:pPr>
      <w:spacing w:after="0" w:line="240" w:lineRule="auto"/>
    </w:pPr>
    <w:rPr>
      <w:rFonts w:ascii="Times New Roman" w:eastAsia="Times New Roman" w:hAnsi="Times New Roman" w:cs="Times New Roman"/>
      <w:kern w:val="0"/>
      <w:sz w:val="20"/>
      <w:szCs w:val="20"/>
      <w:lang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5324949">
      <w:bodyDiv w:val="1"/>
      <w:marLeft w:val="0"/>
      <w:marRight w:val="0"/>
      <w:marTop w:val="0"/>
      <w:marBottom w:val="0"/>
      <w:divBdr>
        <w:top w:val="none" w:sz="0" w:space="0" w:color="auto"/>
        <w:left w:val="none" w:sz="0" w:space="0" w:color="auto"/>
        <w:bottom w:val="none" w:sz="0" w:space="0" w:color="auto"/>
        <w:right w:val="none" w:sz="0" w:space="0" w:color="auto"/>
      </w:divBdr>
    </w:div>
    <w:div w:id="507714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faithbehavioralhealth.com/why-do-i-have-a-delayed-emotional-response/"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eader" Target="header3.xm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31</Pages>
  <Words>9270</Words>
  <Characters>55069</Characters>
  <Application>Microsoft Office Word</Application>
  <DocSecurity>0</DocSecurity>
  <Lines>1251</Lines>
  <Paragraphs>323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Williams,Andrew swp8480</dc:creator>
  <cp:keywords/>
  <dc:description/>
  <cp:lastModifiedBy>shelley pace</cp:lastModifiedBy>
  <cp:revision>3</cp:revision>
  <dcterms:created xsi:type="dcterms:W3CDTF">2024-04-08T10:02:00Z</dcterms:created>
  <dcterms:modified xsi:type="dcterms:W3CDTF">2024-04-08T10:02:00Z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2024-03-06T22:48:08Z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01479e13-c7a6-4f74-a13f-92a44fc868c9</vt:lpwstr>
  </property>
  <property fmtid="{D5CDD505-2E9C-101B-9397-08002B2CF9AE}" pid="8" name="MSIP_Label_66cf8fe5-b7b7-4df7-b38d-1c61ac2f6639_ContentBits">
    <vt:lpwstr>0</vt:lpwstr>
  </property>
  <property fmtid="{D5CDD505-2E9C-101B-9397-08002B2CF9AE}" pid="9" name="GrammarlyDocumentId">
    <vt:lpwstr>f6a9cb33652719aa6113bf4b7b96ca90847658bd3377e5491d44845a72cc1644</vt:lpwstr>
  </property>
</Properties>
</file>