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58838" w14:textId="69372D3F" w:rsidR="00F536D3" w:rsidRDefault="00277DCD">
      <w:r>
        <w:t xml:space="preserve">Currently, the UK constitution is made up of </w:t>
      </w:r>
      <w:proofErr w:type="gramStart"/>
      <w:r>
        <w:t xml:space="preserve">a </w:t>
      </w:r>
      <w:r w:rsidR="00A62DA6">
        <w:t xml:space="preserve">large </w:t>
      </w:r>
      <w:r>
        <w:t>number of</w:t>
      </w:r>
      <w:proofErr w:type="gramEnd"/>
      <w:r>
        <w:t xml:space="preserve"> law</w:t>
      </w:r>
      <w:r w:rsidR="004C1636">
        <w:t>s</w:t>
      </w:r>
      <w:r>
        <w:t xml:space="preserve"> passed by the United Kingdom Parliament known</w:t>
      </w:r>
      <w:r w:rsidR="004C1636">
        <w:t xml:space="preserve"> as statutes (House of Commons, 2015)</w:t>
      </w:r>
      <w:r w:rsidR="00D358B3">
        <w:t xml:space="preserve">; these statutes can be on any issue and have no legal restriction. </w:t>
      </w:r>
      <w:r w:rsidR="000E101F">
        <w:t xml:space="preserve">For a bill to be made an act of law it must pass in both houses of parliament and be given royal assent (UK Parliament, 2022). </w:t>
      </w:r>
      <w:r w:rsidR="00872A2B">
        <w:t xml:space="preserve">Because acts of parliament are ‘primary legislation’, they are not subordinate to any other legal authority in the United Kingdom </w:t>
      </w:r>
      <w:bookmarkStart w:id="0" w:name="_Hlk101528155"/>
      <w:r w:rsidR="00872A2B">
        <w:t>(Legislation.GOV.UK, 2020</w:t>
      </w:r>
      <w:bookmarkEnd w:id="0"/>
      <w:r w:rsidR="00872A2B">
        <w:t>). Despite this, as a piece of law, statutes can be interpreted within the courts, with these interpretation</w:t>
      </w:r>
      <w:r w:rsidR="000C6B8F">
        <w:t>s</w:t>
      </w:r>
      <w:r w:rsidR="00872A2B">
        <w:t xml:space="preserve"> forming what is known as “case law” (</w:t>
      </w:r>
      <w:r w:rsidR="00872A2B" w:rsidRPr="00872A2B">
        <w:t>Legislation.GOV.UK, 2020</w:t>
      </w:r>
      <w:r w:rsidR="00872A2B">
        <w:t xml:space="preserve">). This process </w:t>
      </w:r>
      <w:r w:rsidR="007E362C">
        <w:t xml:space="preserve">is called </w:t>
      </w:r>
      <w:r w:rsidR="00121E47">
        <w:t>‘</w:t>
      </w:r>
      <w:r w:rsidR="007E362C">
        <w:t>statutory interpretation</w:t>
      </w:r>
      <w:r w:rsidR="00121E47">
        <w:t>’</w:t>
      </w:r>
      <w:r w:rsidR="007E362C">
        <w:t>.</w:t>
      </w:r>
      <w:r w:rsidR="00143E4A">
        <w:t xml:space="preserve"> There is debate surrounding this as some believe that the idea that the courts can effectively apply the law however they see fit diminishes the principle of statues being ‘primary legislation’. Alternatively, it is also argued that statutory interpretation is necessary as acts of parliament are often ambiguous, leading to complications in their practical application (House of Commons, 1993).</w:t>
      </w:r>
    </w:p>
    <w:p w14:paraId="0ECFED98" w14:textId="77777777" w:rsidR="00F536D3" w:rsidRDefault="00F536D3"/>
    <w:p w14:paraId="30B276B2" w14:textId="22072D19" w:rsidR="00242F3D" w:rsidRPr="00242F3D" w:rsidRDefault="00F536D3" w:rsidP="00242F3D">
      <w:r>
        <w:t xml:space="preserve">Much of the criticism directed at statutory interpretation relates to the principle of ‘parliamentary sovereignty’. Parliamentary sovereignty is regarded as the salient principle of the UK constitution (UK Parliament, 2022). </w:t>
      </w:r>
      <w:r w:rsidR="000A5C78">
        <w:t xml:space="preserve">Parliamentary Sovereignty means that parliament is senior to all other legislative and legal authorities in the United Kingdom, effectively meaning that parliament can make or repeal any law that it </w:t>
      </w:r>
      <w:r w:rsidR="00796251">
        <w:t>wishes</w:t>
      </w:r>
      <w:r w:rsidR="000A5C78">
        <w:t xml:space="preserve"> to (</w:t>
      </w:r>
      <w:proofErr w:type="spellStart"/>
      <w:r w:rsidR="008012F7">
        <w:t>Polyas</w:t>
      </w:r>
      <w:proofErr w:type="spellEnd"/>
      <w:r w:rsidR="008012F7">
        <w:t>, 2017).</w:t>
      </w:r>
      <w:r w:rsidR="00796251">
        <w:t xml:space="preserve"> This supremacy over all other forms of law in the United Kingdom also include</w:t>
      </w:r>
      <w:r w:rsidR="0098162C">
        <w:t>s</w:t>
      </w:r>
      <w:r w:rsidR="00796251">
        <w:t xml:space="preserve"> case law, which is created through statutory interpretation (</w:t>
      </w:r>
      <w:proofErr w:type="spellStart"/>
      <w:r w:rsidR="00796251">
        <w:t>Foran</w:t>
      </w:r>
      <w:proofErr w:type="spellEnd"/>
      <w:r w:rsidR="00796251">
        <w:t>, 2021).</w:t>
      </w:r>
      <w:r w:rsidR="00EE1085">
        <w:t xml:space="preserve"> Therefore, it could be argued </w:t>
      </w:r>
      <w:r w:rsidR="00AF0FB8">
        <w:t xml:space="preserve">that it is impossible for statutory interpretation to diminish the role of legislation, as constitutionally, statues </w:t>
      </w:r>
      <w:r w:rsidR="00D26A52">
        <w:t>are always the dominant form of law</w:t>
      </w:r>
      <w:r w:rsidR="00AF0FB8">
        <w:t>.</w:t>
      </w:r>
      <w:r w:rsidR="006522AF">
        <w:t xml:space="preserve"> </w:t>
      </w:r>
      <w:r w:rsidR="00D26A52">
        <w:t xml:space="preserve">Additionally, statutory interpretation is authorised by parliament through the </w:t>
      </w:r>
      <w:r w:rsidR="001A66F0">
        <w:t>S</w:t>
      </w:r>
      <w:r w:rsidR="00D26A52">
        <w:t xml:space="preserve">upreme </w:t>
      </w:r>
      <w:r w:rsidR="001A66F0">
        <w:t>C</w:t>
      </w:r>
      <w:r w:rsidR="00D7084B">
        <w:t>ourt (</w:t>
      </w:r>
      <w:r w:rsidR="00242F3D" w:rsidRPr="00242F3D">
        <w:rPr>
          <w:i/>
          <w:iCs/>
        </w:rPr>
        <w:t>Constitutional Reform Act 2005</w:t>
      </w:r>
      <w:r w:rsidR="00242F3D">
        <w:t>).</w:t>
      </w:r>
      <w:r w:rsidR="001A66F0">
        <w:t xml:space="preserve"> The Supreme Court, like Parliamentary Sovereignty, is a key component </w:t>
      </w:r>
      <w:r w:rsidR="004A14E3">
        <w:t>of the United Kingdom constitution as it establishes a relationship between the public and the state (The Supreme Court, 2022).</w:t>
      </w:r>
      <w:r w:rsidR="00FB67FE">
        <w:t xml:space="preserve"> It is argued that this is critical to the continuation of democracy in the United Kingdom, as the courts </w:t>
      </w:r>
      <w:proofErr w:type="gramStart"/>
      <w:r w:rsidR="00FB67FE">
        <w:t>are able to</w:t>
      </w:r>
      <w:proofErr w:type="gramEnd"/>
      <w:r w:rsidR="00FB67FE">
        <w:t xml:space="preserve"> effectively hold the government to account on their actions (Street, 2013). Therefore, it could be argued that </w:t>
      </w:r>
      <w:r w:rsidR="00E56C89">
        <w:t xml:space="preserve">statutory interpretation </w:t>
      </w:r>
      <w:r w:rsidR="000039EB">
        <w:t xml:space="preserve">cannot be criticised for diminishing the constitution but instead can facilitate </w:t>
      </w:r>
      <w:r w:rsidR="00D55FBD">
        <w:t xml:space="preserve">a development is existing law </w:t>
      </w:r>
      <w:r w:rsidR="00A433AE">
        <w:t>(</w:t>
      </w:r>
      <w:r w:rsidR="004516BF">
        <w:t xml:space="preserve">Democratic Audit, 2018). </w:t>
      </w:r>
      <w:r w:rsidR="00242F3D">
        <w:t xml:space="preserve"> </w:t>
      </w:r>
    </w:p>
    <w:p w14:paraId="4B9AB5F7" w14:textId="7F6B445F" w:rsidR="00DE356E" w:rsidRDefault="00DE356E"/>
    <w:p w14:paraId="23EAC513" w14:textId="7D0D6085" w:rsidR="006E55C0" w:rsidRDefault="008A0EE0">
      <w:r>
        <w:t xml:space="preserve">Statutory interpretation is fully authorised by parliament and </w:t>
      </w:r>
      <w:r w:rsidR="00E67ADC">
        <w:t xml:space="preserve">the process is based on </w:t>
      </w:r>
      <w:proofErr w:type="gramStart"/>
      <w:r w:rsidR="00E67ADC">
        <w:t>a number of</w:t>
      </w:r>
      <w:proofErr w:type="gramEnd"/>
      <w:r w:rsidR="00E67ADC">
        <w:t xml:space="preserve"> </w:t>
      </w:r>
      <w:r w:rsidR="00C811AB">
        <w:t>regulations that are laid out in law (</w:t>
      </w:r>
      <w:r w:rsidR="00916B94">
        <w:rPr>
          <w:i/>
          <w:iCs/>
        </w:rPr>
        <w:t>Interpretation Act 1978</w:t>
      </w:r>
      <w:r w:rsidR="00916B94">
        <w:t>).</w:t>
      </w:r>
      <w:r w:rsidR="00B10651">
        <w:t xml:space="preserve"> </w:t>
      </w:r>
      <w:r w:rsidR="00357B72">
        <w:t xml:space="preserve">Parliament debated and passed this statue following a report by the Law Commission into the interpretation of statutes which </w:t>
      </w:r>
      <w:r w:rsidR="00FD428B">
        <w:t xml:space="preserve">stated that for the proper functioning of law in the United Kingdom, statutes must be interpreted correctly (The Law Commission, 1969); </w:t>
      </w:r>
      <w:r w:rsidR="00446335">
        <w:t>however,</w:t>
      </w:r>
      <w:r w:rsidR="00FD428B">
        <w:t xml:space="preserve"> the report also stated that there were issues associated with the process of statutory interpretation, namely </w:t>
      </w:r>
      <w:r w:rsidR="0035572E">
        <w:t>the rules upon which interpretation of statues is based upon.</w:t>
      </w:r>
      <w:r w:rsidR="00EF486F">
        <w:t xml:space="preserve"> Statutory interpretation is a necessary part of the United Kingdom legal system as statutes are often vague and ambiguous, leading to doubt over the intention of parliament and the meaning of statues; </w:t>
      </w:r>
      <w:r w:rsidR="00446335">
        <w:t>therefore,</w:t>
      </w:r>
      <w:r w:rsidR="00EF486F">
        <w:t xml:space="preserve"> acts cannot properly take effect until they are interpreted (</w:t>
      </w:r>
      <w:proofErr w:type="spellStart"/>
      <w:r w:rsidR="00446335">
        <w:t>Pey</w:t>
      </w:r>
      <w:proofErr w:type="spellEnd"/>
      <w:r w:rsidR="00446335">
        <w:t xml:space="preserve">, 2022). </w:t>
      </w:r>
      <w:r w:rsidR="002A0E0C">
        <w:t xml:space="preserve">For example, section 17 of part two of the </w:t>
      </w:r>
      <w:bookmarkStart w:id="1" w:name="_Hlk101612914"/>
      <w:r w:rsidR="002A0E0C">
        <w:t>Finance Act 2003</w:t>
      </w:r>
      <w:bookmarkEnd w:id="1"/>
      <w:r w:rsidR="002A0E0C">
        <w:t xml:space="preserve"> uses the phrase </w:t>
      </w:r>
      <w:r w:rsidR="008C73CB">
        <w:t>“taxable person” (</w:t>
      </w:r>
      <w:r w:rsidR="008C73CB" w:rsidRPr="008C73CB">
        <w:t>Finance Act 2003</w:t>
      </w:r>
      <w:r w:rsidR="008C73CB">
        <w:t xml:space="preserve">). If an individual </w:t>
      </w:r>
      <w:r w:rsidR="00F76E0B">
        <w:t xml:space="preserve">was to challenge their status as a “taxable person”, it would be the role of the court to interpret what </w:t>
      </w:r>
      <w:r w:rsidR="009319D9">
        <w:t>the intended definition of a</w:t>
      </w:r>
      <w:r w:rsidR="00F76E0B">
        <w:t xml:space="preserve"> “taxable person”</w:t>
      </w:r>
      <w:r w:rsidR="009319D9">
        <w:t xml:space="preserve"> was</w:t>
      </w:r>
      <w:r w:rsidR="00F76E0B">
        <w:t xml:space="preserve"> when the statute was written as a bill. </w:t>
      </w:r>
      <w:r w:rsidR="00B95CD3">
        <w:t xml:space="preserve">There are </w:t>
      </w:r>
      <w:proofErr w:type="gramStart"/>
      <w:r w:rsidR="00B95CD3">
        <w:t>a number of</w:t>
      </w:r>
      <w:proofErr w:type="gramEnd"/>
      <w:r w:rsidR="00B95CD3">
        <w:t xml:space="preserve"> rules which the judiciary must use to be able to interpret a statute correctly; </w:t>
      </w:r>
      <w:r w:rsidR="00B97A86">
        <w:t xml:space="preserve">the literal rule, the golden rule, the mischief rule and the purposive approach (Open University, 2022). </w:t>
      </w:r>
      <w:r w:rsidR="00B5738E">
        <w:t xml:space="preserve">Firstly, under the </w:t>
      </w:r>
      <w:r w:rsidR="0000558B">
        <w:t>‘</w:t>
      </w:r>
      <w:r w:rsidR="00B5738E">
        <w:t>literal rule</w:t>
      </w:r>
      <w:r w:rsidR="0000558B">
        <w:t>’</w:t>
      </w:r>
      <w:r w:rsidR="00B5738E">
        <w:t xml:space="preserve">, judges take each word of a statue literally rather than interpreting based on what was </w:t>
      </w:r>
      <w:proofErr w:type="gramStart"/>
      <w:r w:rsidR="00B5738E">
        <w:t>actually meant</w:t>
      </w:r>
      <w:proofErr w:type="gramEnd"/>
      <w:r w:rsidR="00B5738E">
        <w:t xml:space="preserve"> by the act; because of this, the </w:t>
      </w:r>
      <w:r w:rsidR="00B5738E">
        <w:lastRenderedPageBreak/>
        <w:t xml:space="preserve">literal rule of statutory interpretation upholds parliamentary sovereignty, however, this also means that its use fails to resolve ambiguities in statues (Open University, 2022). </w:t>
      </w:r>
      <w:r w:rsidR="008B2C16">
        <w:t xml:space="preserve">An example of the literal rule being applied is the case of </w:t>
      </w:r>
      <w:r w:rsidR="00B64AFF">
        <w:t xml:space="preserve">Fisher v Bell (1960), where </w:t>
      </w:r>
      <w:r w:rsidR="00181C3A">
        <w:t>Bell displayed a flick knife in his shop window. The sale of these weapons was illegal under the Offensive Weapons Act 1959, however, due to the lack of clarity in the writing of the statue, the court ruled that Bell had not broken the law as he had technically not offered the weapon for sale despite it being displayed</w:t>
      </w:r>
      <w:r w:rsidR="00F033AE">
        <w:t xml:space="preserve"> as they had interpreted the act literally</w:t>
      </w:r>
      <w:r w:rsidR="00181C3A">
        <w:t xml:space="preserve">; this ruling lead to Parliament </w:t>
      </w:r>
      <w:r w:rsidR="00F033AE">
        <w:t xml:space="preserve">amending the act so that it was less ambiguous </w:t>
      </w:r>
      <w:r w:rsidR="00001BD8">
        <w:t xml:space="preserve">(Open University, 2022). </w:t>
      </w:r>
      <w:r w:rsidR="007943FD">
        <w:t xml:space="preserve">For this reason, it can be argued that statutory interpretation is beneficial to the development of law in the United Kingdom, as it is able to expose issues with statues which parliament is then able to correct. </w:t>
      </w:r>
      <w:r w:rsidR="00001BD8">
        <w:t xml:space="preserve"> </w:t>
      </w:r>
      <w:r w:rsidR="0033474C">
        <w:t>Secondly,</w:t>
      </w:r>
      <w:r w:rsidR="0000558B">
        <w:t xml:space="preserve"> the ‘golden rule’</w:t>
      </w:r>
      <w:r w:rsidR="0033474C">
        <w:t xml:space="preserve"> </w:t>
      </w:r>
      <w:r w:rsidR="00980DC8">
        <w:t xml:space="preserve">is </w:t>
      </w:r>
      <w:proofErr w:type="gramStart"/>
      <w:r w:rsidR="00980DC8">
        <w:t>similar to</w:t>
      </w:r>
      <w:proofErr w:type="gramEnd"/>
      <w:r w:rsidR="00980DC8">
        <w:t xml:space="preserve"> the literal rule in that it takes statues literally, however if said interpretation produces an absurd outcome then </w:t>
      </w:r>
      <w:r w:rsidR="004A59A8">
        <w:t>the judge should search for an alternative interpretation</w:t>
      </w:r>
      <w:r w:rsidR="00434D88">
        <w:t>; while this avoids absurdities, there is no</w:t>
      </w:r>
      <w:r w:rsidR="007176A3">
        <w:t xml:space="preserve"> definition of what constitutes an ‘absurdity’ (Alison, 2022). </w:t>
      </w:r>
      <w:r w:rsidR="00B42996">
        <w:t xml:space="preserve">An example of the application of the golden rule is the case of Adler v George </w:t>
      </w:r>
      <w:r w:rsidR="00C472EB">
        <w:t xml:space="preserve">(1964) where Adler obstructed armed forces; under the Official Secrets Act 1920 it was a criminal offence to </w:t>
      </w:r>
      <w:r w:rsidR="004F5694">
        <w:t xml:space="preserve">obstruct armed forces while in the vicinity of a prohibited area, Adler argued that this did not apply to him as he was actually inside a prohibited area, while under the literal rule this would have meant Adler had not broken the law, the court instead applied the golden rule and convicted Adler (Open University, 2022). </w:t>
      </w:r>
      <w:r w:rsidR="00A07742">
        <w:t xml:space="preserve">Because of this, it can be argued that statutory interpretation is required as it is able to correct ambiguity in statues without parliament needing to amend the act, meaning that an offender is not able to use said ambiguities as defences to their crimes. </w:t>
      </w:r>
      <w:r w:rsidR="001C67C3">
        <w:t xml:space="preserve">Thirdly, the ‘mischief rule’ is </w:t>
      </w:r>
      <w:r w:rsidR="00C04CC4">
        <w:t xml:space="preserve">based upon ‘Heydon’s case’ </w:t>
      </w:r>
      <w:r w:rsidR="00F30CAD">
        <w:t xml:space="preserve">which defined the rule; for the interpretation of statues, the judge must consider the gaps in the common law rule prior to the passing of the statue in order to determine the true purpose of the act (Rao, 2014). </w:t>
      </w:r>
      <w:r w:rsidR="00410E61">
        <w:t xml:space="preserve">An example of this rule being applied is the case of </w:t>
      </w:r>
      <w:r w:rsidR="00410E61" w:rsidRPr="00410E61">
        <w:t xml:space="preserve">Corkery v Carpenter </w:t>
      </w:r>
      <w:r w:rsidR="00410E61">
        <w:t>(</w:t>
      </w:r>
      <w:r w:rsidR="00410E61" w:rsidRPr="00410E61">
        <w:t>1951</w:t>
      </w:r>
      <w:r w:rsidR="00410E61">
        <w:t>)</w:t>
      </w:r>
      <w:r w:rsidR="00D83C3F">
        <w:t>; Corkery was found to have broken the law under the Licensing Act 1872</w:t>
      </w:r>
      <w:r w:rsidR="0012368D">
        <w:t xml:space="preserve"> by pushing a bicycle while drunk, while the act did not make any mention of bicycles in particular, the court, using the mischief rule, ruled that the purpose of the act was to prevent an individual from operating any form of transport while intoxicated and convicted Corkery (Open University, 2022). </w:t>
      </w:r>
      <w:r w:rsidR="00CE0E36">
        <w:t>A criticism of the mischief rule is that it gives great amounts of discretion to the judiciary, endangering the sovereignty of Parliament (</w:t>
      </w:r>
      <w:r w:rsidR="005971FB">
        <w:t>Rao, 2014).</w:t>
      </w:r>
      <w:r w:rsidR="00E54568">
        <w:t xml:space="preserve"> Lastly, the ’purposive approach’ </w:t>
      </w:r>
      <w:r w:rsidR="00751290">
        <w:t>gives the judiciary near free reign to interpret statues based on what they feel is the purpose of the act</w:t>
      </w:r>
      <w:r w:rsidR="00BE7238">
        <w:t>, allowing judges to fill in gaps in legislation at their own discretion (</w:t>
      </w:r>
      <w:proofErr w:type="spellStart"/>
      <w:r w:rsidR="00BE7238">
        <w:t>Tunley</w:t>
      </w:r>
      <w:proofErr w:type="spellEnd"/>
      <w:r w:rsidR="00BE7238">
        <w:t>, 2022)</w:t>
      </w:r>
      <w:r w:rsidR="00636CD6">
        <w:t xml:space="preserve">. This approach to statutory interpretation has been heavily criticised due to the amount of power given to judges, with claims that it diminishes statues as the primary basis of law in the United Kingdom (Open University, 2022). </w:t>
      </w:r>
    </w:p>
    <w:p w14:paraId="45B86593" w14:textId="77777777" w:rsidR="006E55C0" w:rsidRDefault="006E55C0"/>
    <w:p w14:paraId="69DD4070" w14:textId="028FB84C" w:rsidR="007A4019" w:rsidRDefault="006E55C0">
      <w:r>
        <w:t>Expanding on this, the judiciary have in fact pushed this discretion to the limit of “disobedience” (Aronson, 2013)</w:t>
      </w:r>
      <w:r w:rsidR="00554716">
        <w:t xml:space="preserve">; despite this, parliament have made no attempt to curtail the powers of judges with regards to interpreting statues. </w:t>
      </w:r>
      <w:r w:rsidR="007E4CDA">
        <w:t>However, some within Parliament have</w:t>
      </w:r>
      <w:r w:rsidR="00622790">
        <w:t xml:space="preserve"> called for </w:t>
      </w:r>
      <w:r w:rsidR="005E2FB1">
        <w:t xml:space="preserve">removing the dependency on statutory interpretation through “codification” of law in the United Kingdom, however, for </w:t>
      </w:r>
      <w:proofErr w:type="gramStart"/>
      <w:r w:rsidR="005E2FB1">
        <w:t>a number of</w:t>
      </w:r>
      <w:proofErr w:type="gramEnd"/>
      <w:r w:rsidR="005E2FB1">
        <w:t xml:space="preserve"> reasons this proposal has been deemed untenable (</w:t>
      </w:r>
      <w:bookmarkStart w:id="2" w:name="_Hlk101948394"/>
      <w:r w:rsidR="005E2FB1" w:rsidRPr="005E2FB1">
        <w:t>Cabinet Office, Office of the Parliamentary Counsel and Heaton</w:t>
      </w:r>
      <w:r w:rsidR="005E2FB1">
        <w:t>, 2014</w:t>
      </w:r>
      <w:bookmarkEnd w:id="2"/>
      <w:r w:rsidR="005E2FB1">
        <w:t>).</w:t>
      </w:r>
      <w:r w:rsidR="007B7C5D">
        <w:t xml:space="preserve"> In addition to this, the idea that judges develop the law </w:t>
      </w:r>
      <w:r w:rsidR="00ED6E14">
        <w:t>has been branded a “myth” and that instead, through the interpretation of statues, the judges create their own law</w:t>
      </w:r>
      <w:r w:rsidR="00DA1275">
        <w:t xml:space="preserve"> (Hodge, 2019).</w:t>
      </w:r>
      <w:r w:rsidR="00465782">
        <w:t xml:space="preserve"> In one instance where the judiciary has interpreted a statute in a way deemed differently to the intention of Parliament, </w:t>
      </w:r>
      <w:r w:rsidR="008D3258">
        <w:t>the interpretation was</w:t>
      </w:r>
      <w:r w:rsidR="00465782">
        <w:t xml:space="preserve"> branded as “judicial vandalism” </w:t>
      </w:r>
      <w:r w:rsidR="00FC6854">
        <w:t>(</w:t>
      </w:r>
      <w:proofErr w:type="spellStart"/>
      <w:r w:rsidR="00FC6854">
        <w:t>Polak</w:t>
      </w:r>
      <w:proofErr w:type="spellEnd"/>
      <w:r w:rsidR="00FC6854">
        <w:t xml:space="preserve">, 2022). </w:t>
      </w:r>
      <w:r w:rsidR="00DA1275">
        <w:t xml:space="preserve"> </w:t>
      </w:r>
      <w:r w:rsidR="005E2FB1">
        <w:t xml:space="preserve"> </w:t>
      </w:r>
    </w:p>
    <w:p w14:paraId="152F80F4" w14:textId="77777777" w:rsidR="007A4019" w:rsidRDefault="007A4019"/>
    <w:p w14:paraId="512AEA45" w14:textId="70FAC976" w:rsidR="00E530CA" w:rsidRPr="00916B94" w:rsidRDefault="00936927">
      <w:r>
        <w:lastRenderedPageBreak/>
        <w:t xml:space="preserve">To conclude, while there are valid criticisms of statutory interpretation, </w:t>
      </w:r>
      <w:r w:rsidR="000533C7">
        <w:t xml:space="preserve">it is shown that </w:t>
      </w:r>
      <w:r w:rsidR="00A9235B">
        <w:t>judicial interpretation of statues</w:t>
      </w:r>
      <w:r w:rsidR="000533C7">
        <w:t xml:space="preserve"> does not diminish legislation as the primary source of law and is a necessary component of the legal system in the United Kingdom; </w:t>
      </w:r>
      <w:r w:rsidR="00575F33">
        <w:t>interpretation of statues is necessary for the proper functioning of the legislation, without which it has no value (Allan, 2014).</w:t>
      </w:r>
      <w:r w:rsidR="00A9235B">
        <w:t xml:space="preserve"> It has been acknowledged that </w:t>
      </w:r>
      <w:r w:rsidR="005C5C5C">
        <w:t xml:space="preserve">because of a lack of clarity in many statues, statutory interpretation is required (Supreme Court, 2021). </w:t>
      </w:r>
      <w:r w:rsidR="0078341B">
        <w:t xml:space="preserve">Reasons for a lack of clarity in statues </w:t>
      </w:r>
      <w:r w:rsidR="002759DD">
        <w:t>include</w:t>
      </w:r>
      <w:r w:rsidR="0078341B">
        <w:t xml:space="preserve"> ambiguity in the language used by the writer of the bill, gaps in legislation and new developments in both technology and language (Alison, 2021). </w:t>
      </w:r>
      <w:r w:rsidR="002759DD">
        <w:t>Additionally,</w:t>
      </w:r>
      <w:r w:rsidR="00F24A06">
        <w:t xml:space="preserve"> it has also been argued that statutory interpretation from a single judge is necessary as it is impossible for “Parliamentary intent” to exist due to the collective characteristic of Parliament</w:t>
      </w:r>
      <w:r w:rsidR="009E5FF3">
        <w:t xml:space="preserve"> (Laws, 2017). </w:t>
      </w:r>
      <w:r w:rsidR="00707D68">
        <w:t xml:space="preserve">Overall, instances of statutory interpretation which could be considered “disobedience” of legislation are limited to a </w:t>
      </w:r>
      <w:r w:rsidR="002E34FB">
        <w:t>pittance</w:t>
      </w:r>
      <w:r w:rsidR="00707D68">
        <w:t xml:space="preserve"> of cases (Goldsworthy, 2010).</w:t>
      </w:r>
      <w:r w:rsidR="005E2FB1">
        <w:t xml:space="preserve"> </w:t>
      </w:r>
      <w:r w:rsidR="006E55C0">
        <w:t xml:space="preserve"> </w:t>
      </w:r>
      <w:r w:rsidR="00636CD6">
        <w:t xml:space="preserve"> </w:t>
      </w:r>
      <w:r w:rsidR="00F30CAD">
        <w:t xml:space="preserve"> </w:t>
      </w:r>
      <w:r w:rsidR="001C67C3">
        <w:t xml:space="preserve">  </w:t>
      </w:r>
    </w:p>
    <w:p w14:paraId="00DF6775" w14:textId="77777777" w:rsidR="00DE356E" w:rsidRDefault="00DE356E"/>
    <w:p w14:paraId="44E8F5BB" w14:textId="38793A42" w:rsidR="009716EA" w:rsidRDefault="007E362C">
      <w:r>
        <w:t xml:space="preserve"> </w:t>
      </w:r>
      <w:r w:rsidR="00277DCD">
        <w:t xml:space="preserve"> </w:t>
      </w:r>
    </w:p>
    <w:p w14:paraId="1DBCBB10" w14:textId="77777777" w:rsidR="009716EA" w:rsidRDefault="009716EA">
      <w:r>
        <w:br w:type="page"/>
      </w:r>
    </w:p>
    <w:p w14:paraId="13798893" w14:textId="767A903C" w:rsidR="00237BEB" w:rsidRDefault="009716EA">
      <w:pPr>
        <w:rPr>
          <w:b/>
          <w:bCs/>
          <w:u w:val="single"/>
        </w:rPr>
      </w:pPr>
      <w:r w:rsidRPr="009716EA">
        <w:rPr>
          <w:b/>
          <w:bCs/>
          <w:u w:val="single"/>
        </w:rPr>
        <w:lastRenderedPageBreak/>
        <w:t xml:space="preserve">References </w:t>
      </w:r>
    </w:p>
    <w:p w14:paraId="56FC5232" w14:textId="28EA2082" w:rsidR="009716EA" w:rsidRDefault="009716EA">
      <w:pPr>
        <w:rPr>
          <w:b/>
          <w:bCs/>
          <w:u w:val="single"/>
        </w:rPr>
      </w:pPr>
    </w:p>
    <w:p w14:paraId="0522BCB0" w14:textId="77777777" w:rsidR="00906AAB" w:rsidRPr="00906AAB" w:rsidRDefault="00906AAB" w:rsidP="00906AAB">
      <w:r w:rsidRPr="00906AAB">
        <w:t xml:space="preserve">Alison, (2022), </w:t>
      </w:r>
      <w:r w:rsidRPr="00906AAB">
        <w:rPr>
          <w:i/>
          <w:iCs/>
        </w:rPr>
        <w:t>The Need for Statutory Interpretation</w:t>
      </w:r>
      <w:r w:rsidRPr="00906AAB">
        <w:t>, Available at: https://alison.com/course/1810/resource/file/resource_39-14896844291768952309.pdf</w:t>
      </w:r>
    </w:p>
    <w:p w14:paraId="20AD4CC2" w14:textId="77777777" w:rsidR="00906AAB" w:rsidRPr="00906AAB" w:rsidRDefault="00906AAB" w:rsidP="00906AAB"/>
    <w:p w14:paraId="33667762" w14:textId="77777777" w:rsidR="00906AAB" w:rsidRPr="00906AAB" w:rsidRDefault="00906AAB" w:rsidP="00906AAB">
      <w:r w:rsidRPr="00906AAB">
        <w:t xml:space="preserve">Alison, (2022), </w:t>
      </w:r>
      <w:r w:rsidRPr="00906AAB">
        <w:rPr>
          <w:i/>
          <w:iCs/>
        </w:rPr>
        <w:t>The Rules of Statutory Interpretation</w:t>
      </w:r>
      <w:r w:rsidRPr="00906AAB">
        <w:t>, Available at: https://alison.com/course/1810/resource/file/resource_39-1489684445350655804.pdf</w:t>
      </w:r>
    </w:p>
    <w:p w14:paraId="7CFEBA52" w14:textId="77777777" w:rsidR="00906AAB" w:rsidRPr="00906AAB" w:rsidRDefault="00906AAB" w:rsidP="00906AAB"/>
    <w:p w14:paraId="533EE62E" w14:textId="77777777" w:rsidR="00906AAB" w:rsidRPr="00906AAB" w:rsidRDefault="00906AAB" w:rsidP="00906AAB">
      <w:r w:rsidRPr="00906AAB">
        <w:t xml:space="preserve">Allan, (2004), </w:t>
      </w:r>
      <w:r w:rsidRPr="00906AAB">
        <w:rPr>
          <w:i/>
          <w:iCs/>
        </w:rPr>
        <w:t>Legislative Supremacy and Legislative Intention: Interpretation, Meaning, and Authority</w:t>
      </w:r>
      <w:r w:rsidRPr="00906AAB">
        <w:t>, Available at: https://www.jstor.org/stable/4509144</w:t>
      </w:r>
    </w:p>
    <w:p w14:paraId="2F115F6F" w14:textId="77777777" w:rsidR="00906AAB" w:rsidRPr="00906AAB" w:rsidRDefault="00906AAB" w:rsidP="00906AAB"/>
    <w:p w14:paraId="4886EE4E" w14:textId="77777777" w:rsidR="00906AAB" w:rsidRPr="00906AAB" w:rsidRDefault="00906AAB" w:rsidP="00906AAB">
      <w:r w:rsidRPr="00906AAB">
        <w:t xml:space="preserve">Aronson, (2013), </w:t>
      </w:r>
      <w:r w:rsidRPr="00906AAB">
        <w:rPr>
          <w:i/>
          <w:iCs/>
        </w:rPr>
        <w:t xml:space="preserve">Statutory Interpretation or Judicial </w:t>
      </w:r>
      <w:proofErr w:type="gramStart"/>
      <w:r w:rsidRPr="00906AAB">
        <w:rPr>
          <w:i/>
          <w:iCs/>
        </w:rPr>
        <w:t>Disobedience?</w:t>
      </w:r>
      <w:r w:rsidRPr="00906AAB">
        <w:t>,</w:t>
      </w:r>
      <w:proofErr w:type="gramEnd"/>
      <w:r w:rsidRPr="00906AAB">
        <w:t xml:space="preserve"> Available at: https://ukconstitutionallaw.org/2013/06/03/mark-aronson-statutory-interpretation-or-judicial-disobedience/</w:t>
      </w:r>
    </w:p>
    <w:p w14:paraId="7B70FD06" w14:textId="77777777" w:rsidR="00906AAB" w:rsidRPr="00906AAB" w:rsidRDefault="00906AAB" w:rsidP="00906AAB"/>
    <w:p w14:paraId="38A7D574" w14:textId="77777777" w:rsidR="00906AAB" w:rsidRPr="00906AAB" w:rsidRDefault="00906AAB" w:rsidP="00906AAB">
      <w:r w:rsidRPr="00906AAB">
        <w:t xml:space="preserve">Cabinet Office, Office of the Parliamentary Counsel and Heaton, (2014), </w:t>
      </w:r>
      <w:r w:rsidRPr="001333A4">
        <w:rPr>
          <w:i/>
          <w:iCs/>
        </w:rPr>
        <w:t>Making the law easier for users: the role of statutes</w:t>
      </w:r>
      <w:r w:rsidRPr="00906AAB">
        <w:t>, Available at: https://www.gov.uk/government/speeches/making-the-law-easier-for-users-the-role-of-statutes--2</w:t>
      </w:r>
    </w:p>
    <w:p w14:paraId="19B489CD" w14:textId="77777777" w:rsidR="00906AAB" w:rsidRPr="00906AAB" w:rsidRDefault="00906AAB" w:rsidP="00906AAB"/>
    <w:p w14:paraId="3E173BF7" w14:textId="77777777" w:rsidR="00906AAB" w:rsidRPr="00906AAB" w:rsidRDefault="00906AAB" w:rsidP="00906AAB">
      <w:r w:rsidRPr="001333A4">
        <w:rPr>
          <w:i/>
          <w:iCs/>
        </w:rPr>
        <w:t>Constitutional Reform Act 2005</w:t>
      </w:r>
      <w:r w:rsidRPr="00906AAB">
        <w:t>, Available at: https://www.legislation.gov.uk/ukpga/2005/4/section/1</w:t>
      </w:r>
    </w:p>
    <w:p w14:paraId="1C6438F1" w14:textId="77777777" w:rsidR="00906AAB" w:rsidRPr="00906AAB" w:rsidRDefault="00906AAB" w:rsidP="00906AAB"/>
    <w:p w14:paraId="4BE93098" w14:textId="77777777" w:rsidR="00906AAB" w:rsidRPr="00906AAB" w:rsidRDefault="00906AAB" w:rsidP="00906AAB">
      <w:r w:rsidRPr="00906AAB">
        <w:t xml:space="preserve">Democratic Audit, (2018), </w:t>
      </w:r>
      <w:r w:rsidRPr="001333A4">
        <w:rPr>
          <w:i/>
          <w:iCs/>
        </w:rPr>
        <w:t xml:space="preserve">How democratic is the UK’s basic constitutional </w:t>
      </w:r>
      <w:proofErr w:type="gramStart"/>
      <w:r w:rsidRPr="001333A4">
        <w:rPr>
          <w:i/>
          <w:iCs/>
        </w:rPr>
        <w:t>law?,</w:t>
      </w:r>
      <w:proofErr w:type="gramEnd"/>
      <w:r w:rsidRPr="00906AAB">
        <w:t xml:space="preserve"> Available at: https://www.democraticaudit.com/2018/10/19/2018audit-how-democratic-is-the-uks-basic-constitutional-law/</w:t>
      </w:r>
    </w:p>
    <w:p w14:paraId="4BFA1627" w14:textId="77777777" w:rsidR="00906AAB" w:rsidRPr="00906AAB" w:rsidRDefault="00906AAB" w:rsidP="00906AAB"/>
    <w:p w14:paraId="5430B553" w14:textId="77777777" w:rsidR="00906AAB" w:rsidRPr="00906AAB" w:rsidRDefault="00906AAB" w:rsidP="00906AAB">
      <w:r w:rsidRPr="001333A4">
        <w:rPr>
          <w:i/>
          <w:iCs/>
        </w:rPr>
        <w:t>Finance Act 2003</w:t>
      </w:r>
      <w:r w:rsidRPr="00906AAB">
        <w:t>, Available at: https://www.legislation.gov.uk/ukpga/2003/14/part/2</w:t>
      </w:r>
    </w:p>
    <w:p w14:paraId="6BA92537" w14:textId="77777777" w:rsidR="00906AAB" w:rsidRPr="00906AAB" w:rsidRDefault="00906AAB" w:rsidP="00906AAB"/>
    <w:p w14:paraId="530596AE" w14:textId="77777777" w:rsidR="00906AAB" w:rsidRPr="00906AAB" w:rsidRDefault="00906AAB" w:rsidP="00906AAB">
      <w:proofErr w:type="spellStart"/>
      <w:r w:rsidRPr="00906AAB">
        <w:t>Foran</w:t>
      </w:r>
      <w:proofErr w:type="spellEnd"/>
      <w:r w:rsidRPr="00906AAB">
        <w:t xml:space="preserve">, (2022), </w:t>
      </w:r>
      <w:r w:rsidRPr="001333A4">
        <w:rPr>
          <w:i/>
          <w:iCs/>
        </w:rPr>
        <w:t>Parliamentary Sovereignty and the Politics of Law-making,</w:t>
      </w:r>
      <w:r w:rsidRPr="00906AAB">
        <w:t xml:space="preserve"> Available at: https://ukconstitutionallaw.org/2021/10/18/michael-foran-parliamentary-sovereignty-and-the-politics-of-law-making/</w:t>
      </w:r>
    </w:p>
    <w:p w14:paraId="18727A0A" w14:textId="77777777" w:rsidR="00906AAB" w:rsidRPr="00906AAB" w:rsidRDefault="00906AAB" w:rsidP="00906AAB"/>
    <w:p w14:paraId="7AC08987" w14:textId="77777777" w:rsidR="00906AAB" w:rsidRPr="00906AAB" w:rsidRDefault="00906AAB" w:rsidP="00906AAB">
      <w:r w:rsidRPr="00906AAB">
        <w:t>Goldsworthy, (2010</w:t>
      </w:r>
      <w:r w:rsidRPr="001333A4">
        <w:rPr>
          <w:i/>
          <w:iCs/>
        </w:rPr>
        <w:t>), Parliamentary Sovereignty and Statutory Interpretation</w:t>
      </w:r>
      <w:r w:rsidRPr="00906AAB">
        <w:t>, Available at: https://www.cambridge.org/core/books/abs/parliamentary-sovereignty/parliamentary-sovereignty-and-statutory-interpretation/A0FC51434315F16392F342191CF0FFBF</w:t>
      </w:r>
    </w:p>
    <w:p w14:paraId="4768ED37" w14:textId="77777777" w:rsidR="00906AAB" w:rsidRPr="00906AAB" w:rsidRDefault="00906AAB" w:rsidP="00906AAB"/>
    <w:p w14:paraId="1F61237C" w14:textId="77777777" w:rsidR="00906AAB" w:rsidRPr="00906AAB" w:rsidRDefault="00906AAB" w:rsidP="00906AAB">
      <w:r w:rsidRPr="00906AAB">
        <w:lastRenderedPageBreak/>
        <w:t xml:space="preserve">Hodge, (2019), </w:t>
      </w:r>
      <w:r w:rsidRPr="001333A4">
        <w:rPr>
          <w:i/>
          <w:iCs/>
        </w:rPr>
        <w:t>The scope of judicial law-making in the common law tradition</w:t>
      </w:r>
      <w:r w:rsidRPr="00906AAB">
        <w:t>, Available at: https://www.supremecourt.uk/docs/speech-191028.pdf</w:t>
      </w:r>
    </w:p>
    <w:p w14:paraId="6C9B10FA" w14:textId="77777777" w:rsidR="00906AAB" w:rsidRPr="00906AAB" w:rsidRDefault="00906AAB" w:rsidP="00906AAB"/>
    <w:p w14:paraId="13E74B39" w14:textId="77777777" w:rsidR="00906AAB" w:rsidRPr="00906AAB" w:rsidRDefault="00906AAB" w:rsidP="00906AAB">
      <w:r w:rsidRPr="00906AAB">
        <w:t xml:space="preserve">House of Commons, (1993), </w:t>
      </w:r>
      <w:r w:rsidRPr="001333A4">
        <w:rPr>
          <w:i/>
          <w:iCs/>
        </w:rPr>
        <w:t>Ambiguous Statutes</w:t>
      </w:r>
      <w:r w:rsidRPr="00906AAB">
        <w:t>, Available at: https://hansard.parliament.uk/Commons/1993-01-18/debates/7510bc88-23ad-4ffb-b7ff-80677ae35a6a/AmbiguousStatutes</w:t>
      </w:r>
    </w:p>
    <w:p w14:paraId="2B3D7BB0" w14:textId="77777777" w:rsidR="00906AAB" w:rsidRPr="00906AAB" w:rsidRDefault="00906AAB" w:rsidP="00906AAB"/>
    <w:p w14:paraId="70BEC854" w14:textId="77777777" w:rsidR="00906AAB" w:rsidRPr="00906AAB" w:rsidRDefault="00906AAB" w:rsidP="00906AAB">
      <w:r w:rsidRPr="00906AAB">
        <w:t xml:space="preserve">House of Commons, (2015), </w:t>
      </w:r>
      <w:r w:rsidRPr="0012235A">
        <w:rPr>
          <w:i/>
          <w:iCs/>
        </w:rPr>
        <w:t>The UK Constitution</w:t>
      </w:r>
      <w:r w:rsidRPr="00906AAB">
        <w:t>, Available at: https://www.parliament.uk/globalassets/documents/commons-committees/political-and-constitutional-reform/The-UK-Constitution.pdf</w:t>
      </w:r>
    </w:p>
    <w:p w14:paraId="621843F6" w14:textId="77777777" w:rsidR="00906AAB" w:rsidRPr="00906AAB" w:rsidRDefault="00906AAB" w:rsidP="00906AAB"/>
    <w:p w14:paraId="57F42189" w14:textId="62612CD1" w:rsidR="00906AAB" w:rsidRPr="00906AAB" w:rsidRDefault="00906AAB" w:rsidP="00906AAB">
      <w:r w:rsidRPr="0012235A">
        <w:rPr>
          <w:i/>
          <w:iCs/>
        </w:rPr>
        <w:t>Interpretation Act</w:t>
      </w:r>
      <w:r w:rsidR="0012235A">
        <w:t xml:space="preserve"> </w:t>
      </w:r>
      <w:r w:rsidR="0012235A" w:rsidRPr="0012235A">
        <w:rPr>
          <w:i/>
          <w:iCs/>
        </w:rPr>
        <w:t>1978</w:t>
      </w:r>
      <w:r w:rsidRPr="00906AAB">
        <w:t>, Available at: https://www.legislation.gov.uk/ukpga/1978/30/section/5</w:t>
      </w:r>
    </w:p>
    <w:p w14:paraId="4BB7778F" w14:textId="77777777" w:rsidR="00906AAB" w:rsidRPr="00906AAB" w:rsidRDefault="00906AAB" w:rsidP="00906AAB"/>
    <w:p w14:paraId="58728D47" w14:textId="77777777" w:rsidR="00906AAB" w:rsidRPr="00906AAB" w:rsidRDefault="00906AAB" w:rsidP="00906AAB">
      <w:r w:rsidRPr="00906AAB">
        <w:t xml:space="preserve">Laws, (2017), </w:t>
      </w:r>
      <w:r w:rsidRPr="0012235A">
        <w:rPr>
          <w:i/>
          <w:iCs/>
        </w:rPr>
        <w:t>Statutory Interpretation: The Myth of Parliamentary Intent</w:t>
      </w:r>
      <w:r w:rsidRPr="00906AAB">
        <w:t>, Available at: http://www.statutelawsociety.co.uk/wp-content/uploads/2017/11/The-Myth-of-Parliamentary-Intent-text.pdf</w:t>
      </w:r>
    </w:p>
    <w:p w14:paraId="3DA2BEF3" w14:textId="77777777" w:rsidR="00906AAB" w:rsidRPr="00906AAB" w:rsidRDefault="00906AAB" w:rsidP="00906AAB"/>
    <w:p w14:paraId="2784482C" w14:textId="77777777" w:rsidR="00906AAB" w:rsidRPr="00906AAB" w:rsidRDefault="00906AAB" w:rsidP="00906AAB">
      <w:r w:rsidRPr="00906AAB">
        <w:t>Legislation.GOV.UK, (2020</w:t>
      </w:r>
      <w:r w:rsidRPr="0012235A">
        <w:rPr>
          <w:i/>
          <w:iCs/>
        </w:rPr>
        <w:t>), Understanding Legislation</w:t>
      </w:r>
      <w:r w:rsidRPr="00906AAB">
        <w:t>, Available at: https://www.legislation.gov.uk/understanding-legislation</w:t>
      </w:r>
    </w:p>
    <w:p w14:paraId="18D175EF" w14:textId="77777777" w:rsidR="00906AAB" w:rsidRPr="00906AAB" w:rsidRDefault="00906AAB" w:rsidP="00906AAB"/>
    <w:p w14:paraId="36A62346" w14:textId="77777777" w:rsidR="00906AAB" w:rsidRPr="00906AAB" w:rsidRDefault="00906AAB" w:rsidP="00906AAB">
      <w:proofErr w:type="spellStart"/>
      <w:r w:rsidRPr="00906AAB">
        <w:t>Pey</w:t>
      </w:r>
      <w:proofErr w:type="spellEnd"/>
      <w:r w:rsidRPr="00906AAB">
        <w:t xml:space="preserve">, (2022), </w:t>
      </w:r>
      <w:r w:rsidRPr="0012235A">
        <w:rPr>
          <w:i/>
          <w:iCs/>
        </w:rPr>
        <w:t>Statutory Interpretation Explained</w:t>
      </w:r>
      <w:r w:rsidRPr="00906AAB">
        <w:t>, Available at: https://www.culs.org.uk/per-incuriam/statutory-interpretation-explained</w:t>
      </w:r>
    </w:p>
    <w:p w14:paraId="1EA3F8EB" w14:textId="77777777" w:rsidR="00906AAB" w:rsidRPr="00906AAB" w:rsidRDefault="00906AAB" w:rsidP="00906AAB"/>
    <w:p w14:paraId="13910399" w14:textId="77777777" w:rsidR="00906AAB" w:rsidRPr="00906AAB" w:rsidRDefault="00906AAB" w:rsidP="00906AAB">
      <w:proofErr w:type="spellStart"/>
      <w:r w:rsidRPr="00906AAB">
        <w:t>Polak</w:t>
      </w:r>
      <w:proofErr w:type="spellEnd"/>
      <w:r w:rsidRPr="00906AAB">
        <w:t xml:space="preserve">, (2022), </w:t>
      </w:r>
      <w:r w:rsidRPr="0012235A">
        <w:rPr>
          <w:i/>
          <w:iCs/>
        </w:rPr>
        <w:t>Interpretation of Legislation under the Human Rights Act</w:t>
      </w:r>
      <w:r w:rsidRPr="00906AAB">
        <w:t>, Available at: http://churchcourtchambers.co.uk/article/interpretation-of-legislation-under-the-human-rights-act/</w:t>
      </w:r>
    </w:p>
    <w:p w14:paraId="3D43CF36" w14:textId="77777777" w:rsidR="00906AAB" w:rsidRPr="00906AAB" w:rsidRDefault="00906AAB" w:rsidP="00906AAB"/>
    <w:p w14:paraId="6D712128" w14:textId="77777777" w:rsidR="00906AAB" w:rsidRPr="00906AAB" w:rsidRDefault="00906AAB" w:rsidP="00906AAB">
      <w:proofErr w:type="spellStart"/>
      <w:r w:rsidRPr="00906AAB">
        <w:t>Polyas</w:t>
      </w:r>
      <w:proofErr w:type="spellEnd"/>
      <w:r w:rsidRPr="00906AAB">
        <w:t xml:space="preserve">, (2017), </w:t>
      </w:r>
      <w:r w:rsidRPr="0012235A">
        <w:rPr>
          <w:i/>
          <w:iCs/>
        </w:rPr>
        <w:t>Parliamentary Sovereignty</w:t>
      </w:r>
      <w:r w:rsidRPr="00906AAB">
        <w:t>, Available at: https://www.polyas.co.uk/election-glossary/parliamentary-sovereignty#:~:text=Parliamentary%20sovereignty%20means%20that%20parliament,of%20the%20UK%20constitutional%20system.</w:t>
      </w:r>
    </w:p>
    <w:p w14:paraId="2811F3DE" w14:textId="77777777" w:rsidR="00906AAB" w:rsidRPr="00906AAB" w:rsidRDefault="00906AAB" w:rsidP="00906AAB"/>
    <w:p w14:paraId="53C55AB2" w14:textId="77777777" w:rsidR="00906AAB" w:rsidRPr="00906AAB" w:rsidRDefault="00906AAB" w:rsidP="00906AAB">
      <w:r w:rsidRPr="00906AAB">
        <w:t xml:space="preserve">Rao, (2014), </w:t>
      </w:r>
      <w:r w:rsidRPr="0012235A">
        <w:rPr>
          <w:i/>
          <w:iCs/>
        </w:rPr>
        <w:t>The Mischief Rule of Statutory Interpretation</w:t>
      </w:r>
      <w:r w:rsidRPr="00906AAB">
        <w:t>, Available at: https://www.lawctopus.com/academike/mischief-rule-statutory-interpretation/</w:t>
      </w:r>
    </w:p>
    <w:p w14:paraId="553550B4" w14:textId="77777777" w:rsidR="00906AAB" w:rsidRPr="00906AAB" w:rsidRDefault="00906AAB" w:rsidP="00906AAB"/>
    <w:p w14:paraId="7965F4C2" w14:textId="45013879" w:rsidR="00906AAB" w:rsidRPr="00906AAB" w:rsidRDefault="00906AAB" w:rsidP="00906AAB">
      <w:r w:rsidRPr="00906AAB">
        <w:t xml:space="preserve">Street, (2013), </w:t>
      </w:r>
      <w:r w:rsidRPr="0012235A">
        <w:rPr>
          <w:i/>
          <w:iCs/>
        </w:rPr>
        <w:t>Judicial Review and the Rule of Law</w:t>
      </w:r>
      <w:r w:rsidRPr="00906AAB">
        <w:t>, Available at: https://www.consoc.org.uk/wp-content/uploads/2013/12/J1446_Constitution_Society_Judicial_Review_WEB-22.pdf</w:t>
      </w:r>
    </w:p>
    <w:p w14:paraId="576BC1D8" w14:textId="77777777" w:rsidR="00906AAB" w:rsidRPr="00906AAB" w:rsidRDefault="00906AAB" w:rsidP="00906AAB"/>
    <w:p w14:paraId="5BF84F9D" w14:textId="77777777" w:rsidR="00906AAB" w:rsidRPr="00906AAB" w:rsidRDefault="00906AAB" w:rsidP="00906AAB">
      <w:r w:rsidRPr="00906AAB">
        <w:t xml:space="preserve">The Law Commission, (1969), </w:t>
      </w:r>
      <w:r w:rsidRPr="0012235A">
        <w:rPr>
          <w:i/>
          <w:iCs/>
        </w:rPr>
        <w:t>The Interpretation of Statutes</w:t>
      </w:r>
      <w:r w:rsidRPr="00906AAB">
        <w:t>, Available at: https://s3-eu-west-2.amazonaws.com/lawcom-prod-storage-11jsxou24uy7q/uploads/2016/08/LC.-021-SC.-011-THE-INTERPRETATION-OF-STATUTES.pdf</w:t>
      </w:r>
    </w:p>
    <w:p w14:paraId="60131333" w14:textId="77777777" w:rsidR="00906AAB" w:rsidRPr="00906AAB" w:rsidRDefault="00906AAB" w:rsidP="00906AAB"/>
    <w:p w14:paraId="56D46B36" w14:textId="77777777" w:rsidR="00906AAB" w:rsidRPr="00906AAB" w:rsidRDefault="00906AAB" w:rsidP="00906AAB">
      <w:r w:rsidRPr="00906AAB">
        <w:t xml:space="preserve">The Open University, (2022), </w:t>
      </w:r>
      <w:r w:rsidRPr="0012235A">
        <w:rPr>
          <w:i/>
          <w:iCs/>
        </w:rPr>
        <w:t>Statutory Interpretation: The Rules</w:t>
      </w:r>
      <w:r w:rsidRPr="00906AAB">
        <w:t>, Available at: https://www.open.edu/openlearn/mod/oucontent/view.php?id=68342&amp;section=3</w:t>
      </w:r>
    </w:p>
    <w:p w14:paraId="2E21CEBC" w14:textId="77777777" w:rsidR="00906AAB" w:rsidRPr="00906AAB" w:rsidRDefault="00906AAB" w:rsidP="00906AAB"/>
    <w:p w14:paraId="6204CD26" w14:textId="77777777" w:rsidR="00906AAB" w:rsidRPr="00906AAB" w:rsidRDefault="00906AAB" w:rsidP="00906AAB">
      <w:r w:rsidRPr="00906AAB">
        <w:t>The Open University, (2022</w:t>
      </w:r>
      <w:r w:rsidRPr="00496DE0">
        <w:rPr>
          <w:i/>
          <w:iCs/>
        </w:rPr>
        <w:t>), The Golden Rule</w:t>
      </w:r>
      <w:r w:rsidRPr="00906AAB">
        <w:t>, Available at: https://www.open.edu/openlearn/mod/oucontent/view.php?id=68342&amp;section=3.2</w:t>
      </w:r>
    </w:p>
    <w:p w14:paraId="6D3F1640" w14:textId="77777777" w:rsidR="00906AAB" w:rsidRPr="00906AAB" w:rsidRDefault="00906AAB" w:rsidP="00906AAB"/>
    <w:p w14:paraId="28458139" w14:textId="77777777" w:rsidR="00906AAB" w:rsidRPr="00906AAB" w:rsidRDefault="00906AAB" w:rsidP="00906AAB">
      <w:r w:rsidRPr="00906AAB">
        <w:t xml:space="preserve">The Open University, (2022), </w:t>
      </w:r>
      <w:r w:rsidRPr="00496DE0">
        <w:rPr>
          <w:i/>
          <w:iCs/>
        </w:rPr>
        <w:t>The Literal Rule</w:t>
      </w:r>
      <w:r w:rsidRPr="00906AAB">
        <w:t>, Available at: https://www.open.edu/openlearn/mod/oucontent/view.php?id=68342&amp;section=3.1</w:t>
      </w:r>
    </w:p>
    <w:p w14:paraId="0D7B37CF" w14:textId="77777777" w:rsidR="00906AAB" w:rsidRPr="00906AAB" w:rsidRDefault="00906AAB" w:rsidP="00906AAB"/>
    <w:p w14:paraId="4B18BA58" w14:textId="77777777" w:rsidR="00906AAB" w:rsidRPr="00906AAB" w:rsidRDefault="00906AAB" w:rsidP="00906AAB">
      <w:r w:rsidRPr="00906AAB">
        <w:t xml:space="preserve">The Open University, (2022), </w:t>
      </w:r>
      <w:r w:rsidRPr="00496DE0">
        <w:rPr>
          <w:i/>
          <w:iCs/>
        </w:rPr>
        <w:t>The Literal Rule</w:t>
      </w:r>
      <w:r w:rsidRPr="00906AAB">
        <w:t>, Available at: https://www.open.edu/openlearn/society-politics-law/judges-and-the-law/content-section-6.2</w:t>
      </w:r>
    </w:p>
    <w:p w14:paraId="0EB19A03" w14:textId="77777777" w:rsidR="00906AAB" w:rsidRPr="00906AAB" w:rsidRDefault="00906AAB" w:rsidP="00906AAB"/>
    <w:p w14:paraId="4E6E28F9" w14:textId="77777777" w:rsidR="00906AAB" w:rsidRPr="00906AAB" w:rsidRDefault="00906AAB" w:rsidP="00906AAB">
      <w:r w:rsidRPr="00906AAB">
        <w:t xml:space="preserve">The Open University, (2022), </w:t>
      </w:r>
      <w:r w:rsidRPr="00496DE0">
        <w:rPr>
          <w:i/>
          <w:iCs/>
        </w:rPr>
        <w:t>The Mischief Rule</w:t>
      </w:r>
      <w:r w:rsidRPr="00906AAB">
        <w:t>, Available at: https://www.open.edu/openlearn/mod/oucontent/view.php?id=68342&amp;section=3.3</w:t>
      </w:r>
    </w:p>
    <w:p w14:paraId="7326C806" w14:textId="77777777" w:rsidR="00906AAB" w:rsidRPr="00906AAB" w:rsidRDefault="00906AAB" w:rsidP="00906AAB"/>
    <w:p w14:paraId="31D479C7" w14:textId="77777777" w:rsidR="00906AAB" w:rsidRPr="00906AAB" w:rsidRDefault="00906AAB" w:rsidP="00906AAB">
      <w:r w:rsidRPr="00906AAB">
        <w:t xml:space="preserve">The Open University, (2022), </w:t>
      </w:r>
      <w:r w:rsidRPr="00496DE0">
        <w:rPr>
          <w:i/>
          <w:iCs/>
        </w:rPr>
        <w:t>The Purposive Approach</w:t>
      </w:r>
      <w:r w:rsidRPr="00906AAB">
        <w:t>, Available at: https://www.open.edu/openlearn/mod/oucontent/view.php?id=68342&amp;section=3.5</w:t>
      </w:r>
    </w:p>
    <w:p w14:paraId="3F509AD7" w14:textId="77777777" w:rsidR="00906AAB" w:rsidRPr="00906AAB" w:rsidRDefault="00906AAB" w:rsidP="00906AAB"/>
    <w:p w14:paraId="1250F1E4" w14:textId="77777777" w:rsidR="00906AAB" w:rsidRPr="00906AAB" w:rsidRDefault="00906AAB" w:rsidP="00906AAB">
      <w:r w:rsidRPr="00906AAB">
        <w:t xml:space="preserve">The Supreme Court, (2021), </w:t>
      </w:r>
      <w:r w:rsidRPr="00496DE0">
        <w:rPr>
          <w:i/>
          <w:iCs/>
        </w:rPr>
        <w:t xml:space="preserve">Statutory Interpretation: A Collaboration between Democratic Legislatures and the </w:t>
      </w:r>
      <w:proofErr w:type="gramStart"/>
      <w:r w:rsidRPr="00496DE0">
        <w:rPr>
          <w:i/>
          <w:iCs/>
        </w:rPr>
        <w:t>Courts?</w:t>
      </w:r>
      <w:r w:rsidRPr="00906AAB">
        <w:t>,</w:t>
      </w:r>
      <w:proofErr w:type="gramEnd"/>
      <w:r w:rsidRPr="00906AAB">
        <w:t xml:space="preserve"> Available at: https://www.supremecourt.uk/docs/statutory-interpretation-a-collaboration-between-democratic-legislatures.pdf</w:t>
      </w:r>
    </w:p>
    <w:p w14:paraId="465C6BC1" w14:textId="77777777" w:rsidR="00906AAB" w:rsidRPr="00906AAB" w:rsidRDefault="00906AAB" w:rsidP="00906AAB"/>
    <w:p w14:paraId="629EA03B" w14:textId="77777777" w:rsidR="00906AAB" w:rsidRPr="00906AAB" w:rsidRDefault="00906AAB" w:rsidP="00906AAB">
      <w:r w:rsidRPr="00906AAB">
        <w:t xml:space="preserve">The Supreme Court, (2022), </w:t>
      </w:r>
      <w:r w:rsidRPr="008A0D98">
        <w:rPr>
          <w:i/>
          <w:iCs/>
        </w:rPr>
        <w:t>Significance to the UK</w:t>
      </w:r>
      <w:r w:rsidRPr="00906AAB">
        <w:t>, https://www.supremecourt.uk/about/significance-to-the-uk.html</w:t>
      </w:r>
    </w:p>
    <w:p w14:paraId="7A75DE75" w14:textId="77777777" w:rsidR="00906AAB" w:rsidRPr="00906AAB" w:rsidRDefault="00906AAB" w:rsidP="00906AAB"/>
    <w:p w14:paraId="16E42558" w14:textId="77777777" w:rsidR="00906AAB" w:rsidRPr="00906AAB" w:rsidRDefault="00906AAB" w:rsidP="00906AAB">
      <w:proofErr w:type="spellStart"/>
      <w:r w:rsidRPr="00906AAB">
        <w:t>Tunley</w:t>
      </w:r>
      <w:proofErr w:type="spellEnd"/>
      <w:r w:rsidRPr="00906AAB">
        <w:t>, (2022</w:t>
      </w:r>
      <w:r w:rsidRPr="008A0D98">
        <w:rPr>
          <w:i/>
          <w:iCs/>
        </w:rPr>
        <w:t>), The purposive approach to interpreting legal meaning</w:t>
      </w:r>
      <w:r w:rsidRPr="00906AAB">
        <w:t>, Available at: https://www.rosettatranslation.com/the-purposive-approach/</w:t>
      </w:r>
    </w:p>
    <w:p w14:paraId="497957BE" w14:textId="77777777" w:rsidR="00906AAB" w:rsidRPr="00906AAB" w:rsidRDefault="00906AAB" w:rsidP="00906AAB"/>
    <w:p w14:paraId="4F27E565" w14:textId="77777777" w:rsidR="00906AAB" w:rsidRPr="00906AAB" w:rsidRDefault="00906AAB" w:rsidP="00906AAB">
      <w:r w:rsidRPr="00906AAB">
        <w:t>UK Parliament, (2022</w:t>
      </w:r>
      <w:r w:rsidRPr="008A0D98">
        <w:rPr>
          <w:i/>
          <w:iCs/>
        </w:rPr>
        <w:t>), Parliament’s Authority</w:t>
      </w:r>
      <w:r w:rsidRPr="00906AAB">
        <w:t>, Available at: https://www.parliament.uk/about/how/role/sovereignty/</w:t>
      </w:r>
    </w:p>
    <w:p w14:paraId="48983792" w14:textId="77777777" w:rsidR="00906AAB" w:rsidRPr="00906AAB" w:rsidRDefault="00906AAB" w:rsidP="00906AAB"/>
    <w:p w14:paraId="79DA73DD" w14:textId="1298BAC0" w:rsidR="00FD5CC5" w:rsidRPr="00906AAB" w:rsidRDefault="00906AAB" w:rsidP="00906AAB">
      <w:r w:rsidRPr="00906AAB">
        <w:lastRenderedPageBreak/>
        <w:t>UK Parliament, (2022</w:t>
      </w:r>
      <w:r w:rsidRPr="008A0D98">
        <w:rPr>
          <w:i/>
          <w:iCs/>
        </w:rPr>
        <w:t>), Statues</w:t>
      </w:r>
      <w:r w:rsidRPr="00906AAB">
        <w:t>, Available at: https://www.parliament.uk/site-information/glossary/statutes/</w:t>
      </w:r>
    </w:p>
    <w:p w14:paraId="566DF003" w14:textId="285FAF72" w:rsidR="004771A0" w:rsidRDefault="00BA6FA3" w:rsidP="00995F1E">
      <w:r>
        <w:t xml:space="preserve"> </w:t>
      </w:r>
    </w:p>
    <w:p w14:paraId="6CF5D21F" w14:textId="77777777" w:rsidR="00FD5CC5" w:rsidRDefault="00FD5CC5" w:rsidP="00995F1E"/>
    <w:p w14:paraId="7C81AF29" w14:textId="09F02776" w:rsidR="007028F5" w:rsidRPr="009716EA" w:rsidRDefault="0020326C" w:rsidP="00995F1E">
      <w:r>
        <w:t xml:space="preserve"> </w:t>
      </w:r>
    </w:p>
    <w:sectPr w:rsidR="007028F5" w:rsidRPr="00971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F7"/>
    <w:rsid w:val="00001BD8"/>
    <w:rsid w:val="000039EB"/>
    <w:rsid w:val="0000558B"/>
    <w:rsid w:val="000533C7"/>
    <w:rsid w:val="00073D92"/>
    <w:rsid w:val="000A5C78"/>
    <w:rsid w:val="000A66FE"/>
    <w:rsid w:val="000B2C66"/>
    <w:rsid w:val="000C6B8F"/>
    <w:rsid w:val="000C6FD1"/>
    <w:rsid w:val="000E101F"/>
    <w:rsid w:val="00121E47"/>
    <w:rsid w:val="0012235A"/>
    <w:rsid w:val="0012368D"/>
    <w:rsid w:val="001333A4"/>
    <w:rsid w:val="00143E4A"/>
    <w:rsid w:val="00181C3A"/>
    <w:rsid w:val="001A66F0"/>
    <w:rsid w:val="001C67C3"/>
    <w:rsid w:val="0020326C"/>
    <w:rsid w:val="00237BEB"/>
    <w:rsid w:val="00242F3D"/>
    <w:rsid w:val="00252D12"/>
    <w:rsid w:val="00266A23"/>
    <w:rsid w:val="002759DD"/>
    <w:rsid w:val="00277DCD"/>
    <w:rsid w:val="002A0E0C"/>
    <w:rsid w:val="002B05B0"/>
    <w:rsid w:val="002C4F0C"/>
    <w:rsid w:val="002D2C8C"/>
    <w:rsid w:val="002E34FB"/>
    <w:rsid w:val="002F04F1"/>
    <w:rsid w:val="00314F52"/>
    <w:rsid w:val="0033474C"/>
    <w:rsid w:val="0035572E"/>
    <w:rsid w:val="00357B72"/>
    <w:rsid w:val="00381C68"/>
    <w:rsid w:val="003A32A1"/>
    <w:rsid w:val="003B3ABE"/>
    <w:rsid w:val="00410E61"/>
    <w:rsid w:val="00434D88"/>
    <w:rsid w:val="00446335"/>
    <w:rsid w:val="004516BF"/>
    <w:rsid w:val="00465782"/>
    <w:rsid w:val="004771A0"/>
    <w:rsid w:val="00496DE0"/>
    <w:rsid w:val="004A14E3"/>
    <w:rsid w:val="004A59A8"/>
    <w:rsid w:val="004B4AF3"/>
    <w:rsid w:val="004C1636"/>
    <w:rsid w:val="004C6726"/>
    <w:rsid w:val="004D0123"/>
    <w:rsid w:val="004F5694"/>
    <w:rsid w:val="005216CB"/>
    <w:rsid w:val="005507AF"/>
    <w:rsid w:val="00554716"/>
    <w:rsid w:val="00565F90"/>
    <w:rsid w:val="0057532F"/>
    <w:rsid w:val="00575F33"/>
    <w:rsid w:val="005971FB"/>
    <w:rsid w:val="005C5C5C"/>
    <w:rsid w:val="005E2FB1"/>
    <w:rsid w:val="005F255B"/>
    <w:rsid w:val="00622790"/>
    <w:rsid w:val="00636CD6"/>
    <w:rsid w:val="0064056C"/>
    <w:rsid w:val="006522AF"/>
    <w:rsid w:val="006A5C4D"/>
    <w:rsid w:val="006D6F9E"/>
    <w:rsid w:val="006E55C0"/>
    <w:rsid w:val="007028F5"/>
    <w:rsid w:val="00702C53"/>
    <w:rsid w:val="00707D68"/>
    <w:rsid w:val="007176A3"/>
    <w:rsid w:val="00733DE5"/>
    <w:rsid w:val="00751290"/>
    <w:rsid w:val="0078341B"/>
    <w:rsid w:val="007943FD"/>
    <w:rsid w:val="00796251"/>
    <w:rsid w:val="007A4019"/>
    <w:rsid w:val="007B00B1"/>
    <w:rsid w:val="007B3BDD"/>
    <w:rsid w:val="007B7C5D"/>
    <w:rsid w:val="007E362C"/>
    <w:rsid w:val="007E4CDA"/>
    <w:rsid w:val="008012F7"/>
    <w:rsid w:val="008448F7"/>
    <w:rsid w:val="00872A2B"/>
    <w:rsid w:val="008A0D98"/>
    <w:rsid w:val="008A0EE0"/>
    <w:rsid w:val="008B2C16"/>
    <w:rsid w:val="008C73CB"/>
    <w:rsid w:val="008D3258"/>
    <w:rsid w:val="00906AAB"/>
    <w:rsid w:val="00916B94"/>
    <w:rsid w:val="009319D9"/>
    <w:rsid w:val="00936927"/>
    <w:rsid w:val="0095690E"/>
    <w:rsid w:val="0096505F"/>
    <w:rsid w:val="00966C7A"/>
    <w:rsid w:val="009716EA"/>
    <w:rsid w:val="00980DC8"/>
    <w:rsid w:val="0098162C"/>
    <w:rsid w:val="00995F1E"/>
    <w:rsid w:val="009E5FF3"/>
    <w:rsid w:val="00A07742"/>
    <w:rsid w:val="00A3680C"/>
    <w:rsid w:val="00A433AE"/>
    <w:rsid w:val="00A62DA6"/>
    <w:rsid w:val="00A9235B"/>
    <w:rsid w:val="00AD6D9E"/>
    <w:rsid w:val="00AF0FB8"/>
    <w:rsid w:val="00B10651"/>
    <w:rsid w:val="00B3769B"/>
    <w:rsid w:val="00B42996"/>
    <w:rsid w:val="00B51438"/>
    <w:rsid w:val="00B5738E"/>
    <w:rsid w:val="00B64AFF"/>
    <w:rsid w:val="00B95CD3"/>
    <w:rsid w:val="00B97A86"/>
    <w:rsid w:val="00BA3F76"/>
    <w:rsid w:val="00BA6FA3"/>
    <w:rsid w:val="00BA7F3D"/>
    <w:rsid w:val="00BB1086"/>
    <w:rsid w:val="00BE7238"/>
    <w:rsid w:val="00BF4A68"/>
    <w:rsid w:val="00BF4AA7"/>
    <w:rsid w:val="00C04CC4"/>
    <w:rsid w:val="00C472EB"/>
    <w:rsid w:val="00C811AB"/>
    <w:rsid w:val="00CD35F2"/>
    <w:rsid w:val="00CE0E36"/>
    <w:rsid w:val="00D26A52"/>
    <w:rsid w:val="00D358B3"/>
    <w:rsid w:val="00D4477E"/>
    <w:rsid w:val="00D55FBD"/>
    <w:rsid w:val="00D7084B"/>
    <w:rsid w:val="00D83C3F"/>
    <w:rsid w:val="00DA1275"/>
    <w:rsid w:val="00DE356E"/>
    <w:rsid w:val="00E15827"/>
    <w:rsid w:val="00E530CA"/>
    <w:rsid w:val="00E54568"/>
    <w:rsid w:val="00E56C89"/>
    <w:rsid w:val="00E67ADC"/>
    <w:rsid w:val="00EA04C9"/>
    <w:rsid w:val="00ED6E14"/>
    <w:rsid w:val="00EE1085"/>
    <w:rsid w:val="00EE108E"/>
    <w:rsid w:val="00EF486F"/>
    <w:rsid w:val="00F033AE"/>
    <w:rsid w:val="00F24A06"/>
    <w:rsid w:val="00F30CAD"/>
    <w:rsid w:val="00F536D3"/>
    <w:rsid w:val="00F7028D"/>
    <w:rsid w:val="00F76E0B"/>
    <w:rsid w:val="00FA56B8"/>
    <w:rsid w:val="00FB67FE"/>
    <w:rsid w:val="00FC6854"/>
    <w:rsid w:val="00FD428B"/>
    <w:rsid w:val="00FD5CC5"/>
    <w:rsid w:val="00FE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0E1CB"/>
  <w15:chartTrackingRefBased/>
  <w15:docId w15:val="{448180E5-8A63-4DFD-B758-8103ED37C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F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F3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16EA"/>
    <w:rPr>
      <w:color w:val="0563C1" w:themeColor="hyperlink"/>
      <w:u w:val="single"/>
    </w:rPr>
  </w:style>
  <w:style w:type="character" w:styleId="UnresolvedMention">
    <w:name w:val="Unresolved Mention"/>
    <w:basedOn w:val="DefaultParagraphFont"/>
    <w:uiPriority w:val="99"/>
    <w:semiHidden/>
    <w:unhideWhenUsed/>
    <w:rsid w:val="00971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0585">
      <w:bodyDiv w:val="1"/>
      <w:marLeft w:val="0"/>
      <w:marRight w:val="0"/>
      <w:marTop w:val="0"/>
      <w:marBottom w:val="0"/>
      <w:divBdr>
        <w:top w:val="none" w:sz="0" w:space="0" w:color="auto"/>
        <w:left w:val="none" w:sz="0" w:space="0" w:color="auto"/>
        <w:bottom w:val="none" w:sz="0" w:space="0" w:color="auto"/>
        <w:right w:val="none" w:sz="0" w:space="0" w:color="auto"/>
      </w:divBdr>
    </w:div>
    <w:div w:id="81101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7</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dc:creator>
  <cp:keywords/>
  <dc:description/>
  <cp:lastModifiedBy>Luke Thomas</cp:lastModifiedBy>
  <cp:revision>168</cp:revision>
  <dcterms:created xsi:type="dcterms:W3CDTF">2022-04-22T12:40:00Z</dcterms:created>
  <dcterms:modified xsi:type="dcterms:W3CDTF">2022-04-27T10:19:00Z</dcterms:modified>
</cp:coreProperties>
</file>