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90D34" w14:textId="75F73C58" w:rsidR="00C54FF8" w:rsidRDefault="008E5024" w:rsidP="004640C0">
      <w:pPr>
        <w:pStyle w:val="Title"/>
        <w:rPr>
          <w:lang w:val="en-US"/>
        </w:rPr>
      </w:pPr>
      <w:r>
        <w:rPr>
          <w:lang w:val="en-US"/>
        </w:rPr>
        <w:t>LCBB6002</w:t>
      </w:r>
    </w:p>
    <w:p w14:paraId="3E07996D" w14:textId="77777777" w:rsidR="008E5024" w:rsidRDefault="008E5024" w:rsidP="004640C0">
      <w:pPr>
        <w:pStyle w:val="Title"/>
        <w:rPr>
          <w:lang w:val="en-US"/>
        </w:rPr>
      </w:pPr>
    </w:p>
    <w:p w14:paraId="53EB0C47" w14:textId="23ACE53F" w:rsidR="00347F40" w:rsidRDefault="00347F40" w:rsidP="004640C0">
      <w:pPr>
        <w:pStyle w:val="Title"/>
        <w:rPr>
          <w:lang w:val="en-US"/>
        </w:rPr>
      </w:pPr>
      <w:r>
        <w:rPr>
          <w:lang w:val="en-US"/>
        </w:rPr>
        <w:t>International Financial Management</w:t>
      </w:r>
    </w:p>
    <w:p w14:paraId="3F31B83E" w14:textId="77777777" w:rsidR="00347F40" w:rsidRDefault="00347F40">
      <w:pPr>
        <w:rPr>
          <w:lang w:val="en-US"/>
        </w:rPr>
      </w:pPr>
    </w:p>
    <w:p w14:paraId="1563CE0B" w14:textId="436F021C" w:rsidR="00347F40" w:rsidRDefault="00347F40" w:rsidP="004640C0">
      <w:pPr>
        <w:pStyle w:val="Subtitle"/>
        <w:rPr>
          <w:lang w:val="en-US"/>
        </w:rPr>
      </w:pPr>
      <w:r>
        <w:rPr>
          <w:lang w:val="en-US"/>
        </w:rPr>
        <w:t>Student’s Name:</w:t>
      </w:r>
      <w:r w:rsidR="00F87410">
        <w:rPr>
          <w:lang w:val="en-US"/>
        </w:rPr>
        <w:t xml:space="preserve"> George Petrica Safca</w:t>
      </w:r>
    </w:p>
    <w:p w14:paraId="301240A0" w14:textId="0FAD7D95" w:rsidR="00347F40" w:rsidRDefault="00347F40" w:rsidP="004640C0">
      <w:pPr>
        <w:pStyle w:val="Subtitle"/>
        <w:rPr>
          <w:lang w:val="en-US"/>
        </w:rPr>
      </w:pPr>
      <w:r>
        <w:rPr>
          <w:lang w:val="en-US"/>
        </w:rPr>
        <w:t>Student’s ID:</w:t>
      </w:r>
      <w:r w:rsidR="00F87410">
        <w:rPr>
          <w:lang w:val="en-US"/>
        </w:rPr>
        <w:t xml:space="preserve"> 2029360</w:t>
      </w:r>
    </w:p>
    <w:p w14:paraId="6706D613" w14:textId="53223DFE" w:rsidR="00347F40" w:rsidRDefault="00347F40" w:rsidP="004640C0">
      <w:pPr>
        <w:pStyle w:val="Subtitle"/>
        <w:rPr>
          <w:lang w:val="en-US"/>
        </w:rPr>
      </w:pPr>
      <w:r>
        <w:rPr>
          <w:lang w:val="en-US"/>
        </w:rPr>
        <w:t>Lecturer’s Name:</w:t>
      </w:r>
      <w:r w:rsidR="00F87410">
        <w:rPr>
          <w:lang w:val="en-US"/>
        </w:rPr>
        <w:t xml:space="preserve"> Thomas Adeyemi</w:t>
      </w:r>
    </w:p>
    <w:p w14:paraId="3D05F3DF" w14:textId="77777777" w:rsidR="004640C0" w:rsidRDefault="004640C0" w:rsidP="004640C0">
      <w:pPr>
        <w:rPr>
          <w:lang w:val="en-US"/>
        </w:rPr>
      </w:pPr>
    </w:p>
    <w:p w14:paraId="739A2234" w14:textId="77777777" w:rsidR="004640C0" w:rsidRDefault="004640C0" w:rsidP="004640C0">
      <w:pPr>
        <w:rPr>
          <w:lang w:val="en-US"/>
        </w:rPr>
      </w:pPr>
    </w:p>
    <w:p w14:paraId="7091ECEB" w14:textId="77777777" w:rsidR="004640C0" w:rsidRDefault="004640C0" w:rsidP="004640C0">
      <w:pPr>
        <w:rPr>
          <w:lang w:val="en-US"/>
        </w:rPr>
      </w:pPr>
    </w:p>
    <w:p w14:paraId="5662975B" w14:textId="77777777" w:rsidR="004640C0" w:rsidRDefault="004640C0" w:rsidP="004640C0">
      <w:pPr>
        <w:rPr>
          <w:lang w:val="en-US"/>
        </w:rPr>
      </w:pPr>
    </w:p>
    <w:p w14:paraId="27538D27" w14:textId="77777777" w:rsidR="004640C0" w:rsidRDefault="004640C0" w:rsidP="004640C0">
      <w:pPr>
        <w:rPr>
          <w:lang w:val="en-US"/>
        </w:rPr>
      </w:pPr>
    </w:p>
    <w:p w14:paraId="76840519" w14:textId="77777777" w:rsidR="004640C0" w:rsidRDefault="004640C0" w:rsidP="004640C0">
      <w:pPr>
        <w:rPr>
          <w:lang w:val="en-US"/>
        </w:rPr>
      </w:pPr>
    </w:p>
    <w:p w14:paraId="2CAF3464" w14:textId="77777777" w:rsidR="004640C0" w:rsidRDefault="004640C0" w:rsidP="004640C0">
      <w:pPr>
        <w:rPr>
          <w:lang w:val="en-US"/>
        </w:rPr>
      </w:pPr>
    </w:p>
    <w:p w14:paraId="4FD6C194" w14:textId="77777777" w:rsidR="004640C0" w:rsidRDefault="004640C0" w:rsidP="004640C0">
      <w:pPr>
        <w:rPr>
          <w:lang w:val="en-US"/>
        </w:rPr>
      </w:pPr>
    </w:p>
    <w:p w14:paraId="661EB32D" w14:textId="77777777" w:rsidR="004640C0" w:rsidRDefault="004640C0" w:rsidP="004640C0">
      <w:pPr>
        <w:rPr>
          <w:lang w:val="en-US"/>
        </w:rPr>
      </w:pPr>
    </w:p>
    <w:p w14:paraId="410EEE93" w14:textId="77777777" w:rsidR="004640C0" w:rsidRDefault="004640C0" w:rsidP="004640C0">
      <w:pPr>
        <w:rPr>
          <w:lang w:val="en-US"/>
        </w:rPr>
      </w:pPr>
    </w:p>
    <w:p w14:paraId="4D5ADC71" w14:textId="77777777" w:rsidR="004640C0" w:rsidRDefault="004640C0" w:rsidP="004640C0">
      <w:pPr>
        <w:rPr>
          <w:lang w:val="en-US"/>
        </w:rPr>
      </w:pPr>
    </w:p>
    <w:p w14:paraId="5506256A" w14:textId="77777777" w:rsidR="004640C0" w:rsidRDefault="004640C0" w:rsidP="004640C0">
      <w:pPr>
        <w:rPr>
          <w:lang w:val="en-US"/>
        </w:rPr>
      </w:pPr>
    </w:p>
    <w:p w14:paraId="1EFDFC5A" w14:textId="77777777" w:rsidR="004640C0" w:rsidRDefault="004640C0" w:rsidP="004640C0">
      <w:pPr>
        <w:rPr>
          <w:lang w:val="en-US"/>
        </w:rPr>
      </w:pPr>
    </w:p>
    <w:sdt>
      <w:sdtPr>
        <w:rPr>
          <w:rFonts w:asciiTheme="minorHAnsi" w:hAnsiTheme="minorHAnsi"/>
          <w:iCs/>
          <w:color w:val="auto"/>
          <w:sz w:val="21"/>
          <w:szCs w:val="21"/>
        </w:rPr>
        <w:id w:val="-449397334"/>
        <w:docPartObj>
          <w:docPartGallery w:val="Table of Contents"/>
          <w:docPartUnique/>
        </w:docPartObj>
      </w:sdtPr>
      <w:sdtEndPr>
        <w:rPr>
          <w:b/>
          <w:bCs/>
          <w:noProof/>
        </w:rPr>
      </w:sdtEndPr>
      <w:sdtContent>
        <w:p w14:paraId="50F1EC1B" w14:textId="187243B2" w:rsidR="004640C0" w:rsidRDefault="004640C0">
          <w:pPr>
            <w:pStyle w:val="TOCHeading"/>
          </w:pPr>
          <w:r>
            <w:t>Table of Contents</w:t>
          </w:r>
        </w:p>
        <w:p w14:paraId="35E7BA47" w14:textId="187CBD0B" w:rsidR="004640C0" w:rsidRDefault="004640C0">
          <w:pPr>
            <w:pStyle w:val="TOC1"/>
            <w:tabs>
              <w:tab w:val="right" w:leader="dot" w:pos="9350"/>
            </w:tabs>
            <w:rPr>
              <w:rFonts w:cstheme="minorBidi"/>
              <w:b w:val="0"/>
              <w:bCs w:val="0"/>
              <w:i w:val="0"/>
              <w:iCs/>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3030714" w:history="1">
            <w:r w:rsidRPr="00F61EB2">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_Toc143030714 \h </w:instrText>
            </w:r>
            <w:r>
              <w:rPr>
                <w:noProof/>
                <w:webHidden/>
              </w:rPr>
            </w:r>
            <w:r>
              <w:rPr>
                <w:noProof/>
                <w:webHidden/>
              </w:rPr>
              <w:fldChar w:fldCharType="separate"/>
            </w:r>
            <w:r>
              <w:rPr>
                <w:noProof/>
                <w:webHidden/>
              </w:rPr>
              <w:t>3</w:t>
            </w:r>
            <w:r>
              <w:rPr>
                <w:noProof/>
                <w:webHidden/>
              </w:rPr>
              <w:fldChar w:fldCharType="end"/>
            </w:r>
          </w:hyperlink>
        </w:p>
        <w:p w14:paraId="15E1FB41" w14:textId="7B79D088" w:rsidR="004640C0" w:rsidRDefault="00000000">
          <w:pPr>
            <w:pStyle w:val="TOC1"/>
            <w:tabs>
              <w:tab w:val="right" w:leader="dot" w:pos="9350"/>
            </w:tabs>
            <w:rPr>
              <w:rFonts w:cstheme="minorBidi"/>
              <w:b w:val="0"/>
              <w:bCs w:val="0"/>
              <w:i w:val="0"/>
              <w:iCs/>
              <w:noProof/>
              <w:kern w:val="2"/>
              <w:lang w:eastAsia="en-GB"/>
              <w14:ligatures w14:val="standardContextual"/>
            </w:rPr>
          </w:pPr>
          <w:hyperlink w:anchor="_Toc143030715" w:history="1">
            <w:r w:rsidR="004640C0" w:rsidRPr="00F61EB2">
              <w:rPr>
                <w:rStyle w:val="Hyperlink"/>
                <w:rFonts w:ascii="Arial" w:hAnsi="Arial" w:cs="Arial"/>
                <w:noProof/>
                <w:lang w:val="en-US"/>
              </w:rPr>
              <w:t>Barclays and the Role of International Finance in Their Management</w:t>
            </w:r>
            <w:r w:rsidR="004640C0">
              <w:rPr>
                <w:noProof/>
                <w:webHidden/>
              </w:rPr>
              <w:tab/>
            </w:r>
            <w:r w:rsidR="004640C0">
              <w:rPr>
                <w:noProof/>
                <w:webHidden/>
              </w:rPr>
              <w:fldChar w:fldCharType="begin"/>
            </w:r>
            <w:r w:rsidR="004640C0">
              <w:rPr>
                <w:noProof/>
                <w:webHidden/>
              </w:rPr>
              <w:instrText xml:space="preserve"> PAGEREF _Toc143030715 \h </w:instrText>
            </w:r>
            <w:r w:rsidR="004640C0">
              <w:rPr>
                <w:noProof/>
                <w:webHidden/>
              </w:rPr>
            </w:r>
            <w:r w:rsidR="004640C0">
              <w:rPr>
                <w:noProof/>
                <w:webHidden/>
              </w:rPr>
              <w:fldChar w:fldCharType="separate"/>
            </w:r>
            <w:r w:rsidR="004640C0">
              <w:rPr>
                <w:noProof/>
                <w:webHidden/>
              </w:rPr>
              <w:t>3</w:t>
            </w:r>
            <w:r w:rsidR="004640C0">
              <w:rPr>
                <w:noProof/>
                <w:webHidden/>
              </w:rPr>
              <w:fldChar w:fldCharType="end"/>
            </w:r>
          </w:hyperlink>
        </w:p>
        <w:p w14:paraId="1970AEB4" w14:textId="52814399" w:rsidR="004640C0" w:rsidRDefault="00000000">
          <w:pPr>
            <w:pStyle w:val="TOC1"/>
            <w:tabs>
              <w:tab w:val="right" w:leader="dot" w:pos="9350"/>
            </w:tabs>
            <w:rPr>
              <w:rFonts w:cstheme="minorBidi"/>
              <w:b w:val="0"/>
              <w:bCs w:val="0"/>
              <w:i w:val="0"/>
              <w:iCs/>
              <w:noProof/>
              <w:kern w:val="2"/>
              <w:lang w:eastAsia="en-GB"/>
              <w14:ligatures w14:val="standardContextual"/>
            </w:rPr>
          </w:pPr>
          <w:hyperlink w:anchor="_Toc143030716" w:history="1">
            <w:r w:rsidR="004640C0" w:rsidRPr="00F61EB2">
              <w:rPr>
                <w:rStyle w:val="Hyperlink"/>
                <w:rFonts w:ascii="Arial" w:hAnsi="Arial" w:cs="Arial"/>
                <w:noProof/>
                <w:lang w:val="en-US"/>
              </w:rPr>
              <w:t>Difficulties seen in several international financial markets</w:t>
            </w:r>
            <w:r w:rsidR="004640C0">
              <w:rPr>
                <w:noProof/>
                <w:webHidden/>
              </w:rPr>
              <w:tab/>
            </w:r>
            <w:r w:rsidR="004640C0">
              <w:rPr>
                <w:noProof/>
                <w:webHidden/>
              </w:rPr>
              <w:fldChar w:fldCharType="begin"/>
            </w:r>
            <w:r w:rsidR="004640C0">
              <w:rPr>
                <w:noProof/>
                <w:webHidden/>
              </w:rPr>
              <w:instrText xml:space="preserve"> PAGEREF _Toc143030716 \h </w:instrText>
            </w:r>
            <w:r w:rsidR="004640C0">
              <w:rPr>
                <w:noProof/>
                <w:webHidden/>
              </w:rPr>
            </w:r>
            <w:r w:rsidR="004640C0">
              <w:rPr>
                <w:noProof/>
                <w:webHidden/>
              </w:rPr>
              <w:fldChar w:fldCharType="separate"/>
            </w:r>
            <w:r w:rsidR="004640C0">
              <w:rPr>
                <w:noProof/>
                <w:webHidden/>
              </w:rPr>
              <w:t>5</w:t>
            </w:r>
            <w:r w:rsidR="004640C0">
              <w:rPr>
                <w:noProof/>
                <w:webHidden/>
              </w:rPr>
              <w:fldChar w:fldCharType="end"/>
            </w:r>
          </w:hyperlink>
        </w:p>
        <w:p w14:paraId="12EAEAD0" w14:textId="38CC7ACC" w:rsidR="004640C0" w:rsidRDefault="00000000">
          <w:pPr>
            <w:pStyle w:val="TOC1"/>
            <w:tabs>
              <w:tab w:val="right" w:leader="dot" w:pos="9350"/>
            </w:tabs>
            <w:rPr>
              <w:rFonts w:cstheme="minorBidi"/>
              <w:b w:val="0"/>
              <w:bCs w:val="0"/>
              <w:i w:val="0"/>
              <w:iCs/>
              <w:noProof/>
              <w:kern w:val="2"/>
              <w:lang w:eastAsia="en-GB"/>
              <w14:ligatures w14:val="standardContextual"/>
            </w:rPr>
          </w:pPr>
          <w:hyperlink w:anchor="_Toc143030717" w:history="1">
            <w:r w:rsidR="004640C0" w:rsidRPr="00F61EB2">
              <w:rPr>
                <w:rStyle w:val="Hyperlink"/>
                <w:rFonts w:ascii="Arial" w:hAnsi="Arial" w:cs="Arial"/>
                <w:noProof/>
                <w:lang w:val="en-US"/>
              </w:rPr>
              <w:t>Dividend payout practices at Barclays</w:t>
            </w:r>
            <w:r w:rsidR="004640C0">
              <w:rPr>
                <w:noProof/>
                <w:webHidden/>
              </w:rPr>
              <w:tab/>
            </w:r>
            <w:r w:rsidR="004640C0">
              <w:rPr>
                <w:noProof/>
                <w:webHidden/>
              </w:rPr>
              <w:fldChar w:fldCharType="begin"/>
            </w:r>
            <w:r w:rsidR="004640C0">
              <w:rPr>
                <w:noProof/>
                <w:webHidden/>
              </w:rPr>
              <w:instrText xml:space="preserve"> PAGEREF _Toc143030717 \h </w:instrText>
            </w:r>
            <w:r w:rsidR="004640C0">
              <w:rPr>
                <w:noProof/>
                <w:webHidden/>
              </w:rPr>
            </w:r>
            <w:r w:rsidR="004640C0">
              <w:rPr>
                <w:noProof/>
                <w:webHidden/>
              </w:rPr>
              <w:fldChar w:fldCharType="separate"/>
            </w:r>
            <w:r w:rsidR="004640C0">
              <w:rPr>
                <w:noProof/>
                <w:webHidden/>
              </w:rPr>
              <w:t>6</w:t>
            </w:r>
            <w:r w:rsidR="004640C0">
              <w:rPr>
                <w:noProof/>
                <w:webHidden/>
              </w:rPr>
              <w:fldChar w:fldCharType="end"/>
            </w:r>
          </w:hyperlink>
        </w:p>
        <w:p w14:paraId="593EE29C" w14:textId="50DEF021" w:rsidR="004640C0" w:rsidRDefault="00000000">
          <w:pPr>
            <w:pStyle w:val="TOC1"/>
            <w:tabs>
              <w:tab w:val="right" w:leader="dot" w:pos="9350"/>
            </w:tabs>
            <w:rPr>
              <w:rFonts w:cstheme="minorBidi"/>
              <w:b w:val="0"/>
              <w:bCs w:val="0"/>
              <w:i w:val="0"/>
              <w:iCs/>
              <w:noProof/>
              <w:kern w:val="2"/>
              <w:lang w:eastAsia="en-GB"/>
              <w14:ligatures w14:val="standardContextual"/>
            </w:rPr>
          </w:pPr>
          <w:hyperlink w:anchor="_Toc143030718" w:history="1">
            <w:r w:rsidR="004640C0" w:rsidRPr="00F61EB2">
              <w:rPr>
                <w:rStyle w:val="Hyperlink"/>
                <w:rFonts w:ascii="Arial" w:hAnsi="Arial" w:cs="Arial"/>
                <w:noProof/>
                <w:lang w:val="en-US"/>
              </w:rPr>
              <w:t>Barclays approaches</w:t>
            </w:r>
            <w:r w:rsidR="004640C0">
              <w:rPr>
                <w:noProof/>
                <w:webHidden/>
              </w:rPr>
              <w:tab/>
            </w:r>
            <w:r w:rsidR="004640C0">
              <w:rPr>
                <w:noProof/>
                <w:webHidden/>
              </w:rPr>
              <w:fldChar w:fldCharType="begin"/>
            </w:r>
            <w:r w:rsidR="004640C0">
              <w:rPr>
                <w:noProof/>
                <w:webHidden/>
              </w:rPr>
              <w:instrText xml:space="preserve"> PAGEREF _Toc143030718 \h </w:instrText>
            </w:r>
            <w:r w:rsidR="004640C0">
              <w:rPr>
                <w:noProof/>
                <w:webHidden/>
              </w:rPr>
            </w:r>
            <w:r w:rsidR="004640C0">
              <w:rPr>
                <w:noProof/>
                <w:webHidden/>
              </w:rPr>
              <w:fldChar w:fldCharType="separate"/>
            </w:r>
            <w:r w:rsidR="004640C0">
              <w:rPr>
                <w:noProof/>
                <w:webHidden/>
              </w:rPr>
              <w:t>7</w:t>
            </w:r>
            <w:r w:rsidR="004640C0">
              <w:rPr>
                <w:noProof/>
                <w:webHidden/>
              </w:rPr>
              <w:fldChar w:fldCharType="end"/>
            </w:r>
          </w:hyperlink>
        </w:p>
        <w:p w14:paraId="5C886B96" w14:textId="3BD3E187" w:rsidR="004640C0" w:rsidRDefault="00000000">
          <w:pPr>
            <w:pStyle w:val="TOC1"/>
            <w:tabs>
              <w:tab w:val="right" w:leader="dot" w:pos="9350"/>
            </w:tabs>
            <w:rPr>
              <w:rFonts w:cstheme="minorBidi"/>
              <w:b w:val="0"/>
              <w:bCs w:val="0"/>
              <w:i w:val="0"/>
              <w:iCs/>
              <w:noProof/>
              <w:kern w:val="2"/>
              <w:lang w:eastAsia="en-GB"/>
              <w14:ligatures w14:val="standardContextual"/>
            </w:rPr>
          </w:pPr>
          <w:hyperlink w:anchor="_Toc143030719" w:history="1">
            <w:r w:rsidR="004640C0" w:rsidRPr="00F61EB2">
              <w:rPr>
                <w:rStyle w:val="Hyperlink"/>
                <w:rFonts w:ascii="Arial" w:hAnsi="Arial" w:cs="Arial"/>
                <w:noProof/>
                <w:lang w:val="en-US"/>
              </w:rPr>
              <w:t>Conclusion</w:t>
            </w:r>
            <w:r w:rsidR="004640C0">
              <w:rPr>
                <w:noProof/>
                <w:webHidden/>
              </w:rPr>
              <w:tab/>
            </w:r>
            <w:r w:rsidR="004640C0">
              <w:rPr>
                <w:noProof/>
                <w:webHidden/>
              </w:rPr>
              <w:fldChar w:fldCharType="begin"/>
            </w:r>
            <w:r w:rsidR="004640C0">
              <w:rPr>
                <w:noProof/>
                <w:webHidden/>
              </w:rPr>
              <w:instrText xml:space="preserve"> PAGEREF _Toc143030719 \h </w:instrText>
            </w:r>
            <w:r w:rsidR="004640C0">
              <w:rPr>
                <w:noProof/>
                <w:webHidden/>
              </w:rPr>
            </w:r>
            <w:r w:rsidR="004640C0">
              <w:rPr>
                <w:noProof/>
                <w:webHidden/>
              </w:rPr>
              <w:fldChar w:fldCharType="separate"/>
            </w:r>
            <w:r w:rsidR="004640C0">
              <w:rPr>
                <w:noProof/>
                <w:webHidden/>
              </w:rPr>
              <w:t>8</w:t>
            </w:r>
            <w:r w:rsidR="004640C0">
              <w:rPr>
                <w:noProof/>
                <w:webHidden/>
              </w:rPr>
              <w:fldChar w:fldCharType="end"/>
            </w:r>
          </w:hyperlink>
        </w:p>
        <w:p w14:paraId="78944F6D" w14:textId="6D393033" w:rsidR="004640C0" w:rsidRDefault="00000000">
          <w:pPr>
            <w:pStyle w:val="TOC1"/>
            <w:tabs>
              <w:tab w:val="right" w:leader="dot" w:pos="9350"/>
            </w:tabs>
            <w:rPr>
              <w:rFonts w:cstheme="minorBidi"/>
              <w:b w:val="0"/>
              <w:bCs w:val="0"/>
              <w:i w:val="0"/>
              <w:iCs/>
              <w:noProof/>
              <w:kern w:val="2"/>
              <w:lang w:eastAsia="en-GB"/>
              <w14:ligatures w14:val="standardContextual"/>
            </w:rPr>
          </w:pPr>
          <w:hyperlink w:anchor="_Toc143030720" w:history="1">
            <w:r w:rsidR="004640C0" w:rsidRPr="00F61EB2">
              <w:rPr>
                <w:rStyle w:val="Hyperlink"/>
                <w:rFonts w:ascii="Arial" w:hAnsi="Arial" w:cs="Arial"/>
                <w:noProof/>
                <w:lang w:val="en-US"/>
              </w:rPr>
              <w:t>References</w:t>
            </w:r>
            <w:r w:rsidR="004640C0">
              <w:rPr>
                <w:noProof/>
                <w:webHidden/>
              </w:rPr>
              <w:tab/>
            </w:r>
            <w:r w:rsidR="004640C0">
              <w:rPr>
                <w:noProof/>
                <w:webHidden/>
              </w:rPr>
              <w:fldChar w:fldCharType="begin"/>
            </w:r>
            <w:r w:rsidR="004640C0">
              <w:rPr>
                <w:noProof/>
                <w:webHidden/>
              </w:rPr>
              <w:instrText xml:space="preserve"> PAGEREF _Toc143030720 \h </w:instrText>
            </w:r>
            <w:r w:rsidR="004640C0">
              <w:rPr>
                <w:noProof/>
                <w:webHidden/>
              </w:rPr>
            </w:r>
            <w:r w:rsidR="004640C0">
              <w:rPr>
                <w:noProof/>
                <w:webHidden/>
              </w:rPr>
              <w:fldChar w:fldCharType="separate"/>
            </w:r>
            <w:r w:rsidR="004640C0">
              <w:rPr>
                <w:noProof/>
                <w:webHidden/>
              </w:rPr>
              <w:t>9</w:t>
            </w:r>
            <w:r w:rsidR="004640C0">
              <w:rPr>
                <w:noProof/>
                <w:webHidden/>
              </w:rPr>
              <w:fldChar w:fldCharType="end"/>
            </w:r>
          </w:hyperlink>
        </w:p>
        <w:p w14:paraId="6BFB9CDA" w14:textId="6CB8050D" w:rsidR="004640C0" w:rsidRDefault="004640C0">
          <w:r>
            <w:rPr>
              <w:b/>
              <w:bCs/>
              <w:noProof/>
            </w:rPr>
            <w:fldChar w:fldCharType="end"/>
          </w:r>
        </w:p>
      </w:sdtContent>
    </w:sdt>
    <w:p w14:paraId="33DFEDA4" w14:textId="77777777" w:rsidR="004640C0" w:rsidRDefault="004640C0" w:rsidP="004640C0">
      <w:pPr>
        <w:rPr>
          <w:lang w:val="en-US"/>
        </w:rPr>
      </w:pPr>
    </w:p>
    <w:p w14:paraId="7CFF47F7" w14:textId="77777777" w:rsidR="004640C0" w:rsidRDefault="004640C0" w:rsidP="004640C0">
      <w:pPr>
        <w:rPr>
          <w:lang w:val="en-US"/>
        </w:rPr>
      </w:pPr>
    </w:p>
    <w:p w14:paraId="7B2F1505" w14:textId="77777777" w:rsidR="004640C0" w:rsidRDefault="004640C0" w:rsidP="004640C0">
      <w:pPr>
        <w:rPr>
          <w:lang w:val="en-US"/>
        </w:rPr>
      </w:pPr>
    </w:p>
    <w:p w14:paraId="1DE27B8D" w14:textId="77777777" w:rsidR="004640C0" w:rsidRDefault="004640C0" w:rsidP="004640C0">
      <w:pPr>
        <w:rPr>
          <w:lang w:val="en-US"/>
        </w:rPr>
      </w:pPr>
    </w:p>
    <w:p w14:paraId="715C6437" w14:textId="77777777" w:rsidR="004640C0" w:rsidRDefault="004640C0" w:rsidP="004640C0">
      <w:pPr>
        <w:rPr>
          <w:lang w:val="en-US"/>
        </w:rPr>
      </w:pPr>
    </w:p>
    <w:p w14:paraId="6BD10D15" w14:textId="77777777" w:rsidR="004640C0" w:rsidRDefault="004640C0" w:rsidP="004640C0">
      <w:pPr>
        <w:rPr>
          <w:lang w:val="en-US"/>
        </w:rPr>
      </w:pPr>
    </w:p>
    <w:p w14:paraId="01F78020" w14:textId="77777777" w:rsidR="004640C0" w:rsidRDefault="004640C0" w:rsidP="004640C0">
      <w:pPr>
        <w:rPr>
          <w:lang w:val="en-US"/>
        </w:rPr>
      </w:pPr>
    </w:p>
    <w:p w14:paraId="4EB1B344" w14:textId="77777777" w:rsidR="004640C0" w:rsidRDefault="004640C0" w:rsidP="004640C0">
      <w:pPr>
        <w:rPr>
          <w:lang w:val="en-US"/>
        </w:rPr>
      </w:pPr>
    </w:p>
    <w:p w14:paraId="650D9A26" w14:textId="77777777" w:rsidR="004640C0" w:rsidRDefault="004640C0" w:rsidP="004640C0">
      <w:pPr>
        <w:rPr>
          <w:lang w:val="en-US"/>
        </w:rPr>
      </w:pPr>
    </w:p>
    <w:p w14:paraId="7E6D405D" w14:textId="77777777" w:rsidR="004640C0" w:rsidRDefault="004640C0" w:rsidP="004640C0">
      <w:pPr>
        <w:rPr>
          <w:lang w:val="en-US"/>
        </w:rPr>
      </w:pPr>
    </w:p>
    <w:p w14:paraId="1D2129D1" w14:textId="77777777" w:rsidR="004640C0" w:rsidRDefault="004640C0" w:rsidP="004640C0">
      <w:pPr>
        <w:rPr>
          <w:lang w:val="en-US"/>
        </w:rPr>
      </w:pPr>
    </w:p>
    <w:p w14:paraId="785672D9" w14:textId="77777777" w:rsidR="004640C0" w:rsidRDefault="004640C0" w:rsidP="004640C0">
      <w:pPr>
        <w:rPr>
          <w:lang w:val="en-US"/>
        </w:rPr>
      </w:pPr>
    </w:p>
    <w:p w14:paraId="17E9233F" w14:textId="77777777" w:rsidR="004640C0" w:rsidRDefault="004640C0" w:rsidP="004640C0">
      <w:pPr>
        <w:rPr>
          <w:lang w:val="en-US"/>
        </w:rPr>
      </w:pPr>
    </w:p>
    <w:p w14:paraId="3FA31676" w14:textId="77777777" w:rsidR="004640C0" w:rsidRDefault="004640C0" w:rsidP="004640C0">
      <w:pPr>
        <w:rPr>
          <w:lang w:val="en-US"/>
        </w:rPr>
      </w:pPr>
    </w:p>
    <w:p w14:paraId="4801252C" w14:textId="77777777" w:rsidR="004640C0" w:rsidRDefault="004640C0" w:rsidP="004640C0">
      <w:pPr>
        <w:rPr>
          <w:lang w:val="en-US"/>
        </w:rPr>
      </w:pPr>
    </w:p>
    <w:p w14:paraId="5147BE2B" w14:textId="77777777" w:rsidR="004640C0" w:rsidRPr="004640C0" w:rsidRDefault="004640C0" w:rsidP="004640C0">
      <w:pPr>
        <w:rPr>
          <w:lang w:val="en-US"/>
        </w:rPr>
      </w:pPr>
    </w:p>
    <w:p w14:paraId="2790C0D8" w14:textId="77777777" w:rsidR="00347F40" w:rsidRDefault="00347F40">
      <w:pPr>
        <w:rPr>
          <w:lang w:val="en-US"/>
        </w:rPr>
      </w:pPr>
    </w:p>
    <w:p w14:paraId="5E53EAD8" w14:textId="7470731C" w:rsidR="00347F40" w:rsidRPr="004640C0" w:rsidRDefault="00AA6458" w:rsidP="004640C0">
      <w:pPr>
        <w:pStyle w:val="Heading1"/>
        <w:spacing w:line="360" w:lineRule="auto"/>
        <w:jc w:val="both"/>
        <w:rPr>
          <w:rFonts w:ascii="Arial" w:hAnsi="Arial" w:cs="Arial"/>
          <w:sz w:val="24"/>
          <w:szCs w:val="24"/>
          <w:lang w:val="en-US"/>
        </w:rPr>
      </w:pPr>
      <w:bookmarkStart w:id="0" w:name="_Toc143030714"/>
      <w:r w:rsidRPr="004640C0">
        <w:rPr>
          <w:rFonts w:ascii="Arial" w:hAnsi="Arial" w:cs="Arial"/>
          <w:sz w:val="24"/>
          <w:szCs w:val="24"/>
          <w:lang w:val="en-US"/>
        </w:rPr>
        <w:t>Introduction</w:t>
      </w:r>
      <w:bookmarkEnd w:id="0"/>
      <w:r w:rsidRPr="004640C0">
        <w:rPr>
          <w:rFonts w:ascii="Arial" w:hAnsi="Arial" w:cs="Arial"/>
          <w:sz w:val="24"/>
          <w:szCs w:val="24"/>
          <w:lang w:val="en-US"/>
        </w:rPr>
        <w:t xml:space="preserve"> </w:t>
      </w:r>
    </w:p>
    <w:p w14:paraId="2473681D" w14:textId="77777777" w:rsidR="00637906" w:rsidRPr="004640C0" w:rsidRDefault="00637906" w:rsidP="004640C0">
      <w:pPr>
        <w:spacing w:line="360" w:lineRule="auto"/>
        <w:jc w:val="both"/>
        <w:rPr>
          <w:rFonts w:ascii="Arial" w:hAnsi="Arial" w:cs="Arial"/>
          <w:sz w:val="24"/>
          <w:szCs w:val="24"/>
          <w:lang w:val="en-US"/>
        </w:rPr>
      </w:pPr>
    </w:p>
    <w:p w14:paraId="7A6DDFD9" w14:textId="238C1DE0"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Multinational businesses (MNCs) rely heavily on the expertise of international financial managers (IFMs) to ensure their success</w:t>
      </w:r>
      <w:r w:rsidR="00122163" w:rsidRPr="004640C0">
        <w:rPr>
          <w:rFonts w:ascii="Arial" w:hAnsi="Arial" w:cs="Arial"/>
          <w:sz w:val="24"/>
          <w:szCs w:val="24"/>
          <w:lang w:val="en-US"/>
        </w:rPr>
        <w:t xml:space="preserve"> and the </w:t>
      </w:r>
      <w:r w:rsidRPr="004640C0">
        <w:rPr>
          <w:rFonts w:ascii="Arial" w:hAnsi="Arial" w:cs="Arial"/>
          <w:sz w:val="24"/>
          <w:szCs w:val="24"/>
          <w:lang w:val="en-US"/>
        </w:rPr>
        <w:t xml:space="preserve">purpose of this </w:t>
      </w:r>
      <w:r w:rsidR="00122163" w:rsidRPr="004640C0">
        <w:rPr>
          <w:rFonts w:ascii="Arial" w:hAnsi="Arial" w:cs="Arial"/>
          <w:sz w:val="24"/>
          <w:szCs w:val="24"/>
          <w:lang w:val="en-US"/>
        </w:rPr>
        <w:t xml:space="preserve">report </w:t>
      </w:r>
      <w:r w:rsidRPr="004640C0">
        <w:rPr>
          <w:rFonts w:ascii="Arial" w:hAnsi="Arial" w:cs="Arial"/>
          <w:sz w:val="24"/>
          <w:szCs w:val="24"/>
          <w:lang w:val="en-US"/>
        </w:rPr>
        <w:t xml:space="preserve"> is to examine and assess the relevance of Integrated Financial Management (IFM) to the global financial services provider Barclays, which has its headquarters in the United Kingdom. Barclays has faced challenges in a number of different international financial markets, and this research will look at those challenges, with an eye towards proving its claims with relevant theories and empirical evidence from the study of IFM.</w:t>
      </w:r>
      <w:r w:rsidR="009B5BA2" w:rsidRPr="004640C0">
        <w:rPr>
          <w:rFonts w:ascii="Arial" w:hAnsi="Arial" w:cs="Arial"/>
          <w:sz w:val="24"/>
          <w:szCs w:val="24"/>
          <w:lang w:val="en-US"/>
        </w:rPr>
        <w:t xml:space="preserve"> (</w:t>
      </w:r>
      <w:proofErr w:type="spellStart"/>
      <w:r w:rsidR="009B5BA2" w:rsidRPr="004640C0">
        <w:rPr>
          <w:rFonts w:ascii="Arial" w:hAnsi="Arial" w:cs="Arial"/>
          <w:sz w:val="24"/>
          <w:szCs w:val="24"/>
          <w:lang w:val="en-US"/>
        </w:rPr>
        <w:t>Solnik</w:t>
      </w:r>
      <w:proofErr w:type="spellEnd"/>
      <w:r w:rsidR="009B5BA2" w:rsidRPr="004640C0">
        <w:rPr>
          <w:rFonts w:ascii="Arial" w:hAnsi="Arial" w:cs="Arial"/>
          <w:sz w:val="24"/>
          <w:szCs w:val="24"/>
          <w:lang w:val="en-US"/>
        </w:rPr>
        <w:t xml:space="preserve"> &amp; </w:t>
      </w:r>
      <w:proofErr w:type="spellStart"/>
      <w:r w:rsidR="00F03DCF" w:rsidRPr="004640C0">
        <w:rPr>
          <w:rFonts w:ascii="Arial" w:hAnsi="Arial" w:cs="Arial"/>
          <w:sz w:val="24"/>
          <w:szCs w:val="24"/>
          <w:lang w:val="en-US"/>
        </w:rPr>
        <w:t>McLeavey</w:t>
      </w:r>
      <w:proofErr w:type="spellEnd"/>
      <w:r w:rsidR="00F03DCF" w:rsidRPr="004640C0">
        <w:rPr>
          <w:rFonts w:ascii="Arial" w:hAnsi="Arial" w:cs="Arial"/>
          <w:sz w:val="24"/>
          <w:szCs w:val="24"/>
          <w:lang w:val="en-US"/>
        </w:rPr>
        <w:t>, 2014)</w:t>
      </w:r>
    </w:p>
    <w:p w14:paraId="64317454" w14:textId="77777777" w:rsidR="00637906" w:rsidRPr="004640C0" w:rsidRDefault="00637906" w:rsidP="004640C0">
      <w:pPr>
        <w:spacing w:line="360" w:lineRule="auto"/>
        <w:jc w:val="both"/>
        <w:rPr>
          <w:rFonts w:ascii="Arial" w:hAnsi="Arial" w:cs="Arial"/>
          <w:sz w:val="24"/>
          <w:szCs w:val="24"/>
          <w:lang w:val="en-US"/>
        </w:rPr>
      </w:pPr>
    </w:p>
    <w:p w14:paraId="011405B1" w14:textId="77777777" w:rsidR="00F66C3E" w:rsidRPr="004640C0" w:rsidRDefault="00F66C3E" w:rsidP="004640C0">
      <w:pPr>
        <w:spacing w:line="360" w:lineRule="auto"/>
        <w:jc w:val="both"/>
        <w:rPr>
          <w:rFonts w:ascii="Arial" w:hAnsi="Arial" w:cs="Arial"/>
          <w:sz w:val="24"/>
          <w:szCs w:val="24"/>
          <w:lang w:val="en-US"/>
        </w:rPr>
      </w:pPr>
    </w:p>
    <w:p w14:paraId="584894F4" w14:textId="77777777" w:rsidR="00637906" w:rsidRPr="004640C0" w:rsidRDefault="00637906" w:rsidP="004640C0">
      <w:pPr>
        <w:pStyle w:val="Heading1"/>
        <w:spacing w:line="360" w:lineRule="auto"/>
        <w:jc w:val="both"/>
        <w:rPr>
          <w:rFonts w:ascii="Arial" w:hAnsi="Arial" w:cs="Arial"/>
          <w:sz w:val="24"/>
          <w:szCs w:val="24"/>
          <w:lang w:val="en-US"/>
        </w:rPr>
      </w:pPr>
      <w:bookmarkStart w:id="1" w:name="_Toc143030715"/>
      <w:r w:rsidRPr="004640C0">
        <w:rPr>
          <w:rFonts w:ascii="Arial" w:hAnsi="Arial" w:cs="Arial"/>
          <w:sz w:val="24"/>
          <w:szCs w:val="24"/>
          <w:lang w:val="en-US"/>
        </w:rPr>
        <w:t>Barclays and the Role of International Finance in Their Management</w:t>
      </w:r>
      <w:bookmarkEnd w:id="1"/>
    </w:p>
    <w:p w14:paraId="738737B1" w14:textId="77777777" w:rsidR="00637906" w:rsidRPr="004640C0" w:rsidRDefault="00637906" w:rsidP="004640C0">
      <w:pPr>
        <w:spacing w:line="360" w:lineRule="auto"/>
        <w:jc w:val="both"/>
        <w:rPr>
          <w:rFonts w:ascii="Arial" w:hAnsi="Arial" w:cs="Arial"/>
          <w:sz w:val="24"/>
          <w:szCs w:val="24"/>
          <w:lang w:val="en-US"/>
        </w:rPr>
      </w:pPr>
    </w:p>
    <w:p w14:paraId="68E2BB13" w14:textId="50DFB02C"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Barclays manages the complexities of multiple currency systems, regulatory regimes, and economic environments in its global operations</w:t>
      </w:r>
      <w:r w:rsidR="00122163" w:rsidRPr="004640C0">
        <w:rPr>
          <w:rFonts w:ascii="Arial" w:hAnsi="Arial" w:cs="Arial"/>
          <w:sz w:val="24"/>
          <w:szCs w:val="24"/>
          <w:lang w:val="en-US"/>
        </w:rPr>
        <w:t xml:space="preserve"> but therefore</w:t>
      </w:r>
      <w:r w:rsidRPr="004640C0">
        <w:rPr>
          <w:rFonts w:ascii="Arial" w:hAnsi="Arial" w:cs="Arial"/>
          <w:sz w:val="24"/>
          <w:szCs w:val="24"/>
          <w:lang w:val="en-US"/>
        </w:rPr>
        <w:t xml:space="preserve">, effective Integrated Financial Management (IFM) </w:t>
      </w:r>
      <w:r w:rsidR="00122163" w:rsidRPr="004640C0">
        <w:rPr>
          <w:rFonts w:ascii="Arial" w:hAnsi="Arial" w:cs="Arial"/>
          <w:sz w:val="24"/>
          <w:szCs w:val="24"/>
          <w:lang w:val="en-US"/>
        </w:rPr>
        <w:t>practices</w:t>
      </w:r>
      <w:r w:rsidRPr="004640C0">
        <w:rPr>
          <w:rFonts w:ascii="Arial" w:hAnsi="Arial" w:cs="Arial"/>
          <w:sz w:val="24"/>
          <w:szCs w:val="24"/>
          <w:lang w:val="en-US"/>
        </w:rPr>
        <w:t xml:space="preserve"> must be put in place to reduce losses, </w:t>
      </w:r>
      <w:r w:rsidR="00122163" w:rsidRPr="004640C0">
        <w:rPr>
          <w:rFonts w:ascii="Arial" w:hAnsi="Arial" w:cs="Arial"/>
          <w:sz w:val="24"/>
          <w:szCs w:val="24"/>
          <w:lang w:val="en-US"/>
        </w:rPr>
        <w:t>maximize</w:t>
      </w:r>
      <w:r w:rsidRPr="004640C0">
        <w:rPr>
          <w:rFonts w:ascii="Arial" w:hAnsi="Arial" w:cs="Arial"/>
          <w:sz w:val="24"/>
          <w:szCs w:val="24"/>
          <w:lang w:val="en-US"/>
        </w:rPr>
        <w:t xml:space="preserve"> profits, and ensure a company's long-term survival. Barclays' international finance management allows the company to</w:t>
      </w:r>
      <w:r w:rsidR="009433F0" w:rsidRPr="004640C0">
        <w:rPr>
          <w:rFonts w:ascii="Arial" w:hAnsi="Arial" w:cs="Arial"/>
          <w:sz w:val="24"/>
          <w:szCs w:val="24"/>
          <w:lang w:val="en-US"/>
        </w:rPr>
        <w:t xml:space="preserve"> protect </w:t>
      </w:r>
      <w:r w:rsidRPr="004640C0">
        <w:rPr>
          <w:rFonts w:ascii="Arial" w:hAnsi="Arial" w:cs="Arial"/>
          <w:sz w:val="24"/>
          <w:szCs w:val="24"/>
          <w:lang w:val="en-US"/>
        </w:rPr>
        <w:t>against the possibility of adverse currency fluctuations</w:t>
      </w:r>
      <w:r w:rsidR="009433F0" w:rsidRPr="004640C0">
        <w:rPr>
          <w:rFonts w:ascii="Arial" w:hAnsi="Arial" w:cs="Arial"/>
          <w:sz w:val="24"/>
          <w:szCs w:val="24"/>
          <w:lang w:val="en-US"/>
        </w:rPr>
        <w:t xml:space="preserve"> and due </w:t>
      </w:r>
      <w:r w:rsidRPr="004640C0">
        <w:rPr>
          <w:rFonts w:ascii="Arial" w:hAnsi="Arial" w:cs="Arial"/>
          <w:sz w:val="24"/>
          <w:szCs w:val="24"/>
          <w:lang w:val="en-US"/>
        </w:rPr>
        <w:t xml:space="preserve"> to its global reach, Barclays is vulnerable to fluctuations in currency exchange rates. Currency hedging strategies, such as the use of forward contracts and </w:t>
      </w:r>
      <w:r w:rsidRPr="004640C0">
        <w:rPr>
          <w:rFonts w:ascii="Arial" w:hAnsi="Arial" w:cs="Arial"/>
          <w:sz w:val="24"/>
          <w:szCs w:val="24"/>
          <w:lang w:val="en-US"/>
        </w:rPr>
        <w:lastRenderedPageBreak/>
        <w:t>options, allow the company to efficiently manage and mitigate this risk through the use of efficient Integrated Financial Management (IFM).</w:t>
      </w:r>
      <w:r w:rsidR="009F622B" w:rsidRPr="004640C0">
        <w:rPr>
          <w:rFonts w:ascii="Arial" w:hAnsi="Arial" w:cs="Arial"/>
          <w:sz w:val="24"/>
          <w:szCs w:val="24"/>
          <w:lang w:val="en-US"/>
        </w:rPr>
        <w:t xml:space="preserve"> (</w:t>
      </w:r>
      <w:r w:rsidR="009B5BA2" w:rsidRPr="004640C0">
        <w:rPr>
          <w:rFonts w:ascii="Arial" w:hAnsi="Arial" w:cs="Arial"/>
          <w:sz w:val="24"/>
          <w:szCs w:val="24"/>
          <w:lang w:val="en-US"/>
        </w:rPr>
        <w:t xml:space="preserve">Shleifer &amp; </w:t>
      </w:r>
      <w:proofErr w:type="spellStart"/>
      <w:r w:rsidR="009B5BA2" w:rsidRPr="004640C0">
        <w:rPr>
          <w:rFonts w:ascii="Arial" w:hAnsi="Arial" w:cs="Arial"/>
          <w:sz w:val="24"/>
          <w:szCs w:val="24"/>
          <w:lang w:val="en-US"/>
        </w:rPr>
        <w:t>Vishny</w:t>
      </w:r>
      <w:proofErr w:type="spellEnd"/>
      <w:r w:rsidR="009B5BA2" w:rsidRPr="004640C0">
        <w:rPr>
          <w:rFonts w:ascii="Arial" w:hAnsi="Arial" w:cs="Arial"/>
          <w:sz w:val="24"/>
          <w:szCs w:val="24"/>
          <w:lang w:val="en-US"/>
        </w:rPr>
        <w:t>, 1997)</w:t>
      </w:r>
    </w:p>
    <w:p w14:paraId="2D085178" w14:textId="77777777" w:rsidR="009433F0" w:rsidRPr="004640C0" w:rsidRDefault="009433F0" w:rsidP="004640C0">
      <w:pPr>
        <w:spacing w:line="360" w:lineRule="auto"/>
        <w:jc w:val="both"/>
        <w:rPr>
          <w:rFonts w:ascii="Arial" w:hAnsi="Arial" w:cs="Arial"/>
          <w:sz w:val="24"/>
          <w:szCs w:val="24"/>
          <w:lang w:val="en-US"/>
        </w:rPr>
      </w:pPr>
    </w:p>
    <w:p w14:paraId="5D2FA4D0" w14:textId="7337FCF7"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Barclays is able to finance its operations and expand with the help of funds from worldwide markets because to its use of the International Financial Markets (IFM)</w:t>
      </w:r>
      <w:r w:rsidR="009433F0" w:rsidRPr="004640C0">
        <w:rPr>
          <w:rFonts w:ascii="Arial" w:hAnsi="Arial" w:cs="Arial"/>
          <w:sz w:val="24"/>
          <w:szCs w:val="24"/>
          <w:lang w:val="en-US"/>
        </w:rPr>
        <w:t xml:space="preserve"> and also, the company </w:t>
      </w:r>
      <w:r w:rsidRPr="004640C0">
        <w:rPr>
          <w:rFonts w:ascii="Arial" w:hAnsi="Arial" w:cs="Arial"/>
          <w:sz w:val="24"/>
          <w:szCs w:val="24"/>
          <w:lang w:val="en-US"/>
        </w:rPr>
        <w:t>can increase the diversity of its funding sources and gain access to cash at competitive interest rates by leveraging international investors.</w:t>
      </w:r>
      <w:r w:rsidR="000360BA" w:rsidRPr="004640C0">
        <w:rPr>
          <w:rFonts w:ascii="Arial" w:hAnsi="Arial" w:cs="Arial"/>
          <w:sz w:val="24"/>
          <w:szCs w:val="24"/>
          <w:lang w:val="en-US"/>
        </w:rPr>
        <w:t xml:space="preserve"> (</w:t>
      </w:r>
      <w:r w:rsidR="006E10FB" w:rsidRPr="004640C0">
        <w:rPr>
          <w:rFonts w:ascii="Arial" w:hAnsi="Arial" w:cs="Arial"/>
          <w:sz w:val="24"/>
          <w:szCs w:val="24"/>
          <w:lang w:val="en-US"/>
        </w:rPr>
        <w:t xml:space="preserve">Melvin &amp; </w:t>
      </w:r>
      <w:proofErr w:type="spellStart"/>
      <w:r w:rsidR="006E10FB" w:rsidRPr="004640C0">
        <w:rPr>
          <w:rFonts w:ascii="Arial" w:hAnsi="Arial" w:cs="Arial"/>
          <w:sz w:val="24"/>
          <w:szCs w:val="24"/>
          <w:lang w:val="en-US"/>
        </w:rPr>
        <w:t>Norrbin</w:t>
      </w:r>
      <w:proofErr w:type="spellEnd"/>
      <w:r w:rsidR="006E10FB" w:rsidRPr="004640C0">
        <w:rPr>
          <w:rFonts w:ascii="Arial" w:hAnsi="Arial" w:cs="Arial"/>
          <w:sz w:val="24"/>
          <w:szCs w:val="24"/>
          <w:lang w:val="en-US"/>
        </w:rPr>
        <w:t>, 2012)</w:t>
      </w:r>
    </w:p>
    <w:p w14:paraId="05ADDC46" w14:textId="77777777" w:rsidR="009433F0" w:rsidRPr="004640C0" w:rsidRDefault="009433F0" w:rsidP="004640C0">
      <w:pPr>
        <w:spacing w:line="360" w:lineRule="auto"/>
        <w:jc w:val="both"/>
        <w:rPr>
          <w:rFonts w:ascii="Arial" w:hAnsi="Arial" w:cs="Arial"/>
          <w:sz w:val="24"/>
          <w:szCs w:val="24"/>
          <w:lang w:val="en-US"/>
        </w:rPr>
      </w:pPr>
    </w:p>
    <w:p w14:paraId="574B11BB" w14:textId="77777777" w:rsidR="009433F0" w:rsidRPr="004640C0" w:rsidRDefault="009433F0" w:rsidP="004640C0">
      <w:pPr>
        <w:spacing w:line="360" w:lineRule="auto"/>
        <w:jc w:val="both"/>
        <w:rPr>
          <w:rFonts w:ascii="Arial" w:hAnsi="Arial" w:cs="Arial"/>
          <w:sz w:val="24"/>
          <w:szCs w:val="24"/>
          <w:lang w:val="en-US"/>
        </w:rPr>
      </w:pPr>
    </w:p>
    <w:p w14:paraId="36ACC692" w14:textId="6E92B501"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 xml:space="preserve">Third, IFM helps Barclays determine the optimal mix of debt and equity to fund its operations, hence facilitating the </w:t>
      </w:r>
      <w:r w:rsidR="009433F0" w:rsidRPr="004640C0">
        <w:rPr>
          <w:rFonts w:ascii="Arial" w:hAnsi="Arial" w:cs="Arial"/>
          <w:sz w:val="24"/>
          <w:szCs w:val="24"/>
          <w:lang w:val="en-US"/>
        </w:rPr>
        <w:t>optimization</w:t>
      </w:r>
      <w:r w:rsidRPr="004640C0">
        <w:rPr>
          <w:rFonts w:ascii="Arial" w:hAnsi="Arial" w:cs="Arial"/>
          <w:sz w:val="24"/>
          <w:szCs w:val="24"/>
          <w:lang w:val="en-US"/>
        </w:rPr>
        <w:t xml:space="preserve"> of capital structure</w:t>
      </w:r>
      <w:r w:rsidR="009433F0" w:rsidRPr="004640C0">
        <w:rPr>
          <w:rFonts w:ascii="Arial" w:hAnsi="Arial" w:cs="Arial"/>
          <w:sz w:val="24"/>
          <w:szCs w:val="24"/>
          <w:lang w:val="en-US"/>
        </w:rPr>
        <w:t xml:space="preserve"> as depending </w:t>
      </w:r>
      <w:r w:rsidRPr="004640C0">
        <w:rPr>
          <w:rFonts w:ascii="Arial" w:hAnsi="Arial" w:cs="Arial"/>
          <w:sz w:val="24"/>
          <w:szCs w:val="24"/>
          <w:lang w:val="en-US"/>
        </w:rPr>
        <w:t>on where it operates, the company may face different interest rate requirements, tax regulations, and investor preferences.</w:t>
      </w:r>
      <w:r w:rsidR="001073DE" w:rsidRPr="004640C0">
        <w:rPr>
          <w:rFonts w:ascii="Arial" w:hAnsi="Arial" w:cs="Arial"/>
          <w:sz w:val="24"/>
          <w:szCs w:val="24"/>
          <w:lang w:val="en-US"/>
        </w:rPr>
        <w:t xml:space="preserve"> </w:t>
      </w:r>
      <w:r w:rsidRPr="004640C0">
        <w:rPr>
          <w:rFonts w:ascii="Arial" w:hAnsi="Arial" w:cs="Arial"/>
          <w:sz w:val="24"/>
          <w:szCs w:val="24"/>
          <w:lang w:val="en-US"/>
        </w:rPr>
        <w:t>Cash flow management is a very important area for development when considering international businesses</w:t>
      </w:r>
      <w:r w:rsidR="001073DE" w:rsidRPr="004640C0">
        <w:rPr>
          <w:rFonts w:ascii="Arial" w:hAnsi="Arial" w:cs="Arial"/>
          <w:sz w:val="24"/>
          <w:szCs w:val="24"/>
          <w:lang w:val="en-US"/>
        </w:rPr>
        <w:t xml:space="preserve"> and this </w:t>
      </w:r>
      <w:r w:rsidRPr="004640C0">
        <w:rPr>
          <w:rFonts w:ascii="Arial" w:hAnsi="Arial" w:cs="Arial"/>
          <w:sz w:val="24"/>
          <w:szCs w:val="24"/>
          <w:lang w:val="en-US"/>
        </w:rPr>
        <w:t xml:space="preserve">is because dealing with money in several currencies and legal systems is inherently complicated. Barclays is able to better manage its cash flow thanks to effective integrated financial management (IFM) </w:t>
      </w:r>
      <w:r w:rsidR="001073DE" w:rsidRPr="004640C0">
        <w:rPr>
          <w:rFonts w:ascii="Arial" w:hAnsi="Arial" w:cs="Arial"/>
          <w:sz w:val="24"/>
          <w:szCs w:val="24"/>
          <w:lang w:val="en-US"/>
        </w:rPr>
        <w:t>practices</w:t>
      </w:r>
      <w:r w:rsidRPr="004640C0">
        <w:rPr>
          <w:rFonts w:ascii="Arial" w:hAnsi="Arial" w:cs="Arial"/>
          <w:sz w:val="24"/>
          <w:szCs w:val="24"/>
          <w:lang w:val="en-US"/>
        </w:rPr>
        <w:t xml:space="preserve"> that have led to the consolidation of funds, decrease in transaction costs, and increase in returns.</w:t>
      </w:r>
      <w:r w:rsidR="00A90729" w:rsidRPr="004640C0">
        <w:rPr>
          <w:rFonts w:ascii="Arial" w:hAnsi="Arial" w:cs="Arial"/>
          <w:sz w:val="24"/>
          <w:szCs w:val="24"/>
          <w:lang w:val="en-US"/>
        </w:rPr>
        <w:t xml:space="preserve"> (Eun &amp; Resnick</w:t>
      </w:r>
      <w:r w:rsidR="00466B31" w:rsidRPr="004640C0">
        <w:rPr>
          <w:rFonts w:ascii="Arial" w:hAnsi="Arial" w:cs="Arial"/>
          <w:sz w:val="24"/>
          <w:szCs w:val="24"/>
          <w:lang w:val="en-US"/>
        </w:rPr>
        <w:t>, 2017)</w:t>
      </w:r>
    </w:p>
    <w:p w14:paraId="07E56BEC" w14:textId="77777777" w:rsidR="001073DE" w:rsidRPr="004640C0" w:rsidRDefault="001073DE" w:rsidP="004640C0">
      <w:pPr>
        <w:spacing w:line="360" w:lineRule="auto"/>
        <w:jc w:val="both"/>
        <w:rPr>
          <w:rFonts w:ascii="Arial" w:hAnsi="Arial" w:cs="Arial"/>
          <w:sz w:val="24"/>
          <w:szCs w:val="24"/>
          <w:lang w:val="en-US"/>
        </w:rPr>
      </w:pPr>
    </w:p>
    <w:p w14:paraId="1D4AACA0" w14:textId="7AD719E2" w:rsidR="00637906"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Exposure management to political and economic hazards is an important consideration</w:t>
      </w:r>
      <w:r w:rsidR="001073DE" w:rsidRPr="004640C0">
        <w:rPr>
          <w:rFonts w:ascii="Arial" w:hAnsi="Arial" w:cs="Arial"/>
          <w:sz w:val="24"/>
          <w:szCs w:val="24"/>
          <w:lang w:val="en-US"/>
        </w:rPr>
        <w:t xml:space="preserve"> while as </w:t>
      </w:r>
      <w:r w:rsidRPr="004640C0">
        <w:rPr>
          <w:rFonts w:ascii="Arial" w:hAnsi="Arial" w:cs="Arial"/>
          <w:sz w:val="24"/>
          <w:szCs w:val="24"/>
          <w:lang w:val="en-US"/>
        </w:rPr>
        <w:t>a global corporation, Barclays has challenges in every country it does business in. Changes in regulations and economic downturns are two examples of the dangers that fall under this category</w:t>
      </w:r>
      <w:r w:rsidR="001073DE" w:rsidRPr="004640C0">
        <w:rPr>
          <w:rFonts w:ascii="Arial" w:hAnsi="Arial" w:cs="Arial"/>
          <w:sz w:val="24"/>
          <w:szCs w:val="24"/>
          <w:lang w:val="en-US"/>
        </w:rPr>
        <w:t xml:space="preserve"> and by </w:t>
      </w:r>
      <w:r w:rsidRPr="004640C0">
        <w:rPr>
          <w:rFonts w:ascii="Arial" w:hAnsi="Arial" w:cs="Arial"/>
          <w:sz w:val="24"/>
          <w:szCs w:val="24"/>
          <w:lang w:val="en-US"/>
        </w:rPr>
        <w:t>strategically diversifying their operations and investments across several nations and regions, businesses may better assess and manage these risks with the help of International Financial Management (IFM).</w:t>
      </w:r>
      <w:r w:rsidR="001B17BC" w:rsidRPr="004640C0">
        <w:rPr>
          <w:rFonts w:ascii="Arial" w:hAnsi="Arial" w:cs="Arial"/>
          <w:sz w:val="24"/>
          <w:szCs w:val="24"/>
          <w:lang w:val="en-US"/>
        </w:rPr>
        <w:t xml:space="preserve"> (Cushman, 2016)</w:t>
      </w:r>
    </w:p>
    <w:p w14:paraId="6F43A77C" w14:textId="77777777" w:rsidR="004640C0" w:rsidRDefault="004640C0" w:rsidP="004640C0">
      <w:pPr>
        <w:spacing w:line="360" w:lineRule="auto"/>
        <w:jc w:val="both"/>
        <w:rPr>
          <w:rFonts w:ascii="Arial" w:hAnsi="Arial" w:cs="Arial"/>
          <w:sz w:val="24"/>
          <w:szCs w:val="24"/>
          <w:lang w:val="en-US"/>
        </w:rPr>
      </w:pPr>
    </w:p>
    <w:p w14:paraId="0A6D6793" w14:textId="77777777" w:rsidR="004640C0" w:rsidRDefault="004640C0" w:rsidP="004640C0">
      <w:pPr>
        <w:spacing w:line="360" w:lineRule="auto"/>
        <w:jc w:val="both"/>
        <w:rPr>
          <w:rFonts w:ascii="Arial" w:hAnsi="Arial" w:cs="Arial"/>
          <w:sz w:val="24"/>
          <w:szCs w:val="24"/>
          <w:lang w:val="en-US"/>
        </w:rPr>
      </w:pPr>
    </w:p>
    <w:p w14:paraId="6EEB3CCB" w14:textId="77777777" w:rsidR="004640C0" w:rsidRDefault="004640C0" w:rsidP="004640C0">
      <w:pPr>
        <w:spacing w:line="360" w:lineRule="auto"/>
        <w:jc w:val="both"/>
        <w:rPr>
          <w:rFonts w:ascii="Arial" w:hAnsi="Arial" w:cs="Arial"/>
          <w:sz w:val="24"/>
          <w:szCs w:val="24"/>
          <w:lang w:val="en-US"/>
        </w:rPr>
      </w:pPr>
    </w:p>
    <w:p w14:paraId="6E537F6D" w14:textId="77777777" w:rsidR="004640C0" w:rsidRPr="004640C0" w:rsidRDefault="004640C0" w:rsidP="004640C0">
      <w:pPr>
        <w:spacing w:line="360" w:lineRule="auto"/>
        <w:jc w:val="both"/>
        <w:rPr>
          <w:rFonts w:ascii="Arial" w:hAnsi="Arial" w:cs="Arial"/>
          <w:sz w:val="24"/>
          <w:szCs w:val="24"/>
          <w:lang w:val="en-US"/>
        </w:rPr>
      </w:pPr>
    </w:p>
    <w:p w14:paraId="54CD4AF1" w14:textId="77777777" w:rsidR="00637906" w:rsidRPr="004640C0" w:rsidRDefault="00637906" w:rsidP="004640C0">
      <w:pPr>
        <w:spacing w:line="360" w:lineRule="auto"/>
        <w:jc w:val="both"/>
        <w:rPr>
          <w:rFonts w:ascii="Arial" w:hAnsi="Arial" w:cs="Arial"/>
          <w:sz w:val="24"/>
          <w:szCs w:val="24"/>
          <w:lang w:val="en-US"/>
        </w:rPr>
      </w:pPr>
    </w:p>
    <w:p w14:paraId="62C0F111" w14:textId="14DCA5E4" w:rsidR="00637906" w:rsidRPr="004640C0" w:rsidRDefault="001073DE" w:rsidP="004640C0">
      <w:pPr>
        <w:pStyle w:val="Heading1"/>
        <w:spacing w:line="360" w:lineRule="auto"/>
        <w:jc w:val="both"/>
        <w:rPr>
          <w:rFonts w:ascii="Arial" w:hAnsi="Arial" w:cs="Arial"/>
          <w:sz w:val="24"/>
          <w:szCs w:val="24"/>
          <w:lang w:val="en-US"/>
        </w:rPr>
      </w:pPr>
      <w:bookmarkStart w:id="2" w:name="_Toc143030716"/>
      <w:r w:rsidRPr="004640C0">
        <w:rPr>
          <w:rFonts w:ascii="Arial" w:hAnsi="Arial" w:cs="Arial"/>
          <w:sz w:val="24"/>
          <w:szCs w:val="24"/>
          <w:lang w:val="en-US"/>
        </w:rPr>
        <w:t>D</w:t>
      </w:r>
      <w:r w:rsidR="00637906" w:rsidRPr="004640C0">
        <w:rPr>
          <w:rFonts w:ascii="Arial" w:hAnsi="Arial" w:cs="Arial"/>
          <w:sz w:val="24"/>
          <w:szCs w:val="24"/>
          <w:lang w:val="en-US"/>
        </w:rPr>
        <w:t>ifficulties seen in several international financial markets</w:t>
      </w:r>
      <w:bookmarkEnd w:id="2"/>
    </w:p>
    <w:p w14:paraId="1EECFA23" w14:textId="77777777" w:rsidR="00637906" w:rsidRPr="004640C0" w:rsidRDefault="00637906" w:rsidP="004640C0">
      <w:pPr>
        <w:spacing w:line="360" w:lineRule="auto"/>
        <w:jc w:val="both"/>
        <w:rPr>
          <w:rFonts w:ascii="Arial" w:hAnsi="Arial" w:cs="Arial"/>
          <w:sz w:val="24"/>
          <w:szCs w:val="24"/>
          <w:lang w:val="en-US"/>
        </w:rPr>
      </w:pPr>
    </w:p>
    <w:p w14:paraId="4446DDF1" w14:textId="7F6C5AAA"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Barclays faces a number of challenges in the many different international financial markets it operates in</w:t>
      </w:r>
      <w:r w:rsidR="001073DE" w:rsidRPr="004640C0">
        <w:rPr>
          <w:rFonts w:ascii="Arial" w:hAnsi="Arial" w:cs="Arial"/>
          <w:sz w:val="24"/>
          <w:szCs w:val="24"/>
          <w:lang w:val="en-US"/>
        </w:rPr>
        <w:t xml:space="preserve"> and the first one relates</w:t>
      </w:r>
      <w:r w:rsidRPr="004640C0">
        <w:rPr>
          <w:rFonts w:ascii="Arial" w:hAnsi="Arial" w:cs="Arial"/>
          <w:sz w:val="24"/>
          <w:szCs w:val="24"/>
          <w:lang w:val="en-US"/>
        </w:rPr>
        <w:t xml:space="preserve">, meeting regulatory requirements: the rules and regulations that govern the financial sector are not </w:t>
      </w:r>
      <w:r w:rsidR="00B958B3" w:rsidRPr="004640C0">
        <w:rPr>
          <w:rFonts w:ascii="Arial" w:hAnsi="Arial" w:cs="Arial"/>
          <w:sz w:val="24"/>
          <w:szCs w:val="24"/>
          <w:lang w:val="en-US"/>
        </w:rPr>
        <w:t>standardized</w:t>
      </w:r>
      <w:r w:rsidRPr="004640C0">
        <w:rPr>
          <w:rFonts w:ascii="Arial" w:hAnsi="Arial" w:cs="Arial"/>
          <w:sz w:val="24"/>
          <w:szCs w:val="24"/>
          <w:lang w:val="en-US"/>
        </w:rPr>
        <w:t xml:space="preserve"> worldwide. Barclays must </w:t>
      </w:r>
      <w:r w:rsidR="00B958B3" w:rsidRPr="004640C0">
        <w:rPr>
          <w:rFonts w:ascii="Arial" w:hAnsi="Arial" w:cs="Arial"/>
          <w:sz w:val="24"/>
          <w:szCs w:val="24"/>
          <w:lang w:val="en-US"/>
        </w:rPr>
        <w:t>prioritize</w:t>
      </w:r>
      <w:r w:rsidRPr="004640C0">
        <w:rPr>
          <w:rFonts w:ascii="Arial" w:hAnsi="Arial" w:cs="Arial"/>
          <w:sz w:val="24"/>
          <w:szCs w:val="24"/>
          <w:lang w:val="en-US"/>
        </w:rPr>
        <w:t xml:space="preserve"> the enforcement of these standards, which may add complexity to internal operations and cost more money</w:t>
      </w:r>
      <w:r w:rsidR="00B958B3" w:rsidRPr="004640C0">
        <w:rPr>
          <w:rFonts w:ascii="Arial" w:hAnsi="Arial" w:cs="Arial"/>
          <w:sz w:val="24"/>
          <w:szCs w:val="24"/>
          <w:lang w:val="en-US"/>
        </w:rPr>
        <w:t xml:space="preserve"> while currency </w:t>
      </w:r>
      <w:r w:rsidRPr="004640C0">
        <w:rPr>
          <w:rFonts w:ascii="Arial" w:hAnsi="Arial" w:cs="Arial"/>
          <w:sz w:val="24"/>
          <w:szCs w:val="24"/>
          <w:lang w:val="en-US"/>
        </w:rPr>
        <w:t>rate fluctuations can have a significant impact on Barclays' financial results. Banks, especially those operating in countries with volatile exchange rates, must be vigilant and in charge of their exposure to currency risk.</w:t>
      </w:r>
      <w:r w:rsidR="00A90729" w:rsidRPr="004640C0">
        <w:rPr>
          <w:rFonts w:ascii="Arial" w:hAnsi="Arial" w:cs="Arial"/>
          <w:sz w:val="24"/>
          <w:szCs w:val="24"/>
          <w:lang w:val="en-US"/>
        </w:rPr>
        <w:t xml:space="preserve"> (Devereux &amp; Engel, 2003)</w:t>
      </w:r>
    </w:p>
    <w:p w14:paraId="4B8760C5" w14:textId="77777777" w:rsidR="00B958B3" w:rsidRPr="004640C0" w:rsidRDefault="00B958B3" w:rsidP="004640C0">
      <w:pPr>
        <w:spacing w:line="360" w:lineRule="auto"/>
        <w:jc w:val="both"/>
        <w:rPr>
          <w:rFonts w:ascii="Arial" w:hAnsi="Arial" w:cs="Arial"/>
          <w:sz w:val="24"/>
          <w:szCs w:val="24"/>
          <w:lang w:val="en-US"/>
        </w:rPr>
      </w:pPr>
    </w:p>
    <w:p w14:paraId="6DBD3D04" w14:textId="2EC0F127"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Barclays faces difficulties due, in part, to political and economic instability in several of the countries in which it does business</w:t>
      </w:r>
      <w:r w:rsidR="00B958B3" w:rsidRPr="004640C0">
        <w:rPr>
          <w:rFonts w:ascii="Arial" w:hAnsi="Arial" w:cs="Arial"/>
          <w:sz w:val="24"/>
          <w:szCs w:val="24"/>
          <w:lang w:val="en-US"/>
        </w:rPr>
        <w:t xml:space="preserve"> and political </w:t>
      </w:r>
      <w:r w:rsidRPr="004640C0">
        <w:rPr>
          <w:rFonts w:ascii="Arial" w:hAnsi="Arial" w:cs="Arial"/>
          <w:sz w:val="24"/>
          <w:szCs w:val="24"/>
          <w:lang w:val="en-US"/>
        </w:rPr>
        <w:t>instability, government involvement, and economic crises are all potential threats to the bank's operations and profitability.</w:t>
      </w:r>
      <w:r w:rsidR="006E10FB" w:rsidRPr="004640C0">
        <w:rPr>
          <w:rFonts w:ascii="Arial" w:hAnsi="Arial" w:cs="Arial"/>
          <w:sz w:val="24"/>
          <w:szCs w:val="24"/>
          <w:lang w:val="en-US"/>
        </w:rPr>
        <w:t xml:space="preserve"> (</w:t>
      </w:r>
      <w:r w:rsidR="00D1726F" w:rsidRPr="004640C0">
        <w:rPr>
          <w:rFonts w:ascii="Arial" w:hAnsi="Arial" w:cs="Arial"/>
          <w:sz w:val="24"/>
          <w:szCs w:val="24"/>
          <w:lang w:val="en-US"/>
        </w:rPr>
        <w:t xml:space="preserve">Mihov &amp; </w:t>
      </w:r>
      <w:proofErr w:type="spellStart"/>
      <w:r w:rsidR="00D1726F" w:rsidRPr="004640C0">
        <w:rPr>
          <w:rFonts w:ascii="Arial" w:hAnsi="Arial" w:cs="Arial"/>
          <w:sz w:val="24"/>
          <w:szCs w:val="24"/>
          <w:lang w:val="en-US"/>
        </w:rPr>
        <w:t>Sockin</w:t>
      </w:r>
      <w:proofErr w:type="spellEnd"/>
      <w:r w:rsidR="00D1726F" w:rsidRPr="004640C0">
        <w:rPr>
          <w:rFonts w:ascii="Arial" w:hAnsi="Arial" w:cs="Arial"/>
          <w:sz w:val="24"/>
          <w:szCs w:val="24"/>
          <w:lang w:val="en-US"/>
        </w:rPr>
        <w:t>, 2017)</w:t>
      </w:r>
    </w:p>
    <w:p w14:paraId="5FC28F81" w14:textId="77777777" w:rsidR="00B958B3" w:rsidRPr="004640C0" w:rsidRDefault="00B958B3" w:rsidP="004640C0">
      <w:pPr>
        <w:spacing w:line="360" w:lineRule="auto"/>
        <w:jc w:val="both"/>
        <w:rPr>
          <w:rFonts w:ascii="Arial" w:hAnsi="Arial" w:cs="Arial"/>
          <w:sz w:val="24"/>
          <w:szCs w:val="24"/>
          <w:lang w:val="en-US"/>
        </w:rPr>
      </w:pPr>
    </w:p>
    <w:p w14:paraId="54315262" w14:textId="7028DF9F" w:rsidR="00637906"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 xml:space="preserve"> Disparities in culture and law</w:t>
      </w:r>
      <w:r w:rsidR="00B958B3" w:rsidRPr="004640C0">
        <w:rPr>
          <w:rFonts w:ascii="Arial" w:hAnsi="Arial" w:cs="Arial"/>
          <w:sz w:val="24"/>
          <w:szCs w:val="24"/>
          <w:lang w:val="en-US"/>
        </w:rPr>
        <w:t xml:space="preserve"> refer to </w:t>
      </w:r>
      <w:r w:rsidRPr="004640C0">
        <w:rPr>
          <w:rFonts w:ascii="Arial" w:hAnsi="Arial" w:cs="Arial"/>
          <w:sz w:val="24"/>
          <w:szCs w:val="24"/>
          <w:lang w:val="en-US"/>
        </w:rPr>
        <w:t>different countries have different legal systems and cultural norms</w:t>
      </w:r>
      <w:r w:rsidR="00CD3067" w:rsidRPr="004640C0">
        <w:rPr>
          <w:rFonts w:ascii="Arial" w:hAnsi="Arial" w:cs="Arial"/>
          <w:sz w:val="24"/>
          <w:szCs w:val="24"/>
          <w:lang w:val="en-US"/>
        </w:rPr>
        <w:t xml:space="preserve"> and </w:t>
      </w:r>
      <w:r w:rsidRPr="004640C0">
        <w:rPr>
          <w:rFonts w:ascii="Arial" w:hAnsi="Arial" w:cs="Arial"/>
          <w:sz w:val="24"/>
          <w:szCs w:val="24"/>
          <w:lang w:val="en-US"/>
        </w:rPr>
        <w:t>Barclays must make the appropriate modifications to satisfy the varying needs of its customers, business partners, and regulators</w:t>
      </w:r>
      <w:r w:rsidR="00A93651" w:rsidRPr="004640C0">
        <w:rPr>
          <w:rFonts w:ascii="Arial" w:hAnsi="Arial" w:cs="Arial"/>
          <w:sz w:val="24"/>
          <w:szCs w:val="24"/>
          <w:lang w:val="en-US"/>
        </w:rPr>
        <w:t xml:space="preserve">. </w:t>
      </w:r>
      <w:r w:rsidRPr="004640C0">
        <w:rPr>
          <w:rFonts w:ascii="Arial" w:hAnsi="Arial" w:cs="Arial"/>
          <w:sz w:val="24"/>
          <w:szCs w:val="24"/>
          <w:lang w:val="en-US"/>
        </w:rPr>
        <w:t xml:space="preserve">As a global financial services provider, Barclays faces stiff competition from domestic and foreign banks in </w:t>
      </w:r>
      <w:r w:rsidRPr="004640C0">
        <w:rPr>
          <w:rFonts w:ascii="Arial" w:hAnsi="Arial" w:cs="Arial"/>
          <w:sz w:val="24"/>
          <w:szCs w:val="24"/>
          <w:lang w:val="en-US"/>
        </w:rPr>
        <w:lastRenderedPageBreak/>
        <w:t>each of the markets in which it operates</w:t>
      </w:r>
      <w:r w:rsidR="00CD3067" w:rsidRPr="004640C0">
        <w:rPr>
          <w:rFonts w:ascii="Arial" w:hAnsi="Arial" w:cs="Arial"/>
          <w:sz w:val="24"/>
          <w:szCs w:val="24"/>
          <w:lang w:val="en-US"/>
        </w:rPr>
        <w:t xml:space="preserve"> while in </w:t>
      </w:r>
      <w:r w:rsidRPr="004640C0">
        <w:rPr>
          <w:rFonts w:ascii="Arial" w:hAnsi="Arial" w:cs="Arial"/>
          <w:sz w:val="24"/>
          <w:szCs w:val="24"/>
          <w:lang w:val="en-US"/>
        </w:rPr>
        <w:t>order to stay ahead of the competition, the bank needs to clearly define the differences between its different offerings.</w:t>
      </w:r>
      <w:r w:rsidR="00C61C45" w:rsidRPr="004640C0">
        <w:rPr>
          <w:rFonts w:ascii="Arial" w:hAnsi="Arial" w:cs="Arial"/>
          <w:sz w:val="24"/>
          <w:szCs w:val="24"/>
          <w:lang w:val="en-US"/>
        </w:rPr>
        <w:t xml:space="preserve"> (</w:t>
      </w:r>
      <w:proofErr w:type="spellStart"/>
      <w:r w:rsidR="00C61C45" w:rsidRPr="004640C0">
        <w:rPr>
          <w:rFonts w:ascii="Arial" w:hAnsi="Arial" w:cs="Arial"/>
          <w:sz w:val="24"/>
          <w:szCs w:val="24"/>
          <w:lang w:val="en-US"/>
        </w:rPr>
        <w:t>Birgham</w:t>
      </w:r>
      <w:proofErr w:type="spellEnd"/>
      <w:r w:rsidR="001B17BC" w:rsidRPr="004640C0">
        <w:rPr>
          <w:rFonts w:ascii="Arial" w:hAnsi="Arial" w:cs="Arial"/>
          <w:sz w:val="24"/>
          <w:szCs w:val="24"/>
          <w:lang w:val="en-US"/>
        </w:rPr>
        <w:t xml:space="preserve"> &amp; Ehrhardt, 2016)</w:t>
      </w:r>
    </w:p>
    <w:p w14:paraId="52871BE1" w14:textId="77777777" w:rsidR="004640C0" w:rsidRPr="004640C0" w:rsidRDefault="004640C0" w:rsidP="004640C0">
      <w:pPr>
        <w:spacing w:line="360" w:lineRule="auto"/>
        <w:jc w:val="both"/>
        <w:rPr>
          <w:rFonts w:ascii="Arial" w:hAnsi="Arial" w:cs="Arial"/>
          <w:sz w:val="24"/>
          <w:szCs w:val="24"/>
          <w:lang w:val="en-US"/>
        </w:rPr>
      </w:pPr>
    </w:p>
    <w:p w14:paraId="0332644E" w14:textId="77777777" w:rsidR="00637906" w:rsidRPr="004640C0" w:rsidRDefault="00637906" w:rsidP="004640C0">
      <w:pPr>
        <w:spacing w:line="360" w:lineRule="auto"/>
        <w:jc w:val="both"/>
        <w:rPr>
          <w:rFonts w:ascii="Arial" w:hAnsi="Arial" w:cs="Arial"/>
          <w:sz w:val="24"/>
          <w:szCs w:val="24"/>
          <w:lang w:val="en-US"/>
        </w:rPr>
      </w:pPr>
    </w:p>
    <w:p w14:paraId="3F3EAAA0" w14:textId="3C7FD863" w:rsidR="00637906" w:rsidRPr="004640C0" w:rsidRDefault="0043589B" w:rsidP="004640C0">
      <w:pPr>
        <w:pStyle w:val="Heading1"/>
        <w:spacing w:line="360" w:lineRule="auto"/>
        <w:jc w:val="both"/>
        <w:rPr>
          <w:rFonts w:ascii="Arial" w:hAnsi="Arial" w:cs="Arial"/>
          <w:sz w:val="24"/>
          <w:szCs w:val="24"/>
          <w:lang w:val="en-US"/>
        </w:rPr>
      </w:pPr>
      <w:bookmarkStart w:id="3" w:name="_Toc143030717"/>
      <w:r w:rsidRPr="004640C0">
        <w:rPr>
          <w:rFonts w:ascii="Arial" w:hAnsi="Arial" w:cs="Arial"/>
          <w:sz w:val="24"/>
          <w:szCs w:val="24"/>
          <w:lang w:val="en-US"/>
        </w:rPr>
        <w:t>D</w:t>
      </w:r>
      <w:r w:rsidR="00637906" w:rsidRPr="004640C0">
        <w:rPr>
          <w:rFonts w:ascii="Arial" w:hAnsi="Arial" w:cs="Arial"/>
          <w:sz w:val="24"/>
          <w:szCs w:val="24"/>
          <w:lang w:val="en-US"/>
        </w:rPr>
        <w:t xml:space="preserve">ividend payout </w:t>
      </w:r>
      <w:r w:rsidR="00DC626E" w:rsidRPr="004640C0">
        <w:rPr>
          <w:rFonts w:ascii="Arial" w:hAnsi="Arial" w:cs="Arial"/>
          <w:sz w:val="24"/>
          <w:szCs w:val="24"/>
          <w:lang w:val="en-US"/>
        </w:rPr>
        <w:t>practices at Barclays</w:t>
      </w:r>
      <w:bookmarkEnd w:id="3"/>
      <w:r w:rsidR="00DC626E" w:rsidRPr="004640C0">
        <w:rPr>
          <w:rFonts w:ascii="Arial" w:hAnsi="Arial" w:cs="Arial"/>
          <w:sz w:val="24"/>
          <w:szCs w:val="24"/>
          <w:lang w:val="en-US"/>
        </w:rPr>
        <w:t xml:space="preserve"> </w:t>
      </w:r>
    </w:p>
    <w:p w14:paraId="62248EFF" w14:textId="77777777" w:rsidR="00637906" w:rsidRPr="004640C0" w:rsidRDefault="00637906" w:rsidP="004640C0">
      <w:pPr>
        <w:spacing w:line="360" w:lineRule="auto"/>
        <w:jc w:val="both"/>
        <w:rPr>
          <w:rFonts w:ascii="Arial" w:hAnsi="Arial" w:cs="Arial"/>
          <w:sz w:val="24"/>
          <w:szCs w:val="24"/>
          <w:lang w:val="en-US"/>
        </w:rPr>
      </w:pPr>
    </w:p>
    <w:p w14:paraId="2F8EB96F" w14:textId="2F017565"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Barclays' dividend policy is critically important to the company's overall financial management strategy</w:t>
      </w:r>
      <w:r w:rsidR="00DC626E" w:rsidRPr="004640C0">
        <w:rPr>
          <w:rFonts w:ascii="Arial" w:hAnsi="Arial" w:cs="Arial"/>
          <w:sz w:val="24"/>
          <w:szCs w:val="24"/>
          <w:lang w:val="en-US"/>
        </w:rPr>
        <w:t xml:space="preserve"> and the </w:t>
      </w:r>
      <w:r w:rsidRPr="004640C0">
        <w:rPr>
          <w:rFonts w:ascii="Arial" w:hAnsi="Arial" w:cs="Arial"/>
          <w:sz w:val="24"/>
          <w:szCs w:val="24"/>
          <w:lang w:val="en-US"/>
        </w:rPr>
        <w:t>corporation has a consistent dividend policy that aims to provide long-term value for investors. When deciding on dividend payments, Barclays considers a wide range of factors, including profitability, capital needs, regulatory limits, and market conditions. The bank's fundamental goal is to strike a balance between satisfying shareholder returns and protecting capital for future use.</w:t>
      </w:r>
      <w:r w:rsidR="00A44A11" w:rsidRPr="004640C0">
        <w:rPr>
          <w:rFonts w:ascii="Arial" w:hAnsi="Arial" w:cs="Arial"/>
          <w:sz w:val="24"/>
          <w:szCs w:val="24"/>
          <w:lang w:val="en-US"/>
        </w:rPr>
        <w:t xml:space="preserve"> (</w:t>
      </w:r>
      <w:r w:rsidR="000360BA" w:rsidRPr="004640C0">
        <w:rPr>
          <w:rFonts w:ascii="Arial" w:hAnsi="Arial" w:cs="Arial"/>
          <w:sz w:val="24"/>
          <w:szCs w:val="24"/>
          <w:lang w:val="en-US"/>
        </w:rPr>
        <w:t>Madura, 2015)</w:t>
      </w:r>
    </w:p>
    <w:p w14:paraId="116CA747" w14:textId="77777777" w:rsidR="00637906" w:rsidRPr="004640C0" w:rsidRDefault="00637906" w:rsidP="004640C0">
      <w:pPr>
        <w:spacing w:line="360" w:lineRule="auto"/>
        <w:jc w:val="both"/>
        <w:rPr>
          <w:rFonts w:ascii="Arial" w:hAnsi="Arial" w:cs="Arial"/>
          <w:sz w:val="24"/>
          <w:szCs w:val="24"/>
          <w:lang w:val="en-US"/>
        </w:rPr>
      </w:pPr>
    </w:p>
    <w:p w14:paraId="1059FB01" w14:textId="72D59907"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There is a widely accepted hypothesis in finance known as the "Efficient Market Hypothesis" (EMH), which states that market prices accurately reflect all relevant data</w:t>
      </w:r>
      <w:r w:rsidR="00DC626E" w:rsidRPr="004640C0">
        <w:rPr>
          <w:rFonts w:ascii="Arial" w:hAnsi="Arial" w:cs="Arial"/>
          <w:sz w:val="24"/>
          <w:szCs w:val="24"/>
          <w:lang w:val="en-US"/>
        </w:rPr>
        <w:t xml:space="preserve"> and this </w:t>
      </w:r>
      <w:r w:rsidRPr="004640C0">
        <w:rPr>
          <w:rFonts w:ascii="Arial" w:hAnsi="Arial" w:cs="Arial"/>
          <w:sz w:val="24"/>
          <w:szCs w:val="24"/>
          <w:lang w:val="en-US"/>
        </w:rPr>
        <w:t xml:space="preserve">hypothesis states that investors cannot reliably beat the market returns by taking advantage of </w:t>
      </w:r>
      <w:r w:rsidR="00DC626E" w:rsidRPr="004640C0">
        <w:rPr>
          <w:rFonts w:ascii="Arial" w:hAnsi="Arial" w:cs="Arial"/>
          <w:sz w:val="24"/>
          <w:szCs w:val="24"/>
          <w:lang w:val="en-US"/>
        </w:rPr>
        <w:t>misplaced</w:t>
      </w:r>
      <w:r w:rsidRPr="004640C0">
        <w:rPr>
          <w:rFonts w:ascii="Arial" w:hAnsi="Arial" w:cs="Arial"/>
          <w:sz w:val="24"/>
          <w:szCs w:val="24"/>
          <w:lang w:val="en-US"/>
        </w:rPr>
        <w:t xml:space="preserve"> assets. </w:t>
      </w:r>
      <w:r w:rsidR="00466B31" w:rsidRPr="004640C0">
        <w:rPr>
          <w:rFonts w:ascii="Arial" w:hAnsi="Arial" w:cs="Arial"/>
          <w:sz w:val="24"/>
          <w:szCs w:val="24"/>
          <w:lang w:val="en-US"/>
        </w:rPr>
        <w:t xml:space="preserve"> (</w:t>
      </w:r>
      <w:proofErr w:type="spellStart"/>
      <w:r w:rsidR="00466B31" w:rsidRPr="004640C0">
        <w:rPr>
          <w:rFonts w:ascii="Arial" w:hAnsi="Arial" w:cs="Arial"/>
          <w:sz w:val="24"/>
          <w:szCs w:val="24"/>
          <w:lang w:val="en-US"/>
        </w:rPr>
        <w:t>Grinblatt</w:t>
      </w:r>
      <w:proofErr w:type="spellEnd"/>
      <w:r w:rsidR="00466B31" w:rsidRPr="004640C0">
        <w:rPr>
          <w:rFonts w:ascii="Arial" w:hAnsi="Arial" w:cs="Arial"/>
          <w:sz w:val="24"/>
          <w:szCs w:val="24"/>
          <w:lang w:val="en-US"/>
        </w:rPr>
        <w:t xml:space="preserve"> &amp; </w:t>
      </w:r>
      <w:r w:rsidR="00A44A11" w:rsidRPr="004640C0">
        <w:rPr>
          <w:rFonts w:ascii="Arial" w:hAnsi="Arial" w:cs="Arial"/>
          <w:sz w:val="24"/>
          <w:szCs w:val="24"/>
          <w:lang w:val="en-US"/>
        </w:rPr>
        <w:t>Titman, 2016)</w:t>
      </w:r>
    </w:p>
    <w:p w14:paraId="66FF0F48" w14:textId="77777777" w:rsidR="00637906" w:rsidRPr="004640C0" w:rsidRDefault="00637906" w:rsidP="004640C0">
      <w:pPr>
        <w:spacing w:line="360" w:lineRule="auto"/>
        <w:jc w:val="both"/>
        <w:rPr>
          <w:rFonts w:ascii="Arial" w:hAnsi="Arial" w:cs="Arial"/>
          <w:sz w:val="24"/>
          <w:szCs w:val="24"/>
          <w:lang w:val="en-US"/>
        </w:rPr>
      </w:pPr>
    </w:p>
    <w:p w14:paraId="61FA26A7" w14:textId="6C6CE1AC"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According to the Efficient Market Hypothesis, it is highly unlikely that market performance can be consistently outstripped because financial markets are efficient at quickly absorbing all relevant information</w:t>
      </w:r>
      <w:r w:rsidR="00DC626E" w:rsidRPr="004640C0">
        <w:rPr>
          <w:rFonts w:ascii="Arial" w:hAnsi="Arial" w:cs="Arial"/>
          <w:sz w:val="24"/>
          <w:szCs w:val="24"/>
          <w:lang w:val="en-US"/>
        </w:rPr>
        <w:t xml:space="preserve"> but also, the </w:t>
      </w:r>
      <w:r w:rsidRPr="004640C0">
        <w:rPr>
          <w:rFonts w:ascii="Arial" w:hAnsi="Arial" w:cs="Arial"/>
          <w:sz w:val="24"/>
          <w:szCs w:val="24"/>
          <w:lang w:val="en-US"/>
        </w:rPr>
        <w:t xml:space="preserve">Efficient Market Hypothesis (EMH) is a central tenet of Barclays, and it states that stock prices accurately reflect all available information. This means that it would be challenging for Barclays to consistently generate abnormal gains by taking advantage of </w:t>
      </w:r>
      <w:r w:rsidR="00DC626E" w:rsidRPr="004640C0">
        <w:rPr>
          <w:rFonts w:ascii="Arial" w:hAnsi="Arial" w:cs="Arial"/>
          <w:sz w:val="24"/>
          <w:szCs w:val="24"/>
          <w:lang w:val="en-US"/>
        </w:rPr>
        <w:t>misplaced</w:t>
      </w:r>
      <w:r w:rsidRPr="004640C0">
        <w:rPr>
          <w:rFonts w:ascii="Arial" w:hAnsi="Arial" w:cs="Arial"/>
          <w:sz w:val="24"/>
          <w:szCs w:val="24"/>
          <w:lang w:val="en-US"/>
        </w:rPr>
        <w:t xml:space="preserve"> securities.</w:t>
      </w:r>
      <w:r w:rsidR="00D1726F" w:rsidRPr="004640C0">
        <w:rPr>
          <w:rFonts w:ascii="Arial" w:hAnsi="Arial" w:cs="Arial"/>
          <w:sz w:val="24"/>
          <w:szCs w:val="24"/>
          <w:lang w:val="en-US"/>
        </w:rPr>
        <w:t xml:space="preserve"> (Pilbeam, 2013)</w:t>
      </w:r>
    </w:p>
    <w:p w14:paraId="54A9CB47" w14:textId="77777777" w:rsidR="00637906" w:rsidRPr="004640C0" w:rsidRDefault="00637906" w:rsidP="004640C0">
      <w:pPr>
        <w:spacing w:line="360" w:lineRule="auto"/>
        <w:jc w:val="both"/>
        <w:rPr>
          <w:rFonts w:ascii="Arial" w:hAnsi="Arial" w:cs="Arial"/>
          <w:sz w:val="24"/>
          <w:szCs w:val="24"/>
          <w:lang w:val="en-US"/>
        </w:rPr>
      </w:pPr>
    </w:p>
    <w:p w14:paraId="10E8513E" w14:textId="4D028CD0"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Empirical studies, however, have shown that the Efficient Market Hypothesis (EMH) isn't necessarily rock-solid in the real worl</w:t>
      </w:r>
      <w:r w:rsidR="00DC626E" w:rsidRPr="004640C0">
        <w:rPr>
          <w:rFonts w:ascii="Arial" w:hAnsi="Arial" w:cs="Arial"/>
          <w:sz w:val="24"/>
          <w:szCs w:val="24"/>
          <w:lang w:val="en-US"/>
        </w:rPr>
        <w:t>d while occasionally</w:t>
      </w:r>
      <w:r w:rsidRPr="004640C0">
        <w:rPr>
          <w:rFonts w:ascii="Arial" w:hAnsi="Arial" w:cs="Arial"/>
          <w:sz w:val="24"/>
          <w:szCs w:val="24"/>
          <w:lang w:val="en-US"/>
        </w:rPr>
        <w:t>, investors will be presented with the opportunity to create excess returns due to market quirks and inefficiencies. Given its position as a financial institution, Barclays is well-equipped to identify such possibilities and generate profits for its stockholders.</w:t>
      </w:r>
      <w:r w:rsidR="00042DE6" w:rsidRPr="004640C0">
        <w:rPr>
          <w:rFonts w:ascii="Arial" w:hAnsi="Arial" w:cs="Arial"/>
          <w:sz w:val="24"/>
          <w:szCs w:val="24"/>
          <w:lang w:val="en-US"/>
        </w:rPr>
        <w:t xml:space="preserve"> (</w:t>
      </w:r>
      <w:r w:rsidR="00C61C45" w:rsidRPr="004640C0">
        <w:rPr>
          <w:rFonts w:ascii="Arial" w:hAnsi="Arial" w:cs="Arial"/>
          <w:sz w:val="24"/>
          <w:szCs w:val="24"/>
          <w:lang w:val="en-US"/>
        </w:rPr>
        <w:t>Bodie et Al., 2014)</w:t>
      </w:r>
    </w:p>
    <w:p w14:paraId="3B8160F6" w14:textId="77777777" w:rsidR="00637906" w:rsidRPr="004640C0" w:rsidRDefault="00637906" w:rsidP="004640C0">
      <w:pPr>
        <w:spacing w:line="360" w:lineRule="auto"/>
        <w:jc w:val="both"/>
        <w:rPr>
          <w:rFonts w:ascii="Arial" w:hAnsi="Arial" w:cs="Arial"/>
          <w:sz w:val="24"/>
          <w:szCs w:val="24"/>
          <w:lang w:val="en-US"/>
        </w:rPr>
      </w:pPr>
    </w:p>
    <w:p w14:paraId="6D718200" w14:textId="0182463E" w:rsidR="00637906" w:rsidRPr="004640C0" w:rsidRDefault="00440877" w:rsidP="004640C0">
      <w:pPr>
        <w:pStyle w:val="Heading1"/>
        <w:spacing w:line="360" w:lineRule="auto"/>
        <w:jc w:val="both"/>
        <w:rPr>
          <w:rFonts w:ascii="Arial" w:hAnsi="Arial" w:cs="Arial"/>
          <w:sz w:val="24"/>
          <w:szCs w:val="24"/>
          <w:lang w:val="en-US"/>
        </w:rPr>
      </w:pPr>
      <w:bookmarkStart w:id="4" w:name="_Toc143030718"/>
      <w:r w:rsidRPr="004640C0">
        <w:rPr>
          <w:rFonts w:ascii="Arial" w:hAnsi="Arial" w:cs="Arial"/>
          <w:sz w:val="24"/>
          <w:szCs w:val="24"/>
          <w:lang w:val="en-US"/>
        </w:rPr>
        <w:t>Barclays approaches</w:t>
      </w:r>
      <w:bookmarkEnd w:id="4"/>
    </w:p>
    <w:p w14:paraId="36952287" w14:textId="77777777" w:rsidR="00637906" w:rsidRPr="004640C0" w:rsidRDefault="00637906" w:rsidP="004640C0">
      <w:pPr>
        <w:spacing w:line="360" w:lineRule="auto"/>
        <w:jc w:val="both"/>
        <w:rPr>
          <w:rFonts w:ascii="Arial" w:hAnsi="Arial" w:cs="Arial"/>
          <w:sz w:val="24"/>
          <w:szCs w:val="24"/>
          <w:lang w:val="en-US"/>
        </w:rPr>
      </w:pPr>
    </w:p>
    <w:p w14:paraId="5C094337" w14:textId="1BF9A04D" w:rsidR="002E4B96" w:rsidRPr="004640C0" w:rsidRDefault="002E4B96" w:rsidP="004640C0">
      <w:pPr>
        <w:spacing w:line="360" w:lineRule="auto"/>
        <w:jc w:val="both"/>
        <w:rPr>
          <w:rFonts w:ascii="Arial" w:hAnsi="Arial" w:cs="Arial"/>
          <w:sz w:val="24"/>
          <w:szCs w:val="24"/>
          <w:lang w:val="en-US"/>
        </w:rPr>
      </w:pPr>
      <w:r w:rsidRPr="004640C0">
        <w:rPr>
          <w:rFonts w:ascii="Arial" w:hAnsi="Arial" w:cs="Arial"/>
          <w:sz w:val="24"/>
          <w:szCs w:val="24"/>
          <w:lang w:val="en-US"/>
        </w:rPr>
        <w:t>Barclays employs a number of methodologies for assessing projects and deciding where to allocate capital</w:t>
      </w:r>
      <w:r w:rsidR="006630B6" w:rsidRPr="004640C0">
        <w:rPr>
          <w:rFonts w:ascii="Arial" w:hAnsi="Arial" w:cs="Arial"/>
          <w:sz w:val="24"/>
          <w:szCs w:val="24"/>
          <w:lang w:val="en-US"/>
        </w:rPr>
        <w:t xml:space="preserve"> and using </w:t>
      </w:r>
      <w:r w:rsidRPr="004640C0">
        <w:rPr>
          <w:rFonts w:ascii="Arial" w:hAnsi="Arial" w:cs="Arial"/>
          <w:sz w:val="24"/>
          <w:szCs w:val="24"/>
          <w:lang w:val="en-US"/>
        </w:rPr>
        <w:t xml:space="preserve">these methods, one can receive a thorough evaluation of the project's financial viability and prospective profitability. </w:t>
      </w:r>
      <w:r w:rsidR="006630B6" w:rsidRPr="004640C0">
        <w:rPr>
          <w:rFonts w:ascii="Arial" w:hAnsi="Arial" w:cs="Arial"/>
          <w:sz w:val="24"/>
          <w:szCs w:val="24"/>
          <w:lang w:val="en-US"/>
        </w:rPr>
        <w:t xml:space="preserve"> </w:t>
      </w:r>
      <w:r w:rsidRPr="004640C0">
        <w:rPr>
          <w:rFonts w:ascii="Arial" w:hAnsi="Arial" w:cs="Arial"/>
          <w:sz w:val="24"/>
          <w:szCs w:val="24"/>
          <w:lang w:val="en-US"/>
        </w:rPr>
        <w:t>Barclays uses a variety of techniques to evaluate proposed projects, including the NPV calculation</w:t>
      </w:r>
      <w:r w:rsidR="006630B6" w:rsidRPr="004640C0">
        <w:rPr>
          <w:rFonts w:ascii="Arial" w:hAnsi="Arial" w:cs="Arial"/>
          <w:sz w:val="24"/>
          <w:szCs w:val="24"/>
          <w:lang w:val="en-US"/>
        </w:rPr>
        <w:t xml:space="preserve"> and the </w:t>
      </w:r>
      <w:r w:rsidRPr="004640C0">
        <w:rPr>
          <w:rFonts w:ascii="Arial" w:hAnsi="Arial" w:cs="Arial"/>
          <w:sz w:val="24"/>
          <w:szCs w:val="24"/>
          <w:lang w:val="en-US"/>
        </w:rPr>
        <w:t>NPV of the project is calculated by discounting the project's predicted cash flows by the cost of capital the company currently has access to. If the project's Net Present Value (NPV) is positive, it could be feasible from a financial perspective</w:t>
      </w:r>
      <w:r w:rsidR="006630B6" w:rsidRPr="004640C0">
        <w:rPr>
          <w:rFonts w:ascii="Arial" w:hAnsi="Arial" w:cs="Arial"/>
          <w:sz w:val="24"/>
          <w:szCs w:val="24"/>
          <w:lang w:val="en-US"/>
        </w:rPr>
        <w:t xml:space="preserve"> while using </w:t>
      </w:r>
      <w:r w:rsidRPr="004640C0">
        <w:rPr>
          <w:rFonts w:ascii="Arial" w:hAnsi="Arial" w:cs="Arial"/>
          <w:sz w:val="24"/>
          <w:szCs w:val="24"/>
          <w:lang w:val="en-US"/>
        </w:rPr>
        <w:t>this strategy, Barclays is better able to assess the prospective profitability and long-term financial benefits of a project.</w:t>
      </w:r>
      <w:r w:rsidR="00A44A11" w:rsidRPr="004640C0">
        <w:rPr>
          <w:rFonts w:ascii="Arial" w:hAnsi="Arial" w:cs="Arial"/>
          <w:sz w:val="24"/>
          <w:szCs w:val="24"/>
          <w:lang w:val="en-US"/>
        </w:rPr>
        <w:t xml:space="preserve"> (Hull, 2017)</w:t>
      </w:r>
    </w:p>
    <w:p w14:paraId="6A6479FB" w14:textId="77777777" w:rsidR="002E4B96" w:rsidRPr="004640C0" w:rsidRDefault="002E4B96" w:rsidP="004640C0">
      <w:pPr>
        <w:spacing w:line="360" w:lineRule="auto"/>
        <w:jc w:val="both"/>
        <w:rPr>
          <w:rFonts w:ascii="Arial" w:hAnsi="Arial" w:cs="Arial"/>
          <w:sz w:val="24"/>
          <w:szCs w:val="24"/>
          <w:lang w:val="en-US"/>
        </w:rPr>
      </w:pPr>
    </w:p>
    <w:p w14:paraId="7B3823E9" w14:textId="525C0A30" w:rsidR="002E4B96" w:rsidRPr="004640C0" w:rsidRDefault="002E4B96" w:rsidP="004640C0">
      <w:pPr>
        <w:spacing w:line="360" w:lineRule="auto"/>
        <w:jc w:val="both"/>
        <w:rPr>
          <w:rFonts w:ascii="Arial" w:hAnsi="Arial" w:cs="Arial"/>
          <w:sz w:val="24"/>
          <w:szCs w:val="24"/>
          <w:lang w:val="en-US"/>
        </w:rPr>
      </w:pPr>
      <w:r w:rsidRPr="004640C0">
        <w:rPr>
          <w:rFonts w:ascii="Arial" w:hAnsi="Arial" w:cs="Arial"/>
          <w:sz w:val="24"/>
          <w:szCs w:val="24"/>
          <w:lang w:val="en-US"/>
        </w:rPr>
        <w:t>An additional strategy adopted by Barclays is the Internal Rate of Return (IRR)</w:t>
      </w:r>
      <w:r w:rsidR="006630B6" w:rsidRPr="004640C0">
        <w:rPr>
          <w:rFonts w:ascii="Arial" w:hAnsi="Arial" w:cs="Arial"/>
          <w:sz w:val="24"/>
          <w:szCs w:val="24"/>
          <w:lang w:val="en-US"/>
        </w:rPr>
        <w:t xml:space="preserve"> and the </w:t>
      </w:r>
      <w:r w:rsidRPr="004640C0">
        <w:rPr>
          <w:rFonts w:ascii="Arial" w:hAnsi="Arial" w:cs="Arial"/>
          <w:sz w:val="24"/>
          <w:szCs w:val="24"/>
          <w:lang w:val="en-US"/>
        </w:rPr>
        <w:t>Internal Rate of Return (IRR) is one metric used to assess the economic viability of a project. The internal rate of return (IRR) on a project is deemed to be profitable if it exceeds the company's cost of capital</w:t>
      </w:r>
      <w:r w:rsidR="006630B6" w:rsidRPr="004640C0">
        <w:rPr>
          <w:rFonts w:ascii="Arial" w:hAnsi="Arial" w:cs="Arial"/>
          <w:sz w:val="24"/>
          <w:szCs w:val="24"/>
          <w:lang w:val="en-US"/>
        </w:rPr>
        <w:t xml:space="preserve"> and by </w:t>
      </w:r>
      <w:r w:rsidRPr="004640C0">
        <w:rPr>
          <w:rFonts w:ascii="Arial" w:hAnsi="Arial" w:cs="Arial"/>
          <w:sz w:val="24"/>
          <w:szCs w:val="24"/>
          <w:lang w:val="en-US"/>
        </w:rPr>
        <w:t xml:space="preserve">adopting this approach, Barclays is better equipped to assess the viability of a project and compare it </w:t>
      </w:r>
      <w:r w:rsidR="006630B6" w:rsidRPr="004640C0">
        <w:rPr>
          <w:rFonts w:ascii="Arial" w:hAnsi="Arial" w:cs="Arial"/>
          <w:sz w:val="24"/>
          <w:szCs w:val="24"/>
          <w:lang w:val="en-US"/>
        </w:rPr>
        <w:t>favorably</w:t>
      </w:r>
      <w:r w:rsidRPr="004640C0">
        <w:rPr>
          <w:rFonts w:ascii="Arial" w:hAnsi="Arial" w:cs="Arial"/>
          <w:sz w:val="24"/>
          <w:szCs w:val="24"/>
          <w:lang w:val="en-US"/>
        </w:rPr>
        <w:t xml:space="preserve"> to other investment options.</w:t>
      </w:r>
      <w:r w:rsidR="00661A0A" w:rsidRPr="004640C0">
        <w:rPr>
          <w:rFonts w:ascii="Arial" w:hAnsi="Arial" w:cs="Arial"/>
          <w:sz w:val="24"/>
          <w:szCs w:val="24"/>
          <w:lang w:val="en-US"/>
        </w:rPr>
        <w:t xml:space="preserve"> </w:t>
      </w:r>
      <w:r w:rsidRPr="004640C0">
        <w:rPr>
          <w:rFonts w:ascii="Arial" w:hAnsi="Arial" w:cs="Arial"/>
          <w:sz w:val="24"/>
          <w:szCs w:val="24"/>
          <w:lang w:val="en-US"/>
        </w:rPr>
        <w:t>Barclays also considers the time it will take for the investment to pay off when making its decision on whether or not to fund a project</w:t>
      </w:r>
      <w:r w:rsidR="00661A0A" w:rsidRPr="004640C0">
        <w:rPr>
          <w:rFonts w:ascii="Arial" w:hAnsi="Arial" w:cs="Arial"/>
          <w:sz w:val="24"/>
          <w:szCs w:val="24"/>
          <w:lang w:val="en-US"/>
        </w:rPr>
        <w:t xml:space="preserve"> and the </w:t>
      </w:r>
      <w:r w:rsidRPr="004640C0">
        <w:rPr>
          <w:rFonts w:ascii="Arial" w:hAnsi="Arial" w:cs="Arial"/>
          <w:sz w:val="24"/>
          <w:szCs w:val="24"/>
          <w:lang w:val="en-US"/>
        </w:rPr>
        <w:t xml:space="preserve">payback period is a timeframe for completing an </w:t>
      </w:r>
      <w:r w:rsidR="00661A0A" w:rsidRPr="004640C0">
        <w:rPr>
          <w:rFonts w:ascii="Arial" w:hAnsi="Arial" w:cs="Arial"/>
          <w:sz w:val="24"/>
          <w:szCs w:val="24"/>
          <w:lang w:val="en-US"/>
        </w:rPr>
        <w:t>endeavor</w:t>
      </w:r>
      <w:r w:rsidRPr="004640C0">
        <w:rPr>
          <w:rFonts w:ascii="Arial" w:hAnsi="Arial" w:cs="Arial"/>
          <w:sz w:val="24"/>
          <w:szCs w:val="24"/>
          <w:lang w:val="en-US"/>
        </w:rPr>
        <w:t xml:space="preserve"> that is used to evaluate the project's capacity to </w:t>
      </w:r>
      <w:r w:rsidRPr="004640C0">
        <w:rPr>
          <w:rFonts w:ascii="Arial" w:hAnsi="Arial" w:cs="Arial"/>
          <w:sz w:val="24"/>
          <w:szCs w:val="24"/>
          <w:lang w:val="en-US"/>
        </w:rPr>
        <w:lastRenderedPageBreak/>
        <w:t>return its initial expenditure. In general, investors like investments with a lower payback period since they generate a higher ROI more quickly</w:t>
      </w:r>
      <w:r w:rsidR="00661A0A" w:rsidRPr="004640C0">
        <w:rPr>
          <w:rFonts w:ascii="Arial" w:hAnsi="Arial" w:cs="Arial"/>
          <w:sz w:val="24"/>
          <w:szCs w:val="24"/>
          <w:lang w:val="en-US"/>
        </w:rPr>
        <w:t xml:space="preserve"> and this </w:t>
      </w:r>
      <w:r w:rsidRPr="004640C0">
        <w:rPr>
          <w:rFonts w:ascii="Arial" w:hAnsi="Arial" w:cs="Arial"/>
          <w:sz w:val="24"/>
          <w:szCs w:val="24"/>
          <w:lang w:val="en-US"/>
        </w:rPr>
        <w:t>is because they can generate a higher rate of return. With the use of this method, Barclays can assess the financial viability and liquidity of a given project.</w:t>
      </w:r>
      <w:r w:rsidR="00D1726F" w:rsidRPr="004640C0">
        <w:rPr>
          <w:rFonts w:ascii="Arial" w:hAnsi="Arial" w:cs="Arial"/>
          <w:sz w:val="24"/>
          <w:szCs w:val="24"/>
          <w:lang w:val="en-US"/>
        </w:rPr>
        <w:t xml:space="preserve"> (</w:t>
      </w:r>
      <w:r w:rsidR="009F622B" w:rsidRPr="004640C0">
        <w:rPr>
          <w:rFonts w:ascii="Arial" w:hAnsi="Arial" w:cs="Arial"/>
          <w:sz w:val="24"/>
          <w:szCs w:val="24"/>
          <w:lang w:val="en-US"/>
        </w:rPr>
        <w:t>Rugman &amp; Verbeke, 2008)</w:t>
      </w:r>
    </w:p>
    <w:p w14:paraId="33C6A033" w14:textId="77777777" w:rsidR="002E4B96" w:rsidRPr="004640C0" w:rsidRDefault="002E4B96" w:rsidP="004640C0">
      <w:pPr>
        <w:spacing w:line="360" w:lineRule="auto"/>
        <w:jc w:val="both"/>
        <w:rPr>
          <w:rFonts w:ascii="Arial" w:hAnsi="Arial" w:cs="Arial"/>
          <w:sz w:val="24"/>
          <w:szCs w:val="24"/>
          <w:lang w:val="en-US"/>
        </w:rPr>
      </w:pPr>
    </w:p>
    <w:p w14:paraId="3F127245" w14:textId="2ECD9774" w:rsidR="002E4B96" w:rsidRPr="004640C0" w:rsidRDefault="002E4B96" w:rsidP="004640C0">
      <w:pPr>
        <w:spacing w:line="360" w:lineRule="auto"/>
        <w:jc w:val="both"/>
        <w:rPr>
          <w:rFonts w:ascii="Arial" w:hAnsi="Arial" w:cs="Arial"/>
          <w:sz w:val="24"/>
          <w:szCs w:val="24"/>
          <w:lang w:val="en-US"/>
        </w:rPr>
      </w:pPr>
      <w:r w:rsidRPr="004640C0">
        <w:rPr>
          <w:rFonts w:ascii="Arial" w:hAnsi="Arial" w:cs="Arial"/>
          <w:sz w:val="24"/>
          <w:szCs w:val="24"/>
          <w:lang w:val="en-US"/>
        </w:rPr>
        <w:t>So that they may make smarter business judgements, Barclays also use sensitivity analysis to see how different variables can effect a project's bottom line</w:t>
      </w:r>
      <w:r w:rsidR="00661A0A" w:rsidRPr="004640C0">
        <w:rPr>
          <w:rFonts w:ascii="Arial" w:hAnsi="Arial" w:cs="Arial"/>
          <w:sz w:val="24"/>
          <w:szCs w:val="24"/>
          <w:lang w:val="en-US"/>
        </w:rPr>
        <w:t xml:space="preserve"> and </w:t>
      </w:r>
      <w:r w:rsidRPr="004640C0">
        <w:rPr>
          <w:rFonts w:ascii="Arial" w:hAnsi="Arial" w:cs="Arial"/>
          <w:sz w:val="24"/>
          <w:szCs w:val="24"/>
          <w:lang w:val="en-US"/>
        </w:rPr>
        <w:t>Barclays can determine how much the project will be impacted by market variations by looking at factors like sales volume and commodity prices. As a result of employing this method, Barclays has a clearer picture of the project's possible risks and unknowns</w:t>
      </w:r>
      <w:r w:rsidR="00661A0A" w:rsidRPr="004640C0">
        <w:rPr>
          <w:rFonts w:ascii="Arial" w:hAnsi="Arial" w:cs="Arial"/>
          <w:sz w:val="24"/>
          <w:szCs w:val="24"/>
          <w:lang w:val="en-US"/>
        </w:rPr>
        <w:t xml:space="preserve"> as by </w:t>
      </w:r>
      <w:r w:rsidRPr="004640C0">
        <w:rPr>
          <w:rFonts w:ascii="Arial" w:hAnsi="Arial" w:cs="Arial"/>
          <w:sz w:val="24"/>
          <w:szCs w:val="24"/>
          <w:lang w:val="en-US"/>
        </w:rPr>
        <w:t>employing multiple methods of analysis, Barclays is able to thoroughly examine a project's financial viability, potential profitability, and sensitivity to market dynamics before making an informed investment choice.</w:t>
      </w:r>
      <w:r w:rsidR="00042DE6" w:rsidRPr="004640C0">
        <w:rPr>
          <w:rFonts w:ascii="Arial" w:hAnsi="Arial" w:cs="Arial"/>
          <w:sz w:val="24"/>
          <w:szCs w:val="24"/>
          <w:lang w:val="en-US"/>
        </w:rPr>
        <w:t xml:space="preserve"> (Arnold &amp; Sheppard, 2018)</w:t>
      </w:r>
    </w:p>
    <w:p w14:paraId="5413E5F2" w14:textId="5076A54E" w:rsidR="002E4B96" w:rsidRPr="004640C0" w:rsidRDefault="002E4B96" w:rsidP="004640C0">
      <w:pPr>
        <w:spacing w:line="360" w:lineRule="auto"/>
        <w:jc w:val="both"/>
        <w:rPr>
          <w:rFonts w:ascii="Arial" w:hAnsi="Arial" w:cs="Arial"/>
          <w:sz w:val="24"/>
          <w:szCs w:val="24"/>
          <w:lang w:val="en-US"/>
        </w:rPr>
      </w:pPr>
    </w:p>
    <w:p w14:paraId="477D096C" w14:textId="77777777" w:rsidR="00637906" w:rsidRPr="004640C0" w:rsidRDefault="00637906" w:rsidP="004640C0">
      <w:pPr>
        <w:spacing w:line="360" w:lineRule="auto"/>
        <w:jc w:val="both"/>
        <w:rPr>
          <w:rFonts w:ascii="Arial" w:hAnsi="Arial" w:cs="Arial"/>
          <w:sz w:val="24"/>
          <w:szCs w:val="24"/>
          <w:lang w:val="en-US"/>
        </w:rPr>
      </w:pPr>
    </w:p>
    <w:p w14:paraId="22DF4C21" w14:textId="36BEBAE3" w:rsidR="00637906" w:rsidRPr="004640C0" w:rsidRDefault="00F513B6" w:rsidP="004640C0">
      <w:pPr>
        <w:pStyle w:val="Heading1"/>
        <w:spacing w:line="360" w:lineRule="auto"/>
        <w:jc w:val="both"/>
        <w:rPr>
          <w:rFonts w:ascii="Arial" w:hAnsi="Arial" w:cs="Arial"/>
          <w:sz w:val="24"/>
          <w:szCs w:val="24"/>
          <w:lang w:val="en-US"/>
        </w:rPr>
      </w:pPr>
      <w:bookmarkStart w:id="5" w:name="_Toc143030719"/>
      <w:r w:rsidRPr="004640C0">
        <w:rPr>
          <w:rFonts w:ascii="Arial" w:hAnsi="Arial" w:cs="Arial"/>
          <w:sz w:val="24"/>
          <w:szCs w:val="24"/>
          <w:lang w:val="en-US"/>
        </w:rPr>
        <w:t>Conclusion</w:t>
      </w:r>
      <w:bookmarkEnd w:id="5"/>
    </w:p>
    <w:p w14:paraId="6B7843EF" w14:textId="77777777" w:rsidR="00637906" w:rsidRPr="004640C0" w:rsidRDefault="00637906" w:rsidP="004640C0">
      <w:pPr>
        <w:spacing w:line="360" w:lineRule="auto"/>
        <w:jc w:val="both"/>
        <w:rPr>
          <w:rFonts w:ascii="Arial" w:hAnsi="Arial" w:cs="Arial"/>
          <w:sz w:val="24"/>
          <w:szCs w:val="24"/>
          <w:lang w:val="en-US"/>
        </w:rPr>
      </w:pPr>
    </w:p>
    <w:p w14:paraId="7FD31FA2" w14:textId="40C6B0E0" w:rsidR="00637906" w:rsidRPr="004640C0" w:rsidRDefault="00637906" w:rsidP="004640C0">
      <w:pPr>
        <w:spacing w:line="360" w:lineRule="auto"/>
        <w:jc w:val="both"/>
        <w:rPr>
          <w:rFonts w:ascii="Arial" w:hAnsi="Arial" w:cs="Arial"/>
          <w:sz w:val="24"/>
          <w:szCs w:val="24"/>
          <w:lang w:val="en-US"/>
        </w:rPr>
      </w:pPr>
      <w:r w:rsidRPr="004640C0">
        <w:rPr>
          <w:rFonts w:ascii="Arial" w:hAnsi="Arial" w:cs="Arial"/>
          <w:sz w:val="24"/>
          <w:szCs w:val="24"/>
          <w:lang w:val="en-US"/>
        </w:rPr>
        <w:t>Given its global reach and presence in a variety of foreign financial markets, Barclays places a premium on effective international financial management</w:t>
      </w:r>
      <w:r w:rsidR="002E4B96" w:rsidRPr="004640C0">
        <w:rPr>
          <w:rFonts w:ascii="Arial" w:hAnsi="Arial" w:cs="Arial"/>
          <w:sz w:val="24"/>
          <w:szCs w:val="24"/>
          <w:lang w:val="en-US"/>
        </w:rPr>
        <w:t xml:space="preserve"> and the organization</w:t>
      </w:r>
      <w:r w:rsidRPr="004640C0">
        <w:rPr>
          <w:rFonts w:ascii="Arial" w:hAnsi="Arial" w:cs="Arial"/>
          <w:sz w:val="24"/>
          <w:szCs w:val="24"/>
          <w:lang w:val="en-US"/>
        </w:rPr>
        <w:t xml:space="preserve"> faces a number of challenges, such as the need to comply with regulations, volatility in exchange rates, unpredictability resulting from political and economic causes, differences in cultural and legal frameworks, and intense competition. Barclays' dividend distribution policy was developed with the aim of providing stable, long-term profits for the company's investors</w:t>
      </w:r>
      <w:r w:rsidR="006630B6" w:rsidRPr="004640C0">
        <w:rPr>
          <w:rFonts w:ascii="Arial" w:hAnsi="Arial" w:cs="Arial"/>
          <w:sz w:val="24"/>
          <w:szCs w:val="24"/>
          <w:lang w:val="en-US"/>
        </w:rPr>
        <w:t xml:space="preserve"> but at </w:t>
      </w:r>
      <w:r w:rsidRPr="004640C0">
        <w:rPr>
          <w:rFonts w:ascii="Arial" w:hAnsi="Arial" w:cs="Arial"/>
          <w:sz w:val="24"/>
          <w:szCs w:val="24"/>
          <w:lang w:val="en-US"/>
        </w:rPr>
        <w:t>the same time, the Efficient Market Hypothesis postulates that observable stock prices already incorporate all material information. In order to evaluate projects and make educated investment decisions, the bank uses a variety of tools, including net present value (NPV), internal rate of return (IRR), payback time, and sensitivity analysis</w:t>
      </w:r>
      <w:r w:rsidR="006630B6" w:rsidRPr="004640C0">
        <w:rPr>
          <w:rFonts w:ascii="Arial" w:hAnsi="Arial" w:cs="Arial"/>
          <w:sz w:val="24"/>
          <w:szCs w:val="24"/>
          <w:lang w:val="en-US"/>
        </w:rPr>
        <w:t xml:space="preserve"> </w:t>
      </w:r>
      <w:r w:rsidR="006630B6" w:rsidRPr="004640C0">
        <w:rPr>
          <w:rFonts w:ascii="Arial" w:hAnsi="Arial" w:cs="Arial"/>
          <w:sz w:val="24"/>
          <w:szCs w:val="24"/>
          <w:lang w:val="en-US"/>
        </w:rPr>
        <w:lastRenderedPageBreak/>
        <w:t xml:space="preserve">and </w:t>
      </w:r>
      <w:r w:rsidRPr="004640C0">
        <w:rPr>
          <w:rFonts w:ascii="Arial" w:hAnsi="Arial" w:cs="Arial"/>
          <w:sz w:val="24"/>
          <w:szCs w:val="24"/>
          <w:lang w:val="en-US"/>
        </w:rPr>
        <w:t xml:space="preserve">Barclays is able to successfully navigate the complex dynamics of global financial markets because of the company's dedication to sound International Financial Management (IFM) </w:t>
      </w:r>
      <w:r w:rsidR="006630B6" w:rsidRPr="004640C0">
        <w:rPr>
          <w:rFonts w:ascii="Arial" w:hAnsi="Arial" w:cs="Arial"/>
          <w:sz w:val="24"/>
          <w:szCs w:val="24"/>
          <w:lang w:val="en-US"/>
        </w:rPr>
        <w:t>practices</w:t>
      </w:r>
      <w:r w:rsidRPr="004640C0">
        <w:rPr>
          <w:rFonts w:ascii="Arial" w:hAnsi="Arial" w:cs="Arial"/>
          <w:sz w:val="24"/>
          <w:szCs w:val="24"/>
          <w:lang w:val="en-US"/>
        </w:rPr>
        <w:t>.</w:t>
      </w:r>
    </w:p>
    <w:p w14:paraId="716B561F" w14:textId="77777777" w:rsidR="00637906" w:rsidRDefault="00637906" w:rsidP="004640C0">
      <w:pPr>
        <w:spacing w:line="360" w:lineRule="auto"/>
        <w:jc w:val="both"/>
        <w:rPr>
          <w:rFonts w:ascii="Arial" w:hAnsi="Arial" w:cs="Arial"/>
          <w:sz w:val="24"/>
          <w:szCs w:val="24"/>
          <w:lang w:val="en-US"/>
        </w:rPr>
      </w:pPr>
    </w:p>
    <w:p w14:paraId="31B65469" w14:textId="77777777" w:rsidR="004640C0" w:rsidRDefault="004640C0" w:rsidP="004640C0">
      <w:pPr>
        <w:spacing w:line="360" w:lineRule="auto"/>
        <w:jc w:val="both"/>
        <w:rPr>
          <w:rFonts w:ascii="Arial" w:hAnsi="Arial" w:cs="Arial"/>
          <w:sz w:val="24"/>
          <w:szCs w:val="24"/>
          <w:lang w:val="en-US"/>
        </w:rPr>
      </w:pPr>
    </w:p>
    <w:p w14:paraId="7FCDED85" w14:textId="77777777" w:rsidR="004640C0" w:rsidRPr="004640C0" w:rsidRDefault="004640C0" w:rsidP="004640C0">
      <w:pPr>
        <w:spacing w:line="360" w:lineRule="auto"/>
        <w:jc w:val="both"/>
        <w:rPr>
          <w:rFonts w:ascii="Arial" w:hAnsi="Arial" w:cs="Arial"/>
          <w:sz w:val="24"/>
          <w:szCs w:val="24"/>
          <w:lang w:val="en-US"/>
        </w:rPr>
      </w:pPr>
    </w:p>
    <w:p w14:paraId="5D27A909" w14:textId="77777777" w:rsidR="00042DE6" w:rsidRPr="004640C0" w:rsidRDefault="00042DE6" w:rsidP="004640C0">
      <w:pPr>
        <w:spacing w:line="360" w:lineRule="auto"/>
        <w:jc w:val="both"/>
        <w:rPr>
          <w:rFonts w:ascii="Arial" w:hAnsi="Arial" w:cs="Arial"/>
          <w:sz w:val="24"/>
          <w:szCs w:val="24"/>
          <w:lang w:val="en-US"/>
        </w:rPr>
      </w:pPr>
    </w:p>
    <w:p w14:paraId="104F1DD8" w14:textId="1D79AC60" w:rsidR="00042DE6" w:rsidRPr="004640C0" w:rsidRDefault="00042DE6" w:rsidP="004640C0">
      <w:pPr>
        <w:pStyle w:val="Heading1"/>
        <w:spacing w:line="360" w:lineRule="auto"/>
        <w:jc w:val="both"/>
        <w:rPr>
          <w:rFonts w:ascii="Arial" w:hAnsi="Arial" w:cs="Arial"/>
          <w:sz w:val="24"/>
          <w:szCs w:val="24"/>
          <w:lang w:val="en-US"/>
        </w:rPr>
      </w:pPr>
      <w:bookmarkStart w:id="6" w:name="_Toc143030720"/>
      <w:r w:rsidRPr="004640C0">
        <w:rPr>
          <w:rFonts w:ascii="Arial" w:hAnsi="Arial" w:cs="Arial"/>
          <w:sz w:val="24"/>
          <w:szCs w:val="24"/>
          <w:lang w:val="en-US"/>
        </w:rPr>
        <w:t>References</w:t>
      </w:r>
      <w:bookmarkEnd w:id="6"/>
    </w:p>
    <w:p w14:paraId="48401B45" w14:textId="77777777" w:rsidR="00042DE6" w:rsidRPr="004640C0" w:rsidRDefault="00042DE6" w:rsidP="004640C0">
      <w:pPr>
        <w:spacing w:line="360" w:lineRule="auto"/>
        <w:jc w:val="both"/>
        <w:rPr>
          <w:rFonts w:ascii="Arial" w:hAnsi="Arial" w:cs="Arial"/>
          <w:sz w:val="24"/>
          <w:szCs w:val="24"/>
          <w:lang w:val="en-US"/>
        </w:rPr>
      </w:pPr>
    </w:p>
    <w:p w14:paraId="317DE7D9"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1. Arnold, G. C., &amp; Sheppard, C. R. (2018). Corporate Financial Management. Pearson Education Limited.</w:t>
      </w:r>
    </w:p>
    <w:p w14:paraId="46344639"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2. Bodie, Z., Kane, A., &amp; Marcus, A. (2014). Investments. McGraw-Hill Education.</w:t>
      </w:r>
    </w:p>
    <w:p w14:paraId="5E76E31B"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3. Brigham, E. F., &amp; Ehrhardt, M. C. (2016). Financial Management: Theory &amp; Practice. Cengage Learning.</w:t>
      </w:r>
    </w:p>
    <w:p w14:paraId="11F359F4" w14:textId="7253D9FA"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4. Cushman, D. O. (</w:t>
      </w:r>
      <w:r w:rsidR="001B17BC" w:rsidRPr="004640C0">
        <w:rPr>
          <w:rFonts w:ascii="Arial" w:hAnsi="Arial" w:cs="Arial"/>
          <w:sz w:val="24"/>
          <w:szCs w:val="24"/>
          <w:lang w:val="en-US"/>
        </w:rPr>
        <w:t>2016</w:t>
      </w:r>
      <w:r w:rsidRPr="004640C0">
        <w:rPr>
          <w:rFonts w:ascii="Arial" w:hAnsi="Arial" w:cs="Arial"/>
          <w:sz w:val="24"/>
          <w:szCs w:val="24"/>
          <w:lang w:val="en-US"/>
        </w:rPr>
        <w:t>). The Foreign Exchange Market of London: Development Since 1900. Routledge.</w:t>
      </w:r>
    </w:p>
    <w:p w14:paraId="3FCEA2A2"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5. Devereux, M. P., &amp; Engel, C. (2003). Exchange Rate Pass-Through, Exchange Rate Volatility, and Exchange Rate Disconnect. Journal of Monetary Economics, 50(7), 1401-1422.</w:t>
      </w:r>
    </w:p>
    <w:p w14:paraId="7541F525"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6. Eun, C. S., &amp; Resnick, B. G. (2017). International Financial Management. McGraw-Hill Education.</w:t>
      </w:r>
    </w:p>
    <w:p w14:paraId="7E66738A"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 xml:space="preserve">7. </w:t>
      </w:r>
      <w:proofErr w:type="spellStart"/>
      <w:r w:rsidRPr="004640C0">
        <w:rPr>
          <w:rFonts w:ascii="Arial" w:hAnsi="Arial" w:cs="Arial"/>
          <w:sz w:val="24"/>
          <w:szCs w:val="24"/>
          <w:lang w:val="en-US"/>
        </w:rPr>
        <w:t>Grinblatt</w:t>
      </w:r>
      <w:proofErr w:type="spellEnd"/>
      <w:r w:rsidRPr="004640C0">
        <w:rPr>
          <w:rFonts w:ascii="Arial" w:hAnsi="Arial" w:cs="Arial"/>
          <w:sz w:val="24"/>
          <w:szCs w:val="24"/>
          <w:lang w:val="en-US"/>
        </w:rPr>
        <w:t>, M., &amp; Titman, S. (2016). Financial Markets and Corporate Strategy. McGraw-Hill Education.</w:t>
      </w:r>
    </w:p>
    <w:p w14:paraId="3B6B72F0"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lastRenderedPageBreak/>
        <w:t>8. Hull, J. C. (2017). Options, Futures, and Other Derivatives. Pearson Education Limited.</w:t>
      </w:r>
    </w:p>
    <w:p w14:paraId="24253A21"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9. Madura, J. (2015). International Financial Management. Cengage Learning.</w:t>
      </w:r>
    </w:p>
    <w:p w14:paraId="4333CEC4"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 xml:space="preserve">10. Melvin, M., &amp; </w:t>
      </w:r>
      <w:proofErr w:type="spellStart"/>
      <w:r w:rsidRPr="004640C0">
        <w:rPr>
          <w:rFonts w:ascii="Arial" w:hAnsi="Arial" w:cs="Arial"/>
          <w:sz w:val="24"/>
          <w:szCs w:val="24"/>
          <w:lang w:val="en-US"/>
        </w:rPr>
        <w:t>Norrbin</w:t>
      </w:r>
      <w:proofErr w:type="spellEnd"/>
      <w:r w:rsidRPr="004640C0">
        <w:rPr>
          <w:rFonts w:ascii="Arial" w:hAnsi="Arial" w:cs="Arial"/>
          <w:sz w:val="24"/>
          <w:szCs w:val="24"/>
          <w:lang w:val="en-US"/>
        </w:rPr>
        <w:t>, S. C. (2012). International Money and Finance. Academic Press.</w:t>
      </w:r>
    </w:p>
    <w:p w14:paraId="359019AF"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 xml:space="preserve">11. Mihov, I., &amp; </w:t>
      </w:r>
      <w:proofErr w:type="spellStart"/>
      <w:r w:rsidRPr="004640C0">
        <w:rPr>
          <w:rFonts w:ascii="Arial" w:hAnsi="Arial" w:cs="Arial"/>
          <w:sz w:val="24"/>
          <w:szCs w:val="24"/>
          <w:lang w:val="en-US"/>
        </w:rPr>
        <w:t>Sockin</w:t>
      </w:r>
      <w:proofErr w:type="spellEnd"/>
      <w:r w:rsidRPr="004640C0">
        <w:rPr>
          <w:rFonts w:ascii="Arial" w:hAnsi="Arial" w:cs="Arial"/>
          <w:sz w:val="24"/>
          <w:szCs w:val="24"/>
          <w:lang w:val="en-US"/>
        </w:rPr>
        <w:t>, J. M. (2017). Distressed Exchange. Journal of Financial Economics, 123(1), 1-19.</w:t>
      </w:r>
    </w:p>
    <w:p w14:paraId="7436184D"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12. Pilbeam, K. (2013). International Finance. Palgrave Macmillan.</w:t>
      </w:r>
    </w:p>
    <w:p w14:paraId="5A4F37FC"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13. Rugman, A. M., &amp; Verbeke, A. (2008). Internalization Theory and Its Impact on the Field of International Business. Journal of International Business Studies, 39(2), 153-173.</w:t>
      </w:r>
    </w:p>
    <w:p w14:paraId="2C239BAF"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 xml:space="preserve">14. Shleifer, A., &amp; </w:t>
      </w:r>
      <w:proofErr w:type="spellStart"/>
      <w:r w:rsidRPr="004640C0">
        <w:rPr>
          <w:rFonts w:ascii="Arial" w:hAnsi="Arial" w:cs="Arial"/>
          <w:sz w:val="24"/>
          <w:szCs w:val="24"/>
          <w:lang w:val="en-US"/>
        </w:rPr>
        <w:t>Vishny</w:t>
      </w:r>
      <w:proofErr w:type="spellEnd"/>
      <w:r w:rsidRPr="004640C0">
        <w:rPr>
          <w:rFonts w:ascii="Arial" w:hAnsi="Arial" w:cs="Arial"/>
          <w:sz w:val="24"/>
          <w:szCs w:val="24"/>
          <w:lang w:val="en-US"/>
        </w:rPr>
        <w:t>, R. W. (1997). A Survey of Corporate Governance. Journal of Finance, 52(2), 737-783.</w:t>
      </w:r>
    </w:p>
    <w:p w14:paraId="6D1859F2" w14:textId="77777777" w:rsidR="00042DE6" w:rsidRPr="004640C0" w:rsidRDefault="00042DE6" w:rsidP="004640C0">
      <w:pPr>
        <w:spacing w:line="360" w:lineRule="auto"/>
        <w:jc w:val="both"/>
        <w:rPr>
          <w:rFonts w:ascii="Arial" w:hAnsi="Arial" w:cs="Arial"/>
          <w:sz w:val="24"/>
          <w:szCs w:val="24"/>
          <w:lang w:val="en-US"/>
        </w:rPr>
      </w:pPr>
      <w:r w:rsidRPr="004640C0">
        <w:rPr>
          <w:rFonts w:ascii="Arial" w:hAnsi="Arial" w:cs="Arial"/>
          <w:sz w:val="24"/>
          <w:szCs w:val="24"/>
          <w:lang w:val="en-US"/>
        </w:rPr>
        <w:t xml:space="preserve">15. </w:t>
      </w:r>
      <w:proofErr w:type="spellStart"/>
      <w:r w:rsidRPr="004640C0">
        <w:rPr>
          <w:rFonts w:ascii="Arial" w:hAnsi="Arial" w:cs="Arial"/>
          <w:sz w:val="24"/>
          <w:szCs w:val="24"/>
          <w:lang w:val="en-US"/>
        </w:rPr>
        <w:t>Solnik</w:t>
      </w:r>
      <w:proofErr w:type="spellEnd"/>
      <w:r w:rsidRPr="004640C0">
        <w:rPr>
          <w:rFonts w:ascii="Arial" w:hAnsi="Arial" w:cs="Arial"/>
          <w:sz w:val="24"/>
          <w:szCs w:val="24"/>
          <w:lang w:val="en-US"/>
        </w:rPr>
        <w:t xml:space="preserve">, B., &amp; </w:t>
      </w:r>
      <w:proofErr w:type="spellStart"/>
      <w:r w:rsidRPr="004640C0">
        <w:rPr>
          <w:rFonts w:ascii="Arial" w:hAnsi="Arial" w:cs="Arial"/>
          <w:sz w:val="24"/>
          <w:szCs w:val="24"/>
          <w:lang w:val="en-US"/>
        </w:rPr>
        <w:t>McLeavey</w:t>
      </w:r>
      <w:proofErr w:type="spellEnd"/>
      <w:r w:rsidRPr="004640C0">
        <w:rPr>
          <w:rFonts w:ascii="Arial" w:hAnsi="Arial" w:cs="Arial"/>
          <w:sz w:val="24"/>
          <w:szCs w:val="24"/>
          <w:lang w:val="en-US"/>
        </w:rPr>
        <w:t>, D. (2014). Global Investments. Pearson Education Limited.</w:t>
      </w:r>
    </w:p>
    <w:p w14:paraId="5A3F7CCB" w14:textId="77777777" w:rsidR="00042DE6" w:rsidRPr="004640C0" w:rsidRDefault="00042DE6" w:rsidP="004640C0">
      <w:pPr>
        <w:spacing w:line="360" w:lineRule="auto"/>
        <w:jc w:val="both"/>
        <w:rPr>
          <w:rFonts w:ascii="Arial" w:hAnsi="Arial" w:cs="Arial"/>
          <w:sz w:val="24"/>
          <w:szCs w:val="24"/>
          <w:lang w:val="en-US"/>
        </w:rPr>
      </w:pPr>
    </w:p>
    <w:p w14:paraId="15F4E4FC" w14:textId="2E97C4B4" w:rsidR="00042DE6" w:rsidRPr="00042DE6" w:rsidRDefault="00042DE6" w:rsidP="00042DE6">
      <w:pPr>
        <w:rPr>
          <w:lang w:val="en-US"/>
        </w:rPr>
      </w:pPr>
    </w:p>
    <w:sectPr w:rsidR="00042DE6" w:rsidRPr="00042DE6">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4402F" w14:textId="77777777" w:rsidR="006A2EE1" w:rsidRDefault="006A2EE1" w:rsidP="007C35BD">
      <w:pPr>
        <w:spacing w:after="0" w:line="240" w:lineRule="auto"/>
      </w:pPr>
      <w:r>
        <w:separator/>
      </w:r>
    </w:p>
  </w:endnote>
  <w:endnote w:type="continuationSeparator" w:id="0">
    <w:p w14:paraId="0F9A455F" w14:textId="77777777" w:rsidR="006A2EE1" w:rsidRDefault="006A2EE1" w:rsidP="007C35BD">
      <w:pPr>
        <w:spacing w:after="0" w:line="240" w:lineRule="auto"/>
      </w:pPr>
      <w:r>
        <w:continuationSeparator/>
      </w:r>
    </w:p>
  </w:endnote>
  <w:endnote w:type="continuationNotice" w:id="1">
    <w:p w14:paraId="1230AAFA" w14:textId="77777777" w:rsidR="006A2EE1" w:rsidRDefault="006A2E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10139" w14:textId="77777777" w:rsidR="006A2EE1" w:rsidRDefault="006A2EE1" w:rsidP="007C35BD">
      <w:pPr>
        <w:spacing w:after="0" w:line="240" w:lineRule="auto"/>
      </w:pPr>
      <w:r>
        <w:separator/>
      </w:r>
    </w:p>
  </w:footnote>
  <w:footnote w:type="continuationSeparator" w:id="0">
    <w:p w14:paraId="284E8A18" w14:textId="77777777" w:rsidR="006A2EE1" w:rsidRDefault="006A2EE1" w:rsidP="007C35BD">
      <w:pPr>
        <w:spacing w:after="0" w:line="240" w:lineRule="auto"/>
      </w:pPr>
      <w:r>
        <w:continuationSeparator/>
      </w:r>
    </w:p>
  </w:footnote>
  <w:footnote w:type="continuationNotice" w:id="1">
    <w:p w14:paraId="7792BF31" w14:textId="77777777" w:rsidR="006A2EE1" w:rsidRDefault="006A2EE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FC03A" w14:textId="77777777" w:rsidR="004640C0" w:rsidRDefault="004640C0">
    <w:pPr>
      <w:pStyle w:val="Header"/>
    </w:pPr>
    <w:r>
      <w:rPr>
        <w:noProof/>
      </w:rPr>
      <mc:AlternateContent>
        <mc:Choice Requires="wpg">
          <w:drawing>
            <wp:anchor distT="0" distB="0" distL="114300" distR="114300" simplePos="0" relativeHeight="251658240" behindDoc="1" locked="0" layoutInCell="1" allowOverlap="1" wp14:anchorId="7EFE5EC3" wp14:editId="7F865C0B">
              <wp:simplePos x="0" y="0"/>
              <wp:positionH relativeFrom="page">
                <wp:align>left</wp:align>
              </wp:positionH>
              <wp:positionV relativeFrom="page">
                <wp:align>top</wp:align>
              </wp:positionV>
              <wp:extent cx="3203575" cy="3401568"/>
              <wp:effectExtent l="0" t="0" r="0" b="8890"/>
              <wp:wrapNone/>
              <wp:docPr id="19" name="Group 8" title="Crop graphic with page number"/>
              <wp:cNvGraphicFramePr/>
              <a:graphic xmlns:a="http://schemas.openxmlformats.org/drawingml/2006/main">
                <a:graphicData uri="http://schemas.microsoft.com/office/word/2010/wordprocessingGroup">
                  <wpg:wgp>
                    <wpg:cNvGrpSpPr/>
                    <wpg:grpSpPr>
                      <a:xfrm>
                        <a:off x="0" y="0"/>
                        <a:ext cx="3203575" cy="3401568"/>
                        <a:chOff x="0" y="0"/>
                        <a:chExt cx="3204966" cy="3401568"/>
                      </a:xfrm>
                    </wpg:grpSpPr>
                    <wpg:grpSp>
                      <wpg:cNvPr id="14" name="Group 14" title="Crop mark graphic"/>
                      <wpg:cNvGrpSpPr/>
                      <wpg:grpSpPr>
                        <a:xfrm>
                          <a:off x="0" y="0"/>
                          <a:ext cx="2642616" cy="3401568"/>
                          <a:chOff x="0" y="0"/>
                          <a:chExt cx="2642616" cy="3401568"/>
                        </a:xfrm>
                      </wpg:grpSpPr>
                      <wps:wsp>
                        <wps:cNvPr id="15" name="Freeform 15"/>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16" name="Rectangle 16"/>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 name="Text Box 18"/>
                      <wps:cNvSpPr txBox="1"/>
                      <wps:spPr>
                        <a:xfrm>
                          <a:off x="2637665" y="428091"/>
                          <a:ext cx="567301" cy="227965"/>
                        </a:xfrm>
                        <a:prstGeom prst="rect">
                          <a:avLst/>
                        </a:prstGeom>
                        <a:noFill/>
                        <a:ln w="6350">
                          <a:noFill/>
                        </a:ln>
                      </wps:spPr>
                      <wps:txbx>
                        <w:txbxContent>
                          <w:p w14:paraId="21BA5386" w14:textId="77777777" w:rsidR="004640C0" w:rsidRDefault="004640C0">
                            <w:pPr>
                              <w:pStyle w:val="NoSpacing"/>
                              <w:jc w:val="right"/>
                              <w:rPr>
                                <w:color w:val="44546A" w:themeColor="text2"/>
                                <w:spacing w:val="10"/>
                                <w:sz w:val="30"/>
                                <w:szCs w:val="30"/>
                              </w:rPr>
                            </w:pPr>
                            <w:r>
                              <w:rPr>
                                <w:color w:val="44546A" w:themeColor="text2"/>
                                <w:spacing w:val="10"/>
                                <w:sz w:val="30"/>
                                <w:szCs w:val="30"/>
                              </w:rPr>
                              <w:fldChar w:fldCharType="begin"/>
                            </w:r>
                            <w:r>
                              <w:rPr>
                                <w:color w:val="44546A" w:themeColor="text2"/>
                                <w:spacing w:val="10"/>
                                <w:sz w:val="30"/>
                                <w:szCs w:val="30"/>
                              </w:rPr>
                              <w:instrText xml:space="preserve"> PAGE   \* MERGEFORMAT </w:instrText>
                            </w:r>
                            <w:r>
                              <w:rPr>
                                <w:color w:val="44546A" w:themeColor="text2"/>
                                <w:spacing w:val="10"/>
                                <w:sz w:val="30"/>
                                <w:szCs w:val="30"/>
                              </w:rPr>
                              <w:fldChar w:fldCharType="separate"/>
                            </w:r>
                            <w:r>
                              <w:rPr>
                                <w:noProof/>
                                <w:color w:val="44546A" w:themeColor="text2"/>
                                <w:spacing w:val="10"/>
                                <w:sz w:val="30"/>
                                <w:szCs w:val="30"/>
                              </w:rPr>
                              <w:t>2</w:t>
                            </w:r>
                            <w:r>
                              <w:rPr>
                                <w:noProof/>
                                <w:color w:val="44546A" w:themeColor="text2"/>
                                <w:spacing w:val="10"/>
                                <w:sz w:val="30"/>
                                <w:szCs w:val="30"/>
                              </w:rPr>
                              <w:fldChar w:fldCharType="end"/>
                            </w:r>
                          </w:p>
                        </w:txbxContent>
                      </wps:txbx>
                      <wps:bodyPr rot="0" spcFirstLastPara="0" vertOverflow="overflow" horzOverflow="overflow" vert="horz" wrap="none" lIns="45720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FE5EC3" id="Group 8" o:spid="_x0000_s1026" alt="Title: Crop graphic with page number" style="position:absolute;margin-left:0;margin-top:0;width:252.25pt;height:267.85pt;z-index:-251658240;mso-position-horizontal:left;mso-position-horizontal-relative:page;mso-position-vertical:top;mso-position-vertical-relative:page;mso-width-relative:margin;mso-height-relative:margin" coordsize="32049,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">
              <v:group id="Group 14"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">
                <v:shape id="Freeform 15"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" path="m168,1806l,1806,,,1344,r,165l168,165r,1641xe" fillcolor="#44546a [3215]" stroked="f">
                  <v:path arrowok="t" o:connecttype="custom" o:connectlocs="266700,2867025;0,2867025;0,0;2133600,0;2133600,261938;266700,261938;266700,2867025" o:connectangles="0,0,0,0,0,0,0"/>
                </v:shape>
                <v:rect id="Rectangle 16"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" filled="f" stroked="f" strokeweight="1pt"/>
              </v:group>
              <v:shapetype id="_x0000_t202" coordsize="21600,21600" o:spt="202" path="m,l,21600r21600,l21600,xe">
                <v:stroke joinstyle="miter"/>
                <v:path gradientshapeok="t" o:connecttype="rect"/>
              </v:shapetype>
              <v:shape id="Text Box 18" o:spid="_x0000_s1030" type="#_x0000_t202" style="position:absolute;left:26376;top:5227;width:5673;height:2280;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" filled="f" stroked="f" strokeweight=".5pt">
                <v:textbox inset="36pt,0,0,0">
                  <w:txbxContent>
                    <w:p w14:paraId="21BA5386" w14:textId="77777777" w:rsidR="004640C0" w:rsidRDefault="004640C0">
                      <w:pPr>
                        <w:pStyle w:val="NoSpacing"/>
                        <w:jc w:val="right"/>
                        <w:rPr>
                          <w:color w:val="44546A" w:themeColor="text2"/>
                          <w:spacing w:val="10"/>
                          <w:sz w:val="30"/>
                          <w:szCs w:val="30"/>
                        </w:rPr>
                      </w:pPr>
                      <w:r>
                        <w:rPr>
                          <w:color w:val="44546A" w:themeColor="text2"/>
                          <w:spacing w:val="10"/>
                          <w:sz w:val="30"/>
                          <w:szCs w:val="30"/>
                        </w:rPr>
                        <w:fldChar w:fldCharType="begin"/>
                      </w:r>
                      <w:r>
                        <w:rPr>
                          <w:color w:val="44546A" w:themeColor="text2"/>
                          <w:spacing w:val="10"/>
                          <w:sz w:val="30"/>
                          <w:szCs w:val="30"/>
                        </w:rPr>
                        <w:instrText xml:space="preserve"> PAGE   \* MERGEFORMAT </w:instrText>
                      </w:r>
                      <w:r>
                        <w:rPr>
                          <w:color w:val="44546A" w:themeColor="text2"/>
                          <w:spacing w:val="10"/>
                          <w:sz w:val="30"/>
                          <w:szCs w:val="30"/>
                        </w:rPr>
                        <w:fldChar w:fldCharType="separate"/>
                      </w:r>
                      <w:r>
                        <w:rPr>
                          <w:noProof/>
                          <w:color w:val="44546A" w:themeColor="text2"/>
                          <w:spacing w:val="10"/>
                          <w:sz w:val="30"/>
                          <w:szCs w:val="30"/>
                        </w:rPr>
                        <w:t>2</w:t>
                      </w:r>
                      <w:r>
                        <w:rPr>
                          <w:noProof/>
                          <w:color w:val="44546A" w:themeColor="text2"/>
                          <w:spacing w:val="10"/>
                          <w:sz w:val="30"/>
                          <w:szCs w:val="30"/>
                        </w:rPr>
                        <w:fldChar w:fldCharType="end"/>
                      </w:r>
                    </w:p>
                  </w:txbxContent>
                </v:textbox>
              </v:shape>
              <w10:wrap anchorx="page" anchory="page"/>
            </v:group>
          </w:pict>
        </mc:Fallback>
      </mc:AlternateContent>
    </w:r>
  </w:p>
  <w:p w14:paraId="37012DA6" w14:textId="77777777" w:rsidR="007C35BD" w:rsidRDefault="007C35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9068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FF8"/>
    <w:rsid w:val="000360BA"/>
    <w:rsid w:val="00042DE6"/>
    <w:rsid w:val="001073DE"/>
    <w:rsid w:val="00122163"/>
    <w:rsid w:val="001A3631"/>
    <w:rsid w:val="001B17BC"/>
    <w:rsid w:val="002E4B96"/>
    <w:rsid w:val="00347F40"/>
    <w:rsid w:val="0043589B"/>
    <w:rsid w:val="00440877"/>
    <w:rsid w:val="004640C0"/>
    <w:rsid w:val="00466B31"/>
    <w:rsid w:val="00637906"/>
    <w:rsid w:val="00661A0A"/>
    <w:rsid w:val="006630B6"/>
    <w:rsid w:val="006A2EE1"/>
    <w:rsid w:val="006E10FB"/>
    <w:rsid w:val="007C35BD"/>
    <w:rsid w:val="008E5024"/>
    <w:rsid w:val="009433F0"/>
    <w:rsid w:val="009B5BA2"/>
    <w:rsid w:val="009F622B"/>
    <w:rsid w:val="00A44A11"/>
    <w:rsid w:val="00A90729"/>
    <w:rsid w:val="00A93651"/>
    <w:rsid w:val="00AA6458"/>
    <w:rsid w:val="00AB122E"/>
    <w:rsid w:val="00B958B3"/>
    <w:rsid w:val="00C54FF8"/>
    <w:rsid w:val="00C61C45"/>
    <w:rsid w:val="00CD3067"/>
    <w:rsid w:val="00D1726F"/>
    <w:rsid w:val="00DC626E"/>
    <w:rsid w:val="00F03DCF"/>
    <w:rsid w:val="00F513B6"/>
    <w:rsid w:val="00F66C3E"/>
    <w:rsid w:val="00F87410"/>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262F"/>
  <w15:chartTrackingRefBased/>
  <w15:docId w15:val="{F1584E40-D5CD-4144-A6D6-8D0F568FF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0C0"/>
    <w:rPr>
      <w:iCs/>
      <w:sz w:val="21"/>
      <w:szCs w:val="21"/>
    </w:rPr>
  </w:style>
  <w:style w:type="paragraph" w:styleId="Heading1">
    <w:name w:val="heading 1"/>
    <w:basedOn w:val="Normal"/>
    <w:next w:val="Normal"/>
    <w:link w:val="Heading1Char"/>
    <w:uiPriority w:val="9"/>
    <w:qFormat/>
    <w:rsid w:val="004640C0"/>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semiHidden/>
    <w:unhideWhenUsed/>
    <w:qFormat/>
    <w:rsid w:val="007C35BD"/>
    <w:pPr>
      <w:spacing w:before="200" w:after="60"/>
      <w:contextualSpacing/>
      <w:outlineLvl w:val="1"/>
    </w:pPr>
    <w:rPr>
      <w:rFonts w:asciiTheme="majorHAnsi" w:eastAsiaTheme="majorEastAsia" w:hAnsiTheme="majorHAnsi" w:cstheme="majorBidi"/>
      <w:b/>
      <w:bCs/>
      <w:iCs w:val="0"/>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7C35BD"/>
    <w:pPr>
      <w:spacing w:before="200" w:after="100"/>
      <w:contextualSpacing/>
      <w:outlineLvl w:val="2"/>
    </w:pPr>
    <w:rPr>
      <w:rFonts w:asciiTheme="majorHAnsi" w:eastAsiaTheme="majorEastAsia" w:hAnsiTheme="majorHAnsi" w:cstheme="majorBidi"/>
      <w:b/>
      <w:bCs/>
      <w:iCs w:val="0"/>
      <w:smallCaps/>
      <w:color w:val="C45911" w:themeColor="accent2" w:themeShade="BF"/>
      <w:spacing w:val="24"/>
      <w:sz w:val="28"/>
    </w:rPr>
  </w:style>
  <w:style w:type="paragraph" w:styleId="Heading4">
    <w:name w:val="heading 4"/>
    <w:basedOn w:val="Normal"/>
    <w:next w:val="Normal"/>
    <w:link w:val="Heading4Char"/>
    <w:uiPriority w:val="9"/>
    <w:semiHidden/>
    <w:unhideWhenUsed/>
    <w:qFormat/>
    <w:rsid w:val="007C35BD"/>
    <w:pPr>
      <w:spacing w:before="200" w:after="100"/>
      <w:contextualSpacing/>
      <w:outlineLvl w:val="3"/>
    </w:pPr>
    <w:rPr>
      <w:rFonts w:asciiTheme="majorHAnsi" w:eastAsiaTheme="majorEastAsia" w:hAnsiTheme="majorHAnsi" w:cstheme="majorBidi"/>
      <w:b/>
      <w:bCs/>
      <w:iCs w:val="0"/>
      <w:color w:val="2F5496" w:themeColor="accent1" w:themeShade="BF"/>
      <w:sz w:val="24"/>
    </w:rPr>
  </w:style>
  <w:style w:type="paragraph" w:styleId="Heading5">
    <w:name w:val="heading 5"/>
    <w:basedOn w:val="Normal"/>
    <w:next w:val="Normal"/>
    <w:link w:val="Heading5Char"/>
    <w:uiPriority w:val="9"/>
    <w:semiHidden/>
    <w:unhideWhenUsed/>
    <w:qFormat/>
    <w:rsid w:val="007C35BD"/>
    <w:pPr>
      <w:spacing w:before="200" w:after="100"/>
      <w:contextualSpacing/>
      <w:outlineLvl w:val="4"/>
    </w:pPr>
    <w:rPr>
      <w:rFonts w:asciiTheme="majorHAnsi" w:eastAsiaTheme="majorEastAsia" w:hAnsiTheme="majorHAnsi" w:cstheme="majorBidi"/>
      <w:bCs/>
      <w:iCs w:val="0"/>
      <w:caps/>
      <w:color w:val="C45911" w:themeColor="accent2" w:themeShade="BF"/>
    </w:rPr>
  </w:style>
  <w:style w:type="paragraph" w:styleId="Heading6">
    <w:name w:val="heading 6"/>
    <w:basedOn w:val="Normal"/>
    <w:next w:val="Normal"/>
    <w:link w:val="Heading6Char"/>
    <w:uiPriority w:val="9"/>
    <w:semiHidden/>
    <w:unhideWhenUsed/>
    <w:qFormat/>
    <w:rsid w:val="007C35BD"/>
    <w:pPr>
      <w:spacing w:before="200" w:after="100"/>
      <w:contextualSpacing/>
      <w:outlineLvl w:val="5"/>
    </w:pPr>
    <w:rPr>
      <w:rFonts w:asciiTheme="majorHAnsi" w:eastAsiaTheme="majorEastAsia" w:hAnsiTheme="majorHAnsi" w:cstheme="majorBidi"/>
      <w:iCs w:val="0"/>
      <w:color w:val="2F5496" w:themeColor="accent1" w:themeShade="BF"/>
    </w:rPr>
  </w:style>
  <w:style w:type="paragraph" w:styleId="Heading7">
    <w:name w:val="heading 7"/>
    <w:basedOn w:val="Normal"/>
    <w:next w:val="Normal"/>
    <w:link w:val="Heading7Char"/>
    <w:uiPriority w:val="9"/>
    <w:semiHidden/>
    <w:unhideWhenUsed/>
    <w:qFormat/>
    <w:rsid w:val="007C35BD"/>
    <w:pPr>
      <w:spacing w:before="200" w:after="100"/>
      <w:contextualSpacing/>
      <w:outlineLvl w:val="6"/>
    </w:pPr>
    <w:rPr>
      <w:rFonts w:asciiTheme="majorHAnsi" w:eastAsiaTheme="majorEastAsia" w:hAnsiTheme="majorHAnsi" w:cstheme="majorBidi"/>
      <w:iCs w:val="0"/>
      <w:color w:val="C45911" w:themeColor="accent2" w:themeShade="BF"/>
    </w:rPr>
  </w:style>
  <w:style w:type="paragraph" w:styleId="Heading8">
    <w:name w:val="heading 8"/>
    <w:basedOn w:val="Normal"/>
    <w:next w:val="Normal"/>
    <w:link w:val="Heading8Char"/>
    <w:uiPriority w:val="9"/>
    <w:semiHidden/>
    <w:unhideWhenUsed/>
    <w:qFormat/>
    <w:rsid w:val="007C35BD"/>
    <w:pPr>
      <w:spacing w:before="200" w:after="100"/>
      <w:contextualSpacing/>
      <w:outlineLvl w:val="7"/>
    </w:pPr>
    <w:rPr>
      <w:rFonts w:asciiTheme="majorHAnsi" w:eastAsiaTheme="majorEastAsia" w:hAnsiTheme="majorHAnsi" w:cstheme="majorBidi"/>
      <w:iCs w:val="0"/>
      <w:color w:val="4472C4" w:themeColor="accent1"/>
    </w:rPr>
  </w:style>
  <w:style w:type="paragraph" w:styleId="Heading9">
    <w:name w:val="heading 9"/>
    <w:basedOn w:val="Normal"/>
    <w:next w:val="Normal"/>
    <w:link w:val="Heading9Char"/>
    <w:uiPriority w:val="9"/>
    <w:semiHidden/>
    <w:unhideWhenUsed/>
    <w:qFormat/>
    <w:rsid w:val="007C35BD"/>
    <w:pPr>
      <w:spacing w:before="200" w:after="100"/>
      <w:contextualSpacing/>
      <w:outlineLvl w:val="8"/>
    </w:pPr>
    <w:rPr>
      <w:rFonts w:asciiTheme="majorHAnsi" w:eastAsiaTheme="majorEastAsia" w:hAnsiTheme="majorHAnsi" w:cstheme="majorBidi"/>
      <w:iCs w:val="0"/>
      <w:smallCaps/>
      <w:color w:val="ED7D31"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458"/>
    <w:rPr>
      <w:rFonts w:asciiTheme="majorHAnsi" w:hAnsiTheme="majorHAnsi"/>
      <w:iCs/>
      <w:color w:val="FFFFFF"/>
      <w:sz w:val="28"/>
      <w:szCs w:val="38"/>
      <w:shd w:val="clear" w:color="auto" w:fill="4472C4" w:themeFill="accent1"/>
    </w:rPr>
  </w:style>
  <w:style w:type="paragraph" w:styleId="Header">
    <w:name w:val="header"/>
    <w:basedOn w:val="Normal"/>
    <w:link w:val="HeaderChar"/>
    <w:uiPriority w:val="99"/>
    <w:unhideWhenUsed/>
    <w:rsid w:val="007C35BD"/>
    <w:pPr>
      <w:tabs>
        <w:tab w:val="center" w:pos="4680"/>
        <w:tab w:val="right" w:pos="9360"/>
      </w:tabs>
    </w:pPr>
  </w:style>
  <w:style w:type="character" w:customStyle="1" w:styleId="HeaderChar">
    <w:name w:val="Header Char"/>
    <w:basedOn w:val="DefaultParagraphFont"/>
    <w:link w:val="Header"/>
    <w:uiPriority w:val="99"/>
    <w:rsid w:val="007C35BD"/>
  </w:style>
  <w:style w:type="paragraph" w:styleId="Footer">
    <w:name w:val="footer"/>
    <w:basedOn w:val="Normal"/>
    <w:link w:val="FooterChar"/>
    <w:uiPriority w:val="99"/>
    <w:unhideWhenUsed/>
    <w:rsid w:val="007C35BD"/>
    <w:pPr>
      <w:tabs>
        <w:tab w:val="center" w:pos="4680"/>
        <w:tab w:val="right" w:pos="9360"/>
      </w:tabs>
    </w:pPr>
  </w:style>
  <w:style w:type="character" w:customStyle="1" w:styleId="FooterChar">
    <w:name w:val="Footer Char"/>
    <w:basedOn w:val="DefaultParagraphFont"/>
    <w:link w:val="Footer"/>
    <w:uiPriority w:val="99"/>
    <w:rsid w:val="007C35BD"/>
  </w:style>
  <w:style w:type="character" w:customStyle="1" w:styleId="Heading2Char">
    <w:name w:val="Heading 2 Char"/>
    <w:basedOn w:val="DefaultParagraphFont"/>
    <w:link w:val="Heading2"/>
    <w:uiPriority w:val="9"/>
    <w:semiHidden/>
    <w:rsid w:val="007C35BD"/>
    <w:rPr>
      <w:rFonts w:asciiTheme="majorHAnsi" w:eastAsiaTheme="majorEastAsia" w:hAnsiTheme="majorHAnsi" w:cstheme="majorBidi"/>
      <w:b/>
      <w:bCs/>
      <w:iCs/>
      <w:outline/>
      <w:color w:val="4472C4" w:themeColor="accent1"/>
      <w:kern w:val="0"/>
      <w:sz w:val="34"/>
      <w:szCs w:val="34"/>
      <w14:textOutline w14:w="9525" w14:cap="flat" w14:cmpd="sng" w14:algn="ctr">
        <w14:solidFill>
          <w14:schemeClr w14:val="accent1">
            <w14:lumMod w14:val="75000"/>
          </w14:schemeClr>
        </w14:solidFill>
        <w14:prstDash w14:val="solid"/>
        <w14:round/>
      </w14:textOutline>
      <w14:textFill>
        <w14:noFill/>
      </w14:textFill>
      <w14:ligatures w14:val="none"/>
    </w:rPr>
  </w:style>
  <w:style w:type="character" w:customStyle="1" w:styleId="Heading3Char">
    <w:name w:val="Heading 3 Char"/>
    <w:basedOn w:val="DefaultParagraphFont"/>
    <w:link w:val="Heading3"/>
    <w:uiPriority w:val="9"/>
    <w:semiHidden/>
    <w:rsid w:val="007C35BD"/>
    <w:rPr>
      <w:rFonts w:asciiTheme="majorHAnsi" w:eastAsiaTheme="majorEastAsia" w:hAnsiTheme="majorHAnsi" w:cstheme="majorBidi"/>
      <w:b/>
      <w:bCs/>
      <w:iCs/>
      <w:smallCaps/>
      <w:color w:val="C45911" w:themeColor="accent2" w:themeShade="BF"/>
      <w:spacing w:val="24"/>
      <w:kern w:val="0"/>
      <w:sz w:val="28"/>
      <w14:ligatures w14:val="none"/>
    </w:rPr>
  </w:style>
  <w:style w:type="character" w:customStyle="1" w:styleId="Heading4Char">
    <w:name w:val="Heading 4 Char"/>
    <w:basedOn w:val="DefaultParagraphFont"/>
    <w:link w:val="Heading4"/>
    <w:uiPriority w:val="9"/>
    <w:semiHidden/>
    <w:rsid w:val="007C35BD"/>
    <w:rPr>
      <w:rFonts w:asciiTheme="majorHAnsi" w:eastAsiaTheme="majorEastAsia" w:hAnsiTheme="majorHAnsi" w:cstheme="majorBidi"/>
      <w:b/>
      <w:bCs/>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7C35BD"/>
    <w:rPr>
      <w:rFonts w:asciiTheme="majorHAnsi" w:eastAsiaTheme="majorEastAsia" w:hAnsiTheme="majorHAnsi" w:cstheme="majorBidi"/>
      <w:bCs/>
      <w:iCs/>
      <w:caps/>
      <w:color w:val="C45911" w:themeColor="accent2" w:themeShade="BF"/>
      <w:kern w:val="0"/>
      <w14:ligatures w14:val="none"/>
    </w:rPr>
  </w:style>
  <w:style w:type="character" w:customStyle="1" w:styleId="Heading6Char">
    <w:name w:val="Heading 6 Char"/>
    <w:basedOn w:val="DefaultParagraphFont"/>
    <w:link w:val="Heading6"/>
    <w:uiPriority w:val="9"/>
    <w:semiHidden/>
    <w:rsid w:val="007C35BD"/>
    <w:rPr>
      <w:rFonts w:asciiTheme="majorHAnsi" w:eastAsiaTheme="majorEastAsia" w:hAnsiTheme="majorHAnsi" w:cstheme="majorBidi"/>
      <w:iCs/>
      <w:color w:val="2F5496" w:themeColor="accent1" w:themeShade="BF"/>
      <w:kern w:val="0"/>
      <w14:ligatures w14:val="none"/>
    </w:rPr>
  </w:style>
  <w:style w:type="character" w:customStyle="1" w:styleId="Heading7Char">
    <w:name w:val="Heading 7 Char"/>
    <w:basedOn w:val="DefaultParagraphFont"/>
    <w:link w:val="Heading7"/>
    <w:uiPriority w:val="9"/>
    <w:semiHidden/>
    <w:rsid w:val="007C35BD"/>
    <w:rPr>
      <w:rFonts w:asciiTheme="majorHAnsi" w:eastAsiaTheme="majorEastAsia" w:hAnsiTheme="majorHAnsi" w:cstheme="majorBidi"/>
      <w:iCs/>
      <w:color w:val="C45911" w:themeColor="accent2" w:themeShade="BF"/>
      <w:kern w:val="0"/>
      <w14:ligatures w14:val="none"/>
    </w:rPr>
  </w:style>
  <w:style w:type="character" w:customStyle="1" w:styleId="Heading8Char">
    <w:name w:val="Heading 8 Char"/>
    <w:basedOn w:val="DefaultParagraphFont"/>
    <w:link w:val="Heading8"/>
    <w:uiPriority w:val="9"/>
    <w:semiHidden/>
    <w:rsid w:val="007C35BD"/>
    <w:rPr>
      <w:rFonts w:asciiTheme="majorHAnsi" w:eastAsiaTheme="majorEastAsia" w:hAnsiTheme="majorHAnsi" w:cstheme="majorBidi"/>
      <w:iCs/>
      <w:color w:val="4472C4" w:themeColor="accent1"/>
      <w:kern w:val="0"/>
      <w14:ligatures w14:val="none"/>
    </w:rPr>
  </w:style>
  <w:style w:type="character" w:customStyle="1" w:styleId="Heading9Char">
    <w:name w:val="Heading 9 Char"/>
    <w:basedOn w:val="DefaultParagraphFont"/>
    <w:link w:val="Heading9"/>
    <w:uiPriority w:val="9"/>
    <w:semiHidden/>
    <w:rsid w:val="007C35BD"/>
    <w:rPr>
      <w:rFonts w:asciiTheme="majorHAnsi" w:eastAsiaTheme="majorEastAsia" w:hAnsiTheme="majorHAnsi" w:cstheme="majorBidi"/>
      <w:iCs/>
      <w:smallCaps/>
      <w:color w:val="ED7D31" w:themeColor="accent2"/>
      <w:kern w:val="0"/>
      <w:sz w:val="20"/>
      <w:szCs w:val="21"/>
      <w14:ligatures w14:val="none"/>
    </w:rPr>
  </w:style>
  <w:style w:type="paragraph" w:styleId="Title">
    <w:name w:val="Title"/>
    <w:basedOn w:val="Normal"/>
    <w:next w:val="Normal"/>
    <w:link w:val="TitleChar"/>
    <w:uiPriority w:val="10"/>
    <w:qFormat/>
    <w:rsid w:val="007C35BD"/>
    <w:pPr>
      <w:shd w:val="clear" w:color="auto" w:fill="FFFFFF" w:themeFill="background1"/>
      <w:spacing w:after="120"/>
    </w:pPr>
    <w:rPr>
      <w:rFonts w:asciiTheme="majorHAnsi" w:eastAsiaTheme="majorEastAsia" w:hAnsiTheme="majorHAnsi" w:cstheme="majorBidi"/>
      <w:b/>
      <w:iCs w:val="0"/>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7C35BD"/>
    <w:rPr>
      <w:rFonts w:asciiTheme="majorHAnsi" w:eastAsiaTheme="majorEastAsia" w:hAnsiTheme="majorHAnsi" w:cstheme="majorBidi"/>
      <w:b/>
      <w:iCs/>
      <w:color w:val="FFFFFF" w:themeColor="background1"/>
      <w:spacing w:val="10"/>
      <w:kern w:val="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14:ligatures w14:val="none"/>
    </w:rPr>
  </w:style>
  <w:style w:type="paragraph" w:styleId="Subtitle">
    <w:name w:val="Subtitle"/>
    <w:basedOn w:val="Normal"/>
    <w:next w:val="Normal"/>
    <w:link w:val="SubtitleChar"/>
    <w:uiPriority w:val="11"/>
    <w:qFormat/>
    <w:rsid w:val="007C35BD"/>
    <w:pPr>
      <w:spacing w:before="200" w:after="360"/>
    </w:pPr>
    <w:rPr>
      <w:rFonts w:asciiTheme="majorHAnsi" w:eastAsiaTheme="majorEastAsia" w:hAnsiTheme="majorHAnsi" w:cstheme="majorBidi"/>
      <w:iCs w:val="0"/>
      <w:color w:val="44546A" w:themeColor="text2"/>
      <w:spacing w:val="20"/>
      <w:sz w:val="24"/>
      <w:szCs w:val="24"/>
    </w:rPr>
  </w:style>
  <w:style w:type="character" w:customStyle="1" w:styleId="SubtitleChar">
    <w:name w:val="Subtitle Char"/>
    <w:basedOn w:val="DefaultParagraphFont"/>
    <w:link w:val="Subtitle"/>
    <w:uiPriority w:val="11"/>
    <w:rsid w:val="007C35BD"/>
    <w:rPr>
      <w:rFonts w:asciiTheme="majorHAnsi" w:eastAsiaTheme="majorEastAsia" w:hAnsiTheme="majorHAnsi" w:cstheme="majorBidi"/>
      <w:iCs/>
      <w:color w:val="44546A" w:themeColor="text2"/>
      <w:spacing w:val="20"/>
      <w:kern w:val="0"/>
      <w:sz w:val="24"/>
      <w:szCs w:val="24"/>
      <w14:ligatures w14:val="none"/>
    </w:rPr>
  </w:style>
  <w:style w:type="paragraph" w:styleId="Caption">
    <w:name w:val="caption"/>
    <w:basedOn w:val="Normal"/>
    <w:next w:val="Normal"/>
    <w:uiPriority w:val="35"/>
    <w:semiHidden/>
    <w:unhideWhenUsed/>
    <w:qFormat/>
    <w:rsid w:val="007C35BD"/>
    <w:rPr>
      <w:b/>
      <w:bCs/>
      <w:iCs w:val="0"/>
      <w:color w:val="C45911" w:themeColor="accent2" w:themeShade="BF"/>
      <w:sz w:val="18"/>
      <w:szCs w:val="18"/>
    </w:rPr>
  </w:style>
  <w:style w:type="character" w:styleId="Strong">
    <w:name w:val="Strong"/>
    <w:uiPriority w:val="22"/>
    <w:qFormat/>
    <w:rsid w:val="007C35BD"/>
    <w:rPr>
      <w:b/>
      <w:bCs/>
      <w:spacing w:val="0"/>
    </w:rPr>
  </w:style>
  <w:style w:type="character" w:styleId="Emphasis">
    <w:name w:val="Emphasis"/>
    <w:uiPriority w:val="20"/>
    <w:qFormat/>
    <w:rsid w:val="007C35BD"/>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NoSpacing">
    <w:name w:val="No Spacing"/>
    <w:basedOn w:val="Normal"/>
    <w:uiPriority w:val="1"/>
    <w:qFormat/>
    <w:rsid w:val="007C35BD"/>
    <w:rPr>
      <w:iCs w:val="0"/>
    </w:rPr>
  </w:style>
  <w:style w:type="paragraph" w:styleId="ListParagraph">
    <w:name w:val="List Paragraph"/>
    <w:basedOn w:val="Normal"/>
    <w:uiPriority w:val="34"/>
    <w:qFormat/>
    <w:rsid w:val="007C35BD"/>
    <w:pPr>
      <w:numPr>
        <w:numId w:val="1"/>
      </w:numPr>
      <w:contextualSpacing/>
    </w:pPr>
    <w:rPr>
      <w:iCs w:val="0"/>
    </w:rPr>
  </w:style>
  <w:style w:type="paragraph" w:styleId="Quote">
    <w:name w:val="Quote"/>
    <w:basedOn w:val="Normal"/>
    <w:next w:val="Normal"/>
    <w:link w:val="QuoteChar"/>
    <w:uiPriority w:val="29"/>
    <w:qFormat/>
    <w:rsid w:val="007C35BD"/>
    <w:rPr>
      <w:b/>
      <w:i/>
      <w:iCs w:val="0"/>
      <w:color w:val="ED7D31" w:themeColor="accent2"/>
      <w:sz w:val="24"/>
    </w:rPr>
  </w:style>
  <w:style w:type="character" w:customStyle="1" w:styleId="QuoteChar">
    <w:name w:val="Quote Char"/>
    <w:basedOn w:val="DefaultParagraphFont"/>
    <w:link w:val="Quote"/>
    <w:uiPriority w:val="29"/>
    <w:rsid w:val="007C35BD"/>
    <w:rPr>
      <w:b/>
      <w:i/>
      <w:iCs/>
      <w:color w:val="ED7D31" w:themeColor="accent2"/>
      <w:kern w:val="0"/>
      <w:sz w:val="24"/>
      <w:szCs w:val="21"/>
      <w14:ligatures w14:val="none"/>
    </w:rPr>
  </w:style>
  <w:style w:type="paragraph" w:styleId="IntenseQuote">
    <w:name w:val="Intense Quote"/>
    <w:basedOn w:val="Normal"/>
    <w:next w:val="Normal"/>
    <w:link w:val="IntenseQuoteChar"/>
    <w:uiPriority w:val="30"/>
    <w:qFormat/>
    <w:rsid w:val="007C35BD"/>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iCs w:val="0"/>
      <w:color w:val="ED7D31" w:themeColor="accent2"/>
      <w:sz w:val="20"/>
      <w:szCs w:val="20"/>
    </w:rPr>
  </w:style>
  <w:style w:type="character" w:customStyle="1" w:styleId="IntenseQuoteChar">
    <w:name w:val="Intense Quote Char"/>
    <w:basedOn w:val="DefaultParagraphFont"/>
    <w:link w:val="IntenseQuote"/>
    <w:uiPriority w:val="30"/>
    <w:rsid w:val="007C35BD"/>
    <w:rPr>
      <w:rFonts w:asciiTheme="majorHAnsi" w:eastAsiaTheme="majorEastAsia" w:hAnsiTheme="majorHAnsi" w:cstheme="majorBidi"/>
      <w:b/>
      <w:bCs/>
      <w:i/>
      <w:iCs/>
      <w:color w:val="ED7D31" w:themeColor="accent2"/>
      <w:kern w:val="0"/>
      <w:sz w:val="20"/>
      <w:szCs w:val="20"/>
      <w14:ligatures w14:val="none"/>
    </w:rPr>
  </w:style>
  <w:style w:type="character" w:styleId="SubtleEmphasis">
    <w:name w:val="Subtle Emphasis"/>
    <w:uiPriority w:val="19"/>
    <w:qFormat/>
    <w:rsid w:val="007C35BD"/>
    <w:rPr>
      <w:rFonts w:asciiTheme="majorHAnsi" w:eastAsiaTheme="majorEastAsia" w:hAnsiTheme="majorHAnsi" w:cstheme="majorBidi"/>
      <w:b/>
      <w:i/>
      <w:color w:val="4472C4" w:themeColor="accent1"/>
    </w:rPr>
  </w:style>
  <w:style w:type="character" w:styleId="IntenseEmphasis">
    <w:name w:val="Intense Emphasis"/>
    <w:uiPriority w:val="21"/>
    <w:qFormat/>
    <w:rsid w:val="007C35BD"/>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7C35BD"/>
    <w:rPr>
      <w:i/>
      <w:iCs/>
      <w:smallCaps/>
      <w:color w:val="ED7D31" w:themeColor="accent2"/>
      <w:u w:color="ED7D31" w:themeColor="accent2"/>
    </w:rPr>
  </w:style>
  <w:style w:type="character" w:styleId="IntenseReference">
    <w:name w:val="Intense Reference"/>
    <w:uiPriority w:val="32"/>
    <w:qFormat/>
    <w:rsid w:val="007C35BD"/>
    <w:rPr>
      <w:b/>
      <w:bCs/>
      <w:i/>
      <w:iCs/>
      <w:smallCaps/>
      <w:color w:val="ED7D31" w:themeColor="accent2"/>
      <w:u w:color="ED7D31" w:themeColor="accent2"/>
    </w:rPr>
  </w:style>
  <w:style w:type="character" w:styleId="BookTitle">
    <w:name w:val="Book Title"/>
    <w:uiPriority w:val="33"/>
    <w:qFormat/>
    <w:rsid w:val="007C35BD"/>
    <w:rPr>
      <w:rFonts w:asciiTheme="majorHAnsi" w:eastAsiaTheme="majorEastAsia" w:hAnsiTheme="majorHAnsi" w:cstheme="majorBidi"/>
      <w:b/>
      <w:bCs/>
      <w:smallCaps/>
      <w:color w:val="ED7D31" w:themeColor="accent2"/>
      <w:u w:val="single"/>
    </w:rPr>
  </w:style>
  <w:style w:type="paragraph" w:styleId="TOCHeading">
    <w:name w:val="TOC Heading"/>
    <w:basedOn w:val="Heading1"/>
    <w:next w:val="Normal"/>
    <w:uiPriority w:val="39"/>
    <w:unhideWhenUsed/>
    <w:qFormat/>
    <w:rsid w:val="007C35BD"/>
    <w:pPr>
      <w:outlineLvl w:val="9"/>
    </w:pPr>
    <w:rPr>
      <w:iCs w:val="0"/>
    </w:rPr>
  </w:style>
  <w:style w:type="paragraph" w:styleId="TOC1">
    <w:name w:val="toc 1"/>
    <w:basedOn w:val="Normal"/>
    <w:next w:val="Normal"/>
    <w:autoRedefine/>
    <w:uiPriority w:val="39"/>
    <w:unhideWhenUsed/>
    <w:rsid w:val="007C35BD"/>
    <w:pPr>
      <w:spacing w:before="120"/>
    </w:pPr>
    <w:rPr>
      <w:rFonts w:cstheme="minorHAnsi"/>
      <w:b/>
      <w:bCs/>
      <w:i/>
      <w:iCs w:val="0"/>
      <w:sz w:val="24"/>
      <w:szCs w:val="24"/>
    </w:rPr>
  </w:style>
  <w:style w:type="character" w:styleId="Hyperlink">
    <w:name w:val="Hyperlink"/>
    <w:basedOn w:val="DefaultParagraphFont"/>
    <w:uiPriority w:val="99"/>
    <w:unhideWhenUsed/>
    <w:rsid w:val="007C35BD"/>
    <w:rPr>
      <w:color w:val="0563C1" w:themeColor="hyperlink"/>
      <w:u w:val="single"/>
    </w:rPr>
  </w:style>
  <w:style w:type="paragraph" w:styleId="TOC2">
    <w:name w:val="toc 2"/>
    <w:basedOn w:val="Normal"/>
    <w:next w:val="Normal"/>
    <w:autoRedefine/>
    <w:uiPriority w:val="39"/>
    <w:semiHidden/>
    <w:unhideWhenUsed/>
    <w:rsid w:val="007C35BD"/>
    <w:pPr>
      <w:spacing w:before="120"/>
      <w:ind w:left="210"/>
    </w:pPr>
    <w:rPr>
      <w:rFonts w:cstheme="minorHAnsi"/>
      <w:b/>
      <w:bCs/>
    </w:rPr>
  </w:style>
  <w:style w:type="paragraph" w:styleId="TOC3">
    <w:name w:val="toc 3"/>
    <w:basedOn w:val="Normal"/>
    <w:next w:val="Normal"/>
    <w:autoRedefine/>
    <w:uiPriority w:val="39"/>
    <w:semiHidden/>
    <w:unhideWhenUsed/>
    <w:rsid w:val="007C35BD"/>
    <w:pPr>
      <w:ind w:left="420"/>
    </w:pPr>
    <w:rPr>
      <w:rFonts w:cstheme="minorHAnsi"/>
      <w:sz w:val="20"/>
      <w:szCs w:val="20"/>
    </w:rPr>
  </w:style>
  <w:style w:type="paragraph" w:styleId="TOC4">
    <w:name w:val="toc 4"/>
    <w:basedOn w:val="Normal"/>
    <w:next w:val="Normal"/>
    <w:autoRedefine/>
    <w:uiPriority w:val="39"/>
    <w:semiHidden/>
    <w:unhideWhenUsed/>
    <w:rsid w:val="007C35BD"/>
    <w:pPr>
      <w:ind w:left="630"/>
    </w:pPr>
    <w:rPr>
      <w:rFonts w:cstheme="minorHAnsi"/>
      <w:sz w:val="20"/>
      <w:szCs w:val="20"/>
    </w:rPr>
  </w:style>
  <w:style w:type="paragraph" w:styleId="TOC5">
    <w:name w:val="toc 5"/>
    <w:basedOn w:val="Normal"/>
    <w:next w:val="Normal"/>
    <w:autoRedefine/>
    <w:uiPriority w:val="39"/>
    <w:semiHidden/>
    <w:unhideWhenUsed/>
    <w:rsid w:val="007C35BD"/>
    <w:pPr>
      <w:ind w:left="840"/>
    </w:pPr>
    <w:rPr>
      <w:rFonts w:cstheme="minorHAnsi"/>
      <w:sz w:val="20"/>
      <w:szCs w:val="20"/>
    </w:rPr>
  </w:style>
  <w:style w:type="paragraph" w:styleId="TOC6">
    <w:name w:val="toc 6"/>
    <w:basedOn w:val="Normal"/>
    <w:next w:val="Normal"/>
    <w:autoRedefine/>
    <w:uiPriority w:val="39"/>
    <w:semiHidden/>
    <w:unhideWhenUsed/>
    <w:rsid w:val="007C35BD"/>
    <w:pPr>
      <w:ind w:left="1050"/>
    </w:pPr>
    <w:rPr>
      <w:rFonts w:cstheme="minorHAnsi"/>
      <w:sz w:val="20"/>
      <w:szCs w:val="20"/>
    </w:rPr>
  </w:style>
  <w:style w:type="paragraph" w:styleId="TOC7">
    <w:name w:val="toc 7"/>
    <w:basedOn w:val="Normal"/>
    <w:next w:val="Normal"/>
    <w:autoRedefine/>
    <w:uiPriority w:val="39"/>
    <w:semiHidden/>
    <w:unhideWhenUsed/>
    <w:rsid w:val="007C35BD"/>
    <w:pPr>
      <w:ind w:left="1260"/>
    </w:pPr>
    <w:rPr>
      <w:rFonts w:cstheme="minorHAnsi"/>
      <w:sz w:val="20"/>
      <w:szCs w:val="20"/>
    </w:rPr>
  </w:style>
  <w:style w:type="paragraph" w:styleId="TOC8">
    <w:name w:val="toc 8"/>
    <w:basedOn w:val="Normal"/>
    <w:next w:val="Normal"/>
    <w:autoRedefine/>
    <w:uiPriority w:val="39"/>
    <w:semiHidden/>
    <w:unhideWhenUsed/>
    <w:rsid w:val="007C35BD"/>
    <w:pPr>
      <w:ind w:left="1470"/>
    </w:pPr>
    <w:rPr>
      <w:rFonts w:cstheme="minorHAnsi"/>
      <w:sz w:val="20"/>
      <w:szCs w:val="20"/>
    </w:rPr>
  </w:style>
  <w:style w:type="paragraph" w:styleId="TOC9">
    <w:name w:val="toc 9"/>
    <w:basedOn w:val="Normal"/>
    <w:next w:val="Normal"/>
    <w:autoRedefine/>
    <w:uiPriority w:val="39"/>
    <w:semiHidden/>
    <w:unhideWhenUsed/>
    <w:rsid w:val="007C35BD"/>
    <w:pPr>
      <w:ind w:left="168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880AB-9EEA-9E45-AEE5-012DBF99F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1870</Words>
  <Characters>10665</Characters>
  <Application>Microsoft Office Word</Application>
  <DocSecurity>0</DocSecurity>
  <Lines>88</Lines>
  <Paragraphs>25</Paragraphs>
  <ScaleCrop>false</ScaleCrop>
  <Company/>
  <LinksUpToDate>false</LinksUpToDate>
  <CharactersWithSpaces>12510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Petrica Safca (2029360)</cp:lastModifiedBy>
  <cp:revision>3</cp:revision>
  <dcterms:created xsi:type="dcterms:W3CDTF">2023-08-15T20:13:00Z</dcterms:created>
  <dcterms:modified xsi:type="dcterms:W3CDTF">2023-08-25T14:29:00Z</dcterms:modified>
</cp:coreProperties>
</file>