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3C16F8C" w14:textId="77777777" w:rsidR="00E17DA6" w:rsidRPr="00161B5A" w:rsidRDefault="004B2198">
      <w:pPr>
        <w:spacing w:before="760" w:after="200"/>
        <w:jc w:val="center"/>
        <w:rPr>
          <w:rFonts w:cs="Arial"/>
          <w:lang w:val="en-GB"/>
        </w:rPr>
      </w:pPr>
      <w:r w:rsidRPr="00161B5A">
        <w:rPr>
          <w:rFonts w:cs="Arial"/>
          <w:b/>
          <w:lang w:val="en-GB"/>
        </w:rPr>
        <w:t>BSc (Hons) Health and Social Care</w:t>
      </w:r>
    </w:p>
    <w:p w14:paraId="3EE13D81" w14:textId="77777777" w:rsidR="00E17DA6" w:rsidRPr="00161B5A" w:rsidRDefault="004B2198">
      <w:pPr>
        <w:spacing w:before="400" w:after="200"/>
        <w:jc w:val="center"/>
        <w:rPr>
          <w:rFonts w:cs="Arial"/>
          <w:lang w:val="en-GB"/>
        </w:rPr>
      </w:pPr>
      <w:r w:rsidRPr="00161B5A">
        <w:rPr>
          <w:rFonts w:cs="Arial"/>
          <w:b/>
          <w:lang w:val="en-GB"/>
        </w:rPr>
        <w:t>BMHP6026</w:t>
      </w:r>
    </w:p>
    <w:p w14:paraId="62014A10" w14:textId="77777777" w:rsidR="00E17DA6" w:rsidRPr="00161B5A" w:rsidRDefault="004B2198">
      <w:pPr>
        <w:spacing w:after="200"/>
        <w:jc w:val="center"/>
        <w:rPr>
          <w:rFonts w:cs="Arial"/>
          <w:lang w:val="en-GB"/>
        </w:rPr>
      </w:pPr>
      <w:r w:rsidRPr="00161B5A">
        <w:rPr>
          <w:rFonts w:cs="Arial"/>
          <w:lang w:val="en-GB"/>
        </w:rPr>
        <w:t>Digital Transformation in the Health and Care Professions</w:t>
      </w:r>
    </w:p>
    <w:p w14:paraId="66833D99" w14:textId="246DB6DA" w:rsidR="00E17DA6" w:rsidRPr="00161B5A" w:rsidRDefault="001F77DF">
      <w:pPr>
        <w:spacing w:before="500" w:after="200"/>
        <w:jc w:val="center"/>
        <w:rPr>
          <w:rFonts w:cs="Arial"/>
          <w:lang w:val="en-GB"/>
        </w:rPr>
      </w:pPr>
      <w:r w:rsidRPr="00161B5A">
        <w:rPr>
          <w:rFonts w:cs="Arial"/>
          <w:b/>
          <w:lang w:val="en-GB"/>
        </w:rPr>
        <w:t>Part</w:t>
      </w:r>
      <w:r w:rsidR="004B2198" w:rsidRPr="00161B5A">
        <w:rPr>
          <w:rFonts w:cs="Arial"/>
          <w:b/>
          <w:lang w:val="en-GB"/>
        </w:rPr>
        <w:t xml:space="preserve"> 1: Written Report</w:t>
      </w:r>
    </w:p>
    <w:p w14:paraId="53DF051A" w14:textId="77777777" w:rsidR="00E17DA6" w:rsidRPr="00161B5A" w:rsidRDefault="004B2198">
      <w:pPr>
        <w:spacing w:before="400" w:after="600"/>
        <w:jc w:val="center"/>
        <w:rPr>
          <w:rFonts w:cs="Arial"/>
          <w:lang w:val="en-GB"/>
        </w:rPr>
      </w:pPr>
      <w:r w:rsidRPr="00161B5A">
        <w:rPr>
          <w:rFonts w:cs="Arial"/>
          <w:b/>
          <w:lang w:val="en-GB"/>
        </w:rPr>
        <w:t>FreeStyle Libre in NHS Diabetes Care in England:</w:t>
      </w:r>
      <w:r w:rsidRPr="00161B5A">
        <w:rPr>
          <w:rFonts w:cs="Arial"/>
          <w:b/>
          <w:lang w:val="en-GB"/>
        </w:rPr>
        <w:br/>
        <w:t>A Critical Evaluation of Digital Transformation</w:t>
      </w:r>
    </w:p>
    <w:p w14:paraId="2DD38D37" w14:textId="35745E97" w:rsidR="00E17DA6" w:rsidRPr="00161B5A" w:rsidRDefault="004B2198">
      <w:pPr>
        <w:spacing w:after="200"/>
        <w:jc w:val="center"/>
        <w:rPr>
          <w:rFonts w:cs="Arial"/>
          <w:lang w:val="en-GB"/>
        </w:rPr>
      </w:pPr>
      <w:r w:rsidRPr="00161B5A">
        <w:rPr>
          <w:rFonts w:cs="Arial"/>
          <w:lang w:val="en-GB"/>
        </w:rPr>
        <w:t>Student nam</w:t>
      </w:r>
      <w:r w:rsidR="001F77DF">
        <w:rPr>
          <w:rFonts w:cs="Arial"/>
          <w:lang w:val="en-GB"/>
        </w:rPr>
        <w:t>e: Aysha Hussain</w:t>
      </w:r>
      <w:r w:rsidRPr="00161B5A">
        <w:rPr>
          <w:rFonts w:cs="Arial"/>
          <w:lang w:val="en-GB"/>
        </w:rPr>
        <w:t xml:space="preserve"> </w:t>
      </w:r>
    </w:p>
    <w:p w14:paraId="27DD377F" w14:textId="5DA9F419" w:rsidR="00E17DA6" w:rsidRPr="00161B5A" w:rsidRDefault="004B2198">
      <w:pPr>
        <w:spacing w:after="200"/>
        <w:jc w:val="center"/>
        <w:rPr>
          <w:rFonts w:cs="Arial"/>
          <w:lang w:val="en-GB"/>
        </w:rPr>
      </w:pPr>
      <w:r w:rsidRPr="00161B5A">
        <w:rPr>
          <w:rFonts w:cs="Arial"/>
          <w:lang w:val="en-GB"/>
        </w:rPr>
        <w:t>Student numbe</w:t>
      </w:r>
      <w:r w:rsidR="001F77DF">
        <w:rPr>
          <w:rFonts w:cs="Arial"/>
          <w:lang w:val="en-GB"/>
        </w:rPr>
        <w:t>r:2319032</w:t>
      </w:r>
      <w:r w:rsidRPr="00161B5A">
        <w:rPr>
          <w:rFonts w:cs="Arial"/>
          <w:lang w:val="en-GB"/>
        </w:rPr>
        <w:t xml:space="preserve"> </w:t>
      </w:r>
    </w:p>
    <w:p w14:paraId="6CA6C5AC" w14:textId="77777777" w:rsidR="00E17DA6" w:rsidRPr="00161B5A" w:rsidRDefault="004B2198">
      <w:pPr>
        <w:spacing w:before="400" w:after="200"/>
        <w:jc w:val="center"/>
        <w:rPr>
          <w:rFonts w:cs="Arial"/>
          <w:lang w:val="en-GB"/>
        </w:rPr>
      </w:pPr>
      <w:r w:rsidRPr="00161B5A">
        <w:rPr>
          <w:rFonts w:cs="Arial"/>
          <w:lang w:val="en-GB"/>
        </w:rPr>
        <w:t>Submission deadline: 19 October 2026</w:t>
      </w:r>
    </w:p>
    <w:p w14:paraId="54FA3CB6" w14:textId="49642E6D" w:rsidR="00E17DA6" w:rsidRPr="00161B5A" w:rsidRDefault="004B2198">
      <w:pPr>
        <w:spacing w:before="300" w:after="200"/>
        <w:jc w:val="center"/>
        <w:rPr>
          <w:rFonts w:cs="Arial"/>
          <w:lang w:val="en-GB"/>
        </w:rPr>
      </w:pPr>
      <w:r w:rsidRPr="00161B5A">
        <w:rPr>
          <w:rFonts w:cs="Arial"/>
          <w:lang w:val="en-GB"/>
        </w:rPr>
        <w:t>Word count: 2,040</w:t>
      </w:r>
      <w:r w:rsidRPr="00161B5A">
        <w:rPr>
          <w:rFonts w:cs="Arial"/>
          <w:lang w:val="en-GB"/>
        </w:rPr>
        <w:br/>
        <w:t xml:space="preserve">(including section headings; excluding title page, </w:t>
      </w:r>
      <w:r w:rsidR="001F77DF" w:rsidRPr="00161B5A">
        <w:rPr>
          <w:rFonts w:cs="Arial"/>
          <w:lang w:val="en-GB"/>
        </w:rPr>
        <w:t>references,</w:t>
      </w:r>
      <w:r w:rsidRPr="00161B5A">
        <w:rPr>
          <w:rFonts w:cs="Arial"/>
          <w:lang w:val="en-GB"/>
        </w:rPr>
        <w:t xml:space="preserve"> and acknowledgement)</w:t>
      </w:r>
    </w:p>
    <w:p w14:paraId="1EF7FB3E" w14:textId="77777777" w:rsidR="00E17DA6" w:rsidRPr="00161B5A" w:rsidRDefault="00E17DA6">
      <w:pPr>
        <w:rPr>
          <w:rFonts w:cs="Arial"/>
          <w:lang w:val="en-GB"/>
        </w:rPr>
        <w:sectPr w:rsidR="00E17DA6" w:rsidRPr="00161B5A">
          <w:pgSz w:w="11909" w:h="16834"/>
          <w:pgMar w:top="1224" w:right="1296" w:bottom="1224" w:left="1296" w:header="720" w:footer="720" w:gutter="0"/>
          <w:cols w:space="720"/>
          <w:docGrid w:linePitch="360"/>
        </w:sectPr>
      </w:pPr>
    </w:p>
    <w:p w14:paraId="2A6E4D4B" w14:textId="77777777" w:rsidR="00E17DA6" w:rsidRPr="00161B5A" w:rsidRDefault="004B2198">
      <w:pPr>
        <w:pStyle w:val="Heading1"/>
        <w:rPr>
          <w:rFonts w:ascii="Arial" w:hAnsi="Arial" w:cs="Arial"/>
          <w:szCs w:val="22"/>
          <w:lang w:val="en-GB"/>
        </w:rPr>
      </w:pPr>
      <w:r w:rsidRPr="00161B5A">
        <w:rPr>
          <w:rFonts w:ascii="Arial" w:hAnsi="Arial" w:cs="Arial"/>
          <w:szCs w:val="22"/>
          <w:lang w:val="en-GB"/>
        </w:rPr>
        <w:lastRenderedPageBreak/>
        <w:t>1. Introduction</w:t>
      </w:r>
    </w:p>
    <w:p w14:paraId="513E0084" w14:textId="3A3DFF23" w:rsidR="00AB5EAD" w:rsidRPr="00161B5A" w:rsidRDefault="00AB5EAD" w:rsidP="00AB5EAD">
      <w:pPr>
        <w:rPr>
          <w:rFonts w:cs="Arial"/>
          <w:lang w:val="en-GB"/>
        </w:rPr>
      </w:pPr>
      <w:r w:rsidRPr="00161B5A">
        <w:rPr>
          <w:rFonts w:cs="Arial"/>
          <w:lang w:val="en-GB"/>
        </w:rPr>
        <w:t xml:space="preserve">Digital transformation </w:t>
      </w:r>
      <w:r w:rsidR="001F77DF" w:rsidRPr="00161B5A">
        <w:rPr>
          <w:rFonts w:cs="Arial"/>
          <w:lang w:val="en-GB"/>
        </w:rPr>
        <w:t>affects</w:t>
      </w:r>
      <w:r w:rsidRPr="00161B5A">
        <w:rPr>
          <w:rFonts w:cs="Arial"/>
          <w:lang w:val="en-GB"/>
        </w:rPr>
        <w:t xml:space="preserve"> the organisation of care, the experience of care and care itself. This report appraises the use of Abbott's FreeStyle Libre glucose monitoring system in diabetes services provided by the NHS in England (and wider UK evidence where applicable). In 2017, the device </w:t>
      </w:r>
      <w:bookmarkStart w:id="0" w:name="_Int_jJlztf26"/>
      <w:r w:rsidRPr="00161B5A">
        <w:rPr>
          <w:rFonts w:cs="Arial"/>
          <w:lang w:val="en-GB"/>
        </w:rPr>
        <w:t>was added</w:t>
      </w:r>
      <w:bookmarkEnd w:id="0"/>
      <w:r w:rsidRPr="00161B5A">
        <w:rPr>
          <w:rFonts w:cs="Arial"/>
          <w:lang w:val="en-GB"/>
        </w:rPr>
        <w:t xml:space="preserve"> to the NHS drug tariff, meaning that NHS implementation was within the 10-year time horizon of the assignment (Deshmukh et al., 2020). The focus is on type 1 diabetes, with findings by the different ages of adults and paediatric patients noted. The effectiveness of implementation </w:t>
      </w:r>
      <w:bookmarkStart w:id="1" w:name="_Int_Lpjz21UC"/>
      <w:r w:rsidRPr="00161B5A">
        <w:rPr>
          <w:rFonts w:cs="Arial"/>
          <w:lang w:val="en-GB"/>
        </w:rPr>
        <w:t>is evaluated</w:t>
      </w:r>
      <w:bookmarkEnd w:id="1"/>
      <w:r w:rsidRPr="00161B5A">
        <w:rPr>
          <w:rFonts w:cs="Arial"/>
          <w:lang w:val="en-GB"/>
        </w:rPr>
        <w:t xml:space="preserve"> by clinical benefits, incorporation into the practice, patient </w:t>
      </w:r>
      <w:r w:rsidR="00AE0CF3" w:rsidRPr="00161B5A">
        <w:rPr>
          <w:rFonts w:cs="Arial"/>
          <w:lang w:val="en-GB"/>
        </w:rPr>
        <w:t>satisfaction,</w:t>
      </w:r>
      <w:r w:rsidRPr="00161B5A">
        <w:rPr>
          <w:rFonts w:cs="Arial"/>
          <w:lang w:val="en-GB"/>
        </w:rPr>
        <w:t xml:space="preserve"> and patient access. The argument is that Libre </w:t>
      </w:r>
      <w:r w:rsidR="00AE0CF3" w:rsidRPr="00161B5A">
        <w:rPr>
          <w:rFonts w:cs="Arial"/>
          <w:lang w:val="en-GB"/>
        </w:rPr>
        <w:t>stands for</w:t>
      </w:r>
      <w:r w:rsidRPr="00161B5A">
        <w:rPr>
          <w:rFonts w:cs="Arial"/>
          <w:lang w:val="en-GB"/>
        </w:rPr>
        <w:t xml:space="preserve"> a meaningful transformation, but its benefits depend on education, workforce </w:t>
      </w:r>
      <w:r w:rsidR="00AE0CF3" w:rsidRPr="00161B5A">
        <w:rPr>
          <w:rFonts w:cs="Arial"/>
          <w:lang w:val="en-GB"/>
        </w:rPr>
        <w:t>capacity,</w:t>
      </w:r>
      <w:r w:rsidRPr="00161B5A">
        <w:rPr>
          <w:rFonts w:cs="Arial"/>
          <w:lang w:val="en-GB"/>
        </w:rPr>
        <w:t xml:space="preserve"> and accessible services rather than device provision alone.</w:t>
      </w:r>
    </w:p>
    <w:p w14:paraId="52A6A251" w14:textId="288D2AF1" w:rsidR="00AB5EAD" w:rsidRPr="00161B5A" w:rsidRDefault="00AB5EAD" w:rsidP="00AB5EAD">
      <w:pPr>
        <w:rPr>
          <w:rFonts w:cs="Arial"/>
          <w:b/>
          <w:bCs/>
          <w:lang w:val="en-GB"/>
        </w:rPr>
      </w:pPr>
      <w:r w:rsidRPr="00161B5A">
        <w:rPr>
          <w:rFonts w:cs="Arial"/>
          <w:b/>
          <w:bCs/>
        </w:rPr>
        <w:t>2. Innovation and Implementation</w:t>
      </w:r>
    </w:p>
    <w:p w14:paraId="5DADD983" w14:textId="131058FB" w:rsidR="00AB5EAD" w:rsidRPr="00161B5A" w:rsidRDefault="00AB5EAD" w:rsidP="00AB5EAD">
      <w:pPr>
        <w:rPr>
          <w:rFonts w:cs="Arial"/>
          <w:lang w:val="en-GB"/>
        </w:rPr>
      </w:pPr>
      <w:r w:rsidRPr="00161B5A">
        <w:rPr>
          <w:rFonts w:cs="Arial"/>
          <w:lang w:val="en-GB"/>
        </w:rPr>
        <w:t xml:space="preserve">Instead, Libre </w:t>
      </w:r>
      <w:r w:rsidR="00051A22" w:rsidRPr="00161B5A">
        <w:rPr>
          <w:rFonts w:cs="Arial"/>
          <w:lang w:val="en-GB"/>
        </w:rPr>
        <w:t>uses</w:t>
      </w:r>
      <w:r w:rsidRPr="00161B5A">
        <w:rPr>
          <w:rFonts w:cs="Arial"/>
          <w:lang w:val="en-GB"/>
        </w:rPr>
        <w:t xml:space="preserve"> a body-worn sensor that </w:t>
      </w:r>
      <w:r w:rsidR="00051A22" w:rsidRPr="00161B5A">
        <w:rPr>
          <w:rFonts w:cs="Arial"/>
          <w:lang w:val="en-GB"/>
        </w:rPr>
        <w:t>reaches</w:t>
      </w:r>
      <w:r w:rsidRPr="00161B5A">
        <w:rPr>
          <w:rFonts w:cs="Arial"/>
          <w:lang w:val="en-GB"/>
        </w:rPr>
        <w:t xml:space="preserve"> interstitial glucose measurement, offering a profile of more than simply individual “finger prick” reads. This </w:t>
      </w:r>
      <w:r w:rsidR="00051A22" w:rsidRPr="00161B5A">
        <w:rPr>
          <w:rFonts w:cs="Arial"/>
          <w:lang w:val="en-GB"/>
        </w:rPr>
        <w:t>first</w:t>
      </w:r>
      <w:r w:rsidRPr="00161B5A">
        <w:rPr>
          <w:rFonts w:cs="Arial"/>
          <w:lang w:val="en-GB"/>
        </w:rPr>
        <w:t xml:space="preserve"> system </w:t>
      </w:r>
      <w:bookmarkStart w:id="2" w:name="_Int_lKUxLxgu"/>
      <w:r w:rsidRPr="00161B5A">
        <w:rPr>
          <w:rFonts w:cs="Arial"/>
          <w:lang w:val="en-GB"/>
        </w:rPr>
        <w:t>was scanned</w:t>
      </w:r>
      <w:bookmarkEnd w:id="2"/>
      <w:r w:rsidRPr="00161B5A">
        <w:rPr>
          <w:rFonts w:cs="Arial"/>
          <w:lang w:val="en-GB"/>
        </w:rPr>
        <w:t xml:space="preserve"> with a reader or compatible smartphone, and Libre 2 introduced optional alarms for both high and low glucose levels (Kingsnorth et al., 2023). This report assesses these generations examined and the one or more generations of a product that have relied on that data-sharing pathway; the results of these generations are not necessarily transferable to later versions of the product. The innovation is </w:t>
      </w:r>
      <w:r w:rsidR="00051A22" w:rsidRPr="00161B5A">
        <w:rPr>
          <w:rFonts w:cs="Arial"/>
          <w:lang w:val="en-GB"/>
        </w:rPr>
        <w:t>made up</w:t>
      </w:r>
      <w:r w:rsidRPr="00161B5A">
        <w:rPr>
          <w:rFonts w:cs="Arial"/>
          <w:lang w:val="en-GB"/>
        </w:rPr>
        <w:t xml:space="preserve"> of both a physical gadget and digital information and adjusted clinical interaction.</w:t>
      </w:r>
    </w:p>
    <w:p w14:paraId="717E597E" w14:textId="33C12D78" w:rsidR="00AB5EAD" w:rsidRPr="00161B5A" w:rsidRDefault="00AB5EAD" w:rsidP="00AB5EAD">
      <w:pPr>
        <w:rPr>
          <w:rFonts w:cs="Arial"/>
          <w:lang w:val="en-GB"/>
        </w:rPr>
      </w:pPr>
      <w:r w:rsidRPr="00161B5A">
        <w:rPr>
          <w:rFonts w:cs="Arial"/>
          <w:lang w:val="en-GB"/>
        </w:rPr>
        <w:t xml:space="preserve">The national funding in England from April 2019 aimed to tackle geographical variation for eligible patients (NHS England, 2019). Later, NICE's new guidance endorsed provision of real-time and intermittently scanned continuous glucose monitoring as </w:t>
      </w:r>
      <w:r w:rsidR="00051A22" w:rsidRPr="00161B5A">
        <w:rPr>
          <w:rFonts w:cs="Arial"/>
          <w:lang w:val="en-GB"/>
        </w:rPr>
        <w:t>a way</w:t>
      </w:r>
      <w:r w:rsidRPr="00161B5A">
        <w:rPr>
          <w:rFonts w:cs="Arial"/>
          <w:lang w:val="en-GB"/>
        </w:rPr>
        <w:t xml:space="preserve"> for adults with type 1 diabetes based on an individual's needs and preferences (NICE, 2022). Implementation thus moved forward </w:t>
      </w:r>
      <w:r w:rsidR="00051A22" w:rsidRPr="00161B5A">
        <w:rPr>
          <w:rFonts w:cs="Arial"/>
          <w:lang w:val="en-GB"/>
        </w:rPr>
        <w:t>like</w:t>
      </w:r>
      <w:r w:rsidRPr="00161B5A">
        <w:rPr>
          <w:rFonts w:cs="Arial"/>
          <w:lang w:val="en-GB"/>
        </w:rPr>
        <w:t xml:space="preserve"> commissions, eligibility judgements, prescribing, patient </w:t>
      </w:r>
      <w:r w:rsidR="00051A22" w:rsidRPr="00161B5A">
        <w:rPr>
          <w:rFonts w:cs="Arial"/>
          <w:lang w:val="en-GB"/>
        </w:rPr>
        <w:t>education,</w:t>
      </w:r>
      <w:r w:rsidRPr="00161B5A">
        <w:rPr>
          <w:rFonts w:cs="Arial"/>
          <w:lang w:val="en-GB"/>
        </w:rPr>
        <w:t xml:space="preserve"> and consistent review. National endorsement </w:t>
      </w:r>
      <w:bookmarkStart w:id="3" w:name="_Int_YPr8K6rH"/>
      <w:r w:rsidRPr="00161B5A">
        <w:rPr>
          <w:rFonts w:cs="Arial"/>
          <w:lang w:val="en-GB"/>
        </w:rPr>
        <w:t xml:space="preserve">was </w:t>
      </w:r>
      <w:r w:rsidR="00051A22" w:rsidRPr="00161B5A">
        <w:rPr>
          <w:rFonts w:cs="Arial"/>
          <w:lang w:val="en-GB"/>
        </w:rPr>
        <w:t>needed</w:t>
      </w:r>
      <w:bookmarkEnd w:id="3"/>
      <w:r w:rsidRPr="00161B5A">
        <w:rPr>
          <w:rFonts w:cs="Arial"/>
          <w:lang w:val="en-GB"/>
        </w:rPr>
        <w:t xml:space="preserve"> for adoption, with local services needing to make the technology operational.</w:t>
      </w:r>
    </w:p>
    <w:p w14:paraId="173C2DFD" w14:textId="260903BB" w:rsidR="00AB5EAD" w:rsidRPr="00161B5A" w:rsidRDefault="00AB5EAD" w:rsidP="00AB5EAD">
      <w:pPr>
        <w:rPr>
          <w:rFonts w:cs="Arial"/>
          <w:lang w:val="en-GB"/>
        </w:rPr>
      </w:pPr>
      <w:r w:rsidRPr="00161B5A">
        <w:rPr>
          <w:rFonts w:cs="Arial"/>
          <w:lang w:val="en-GB"/>
        </w:rPr>
        <w:t xml:space="preserve">Normalisation Process Theory (NPT) describes the work to getter innovations endemic, in terms of coherence/cognitive participation/collective action and reflexive monitoring (May and Finch, 2009). At this point employees and patients need to get familiar with the purpose for Libre, agree to use it, embed interpretation within their clinical </w:t>
      </w:r>
      <w:r w:rsidR="00051A22" w:rsidRPr="00161B5A">
        <w:rPr>
          <w:rFonts w:cs="Arial"/>
          <w:lang w:val="en-GB"/>
        </w:rPr>
        <w:t>practice,</w:t>
      </w:r>
      <w:r w:rsidRPr="00161B5A">
        <w:rPr>
          <w:rFonts w:cs="Arial"/>
          <w:lang w:val="en-GB"/>
        </w:rPr>
        <w:t xml:space="preserve"> and evaluate the efficacy of using Libre. This framework focuses on continuing organisational efforts. But this does not provide clinical effectiveness or give a good sense of the effectiveness of unequal access; trial evidence and population evidence </w:t>
      </w:r>
      <w:bookmarkStart w:id="4" w:name="_Int_eRxNeID8"/>
      <w:r w:rsidRPr="00161B5A">
        <w:rPr>
          <w:rFonts w:cs="Arial"/>
          <w:lang w:val="en-GB"/>
        </w:rPr>
        <w:t xml:space="preserve">are </w:t>
      </w:r>
      <w:r w:rsidR="00051A22" w:rsidRPr="00161B5A">
        <w:rPr>
          <w:rFonts w:cs="Arial"/>
          <w:lang w:val="en-GB"/>
        </w:rPr>
        <w:t>needed</w:t>
      </w:r>
      <w:bookmarkEnd w:id="4"/>
      <w:r w:rsidRPr="00161B5A">
        <w:rPr>
          <w:rFonts w:cs="Arial"/>
          <w:lang w:val="en-GB"/>
        </w:rPr>
        <w:t>.</w:t>
      </w:r>
    </w:p>
    <w:p w14:paraId="7ABCF615" w14:textId="44F883B8" w:rsidR="00AB5EAD" w:rsidRPr="00161B5A" w:rsidRDefault="00AB5EAD" w:rsidP="00AB5EAD">
      <w:pPr>
        <w:rPr>
          <w:rFonts w:cs="Arial"/>
          <w:b/>
          <w:bCs/>
          <w:lang w:val="en-GB"/>
        </w:rPr>
      </w:pPr>
      <w:r w:rsidRPr="00161B5A">
        <w:rPr>
          <w:rFonts w:cs="Arial"/>
          <w:b/>
          <w:bCs/>
          <w:lang w:val="en-GB"/>
        </w:rPr>
        <w:t>3. Workforce: Roles, Competence and Workload</w:t>
      </w:r>
    </w:p>
    <w:p w14:paraId="3E398628" w14:textId="0465783A" w:rsidR="00AB5EAD" w:rsidRPr="00161B5A" w:rsidRDefault="00AB5EAD" w:rsidP="00AB5EAD">
      <w:pPr>
        <w:rPr>
          <w:rFonts w:cs="Arial"/>
          <w:lang w:val="en-GB"/>
        </w:rPr>
      </w:pPr>
      <w:r w:rsidRPr="00161B5A">
        <w:rPr>
          <w:rFonts w:cs="Arial"/>
          <w:lang w:val="en-GB"/>
        </w:rPr>
        <w:lastRenderedPageBreak/>
        <w:t xml:space="preserve">Libre moves the emphasis from letting people remember to check infrequently for glucose values to patterns and decision making between check ups. Diabetes specialist nurses, </w:t>
      </w:r>
      <w:r w:rsidR="00051A22" w:rsidRPr="00161B5A">
        <w:rPr>
          <w:rFonts w:cs="Arial"/>
          <w:lang w:val="en-GB"/>
        </w:rPr>
        <w:t>dietitian,</w:t>
      </w:r>
      <w:r w:rsidRPr="00161B5A">
        <w:rPr>
          <w:rFonts w:cs="Arial"/>
          <w:lang w:val="en-GB"/>
        </w:rPr>
        <w:t xml:space="preserve"> and doctor must be appropriately skilled to interpret clinically significant patterns, rather than individual readings. Beasant et al (2023) spoke with 34 young people to understand their parents' and professionals' perspectives of enthusiasm for more individualised support and challenge of processing more information, in South-West England. While goodwill efforts by professionals </w:t>
      </w:r>
      <w:r w:rsidR="00DA3328" w:rsidRPr="00161B5A">
        <w:rPr>
          <w:rFonts w:cs="Arial"/>
          <w:lang w:val="en-GB"/>
        </w:rPr>
        <w:t>helped</w:t>
      </w:r>
      <w:r w:rsidRPr="00161B5A">
        <w:rPr>
          <w:rFonts w:cs="Arial"/>
          <w:lang w:val="en-GB"/>
        </w:rPr>
        <w:t xml:space="preserve"> integration, protected time cannot </w:t>
      </w:r>
      <w:bookmarkStart w:id="5" w:name="_Int_BzOX9ZKR"/>
      <w:r w:rsidRPr="00161B5A">
        <w:rPr>
          <w:rFonts w:cs="Arial"/>
          <w:lang w:val="en-GB"/>
        </w:rPr>
        <w:t>be replaced</w:t>
      </w:r>
      <w:bookmarkEnd w:id="5"/>
      <w:r w:rsidRPr="00161B5A">
        <w:rPr>
          <w:rFonts w:cs="Arial"/>
          <w:lang w:val="en-GB"/>
        </w:rPr>
        <w:t>.</w:t>
      </w:r>
    </w:p>
    <w:p w14:paraId="3FDC7031" w14:textId="4E19F438" w:rsidR="00AB5EAD" w:rsidRPr="00161B5A" w:rsidRDefault="00AB5EAD" w:rsidP="00AB5EAD">
      <w:pPr>
        <w:rPr>
          <w:rFonts w:cs="Arial"/>
          <w:lang w:val="en-GB"/>
        </w:rPr>
      </w:pPr>
      <w:r w:rsidRPr="00161B5A">
        <w:rPr>
          <w:rFonts w:cs="Arial"/>
          <w:lang w:val="en-GB"/>
        </w:rPr>
        <w:t xml:space="preserve">Richardson et al. (2026) created a national competency framework which incorporates awareness, competence, </w:t>
      </w:r>
      <w:r w:rsidR="00095C36" w:rsidRPr="00161B5A">
        <w:rPr>
          <w:rFonts w:cs="Arial"/>
          <w:lang w:val="en-GB"/>
        </w:rPr>
        <w:t>ability,</w:t>
      </w:r>
      <w:r w:rsidRPr="00161B5A">
        <w:rPr>
          <w:rFonts w:cs="Arial"/>
          <w:lang w:val="en-GB"/>
        </w:rPr>
        <w:t xml:space="preserve"> and leadership in fields of diabetes technologies such as glucose monitoring. This provides a tangible platform to link training to roles that general staff need recognition and escalation </w:t>
      </w:r>
      <w:r w:rsidR="00095C36" w:rsidRPr="00161B5A">
        <w:rPr>
          <w:rFonts w:cs="Arial"/>
          <w:lang w:val="en-GB"/>
        </w:rPr>
        <w:t>skills,</w:t>
      </w:r>
      <w:r w:rsidRPr="00161B5A">
        <w:rPr>
          <w:rFonts w:cs="Arial"/>
          <w:lang w:val="en-GB"/>
        </w:rPr>
        <w:t xml:space="preserve"> and specialist practitioners need heightened interpretation and decision-making skills. The </w:t>
      </w:r>
      <w:r w:rsidR="00095C36" w:rsidRPr="00161B5A">
        <w:rPr>
          <w:rFonts w:cs="Arial"/>
          <w:lang w:val="en-GB"/>
        </w:rPr>
        <w:t>framework,</w:t>
      </w:r>
      <w:r w:rsidRPr="00161B5A">
        <w:rPr>
          <w:rFonts w:cs="Arial"/>
          <w:lang w:val="en-GB"/>
        </w:rPr>
        <w:t xml:space="preserve"> however, is a consensus development and is not evidence of improvements that would come with adoption. Competence should </w:t>
      </w:r>
      <w:bookmarkStart w:id="6" w:name="_Int_s1jtd8wp"/>
      <w:r w:rsidRPr="00161B5A">
        <w:rPr>
          <w:rFonts w:cs="Arial"/>
          <w:lang w:val="en-GB"/>
        </w:rPr>
        <w:t>be judged</w:t>
      </w:r>
      <w:bookmarkEnd w:id="6"/>
      <w:r w:rsidRPr="00161B5A">
        <w:rPr>
          <w:rFonts w:cs="Arial"/>
          <w:lang w:val="en-GB"/>
        </w:rPr>
        <w:t xml:space="preserve"> on services and not on attendance at training.</w:t>
      </w:r>
    </w:p>
    <w:p w14:paraId="06C8E278" w14:textId="0601152A" w:rsidR="00AB5EAD" w:rsidRPr="00161B5A" w:rsidRDefault="00AB5EAD" w:rsidP="00AB5EAD">
      <w:pPr>
        <w:rPr>
          <w:rFonts w:cs="Arial"/>
          <w:lang w:val="en-GB"/>
        </w:rPr>
      </w:pPr>
      <w:r w:rsidRPr="00161B5A">
        <w:rPr>
          <w:rFonts w:cs="Arial"/>
          <w:lang w:val="en-GB"/>
        </w:rPr>
        <w:t xml:space="preserve">NICE (2022) </w:t>
      </w:r>
      <w:r w:rsidR="00095C36" w:rsidRPr="00161B5A">
        <w:rPr>
          <w:rFonts w:cs="Arial"/>
          <w:lang w:val="en-GB"/>
        </w:rPr>
        <w:t>informs</w:t>
      </w:r>
      <w:r w:rsidRPr="00161B5A">
        <w:rPr>
          <w:rFonts w:cs="Arial"/>
          <w:lang w:val="en-GB"/>
        </w:rPr>
        <w:t xml:space="preserve"> the introduction of glucose monitoring in structured education, and the maintaining of access to capillary testing. Staff therefore need to educate people as to the limitations of sensor data and its benefits. Implementation: supervised practice, clear escalation </w:t>
      </w:r>
      <w:r w:rsidR="00095C36" w:rsidRPr="00161B5A">
        <w:rPr>
          <w:rFonts w:cs="Arial"/>
          <w:lang w:val="en-GB"/>
        </w:rPr>
        <w:t>lines,</w:t>
      </w:r>
      <w:r w:rsidRPr="00161B5A">
        <w:rPr>
          <w:rFonts w:cs="Arial"/>
          <w:lang w:val="en-GB"/>
        </w:rPr>
        <w:t xml:space="preserve"> and easy troubleshooting. These requirements are an increase in clinical work, even if the manual recording </w:t>
      </w:r>
      <w:bookmarkStart w:id="7" w:name="_Int_Uoj0BQLH"/>
      <w:r w:rsidRPr="00161B5A">
        <w:rPr>
          <w:rFonts w:cs="Arial"/>
          <w:lang w:val="en-GB"/>
        </w:rPr>
        <w:t>is reduced</w:t>
      </w:r>
      <w:bookmarkEnd w:id="7"/>
      <w:r w:rsidRPr="00161B5A">
        <w:rPr>
          <w:rFonts w:cs="Arial"/>
          <w:lang w:val="en-GB"/>
        </w:rPr>
        <w:t>.</w:t>
      </w:r>
    </w:p>
    <w:p w14:paraId="63A4C0D3" w14:textId="71CA3935" w:rsidR="00AB5EAD" w:rsidRPr="00161B5A" w:rsidRDefault="00AB5EAD" w:rsidP="00AB5EAD">
      <w:pPr>
        <w:rPr>
          <w:rFonts w:cs="Arial"/>
          <w:lang w:val="en-GB"/>
        </w:rPr>
      </w:pPr>
      <w:r w:rsidRPr="00161B5A">
        <w:rPr>
          <w:rFonts w:cs="Arial"/>
          <w:lang w:val="en-GB"/>
        </w:rPr>
        <w:t xml:space="preserve">The one crucial organisational implication is that of responsibility for uploaded information. A service should make explicit, who accesses data and how often, as well as how often and how patients can get urgent help. Otherwise, patients may see the data and assuming that data is available means that the doctor is constantly </w:t>
      </w:r>
      <w:r w:rsidR="00095C36" w:rsidRPr="00161B5A">
        <w:rPr>
          <w:rFonts w:cs="Arial"/>
          <w:lang w:val="en-GB"/>
        </w:rPr>
        <w:t>watching</w:t>
      </w:r>
      <w:r w:rsidRPr="00161B5A">
        <w:rPr>
          <w:rFonts w:cs="Arial"/>
          <w:lang w:val="en-GB"/>
        </w:rPr>
        <w:t xml:space="preserve"> them. According to the Normalisation Process Theory (NPT), for collective action there needs to </w:t>
      </w:r>
      <w:bookmarkStart w:id="8" w:name="_Int_VZCrOMXt"/>
      <w:r w:rsidRPr="00161B5A">
        <w:rPr>
          <w:rFonts w:cs="Arial"/>
          <w:lang w:val="en-GB"/>
        </w:rPr>
        <w:t>be agreed</w:t>
      </w:r>
      <w:bookmarkEnd w:id="8"/>
      <w:r w:rsidRPr="00161B5A">
        <w:rPr>
          <w:rFonts w:cs="Arial"/>
          <w:lang w:val="en-GB"/>
        </w:rPr>
        <w:t xml:space="preserve"> responsibilities and resources, and reflexive monitoring involves checks for workload and safety. Although the difference between the installation and ongoing processes of care use can </w:t>
      </w:r>
      <w:bookmarkStart w:id="9" w:name="_Int_g3JuVyAo"/>
      <w:r w:rsidRPr="00161B5A">
        <w:rPr>
          <w:rFonts w:cs="Arial"/>
          <w:lang w:val="en-GB"/>
        </w:rPr>
        <w:t>be seen</w:t>
      </w:r>
      <w:bookmarkEnd w:id="9"/>
      <w:r w:rsidRPr="00161B5A">
        <w:rPr>
          <w:rFonts w:cs="Arial"/>
          <w:lang w:val="en-GB"/>
        </w:rPr>
        <w:t xml:space="preserve"> as useful as part of the framework.</w:t>
      </w:r>
    </w:p>
    <w:p w14:paraId="42865770" w14:textId="055424F8" w:rsidR="00AB5EAD" w:rsidRPr="00161B5A" w:rsidRDefault="00AB5EAD" w:rsidP="00AB5EAD">
      <w:pPr>
        <w:rPr>
          <w:rFonts w:cs="Arial"/>
          <w:lang w:val="en-GB"/>
        </w:rPr>
      </w:pPr>
      <w:r w:rsidRPr="00161B5A">
        <w:rPr>
          <w:rFonts w:cs="Arial"/>
          <w:lang w:val="en-GB"/>
        </w:rPr>
        <w:t xml:space="preserve">Role redesign needs to </w:t>
      </w:r>
      <w:bookmarkStart w:id="10" w:name="_Int_yewZJZ8h"/>
      <w:r w:rsidRPr="00161B5A">
        <w:rPr>
          <w:rFonts w:cs="Arial"/>
          <w:lang w:val="en-GB"/>
        </w:rPr>
        <w:t>be carried</w:t>
      </w:r>
      <w:bookmarkEnd w:id="10"/>
      <w:r w:rsidRPr="00161B5A">
        <w:rPr>
          <w:rFonts w:cs="Arial"/>
          <w:lang w:val="en-GB"/>
        </w:rPr>
        <w:t xml:space="preserve"> out from one specialist team to the other, along with GP/Community providers. For </w:t>
      </w:r>
      <w:r w:rsidR="00095C36" w:rsidRPr="00161B5A">
        <w:rPr>
          <w:rFonts w:cs="Arial"/>
          <w:lang w:val="en-GB"/>
        </w:rPr>
        <w:t>instance,</w:t>
      </w:r>
      <w:r w:rsidRPr="00161B5A">
        <w:rPr>
          <w:rFonts w:cs="Arial"/>
          <w:lang w:val="en-GB"/>
        </w:rPr>
        <w:t xml:space="preserve"> a person who calls up a GP with a query in relation to an unfamiliar sensor reading should </w:t>
      </w:r>
      <w:bookmarkStart w:id="11" w:name="_Int_GqOsTudA"/>
      <w:r w:rsidRPr="00161B5A">
        <w:rPr>
          <w:rFonts w:cs="Arial"/>
          <w:lang w:val="en-GB"/>
        </w:rPr>
        <w:t>be provided</w:t>
      </w:r>
      <w:bookmarkEnd w:id="11"/>
      <w:r w:rsidRPr="00161B5A">
        <w:rPr>
          <w:rFonts w:cs="Arial"/>
          <w:lang w:val="en-GB"/>
        </w:rPr>
        <w:t xml:space="preserve"> a clear pathway to the right advice. Documentation and handover responsibilities should </w:t>
      </w:r>
      <w:bookmarkStart w:id="12" w:name="_Int_0VEOGq1S"/>
      <w:r w:rsidRPr="00161B5A">
        <w:rPr>
          <w:rFonts w:cs="Arial"/>
          <w:lang w:val="en-GB"/>
        </w:rPr>
        <w:t xml:space="preserve">be </w:t>
      </w:r>
      <w:r w:rsidR="00095C36" w:rsidRPr="00161B5A">
        <w:rPr>
          <w:rFonts w:cs="Arial"/>
          <w:lang w:val="en-GB"/>
        </w:rPr>
        <w:t>showed</w:t>
      </w:r>
      <w:bookmarkEnd w:id="12"/>
      <w:r w:rsidRPr="00161B5A">
        <w:rPr>
          <w:rFonts w:cs="Arial"/>
          <w:lang w:val="en-GB"/>
        </w:rPr>
        <w:t xml:space="preserve"> in a proposed local protocol which differentiates technical issues from clinical deterioration. This helps prevent technology skills from being a one-eccentric's job. It is also sensitive to the overall continuity of care for which staff with limited experience of the device are responsible. The plans should </w:t>
      </w:r>
      <w:bookmarkStart w:id="13" w:name="_Int_EMcICm8A"/>
      <w:r w:rsidRPr="00161B5A">
        <w:rPr>
          <w:rFonts w:cs="Arial"/>
          <w:lang w:val="en-GB"/>
        </w:rPr>
        <w:t>be reviewed</w:t>
      </w:r>
      <w:bookmarkEnd w:id="13"/>
      <w:r w:rsidRPr="00161B5A">
        <w:rPr>
          <w:rFonts w:cs="Arial"/>
          <w:lang w:val="en-GB"/>
        </w:rPr>
        <w:t xml:space="preserve"> at regular intervals with the service users and staff.</w:t>
      </w:r>
    </w:p>
    <w:p w14:paraId="36D53609" w14:textId="2917E30F" w:rsidR="00AB5EAD" w:rsidRPr="00161B5A" w:rsidRDefault="00AB5EAD" w:rsidP="00AB5EAD">
      <w:pPr>
        <w:rPr>
          <w:rFonts w:cs="Arial"/>
          <w:b/>
          <w:bCs/>
          <w:lang w:val="en-GB"/>
        </w:rPr>
      </w:pPr>
      <w:r w:rsidRPr="00161B5A">
        <w:rPr>
          <w:rFonts w:cs="Arial"/>
          <w:b/>
          <w:bCs/>
          <w:lang w:val="en-GB"/>
        </w:rPr>
        <w:t xml:space="preserve">4. Service Delivery: Effectiveness, </w:t>
      </w:r>
      <w:r w:rsidR="00095C36" w:rsidRPr="00161B5A">
        <w:rPr>
          <w:rFonts w:cs="Arial"/>
          <w:b/>
          <w:bCs/>
          <w:lang w:val="en-GB"/>
        </w:rPr>
        <w:t>Access,</w:t>
      </w:r>
      <w:r w:rsidRPr="00161B5A">
        <w:rPr>
          <w:rFonts w:cs="Arial"/>
          <w:b/>
          <w:bCs/>
          <w:lang w:val="en-GB"/>
        </w:rPr>
        <w:t xml:space="preserve"> and Resources</w:t>
      </w:r>
    </w:p>
    <w:p w14:paraId="48E629CE" w14:textId="6642E5A5" w:rsidR="00AB5EAD" w:rsidRPr="00161B5A" w:rsidRDefault="00AB5EAD" w:rsidP="00AB5EAD">
      <w:pPr>
        <w:rPr>
          <w:rFonts w:cs="Arial"/>
          <w:lang w:val="en-GB"/>
        </w:rPr>
      </w:pPr>
      <w:r w:rsidRPr="00161B5A">
        <w:rPr>
          <w:rFonts w:cs="Arial"/>
          <w:lang w:val="en-GB"/>
        </w:rPr>
        <w:lastRenderedPageBreak/>
        <w:t xml:space="preserve">FLASH-UK is the strongest randomised trial which provides causal evidence. In the context of large studies in adult participants with T1D, Libre 2 resulted in an adjusted HbA1c difference of −0.5 percentage points as compared to finger-prick monitoring at 24 weeks (95% confidence interval −0.7 to −0.3) (Leelarathna et al., 2022). This helps is better glucose control for the population studied. However, the short follow up and restricted eligibility are limitations that must </w:t>
      </w:r>
      <w:bookmarkStart w:id="14" w:name="_Int_GUGMCxMV"/>
      <w:r w:rsidRPr="00161B5A">
        <w:rPr>
          <w:rFonts w:cs="Arial"/>
          <w:lang w:val="en-GB"/>
        </w:rPr>
        <w:t>be considered</w:t>
      </w:r>
      <w:bookmarkEnd w:id="14"/>
      <w:r w:rsidRPr="00161B5A">
        <w:rPr>
          <w:rFonts w:cs="Arial"/>
          <w:lang w:val="en-GB"/>
        </w:rPr>
        <w:t xml:space="preserve"> when interpreting conclusions for lifetime complication and for all patients of the NHS. Randomisation can fortify the causal interpretation without providing any </w:t>
      </w:r>
      <w:r w:rsidR="007A6400" w:rsidRPr="00161B5A">
        <w:rPr>
          <w:rFonts w:cs="Arial"/>
          <w:lang w:val="en-GB"/>
        </w:rPr>
        <w:t>sign</w:t>
      </w:r>
      <w:r w:rsidRPr="00161B5A">
        <w:rPr>
          <w:rFonts w:cs="Arial"/>
          <w:lang w:val="en-GB"/>
        </w:rPr>
        <w:t xml:space="preserve"> of sustainability of regular use. Evidence also can come from routine care to add breadth. Deshmukh et al (2020) did a survey of 102 NHS hospitals and 10,370 users. In 3182 people for whom paired HbA1c data were available, there was a median 7.5-month reduction in level of 5.2 mmol/mol. This shows evidence of implementation across different services and the lack of a follow-up/selection/and lack of a randomisation reduces the strength of causal attribution. Some improvements may </w:t>
      </w:r>
      <w:r w:rsidR="000D471A" w:rsidRPr="00161B5A">
        <w:rPr>
          <w:rFonts w:cs="Arial"/>
          <w:lang w:val="en-GB"/>
        </w:rPr>
        <w:t>stand for</w:t>
      </w:r>
      <w:r w:rsidRPr="00161B5A">
        <w:rPr>
          <w:rFonts w:cs="Arial"/>
          <w:lang w:val="en-GB"/>
        </w:rPr>
        <w:t xml:space="preserve"> other education or increased involvement. </w:t>
      </w:r>
    </w:p>
    <w:p w14:paraId="35B8BA04" w14:textId="1EB14F81" w:rsidR="00AB5EAD" w:rsidRPr="00161B5A" w:rsidRDefault="00AB5EAD" w:rsidP="00AB5EAD">
      <w:pPr>
        <w:rPr>
          <w:rFonts w:cs="Arial"/>
          <w:lang w:val="en-GB"/>
        </w:rPr>
      </w:pPr>
      <w:r w:rsidRPr="00161B5A">
        <w:rPr>
          <w:rFonts w:cs="Arial"/>
          <w:lang w:val="en-GB"/>
        </w:rPr>
        <w:t xml:space="preserve">Delivery can be more flexible, everyday. In a Leicester study there was no significant variation in glucose outcomes between face-to-face versus online initiation of 935 users. (Kingsnorth et al., 2023) But having that amount of data to upload meant that those who were less able to cope with the technology </w:t>
      </w:r>
      <w:bookmarkStart w:id="15" w:name="_Int_OreptmOk"/>
      <w:r w:rsidRPr="00161B5A">
        <w:rPr>
          <w:rFonts w:cs="Arial"/>
          <w:lang w:val="en-GB"/>
        </w:rPr>
        <w:t>were not included</w:t>
      </w:r>
      <w:bookmarkEnd w:id="15"/>
      <w:r w:rsidRPr="00161B5A">
        <w:rPr>
          <w:rFonts w:cs="Arial"/>
          <w:lang w:val="en-GB"/>
        </w:rPr>
        <w:t>. The results support the provision of remote education, but not to the detriment of each and all in-person support. Blended pathway can minimise unnecessary travels without compromising assessment/</w:t>
      </w:r>
      <w:r w:rsidR="003226F1" w:rsidRPr="00161B5A">
        <w:rPr>
          <w:rFonts w:cs="Arial"/>
          <w:lang w:val="en-GB"/>
        </w:rPr>
        <w:t>help</w:t>
      </w:r>
      <w:r w:rsidRPr="00161B5A">
        <w:rPr>
          <w:rFonts w:cs="Arial"/>
          <w:lang w:val="en-GB"/>
        </w:rPr>
        <w:t xml:space="preserve"> for those who need it. Cost-effectiveness versus immediate savings must </w:t>
      </w:r>
      <w:bookmarkStart w:id="16" w:name="_Int_vqtJxxFR"/>
      <w:r w:rsidRPr="00161B5A">
        <w:rPr>
          <w:rFonts w:cs="Arial"/>
          <w:lang w:val="en-GB"/>
        </w:rPr>
        <w:t>be separated</w:t>
      </w:r>
      <w:bookmarkEnd w:id="16"/>
      <w:r w:rsidRPr="00161B5A">
        <w:rPr>
          <w:rFonts w:cs="Arial"/>
          <w:lang w:val="en-GB"/>
        </w:rPr>
        <w:t xml:space="preserve"> for evaluation to be financial. </w:t>
      </w:r>
      <w:r w:rsidR="003226F1" w:rsidRPr="00161B5A">
        <w:rPr>
          <w:rFonts w:cs="Arial"/>
          <w:lang w:val="en-GB"/>
        </w:rPr>
        <w:t>Other</w:t>
      </w:r>
      <w:r w:rsidRPr="00161B5A">
        <w:rPr>
          <w:rFonts w:cs="Arial"/>
          <w:lang w:val="en-GB"/>
        </w:rPr>
        <w:t xml:space="preserve"> cost per participant during FLASH-UK </w:t>
      </w:r>
      <w:bookmarkStart w:id="17" w:name="_Int_fzoXc53g"/>
      <w:r w:rsidRPr="00161B5A">
        <w:rPr>
          <w:rFonts w:cs="Arial"/>
          <w:lang w:val="en-GB"/>
        </w:rPr>
        <w:t>was reported</w:t>
      </w:r>
      <w:bookmarkEnd w:id="17"/>
      <w:r w:rsidRPr="00161B5A">
        <w:rPr>
          <w:rFonts w:cs="Arial"/>
          <w:lang w:val="en-GB"/>
        </w:rPr>
        <w:t xml:space="preserve"> by Elliott et al. (2024) at £548 per participant (after adjustments). That </w:t>
      </w:r>
      <w:bookmarkStart w:id="18" w:name="_Int_xlMZTVkl"/>
      <w:r w:rsidRPr="00161B5A">
        <w:rPr>
          <w:rFonts w:cs="Arial"/>
          <w:lang w:val="en-GB"/>
        </w:rPr>
        <w:t>was estimated</w:t>
      </w:r>
      <w:bookmarkEnd w:id="18"/>
      <w:r w:rsidRPr="00161B5A">
        <w:rPr>
          <w:rFonts w:cs="Arial"/>
          <w:lang w:val="en-GB"/>
        </w:rPr>
        <w:t xml:space="preserve"> at £4,477 per QALY gained; </w:t>
      </w:r>
      <w:r w:rsidR="003226F1" w:rsidRPr="00161B5A">
        <w:rPr>
          <w:rFonts w:cs="Arial"/>
          <w:lang w:val="en-GB"/>
        </w:rPr>
        <w:t>if</w:t>
      </w:r>
      <w:r w:rsidRPr="00161B5A">
        <w:rPr>
          <w:rFonts w:cs="Arial"/>
          <w:lang w:val="en-GB"/>
        </w:rPr>
        <w:t xml:space="preserve"> benefits last this is likely to remain cost-effective. These are projections rather than actual(s) life savings. Funding by the commission is still necessary to </w:t>
      </w:r>
      <w:r w:rsidR="003226F1" w:rsidRPr="00161B5A">
        <w:rPr>
          <w:rFonts w:cs="Arial"/>
          <w:lang w:val="en-GB"/>
        </w:rPr>
        <w:t>get</w:t>
      </w:r>
      <w:r w:rsidRPr="00161B5A">
        <w:rPr>
          <w:rFonts w:cs="Arial"/>
          <w:lang w:val="en-GB"/>
        </w:rPr>
        <w:t xml:space="preserve"> sensors and the services </w:t>
      </w:r>
      <w:r w:rsidR="003226F1" w:rsidRPr="00161B5A">
        <w:rPr>
          <w:rFonts w:cs="Arial"/>
          <w:lang w:val="en-GB"/>
        </w:rPr>
        <w:t>needed</w:t>
      </w:r>
      <w:r w:rsidRPr="00161B5A">
        <w:rPr>
          <w:rFonts w:cs="Arial"/>
          <w:lang w:val="en-GB"/>
        </w:rPr>
        <w:t xml:space="preserve"> to provide a gain in </w:t>
      </w:r>
      <w:r w:rsidR="003226F1" w:rsidRPr="00161B5A">
        <w:rPr>
          <w:rFonts w:cs="Arial"/>
          <w:lang w:val="en-GB"/>
        </w:rPr>
        <w:t>predicted</w:t>
      </w:r>
      <w:r w:rsidRPr="00161B5A">
        <w:rPr>
          <w:rFonts w:cs="Arial"/>
          <w:lang w:val="en-GB"/>
        </w:rPr>
        <w:t xml:space="preserve"> benefits.</w:t>
      </w:r>
    </w:p>
    <w:p w14:paraId="3FABAAFC" w14:textId="5D53D88B" w:rsidR="00AB5EAD" w:rsidRPr="00161B5A" w:rsidRDefault="00AB5EAD" w:rsidP="00AB5EAD">
      <w:pPr>
        <w:rPr>
          <w:rFonts w:cs="Arial"/>
          <w:lang w:val="en-GB"/>
        </w:rPr>
      </w:pPr>
      <w:r w:rsidRPr="00161B5A">
        <w:rPr>
          <w:rFonts w:cs="Arial"/>
          <w:lang w:val="en-GB"/>
        </w:rPr>
        <w:t xml:space="preserve">The same also holds true for the evidence by age and device generation. Kandiyali et al. (2023) conducted a pre- and post-test comparison of 114 paediatric flash-monitor users and 80 controls from NHS clinics. The improvement was not enough to meet their criterion for clinical significance and the costs went up. Although this </w:t>
      </w:r>
      <w:r w:rsidR="0036597B" w:rsidRPr="00161B5A">
        <w:rPr>
          <w:rFonts w:cs="Arial"/>
          <w:lang w:val="en-GB"/>
        </w:rPr>
        <w:t>first-generation</w:t>
      </w:r>
      <w:r w:rsidRPr="00161B5A">
        <w:rPr>
          <w:rFonts w:cs="Arial"/>
          <w:lang w:val="en-GB"/>
        </w:rPr>
        <w:t xml:space="preserve"> evidence will not affect the validity of the trial with the adult version of the Libre 2, it warns against assuming data is translatable amongst populations and devices. An </w:t>
      </w:r>
      <w:r w:rsidR="0036597B" w:rsidRPr="00161B5A">
        <w:rPr>
          <w:rFonts w:cs="Arial"/>
          <w:lang w:val="en-GB"/>
        </w:rPr>
        <w:t>added</w:t>
      </w:r>
      <w:r w:rsidRPr="00161B5A">
        <w:rPr>
          <w:rFonts w:cs="Arial"/>
          <w:lang w:val="en-GB"/>
        </w:rPr>
        <w:t xml:space="preserve"> evaluative issue is the comparator. There is no guarantee that if a test with a finger prick is </w:t>
      </w:r>
      <w:r w:rsidR="0036597B" w:rsidRPr="00161B5A">
        <w:rPr>
          <w:rFonts w:cs="Arial"/>
          <w:lang w:val="en-GB"/>
        </w:rPr>
        <w:t>helpful</w:t>
      </w:r>
      <w:r w:rsidRPr="00161B5A">
        <w:rPr>
          <w:rFonts w:cs="Arial"/>
          <w:lang w:val="en-GB"/>
        </w:rPr>
        <w:t xml:space="preserve">, an alternative sensor will be. Similarly, less contacts with the hospital would not necessarily </w:t>
      </w:r>
      <w:r w:rsidR="0036597B" w:rsidRPr="00161B5A">
        <w:rPr>
          <w:rFonts w:cs="Arial"/>
          <w:lang w:val="en-GB"/>
        </w:rPr>
        <w:t>stand for</w:t>
      </w:r>
      <w:r w:rsidRPr="00161B5A">
        <w:rPr>
          <w:rFonts w:cs="Arial"/>
          <w:lang w:val="en-GB"/>
        </w:rPr>
        <w:t xml:space="preserve"> better care with the inability to consult. When evaluating look at why the need to change the activity </w:t>
      </w:r>
      <w:bookmarkStart w:id="19" w:name="_Int_tssfFQyl"/>
      <w:r w:rsidRPr="00161B5A">
        <w:rPr>
          <w:rFonts w:cs="Arial"/>
          <w:lang w:val="en-GB"/>
        </w:rPr>
        <w:t>was felt</w:t>
      </w:r>
      <w:bookmarkEnd w:id="19"/>
      <w:r w:rsidRPr="00161B5A">
        <w:rPr>
          <w:rFonts w:cs="Arial"/>
          <w:lang w:val="en-GB"/>
        </w:rPr>
        <w:t xml:space="preserve"> and consider outcome data in conjunction with patient and staff reports – </w:t>
      </w:r>
      <w:r w:rsidR="0036597B" w:rsidRPr="00161B5A">
        <w:rPr>
          <w:rFonts w:cs="Arial"/>
          <w:lang w:val="en-GB"/>
        </w:rPr>
        <w:t>do not</w:t>
      </w:r>
      <w:r w:rsidRPr="00161B5A">
        <w:rPr>
          <w:rFonts w:cs="Arial"/>
          <w:lang w:val="en-GB"/>
        </w:rPr>
        <w:t xml:space="preserve"> assume that less contact means more effective.</w:t>
      </w:r>
    </w:p>
    <w:p w14:paraId="37CB562C" w14:textId="160329D7" w:rsidR="00AB5EAD" w:rsidRPr="00161B5A" w:rsidRDefault="00AB5EAD" w:rsidP="00AB5EAD">
      <w:pPr>
        <w:rPr>
          <w:rFonts w:cs="Arial"/>
          <w:b/>
          <w:bCs/>
          <w:lang w:val="en-GB"/>
        </w:rPr>
      </w:pPr>
      <w:r w:rsidRPr="00161B5A">
        <w:rPr>
          <w:rFonts w:cs="Arial"/>
          <w:b/>
          <w:bCs/>
          <w:lang w:val="en-GB"/>
        </w:rPr>
        <w:t>5. Patients and Service Users: Experience and Safety</w:t>
      </w:r>
    </w:p>
    <w:p w14:paraId="0EB59A8C" w14:textId="77777777" w:rsidR="00AB5EAD" w:rsidRPr="00161B5A" w:rsidRDefault="00AB5EAD" w:rsidP="00AB5EAD">
      <w:pPr>
        <w:rPr>
          <w:rFonts w:cs="Arial"/>
          <w:lang w:val="en-GB"/>
        </w:rPr>
      </w:pPr>
      <w:r w:rsidRPr="00161B5A">
        <w:rPr>
          <w:rFonts w:cs="Arial"/>
          <w:lang w:val="en-GB"/>
        </w:rPr>
        <w:lastRenderedPageBreak/>
        <w:t>Whether people find diabetes management less intrusive is the value of Libre. Beasant et al. (2023) reported greater confidence and independence among young users and reassurance for parents. But minorities ethnic experience were under-represented and recruitment from one region is not transferable. Qualitative results do not provide an assessment of how widespread the experience of benefit may be across the country.</w:t>
      </w:r>
    </w:p>
    <w:p w14:paraId="67F6A80D" w14:textId="5D6C0FA2" w:rsidR="00AB5EAD" w:rsidRPr="00161B5A" w:rsidRDefault="00AB5EAD" w:rsidP="00AB5EAD">
      <w:pPr>
        <w:rPr>
          <w:rFonts w:cs="Arial"/>
          <w:lang w:val="en-GB"/>
        </w:rPr>
      </w:pPr>
      <w:r w:rsidRPr="00161B5A">
        <w:rPr>
          <w:rFonts w:cs="Arial"/>
          <w:lang w:val="en-GB"/>
        </w:rPr>
        <w:t xml:space="preserve">In addition, benefits in the psychological area must </w:t>
      </w:r>
      <w:bookmarkStart w:id="20" w:name="_Int_0wUzRzcB"/>
      <w:r w:rsidRPr="00161B5A">
        <w:rPr>
          <w:rFonts w:cs="Arial"/>
          <w:lang w:val="en-GB"/>
        </w:rPr>
        <w:t>be interpreted</w:t>
      </w:r>
      <w:bookmarkEnd w:id="20"/>
      <w:r w:rsidRPr="00161B5A">
        <w:rPr>
          <w:rFonts w:cs="Arial"/>
          <w:lang w:val="en-GB"/>
        </w:rPr>
        <w:t xml:space="preserve"> carefully. Deshmukh et al. (2021) linked reductions in diabetes-related distress with decreases in hypoglycaemia awareness and HbA1c, in a national audit. These associations are not proof that the device alone brought about behavioural improvement. Leesarathna et al. (2022) </w:t>
      </w:r>
      <w:r w:rsidR="001D34FB" w:rsidRPr="00161B5A">
        <w:rPr>
          <w:rFonts w:cs="Arial"/>
          <w:lang w:val="en-GB"/>
        </w:rPr>
        <w:t>showed</w:t>
      </w:r>
      <w:r w:rsidRPr="00161B5A">
        <w:rPr>
          <w:rFonts w:cs="Arial"/>
          <w:lang w:val="en-GB"/>
        </w:rPr>
        <w:t xml:space="preserve"> better treatment satisfaction (FLASH-UK) as well as the absence of meaningful intervention effects when using </w:t>
      </w:r>
      <w:r w:rsidR="001D34FB" w:rsidRPr="00161B5A">
        <w:rPr>
          <w:rFonts w:cs="Arial"/>
          <w:lang w:val="en-GB"/>
        </w:rPr>
        <w:t>a few</w:t>
      </w:r>
      <w:r w:rsidRPr="00161B5A">
        <w:rPr>
          <w:rFonts w:cs="Arial"/>
          <w:lang w:val="en-GB"/>
        </w:rPr>
        <w:t xml:space="preserve"> other psychological measures. Therefore, satisfaction, reduction in distress and improvement of glucose control should </w:t>
      </w:r>
      <w:bookmarkStart w:id="21" w:name="_Int_906EqLIN"/>
      <w:r w:rsidRPr="00161B5A">
        <w:rPr>
          <w:rFonts w:cs="Arial"/>
          <w:lang w:val="en-GB"/>
        </w:rPr>
        <w:t>be measured</w:t>
      </w:r>
      <w:bookmarkEnd w:id="21"/>
      <w:r w:rsidRPr="00161B5A">
        <w:rPr>
          <w:rFonts w:cs="Arial"/>
          <w:lang w:val="en-GB"/>
        </w:rPr>
        <w:t xml:space="preserve"> separately.</w:t>
      </w:r>
    </w:p>
    <w:p w14:paraId="7C99E797" w14:textId="270F9D88" w:rsidR="00AB5EAD" w:rsidRPr="00161B5A" w:rsidRDefault="00AB5EAD" w:rsidP="00AB5EAD">
      <w:pPr>
        <w:rPr>
          <w:rFonts w:cs="Arial"/>
          <w:lang w:val="en-GB"/>
        </w:rPr>
      </w:pPr>
      <w:r w:rsidRPr="00161B5A">
        <w:rPr>
          <w:rFonts w:cs="Arial"/>
          <w:lang w:val="en-GB"/>
        </w:rPr>
        <w:t xml:space="preserve">Choice is to </w:t>
      </w:r>
      <w:bookmarkStart w:id="22" w:name="_Int_KWxy8nO0"/>
      <w:r w:rsidRPr="00161B5A">
        <w:rPr>
          <w:rFonts w:cs="Arial"/>
          <w:lang w:val="en-GB"/>
        </w:rPr>
        <w:t>be kept</w:t>
      </w:r>
      <w:bookmarkEnd w:id="22"/>
      <w:r w:rsidRPr="00161B5A">
        <w:rPr>
          <w:rFonts w:cs="Arial"/>
          <w:lang w:val="en-GB"/>
        </w:rPr>
        <w:t xml:space="preserve"> within the implementation which is patient centred. NICE (2022) recommends that individuals who use sensors should also </w:t>
      </w:r>
      <w:r w:rsidR="001656F9" w:rsidRPr="00161B5A">
        <w:rPr>
          <w:rFonts w:cs="Arial"/>
          <w:lang w:val="en-GB"/>
        </w:rPr>
        <w:t>could</w:t>
      </w:r>
      <w:r w:rsidRPr="00161B5A">
        <w:rPr>
          <w:rFonts w:cs="Arial"/>
          <w:lang w:val="en-GB"/>
        </w:rPr>
        <w:t xml:space="preserve"> perform capillary measurements in certain cases. The concept of a sensor should hence not replace the concept of an infallible </w:t>
      </w:r>
      <w:r w:rsidR="001656F9" w:rsidRPr="00161B5A">
        <w:rPr>
          <w:rFonts w:cs="Arial"/>
          <w:lang w:val="en-GB"/>
        </w:rPr>
        <w:t>reading but</w:t>
      </w:r>
      <w:r w:rsidRPr="00161B5A">
        <w:rPr>
          <w:rFonts w:cs="Arial"/>
          <w:lang w:val="en-GB"/>
        </w:rPr>
        <w:t xml:space="preserve"> instead promote informed self-management. The practical application is to </w:t>
      </w:r>
      <w:r w:rsidR="001656F9" w:rsidRPr="00161B5A">
        <w:rPr>
          <w:rFonts w:cs="Arial"/>
          <w:lang w:val="en-GB"/>
        </w:rPr>
        <w:t>show</w:t>
      </w:r>
      <w:r w:rsidRPr="00161B5A">
        <w:rPr>
          <w:rFonts w:cs="Arial"/>
          <w:lang w:val="en-GB"/>
        </w:rPr>
        <w:t xml:space="preserve"> and explain understanding; to set up backup monitoring plan and to review without making the checks a affair of the users.</w:t>
      </w:r>
    </w:p>
    <w:p w14:paraId="37568923" w14:textId="2EBF40FD" w:rsidR="00AB5EAD" w:rsidRPr="00161B5A" w:rsidRDefault="00AB5EAD" w:rsidP="00AB5EAD">
      <w:pPr>
        <w:rPr>
          <w:rFonts w:cs="Arial"/>
          <w:lang w:val="en-GB"/>
        </w:rPr>
      </w:pPr>
      <w:r w:rsidRPr="00161B5A">
        <w:rPr>
          <w:rFonts w:cs="Arial"/>
          <w:lang w:val="en-GB"/>
        </w:rPr>
        <w:t xml:space="preserve">To produce more information vs. to enhance an individual's life is also a moral difference. A clinician may feel wanting more measurements the treatment is more effective; while for the patient it is simply another demand. There is a need to ask about comfort, </w:t>
      </w:r>
      <w:r w:rsidR="001656F9" w:rsidRPr="00161B5A">
        <w:rPr>
          <w:rFonts w:cs="Arial"/>
          <w:lang w:val="en-GB"/>
        </w:rPr>
        <w:t>disruption,</w:t>
      </w:r>
      <w:r w:rsidRPr="00161B5A">
        <w:rPr>
          <w:rFonts w:cs="Arial"/>
          <w:lang w:val="en-GB"/>
        </w:rPr>
        <w:t xml:space="preserve"> and confidence on a </w:t>
      </w:r>
      <w:r w:rsidR="001656F9" w:rsidRPr="00161B5A">
        <w:rPr>
          <w:rFonts w:cs="Arial"/>
          <w:lang w:val="en-GB"/>
        </w:rPr>
        <w:t>day-to-day</w:t>
      </w:r>
      <w:r w:rsidRPr="00161B5A">
        <w:rPr>
          <w:rFonts w:cs="Arial"/>
          <w:lang w:val="en-GB"/>
        </w:rPr>
        <w:t xml:space="preserve"> basis, and not just rely on uploaded data as a measure of success. If the person does not agree to use the technology or stops using it, it should lead to a review of their preferences and barriers to ensure they receive support. The following </w:t>
      </w:r>
      <w:bookmarkStart w:id="23" w:name="_Int_jqr0Sd2Y"/>
      <w:r w:rsidRPr="00161B5A">
        <w:rPr>
          <w:rFonts w:cs="Arial"/>
          <w:lang w:val="en-GB"/>
        </w:rPr>
        <w:t>are recommended</w:t>
      </w:r>
      <w:bookmarkEnd w:id="23"/>
      <w:r w:rsidRPr="00161B5A">
        <w:rPr>
          <w:rFonts w:cs="Arial"/>
          <w:lang w:val="en-GB"/>
        </w:rPr>
        <w:t xml:space="preserve"> measures to protect person-centred implementation and not expressions of potential harm to all Libre users.</w:t>
      </w:r>
    </w:p>
    <w:p w14:paraId="0DD7D22B" w14:textId="1D290F06" w:rsidR="00AB5EAD" w:rsidRPr="00161B5A" w:rsidRDefault="00AB5EAD" w:rsidP="00AB5EAD">
      <w:pPr>
        <w:rPr>
          <w:rFonts w:cs="Arial"/>
          <w:b/>
          <w:bCs/>
          <w:lang w:val="en-GB"/>
        </w:rPr>
      </w:pPr>
      <w:r w:rsidRPr="00161B5A">
        <w:rPr>
          <w:rFonts w:cs="Arial"/>
          <w:b/>
          <w:bCs/>
          <w:lang w:val="en-GB"/>
        </w:rPr>
        <w:t xml:space="preserve">6. Communities: inequalities, </w:t>
      </w:r>
      <w:r w:rsidR="001656F9" w:rsidRPr="00161B5A">
        <w:rPr>
          <w:rFonts w:cs="Arial"/>
          <w:b/>
          <w:bCs/>
          <w:lang w:val="en-GB"/>
        </w:rPr>
        <w:t>families,</w:t>
      </w:r>
      <w:r w:rsidRPr="00161B5A">
        <w:rPr>
          <w:rFonts w:cs="Arial"/>
          <w:b/>
          <w:bCs/>
          <w:lang w:val="en-GB"/>
        </w:rPr>
        <w:t xml:space="preserve"> and public health</w:t>
      </w:r>
    </w:p>
    <w:p w14:paraId="2BA675EB" w14:textId="5D8ED300" w:rsidR="00AB5EAD" w:rsidRPr="00161B5A" w:rsidRDefault="00AB5EAD" w:rsidP="00AB5EAD">
      <w:pPr>
        <w:rPr>
          <w:rFonts w:cs="Arial"/>
          <w:lang w:val="en-GB"/>
        </w:rPr>
      </w:pPr>
      <w:r w:rsidRPr="00161B5A">
        <w:rPr>
          <w:rFonts w:cs="Arial"/>
          <w:lang w:val="en-GB"/>
        </w:rPr>
        <w:t xml:space="preserve">Having a policy at the national level does not mean it </w:t>
      </w:r>
      <w:bookmarkStart w:id="24" w:name="_Int_zXt4JBdI"/>
      <w:r w:rsidRPr="00161B5A">
        <w:rPr>
          <w:rFonts w:cs="Arial"/>
          <w:lang w:val="en-GB"/>
        </w:rPr>
        <w:t>is equally adopted</w:t>
      </w:r>
      <w:bookmarkEnd w:id="24"/>
      <w:r w:rsidRPr="00161B5A">
        <w:rPr>
          <w:rFonts w:cs="Arial"/>
          <w:lang w:val="en-GB"/>
        </w:rPr>
        <w:t xml:space="preserve">. In Scotland, Jeyam et al. (2022) estimated that during the middle of 2020 54.4% of those in the least-deprived quintile used flash monitoring, while 36.2% in the most-deprived quintile used flash monitoring. They also found that persons who </w:t>
      </w:r>
      <w:r w:rsidR="001656F9" w:rsidRPr="00161B5A">
        <w:rPr>
          <w:rFonts w:cs="Arial"/>
          <w:lang w:val="en-GB"/>
        </w:rPr>
        <w:t>started</w:t>
      </w:r>
      <w:r w:rsidRPr="00161B5A">
        <w:rPr>
          <w:rFonts w:cs="Arial"/>
          <w:lang w:val="en-GB"/>
        </w:rPr>
        <w:t xml:space="preserve"> were less likely to suffer from diabetic ketoacidosis with an adjusted rate ratio of 0.59. It is important to note that the work done in Scotland in history was not to measure the present-day level of inequality in England; and observational association is always subject to confounding. But they do illustrate why reaching those populations who </w:t>
      </w:r>
      <w:bookmarkStart w:id="25" w:name="_Int_OVmv1Ao1"/>
      <w:r w:rsidRPr="00161B5A">
        <w:rPr>
          <w:rFonts w:cs="Arial"/>
          <w:lang w:val="en-GB"/>
        </w:rPr>
        <w:t>are underserved</w:t>
      </w:r>
      <w:bookmarkEnd w:id="25"/>
      <w:r w:rsidRPr="00161B5A">
        <w:rPr>
          <w:rFonts w:cs="Arial"/>
          <w:lang w:val="en-GB"/>
        </w:rPr>
        <w:t xml:space="preserve"> is important to population benefit.</w:t>
      </w:r>
    </w:p>
    <w:p w14:paraId="2C0677FD" w14:textId="3B293412" w:rsidR="00AB5EAD" w:rsidRPr="00161B5A" w:rsidRDefault="00AB5EAD" w:rsidP="00AB5EAD">
      <w:pPr>
        <w:rPr>
          <w:rFonts w:cs="Arial"/>
          <w:lang w:val="en-GB"/>
        </w:rPr>
      </w:pPr>
      <w:r w:rsidRPr="00161B5A">
        <w:rPr>
          <w:rFonts w:cs="Arial"/>
          <w:lang w:val="en-GB"/>
        </w:rPr>
        <w:lastRenderedPageBreak/>
        <w:t xml:space="preserve">When considering access in English services, remember not to assume similar disparities but investigate local access. An equity audit should include an analysis of uptake and discontinuation rates and outcomes, by deprivation, ethnicity, </w:t>
      </w:r>
      <w:r w:rsidR="001656F9" w:rsidRPr="00161B5A">
        <w:rPr>
          <w:rFonts w:cs="Arial"/>
          <w:lang w:val="en-GB"/>
        </w:rPr>
        <w:t>age,</w:t>
      </w:r>
      <w:r w:rsidRPr="00161B5A">
        <w:rPr>
          <w:rFonts w:cs="Arial"/>
          <w:lang w:val="en-GB"/>
        </w:rPr>
        <w:t xml:space="preserve"> and disability. Even if differences </w:t>
      </w:r>
      <w:bookmarkStart w:id="26" w:name="_Int_rWV3d2mj"/>
      <w:r w:rsidRPr="00161B5A">
        <w:rPr>
          <w:rFonts w:cs="Arial"/>
          <w:lang w:val="en-GB"/>
        </w:rPr>
        <w:t xml:space="preserve">are </w:t>
      </w:r>
      <w:r w:rsidR="001656F9" w:rsidRPr="00161B5A">
        <w:rPr>
          <w:rFonts w:cs="Arial"/>
          <w:lang w:val="en-GB"/>
        </w:rPr>
        <w:t>seen</w:t>
      </w:r>
      <w:bookmarkEnd w:id="26"/>
      <w:r w:rsidRPr="00161B5A">
        <w:rPr>
          <w:rFonts w:cs="Arial"/>
          <w:lang w:val="en-GB"/>
        </w:rPr>
        <w:t>, they are worth considering as a potential obstacle to service before arriving at a motivational conclusion. This moves evaluation beyond the evaluators and impresses or makes visible the user who is/lost.</w:t>
      </w:r>
    </w:p>
    <w:p w14:paraId="20F4718B" w14:textId="1B5A1E36" w:rsidR="00AB5EAD" w:rsidRPr="00161B5A" w:rsidRDefault="00AB5EAD" w:rsidP="00AB5EAD">
      <w:pPr>
        <w:rPr>
          <w:rFonts w:cs="Arial"/>
          <w:lang w:val="en-GB"/>
        </w:rPr>
      </w:pPr>
      <w:r w:rsidRPr="00161B5A">
        <w:rPr>
          <w:rFonts w:cs="Arial"/>
          <w:lang w:val="en-GB"/>
        </w:rPr>
        <w:t xml:space="preserve">The success of public health should therefore </w:t>
      </w:r>
      <w:bookmarkStart w:id="27" w:name="_Int_PiHVdkVa"/>
      <w:r w:rsidRPr="00161B5A">
        <w:rPr>
          <w:rFonts w:cs="Arial"/>
          <w:lang w:val="en-GB"/>
        </w:rPr>
        <w:t>be measured</w:t>
      </w:r>
      <w:bookmarkEnd w:id="27"/>
      <w:r w:rsidRPr="00161B5A">
        <w:rPr>
          <w:rFonts w:cs="Arial"/>
          <w:lang w:val="en-GB"/>
        </w:rPr>
        <w:t xml:space="preserve"> by the spread of improvement, rather than the mean outcome of users. A program </w:t>
      </w:r>
      <w:r w:rsidR="001656F9" w:rsidRPr="00161B5A">
        <w:rPr>
          <w:rFonts w:cs="Arial"/>
          <w:lang w:val="en-GB"/>
        </w:rPr>
        <w:t>has</w:t>
      </w:r>
      <w:r w:rsidRPr="00161B5A">
        <w:rPr>
          <w:rFonts w:cs="Arial"/>
          <w:lang w:val="en-GB"/>
        </w:rPr>
        <w:t xml:space="preserve"> a positive increase in overall clinical measures with the least supported households </w:t>
      </w:r>
      <w:r w:rsidR="001656F9" w:rsidRPr="00161B5A">
        <w:rPr>
          <w:rFonts w:cs="Arial"/>
          <w:lang w:val="en-GB"/>
        </w:rPr>
        <w:t>lagging</w:t>
      </w:r>
      <w:r w:rsidRPr="00161B5A">
        <w:rPr>
          <w:rFonts w:cs="Arial"/>
          <w:lang w:val="en-GB"/>
        </w:rPr>
        <w:t xml:space="preserve">. Local collaborations might be possible with community organisations to try to understand where information is not </w:t>
      </w:r>
      <w:bookmarkStart w:id="28" w:name="_Int_V4NuONIF"/>
      <w:r w:rsidRPr="00161B5A">
        <w:rPr>
          <w:rFonts w:cs="Arial"/>
          <w:lang w:val="en-GB"/>
        </w:rPr>
        <w:t>being accessed</w:t>
      </w:r>
      <w:bookmarkEnd w:id="28"/>
      <w:r w:rsidRPr="00161B5A">
        <w:rPr>
          <w:rFonts w:cs="Arial"/>
          <w:lang w:val="en-GB"/>
        </w:rPr>
        <w:t xml:space="preserve"> and to enable </w:t>
      </w:r>
      <w:r w:rsidR="001656F9" w:rsidRPr="00161B5A">
        <w:rPr>
          <w:rFonts w:cs="Arial"/>
          <w:lang w:val="en-GB"/>
        </w:rPr>
        <w:t>choice</w:t>
      </w:r>
      <w:r w:rsidRPr="00161B5A">
        <w:rPr>
          <w:rFonts w:cs="Arial"/>
          <w:lang w:val="en-GB"/>
        </w:rPr>
        <w:t xml:space="preserve"> of people who do not usually attend service consultations. This involvement should have an impact on delivery decisions and feedback should </w:t>
      </w:r>
      <w:bookmarkStart w:id="29" w:name="_Int_lwGHyq9L"/>
      <w:r w:rsidRPr="00161B5A">
        <w:rPr>
          <w:rFonts w:cs="Arial"/>
          <w:lang w:val="en-GB"/>
        </w:rPr>
        <w:t>be given</w:t>
      </w:r>
      <w:bookmarkEnd w:id="29"/>
      <w:r w:rsidRPr="00161B5A">
        <w:rPr>
          <w:rFonts w:cs="Arial"/>
          <w:lang w:val="en-GB"/>
        </w:rPr>
        <w:t xml:space="preserve"> outlining what </w:t>
      </w:r>
      <w:bookmarkStart w:id="30" w:name="_Int_vww2I4gQ"/>
      <w:r w:rsidRPr="00161B5A">
        <w:rPr>
          <w:rFonts w:cs="Arial"/>
          <w:lang w:val="en-GB"/>
        </w:rPr>
        <w:t>was done</w:t>
      </w:r>
      <w:bookmarkEnd w:id="30"/>
      <w:r w:rsidRPr="00161B5A">
        <w:rPr>
          <w:rFonts w:cs="Arial"/>
          <w:lang w:val="en-GB"/>
        </w:rPr>
        <w:t xml:space="preserve">, what </w:t>
      </w:r>
      <w:bookmarkStart w:id="31" w:name="_Int_RLizHdPy"/>
      <w:r w:rsidRPr="00161B5A">
        <w:rPr>
          <w:rFonts w:cs="Arial"/>
          <w:lang w:val="en-GB"/>
        </w:rPr>
        <w:t>was suggested</w:t>
      </w:r>
      <w:bookmarkEnd w:id="31"/>
      <w:r w:rsidRPr="00161B5A">
        <w:rPr>
          <w:rFonts w:cs="Arial"/>
          <w:lang w:val="en-GB"/>
        </w:rPr>
        <w:t xml:space="preserve"> and why. Where also is a community benefit concern. With remote review, specialists' skills and insights can </w:t>
      </w:r>
      <w:bookmarkStart w:id="32" w:name="_Int_S0OZ3aFy"/>
      <w:r w:rsidRPr="00161B5A">
        <w:rPr>
          <w:rFonts w:cs="Arial"/>
          <w:lang w:val="en-GB"/>
        </w:rPr>
        <w:t>be combined</w:t>
      </w:r>
      <w:bookmarkEnd w:id="32"/>
      <w:r w:rsidRPr="00161B5A">
        <w:rPr>
          <w:rFonts w:cs="Arial"/>
          <w:lang w:val="en-GB"/>
        </w:rPr>
        <w:t xml:space="preserve"> with management at home, for those with a travel or employment limitation. However, providing an online contact might shift the need to travel barrier to one of connectivity, and capability. Commissioners should always ensure that they can call or meet with a person and/or put in place arrangements to provide language or accessibility support. These are practical suggestions for </w:t>
      </w:r>
      <w:r w:rsidR="001656F9" w:rsidRPr="00161B5A">
        <w:rPr>
          <w:rFonts w:cs="Arial"/>
          <w:lang w:val="en-GB"/>
        </w:rPr>
        <w:t>fair</w:t>
      </w:r>
      <w:r w:rsidRPr="00161B5A">
        <w:rPr>
          <w:rFonts w:cs="Arial"/>
          <w:lang w:val="en-GB"/>
        </w:rPr>
        <w:t xml:space="preserve"> implementation, acknowledging the need for individualised provision.</w:t>
      </w:r>
    </w:p>
    <w:p w14:paraId="5CB49FAF" w14:textId="3C2394D5" w:rsidR="00AB5EAD" w:rsidRPr="00161B5A" w:rsidRDefault="00AB5EAD" w:rsidP="00AB5EAD">
      <w:pPr>
        <w:rPr>
          <w:rFonts w:cs="Arial"/>
          <w:lang w:val="en-GB"/>
        </w:rPr>
      </w:pPr>
      <w:r w:rsidRPr="00161B5A">
        <w:rPr>
          <w:rFonts w:cs="Arial"/>
          <w:lang w:val="en-GB"/>
        </w:rPr>
        <w:t xml:space="preserve">Support for monitoring is </w:t>
      </w:r>
      <w:r w:rsidR="001656F9" w:rsidRPr="00161B5A">
        <w:rPr>
          <w:rFonts w:cs="Arial"/>
          <w:lang w:val="en-GB"/>
        </w:rPr>
        <w:t>possible but</w:t>
      </w:r>
      <w:r w:rsidRPr="00161B5A">
        <w:rPr>
          <w:rFonts w:cs="Arial"/>
          <w:lang w:val="en-GB"/>
        </w:rPr>
        <w:t xml:space="preserve"> should </w:t>
      </w:r>
      <w:bookmarkStart w:id="33" w:name="_Int_mSI9uiKc"/>
      <w:r w:rsidRPr="00161B5A">
        <w:rPr>
          <w:rFonts w:cs="Arial"/>
          <w:lang w:val="en-GB"/>
        </w:rPr>
        <w:t>be done</w:t>
      </w:r>
      <w:bookmarkEnd w:id="33"/>
      <w:r w:rsidRPr="00161B5A">
        <w:rPr>
          <w:rFonts w:cs="Arial"/>
          <w:lang w:val="en-GB"/>
        </w:rPr>
        <w:t xml:space="preserve"> within agreed boundaries and respect the user's autonomy. Beasant et al. (2023) included the experiences of young people as part of co-produced educational resources, which denotes engagement beyond consultation. Local services need to build on this approach and to engage users and carers to plan training and check communication. Any relations arranged for data-sharing must </w:t>
      </w:r>
      <w:bookmarkStart w:id="34" w:name="_Int_xFoaBSI8"/>
      <w:r w:rsidRPr="00161B5A">
        <w:rPr>
          <w:rFonts w:cs="Arial"/>
          <w:lang w:val="en-GB"/>
        </w:rPr>
        <w:t>be specified</w:t>
      </w:r>
      <w:bookmarkEnd w:id="34"/>
      <w:r w:rsidRPr="00161B5A">
        <w:rPr>
          <w:rFonts w:cs="Arial"/>
          <w:lang w:val="en-GB"/>
        </w:rPr>
        <w:t xml:space="preserve"> in detail who is able to have access to it and it must be possible to raise the issue with the </w:t>
      </w:r>
      <w:r w:rsidR="001656F9" w:rsidRPr="00161B5A">
        <w:rPr>
          <w:rFonts w:cs="Arial"/>
          <w:lang w:val="en-GB"/>
        </w:rPr>
        <w:t>patient if</w:t>
      </w:r>
      <w:r w:rsidRPr="00161B5A">
        <w:rPr>
          <w:rFonts w:cs="Arial"/>
          <w:lang w:val="en-GB"/>
        </w:rPr>
        <w:t xml:space="preserve"> it </w:t>
      </w:r>
      <w:bookmarkStart w:id="35" w:name="_Int_U5WSnbUa"/>
      <w:r w:rsidRPr="00161B5A">
        <w:rPr>
          <w:rFonts w:cs="Arial"/>
          <w:lang w:val="en-GB"/>
        </w:rPr>
        <w:t>is not wished</w:t>
      </w:r>
      <w:bookmarkEnd w:id="35"/>
      <w:r w:rsidRPr="00161B5A">
        <w:rPr>
          <w:rFonts w:cs="Arial"/>
          <w:lang w:val="en-GB"/>
        </w:rPr>
        <w:t xml:space="preserve">. Family support should </w:t>
      </w:r>
      <w:bookmarkStart w:id="36" w:name="_Int_TsV2Q5QC"/>
      <w:r w:rsidRPr="00161B5A">
        <w:rPr>
          <w:rFonts w:cs="Arial"/>
          <w:lang w:val="en-GB"/>
        </w:rPr>
        <w:t>be focused</w:t>
      </w:r>
      <w:bookmarkEnd w:id="36"/>
      <w:r w:rsidRPr="00161B5A">
        <w:rPr>
          <w:rFonts w:cs="Arial"/>
          <w:lang w:val="en-GB"/>
        </w:rPr>
        <w:t xml:space="preserve"> on building independence, not an unquestioned handed over of the clinical work.</w:t>
      </w:r>
    </w:p>
    <w:p w14:paraId="185EF3A3" w14:textId="0AC6467E" w:rsidR="00AB5EAD" w:rsidRPr="00161B5A" w:rsidRDefault="00AB5EAD" w:rsidP="00AB5EAD">
      <w:pPr>
        <w:rPr>
          <w:rFonts w:cs="Arial"/>
          <w:b/>
          <w:bCs/>
          <w:lang w:val="en-GB"/>
        </w:rPr>
      </w:pPr>
      <w:r w:rsidRPr="00161B5A">
        <w:rPr>
          <w:rFonts w:cs="Arial"/>
          <w:b/>
          <w:bCs/>
          <w:lang w:val="en-GB"/>
        </w:rPr>
        <w:t>7. Recommendations and Conclusion</w:t>
      </w:r>
    </w:p>
    <w:p w14:paraId="0DB57FBF" w14:textId="05D5D186" w:rsidR="00AB5EAD" w:rsidRPr="00161B5A" w:rsidRDefault="00AB5EAD" w:rsidP="00AB5EAD">
      <w:pPr>
        <w:rPr>
          <w:rFonts w:cs="Arial"/>
          <w:lang w:val="en-GB"/>
        </w:rPr>
      </w:pPr>
      <w:r w:rsidRPr="00161B5A">
        <w:rPr>
          <w:rFonts w:cs="Arial"/>
          <w:lang w:val="en-GB"/>
        </w:rPr>
        <w:t xml:space="preserve">The implementation can </w:t>
      </w:r>
      <w:bookmarkStart w:id="37" w:name="_Int_f4Vm7mcE"/>
      <w:r w:rsidRPr="00161B5A">
        <w:rPr>
          <w:rFonts w:cs="Arial"/>
          <w:lang w:val="en-GB"/>
        </w:rPr>
        <w:t>be considered</w:t>
      </w:r>
      <w:bookmarkEnd w:id="37"/>
      <w:r w:rsidRPr="00161B5A">
        <w:rPr>
          <w:rFonts w:cs="Arial"/>
          <w:lang w:val="en-GB"/>
        </w:rPr>
        <w:t xml:space="preserve"> as a continuous service improvement programme. In doing this, first, the responsibilities of diabetes teams must </w:t>
      </w:r>
      <w:bookmarkStart w:id="38" w:name="_Int_I6oj7gP6"/>
      <w:r w:rsidRPr="00161B5A">
        <w:rPr>
          <w:rFonts w:cs="Arial"/>
          <w:lang w:val="en-GB"/>
        </w:rPr>
        <w:t>be mapped</w:t>
      </w:r>
      <w:bookmarkEnd w:id="38"/>
      <w:r w:rsidRPr="00161B5A">
        <w:rPr>
          <w:rFonts w:cs="Arial"/>
          <w:lang w:val="en-GB"/>
        </w:rPr>
        <w:t xml:space="preserve"> using the national competency framework and provide supervised education, including for non-specialist staff supporting people who have diabetes outside of specialist clinics (Richardson et al., 2026). Managers should document the time spent on education, technical </w:t>
      </w:r>
      <w:r w:rsidR="001656F9" w:rsidRPr="00161B5A">
        <w:rPr>
          <w:rFonts w:cs="Arial"/>
          <w:lang w:val="en-GB"/>
        </w:rPr>
        <w:t>help</w:t>
      </w:r>
      <w:r w:rsidRPr="00161B5A">
        <w:rPr>
          <w:rFonts w:cs="Arial"/>
          <w:lang w:val="en-GB"/>
        </w:rPr>
        <w:t>, data review, and should accommodate extra work with staffing determinations.</w:t>
      </w:r>
    </w:p>
    <w:p w14:paraId="06F27976" w14:textId="0B0453D8" w:rsidR="00AB5EAD" w:rsidRPr="00161B5A" w:rsidRDefault="00AB5EAD" w:rsidP="00AB5EAD">
      <w:pPr>
        <w:rPr>
          <w:rFonts w:cs="Arial"/>
          <w:lang w:val="en-GB"/>
        </w:rPr>
      </w:pPr>
      <w:r w:rsidRPr="00161B5A">
        <w:rPr>
          <w:rFonts w:cs="Arial"/>
          <w:lang w:val="en-GB"/>
        </w:rPr>
        <w:t xml:space="preserve">Secondly, services should provide supported choice between </w:t>
      </w:r>
      <w:r w:rsidR="001656F9" w:rsidRPr="00161B5A">
        <w:rPr>
          <w:rFonts w:cs="Arial"/>
          <w:lang w:val="en-GB"/>
        </w:rPr>
        <w:t>proper technologies</w:t>
      </w:r>
      <w:r w:rsidRPr="00161B5A">
        <w:rPr>
          <w:rFonts w:cs="Arial"/>
          <w:lang w:val="en-GB"/>
        </w:rPr>
        <w:t xml:space="preserve"> and accessible initiation pathways. Interpretation, backup monitoring and escalation plans to be part of patient education. Third, local assessment must integrate with clinical measures some measures of treatment burden, patient experience, </w:t>
      </w:r>
      <w:r w:rsidR="001656F9" w:rsidRPr="00161B5A">
        <w:rPr>
          <w:rFonts w:cs="Arial"/>
          <w:lang w:val="en-GB"/>
        </w:rPr>
        <w:t>discontinuation,</w:t>
      </w:r>
      <w:r w:rsidRPr="00161B5A">
        <w:rPr>
          <w:rFonts w:cs="Arial"/>
          <w:lang w:val="en-GB"/>
        </w:rPr>
        <w:t xml:space="preserve"> and inequalities in uptake. Collectively studying these measures should help clarify whether any device that is doing well with established users is doing the same or does better with the entire population of eligible users.</w:t>
      </w:r>
    </w:p>
    <w:p w14:paraId="1F2A6AC0" w14:textId="6E2D1FD1" w:rsidR="00AB5EAD" w:rsidRPr="00161B5A" w:rsidRDefault="00AB5EAD" w:rsidP="00AB5EAD">
      <w:pPr>
        <w:rPr>
          <w:rFonts w:cs="Arial"/>
          <w:lang w:val="en-GB"/>
        </w:rPr>
      </w:pPr>
      <w:r w:rsidRPr="00161B5A">
        <w:rPr>
          <w:rFonts w:cs="Arial"/>
          <w:lang w:val="en-GB"/>
        </w:rPr>
        <w:t xml:space="preserve">To conclude, when procurement is considering its solution options, it is important to take recurring expenditure and implementation capacity into account, as well as long-term value. Elliott et al. (2024) offer an economic argument, which is positive, but reliant on persistent benefit, thus </w:t>
      </w:r>
      <w:r w:rsidR="001656F9" w:rsidRPr="00161B5A">
        <w:rPr>
          <w:rFonts w:cs="Arial"/>
          <w:lang w:val="en-GB"/>
        </w:rPr>
        <w:t>causing</w:t>
      </w:r>
      <w:r w:rsidRPr="00161B5A">
        <w:rPr>
          <w:rFonts w:cs="Arial"/>
          <w:lang w:val="en-GB"/>
        </w:rPr>
        <w:t xml:space="preserve"> follow-up. Adoption should </w:t>
      </w:r>
      <w:bookmarkStart w:id="39" w:name="_Int_zQHyxx8E"/>
      <w:r w:rsidRPr="00161B5A">
        <w:rPr>
          <w:rFonts w:cs="Arial"/>
          <w:lang w:val="en-GB"/>
        </w:rPr>
        <w:t>be viewed</w:t>
      </w:r>
      <w:bookmarkEnd w:id="39"/>
      <w:r w:rsidRPr="00161B5A">
        <w:rPr>
          <w:rFonts w:cs="Arial"/>
          <w:lang w:val="en-GB"/>
        </w:rPr>
        <w:t xml:space="preserve"> as a process with room for reassessment based upon changes to technology and evidence.</w:t>
      </w:r>
    </w:p>
    <w:p w14:paraId="26C3EA1D" w14:textId="77777777" w:rsidR="00AB5EAD" w:rsidRPr="00161B5A" w:rsidRDefault="00AB5EAD">
      <w:pPr>
        <w:spacing w:after="200" w:line="276" w:lineRule="auto"/>
        <w:jc w:val="left"/>
        <w:rPr>
          <w:rFonts w:eastAsiaTheme="majorEastAsia" w:cs="Arial"/>
          <w:b/>
          <w:bCs/>
          <w:color w:val="000000"/>
          <w:lang w:val="en-GB"/>
        </w:rPr>
      </w:pPr>
      <w:r w:rsidRPr="00161B5A">
        <w:rPr>
          <w:rFonts w:cs="Arial"/>
          <w:lang w:val="en-GB"/>
        </w:rPr>
        <w:br w:type="page"/>
      </w:r>
    </w:p>
    <w:p w14:paraId="4A9FBB42" w14:textId="79FAD4D5" w:rsidR="00E17DA6" w:rsidRPr="00161B5A" w:rsidRDefault="004B2198">
      <w:pPr>
        <w:pStyle w:val="Heading1"/>
        <w:rPr>
          <w:rFonts w:ascii="Arial" w:hAnsi="Arial" w:cs="Arial"/>
          <w:szCs w:val="22"/>
          <w:lang w:val="en-GB"/>
        </w:rPr>
      </w:pPr>
      <w:r w:rsidRPr="00161B5A">
        <w:rPr>
          <w:rFonts w:ascii="Arial" w:hAnsi="Arial" w:cs="Arial"/>
          <w:szCs w:val="22"/>
          <w:lang w:val="en-GB"/>
        </w:rPr>
        <w:t>References</w:t>
      </w:r>
    </w:p>
    <w:p w14:paraId="6CDFA758" w14:textId="77777777" w:rsidR="00E17DA6" w:rsidRPr="00161B5A" w:rsidRDefault="004B2198">
      <w:pPr>
        <w:spacing w:after="200"/>
        <w:ind w:left="360" w:hanging="360"/>
        <w:rPr>
          <w:rFonts w:cs="Arial"/>
          <w:lang w:val="en-GB"/>
        </w:rPr>
      </w:pPr>
      <w:r w:rsidRPr="00161B5A">
        <w:rPr>
          <w:rFonts w:cs="Arial"/>
          <w:lang w:val="en-GB"/>
        </w:rPr>
        <w:t>Beasant, L., Cullen, F., Thomas, E., Kandiyali</w:t>
      </w:r>
      <w:r w:rsidRPr="00161B5A">
        <w:rPr>
          <w:rFonts w:cs="Arial"/>
          <w:lang w:val="en-GB"/>
        </w:rPr>
        <w:t xml:space="preserve">, R., Shield, J.P.H., McGregor, D., West, N. and Ingram, J. (2023) ‘Flash glucose monitoring in young people with type 1 diabetes—a qualitative study of young people, parents and health professionals: “It makes life much easier”’, </w:t>
      </w:r>
      <w:r w:rsidRPr="00161B5A">
        <w:rPr>
          <w:rFonts w:cs="Arial"/>
          <w:i/>
          <w:lang w:val="en-GB"/>
        </w:rPr>
        <w:t>BMJ Open</w:t>
      </w:r>
      <w:r w:rsidRPr="00161B5A">
        <w:rPr>
          <w:rFonts w:cs="Arial"/>
          <w:lang w:val="en-GB"/>
        </w:rPr>
        <w:t xml:space="preserve">, 13(4), article e070477. Available at: </w:t>
      </w:r>
      <w:hyperlink r:id="rId8">
        <w:r w:rsidR="00E17DA6" w:rsidRPr="00161B5A">
          <w:rPr>
            <w:rFonts w:cs="Arial"/>
            <w:color w:val="174A73"/>
            <w:lang w:val="en-GB"/>
          </w:rPr>
          <w:t>https://doi.org/10.1136/bmjopen-2022-070477</w:t>
        </w:r>
      </w:hyperlink>
      <w:r w:rsidRPr="00161B5A">
        <w:rPr>
          <w:rFonts w:cs="Arial"/>
          <w:lang w:val="en-GB"/>
        </w:rPr>
        <w:t>.</w:t>
      </w:r>
    </w:p>
    <w:p w14:paraId="5B23C909" w14:textId="1DD32F4E" w:rsidR="00E17DA6" w:rsidRPr="00161B5A" w:rsidRDefault="004B2198">
      <w:pPr>
        <w:spacing w:after="200"/>
        <w:ind w:left="360" w:hanging="360"/>
        <w:rPr>
          <w:rFonts w:cs="Arial"/>
          <w:lang w:val="en-GB"/>
        </w:rPr>
      </w:pPr>
      <w:r w:rsidRPr="00161B5A">
        <w:rPr>
          <w:rFonts w:cs="Arial"/>
          <w:lang w:val="en-GB"/>
        </w:rPr>
        <w:t>Deshmukh, H., Wilmot, E.G., Gregory, R., Barnes, D., Narendran, P., Saunders, S., Furlong, N., Kamaruddin, S., Banatwalla</w:t>
      </w:r>
      <w:r w:rsidRPr="00161B5A">
        <w:rPr>
          <w:rFonts w:cs="Arial"/>
          <w:lang w:val="en-GB"/>
        </w:rPr>
        <w:t xml:space="preserve">, R., Herring, R., Kilvert, A., Patmore, J., Walton, C., Ryder, R.E.J. and Sathyapalan, T. (2020) ‘Effect of flash glucose monitoring on glycemic control, </w:t>
      </w:r>
      <w:r w:rsidR="0044117A" w:rsidRPr="00161B5A">
        <w:rPr>
          <w:rFonts w:cs="Arial"/>
          <w:lang w:val="en-GB"/>
        </w:rPr>
        <w:t>hypoglycaemia</w:t>
      </w:r>
      <w:r w:rsidRPr="00161B5A">
        <w:rPr>
          <w:rFonts w:cs="Arial"/>
          <w:lang w:val="en-GB"/>
        </w:rPr>
        <w:t xml:space="preserve">, diabetes-related distress, and resource utilization in the Association of British Clinical Diabetologists (ABCD) nationwide audit’, </w:t>
      </w:r>
      <w:r w:rsidRPr="00161B5A">
        <w:rPr>
          <w:rFonts w:cs="Arial"/>
          <w:i/>
          <w:lang w:val="en-GB"/>
        </w:rPr>
        <w:t>Diabetes Care</w:t>
      </w:r>
      <w:r w:rsidRPr="00161B5A">
        <w:rPr>
          <w:rFonts w:cs="Arial"/>
          <w:lang w:val="en-GB"/>
        </w:rPr>
        <w:t xml:space="preserve">, 43(9), pp. 2153–2160. Available at: </w:t>
      </w:r>
      <w:hyperlink r:id="rId9">
        <w:r w:rsidR="00E17DA6" w:rsidRPr="00161B5A">
          <w:rPr>
            <w:rFonts w:cs="Arial"/>
            <w:color w:val="174A73"/>
            <w:lang w:val="en-GB"/>
          </w:rPr>
          <w:t>https://doi.org/10.2337/dc20-0738</w:t>
        </w:r>
      </w:hyperlink>
      <w:r w:rsidRPr="00161B5A">
        <w:rPr>
          <w:rFonts w:cs="Arial"/>
          <w:lang w:val="en-GB"/>
        </w:rPr>
        <w:t>.</w:t>
      </w:r>
    </w:p>
    <w:p w14:paraId="06E45808" w14:textId="77777777" w:rsidR="00E17DA6" w:rsidRPr="00161B5A" w:rsidRDefault="004B2198">
      <w:pPr>
        <w:spacing w:after="200"/>
        <w:ind w:left="360" w:hanging="360"/>
        <w:rPr>
          <w:rFonts w:cs="Arial"/>
          <w:lang w:val="en-GB"/>
        </w:rPr>
      </w:pPr>
      <w:r w:rsidRPr="00161B5A">
        <w:rPr>
          <w:rFonts w:cs="Arial"/>
          <w:lang w:val="en-GB"/>
        </w:rPr>
        <w:t xml:space="preserve">Deshmukh, H., Wilmot, E.G., Gregory, R., Barnes, D., Narendran, P., Saunders, S., Furlong, N., Kamaruddin, S., Banatwalla, R., Herring, R., Kilvert, A., Patmore, J., Walton, C., Ryder, R.E.J. and Sathyapalan, T. (2021) ‘Predictors of diabetes-related distress before and after FreeStyle Libre-1 use: lessons from the Association of British Clinical Diabetologists nationwide study’, </w:t>
      </w:r>
      <w:r w:rsidRPr="00161B5A">
        <w:rPr>
          <w:rFonts w:cs="Arial"/>
          <w:i/>
          <w:lang w:val="en-GB"/>
        </w:rPr>
        <w:t>Diabetes, Obesity and Metabolism</w:t>
      </w:r>
      <w:r w:rsidRPr="00161B5A">
        <w:rPr>
          <w:rFonts w:cs="Arial"/>
          <w:lang w:val="en-GB"/>
        </w:rPr>
        <w:t xml:space="preserve">, 23(10), pp. 2261–2268. Available at: </w:t>
      </w:r>
      <w:hyperlink r:id="rId10">
        <w:r w:rsidR="00E17DA6" w:rsidRPr="00161B5A">
          <w:rPr>
            <w:rFonts w:cs="Arial"/>
            <w:color w:val="174A73"/>
            <w:lang w:val="en-GB"/>
          </w:rPr>
          <w:t>https://doi.org/10.1111/dom.14467</w:t>
        </w:r>
      </w:hyperlink>
      <w:r w:rsidRPr="00161B5A">
        <w:rPr>
          <w:rFonts w:cs="Arial"/>
          <w:lang w:val="en-GB"/>
        </w:rPr>
        <w:t>.</w:t>
      </w:r>
    </w:p>
    <w:p w14:paraId="0111E4C1" w14:textId="77777777" w:rsidR="00E17DA6" w:rsidRPr="00161B5A" w:rsidRDefault="004B2198">
      <w:pPr>
        <w:spacing w:after="200"/>
        <w:ind w:left="360" w:hanging="360"/>
        <w:rPr>
          <w:rFonts w:cs="Arial"/>
          <w:lang w:val="en-GB"/>
        </w:rPr>
      </w:pPr>
      <w:r w:rsidRPr="00161B5A">
        <w:rPr>
          <w:rFonts w:cs="Arial"/>
          <w:lang w:val="en-GB"/>
        </w:rPr>
        <w:t xml:space="preserve">Elliott, R.A., Rogers, G., Evans, M.L., Neupane, S., Rayman, G., Lumley, S., Cranston, I., Narendran, P., Sutton, C.J., Taxiarchi, V.P., Burns, M., Thabit, H., Wilmot, E.G. and Leelarathna, L. (2024) ‘Estimating the cost-effectiveness of intermittently scanned continuous glucose monitoring in adults with type 1 diabetes in England’, </w:t>
      </w:r>
      <w:r w:rsidRPr="00161B5A">
        <w:rPr>
          <w:rFonts w:cs="Arial"/>
          <w:i/>
          <w:lang w:val="en-GB"/>
        </w:rPr>
        <w:t>Diabetic Medicine</w:t>
      </w:r>
      <w:r w:rsidRPr="00161B5A">
        <w:rPr>
          <w:rFonts w:cs="Arial"/>
          <w:lang w:val="en-GB"/>
        </w:rPr>
        <w:t xml:space="preserve">, 41(3), article e15232. Available at: </w:t>
      </w:r>
      <w:hyperlink r:id="rId11">
        <w:r w:rsidR="00E17DA6" w:rsidRPr="00161B5A">
          <w:rPr>
            <w:rFonts w:cs="Arial"/>
            <w:color w:val="174A73"/>
            <w:lang w:val="en-GB"/>
          </w:rPr>
          <w:t>https://doi.org/10.1111/dme.15232</w:t>
        </w:r>
      </w:hyperlink>
      <w:r w:rsidRPr="00161B5A">
        <w:rPr>
          <w:rFonts w:cs="Arial"/>
          <w:lang w:val="en-GB"/>
        </w:rPr>
        <w:t>.</w:t>
      </w:r>
    </w:p>
    <w:p w14:paraId="26817C48" w14:textId="77777777" w:rsidR="00E17DA6" w:rsidRPr="00161B5A" w:rsidRDefault="004B2198">
      <w:pPr>
        <w:spacing w:after="200"/>
        <w:ind w:left="360" w:hanging="360"/>
        <w:rPr>
          <w:rFonts w:cs="Arial"/>
          <w:lang w:val="en-GB"/>
        </w:rPr>
      </w:pPr>
      <w:r w:rsidRPr="00161B5A">
        <w:rPr>
          <w:rFonts w:cs="Arial"/>
          <w:lang w:val="en-GB"/>
        </w:rPr>
        <w:t xml:space="preserve">Jeyam, A., Gibb, F.W., McKnight, J.A., O’Reilly, J.E., Caparrotta, T.M., Höhn, A., McGurnaghan, S.J., Blackbourn, L.A.K., Hatam, S., Kennon, B., McCrimmon, R.J., Leese, G., Philip, S., Sattar, N., McKeigue, P.M. and Colhoun, H.M. (2022) ‘Flash monitor initiation is associated with improvements in HbA1c levels and DKA rates among people with type 1 diabetes in Scotland: a retrospective nationwide observational study’, </w:t>
      </w:r>
      <w:r w:rsidRPr="00161B5A">
        <w:rPr>
          <w:rFonts w:cs="Arial"/>
          <w:i/>
          <w:lang w:val="en-GB"/>
        </w:rPr>
        <w:t>Diabetologia</w:t>
      </w:r>
      <w:r w:rsidRPr="00161B5A">
        <w:rPr>
          <w:rFonts w:cs="Arial"/>
          <w:lang w:val="en-GB"/>
        </w:rPr>
        <w:t xml:space="preserve">, 65(1), pp. 159–172. Available at: </w:t>
      </w:r>
      <w:hyperlink r:id="rId12">
        <w:r w:rsidR="00E17DA6" w:rsidRPr="00161B5A">
          <w:rPr>
            <w:rFonts w:cs="Arial"/>
            <w:color w:val="174A73"/>
            <w:lang w:val="en-GB"/>
          </w:rPr>
          <w:t>https://doi.org/10.1007/s00125-021-05578-1</w:t>
        </w:r>
      </w:hyperlink>
      <w:r w:rsidRPr="00161B5A">
        <w:rPr>
          <w:rFonts w:cs="Arial"/>
          <w:lang w:val="en-GB"/>
        </w:rPr>
        <w:t>.</w:t>
      </w:r>
    </w:p>
    <w:p w14:paraId="5089AA87" w14:textId="0758AEF6" w:rsidR="00E17DA6" w:rsidRPr="00161B5A" w:rsidRDefault="004B2198">
      <w:pPr>
        <w:spacing w:after="200"/>
        <w:ind w:left="360" w:hanging="360"/>
        <w:rPr>
          <w:rFonts w:cs="Arial"/>
          <w:lang w:val="en-GB"/>
        </w:rPr>
      </w:pPr>
      <w:r w:rsidRPr="00161B5A">
        <w:rPr>
          <w:rFonts w:cs="Arial"/>
          <w:lang w:val="en-GB"/>
        </w:rPr>
        <w:t xml:space="preserve">Kandiyali, R., Taylor, H., Thomas, E., Cullen, F., Hollingworth, W., Ingram, J., Kenward, C., West, N., McGregor, D., Smith, B. and Hamilton-Shield, J. (2023) ‘Implementation of flash glucose monitoring in four </w:t>
      </w:r>
      <w:r w:rsidR="00ED213B" w:rsidRPr="00161B5A">
        <w:rPr>
          <w:rFonts w:cs="Arial"/>
          <w:lang w:val="en-GB"/>
        </w:rPr>
        <w:t>paediatric</w:t>
      </w:r>
      <w:r w:rsidRPr="00161B5A">
        <w:rPr>
          <w:rFonts w:cs="Arial"/>
          <w:lang w:val="en-GB"/>
        </w:rPr>
        <w:t xml:space="preserve"> diabetes clinics: controlled before and after study to produce real-world evidence of patient benefit’, </w:t>
      </w:r>
      <w:r w:rsidRPr="00161B5A">
        <w:rPr>
          <w:rFonts w:cs="Arial"/>
          <w:i/>
          <w:lang w:val="en-GB"/>
        </w:rPr>
        <w:t>BMJ Open Diabetes Research &amp; Care</w:t>
      </w:r>
      <w:r w:rsidRPr="00161B5A">
        <w:rPr>
          <w:rFonts w:cs="Arial"/>
          <w:lang w:val="en-GB"/>
        </w:rPr>
        <w:t xml:space="preserve">, 11(4), article e003561. Available at: </w:t>
      </w:r>
      <w:hyperlink r:id="rId13">
        <w:r w:rsidR="00E17DA6" w:rsidRPr="00161B5A">
          <w:rPr>
            <w:rFonts w:cs="Arial"/>
            <w:color w:val="174A73"/>
            <w:lang w:val="en-GB"/>
          </w:rPr>
          <w:t>https://doi.org/10.1136/bmjdrc-2023-003561</w:t>
        </w:r>
      </w:hyperlink>
      <w:r w:rsidRPr="00161B5A">
        <w:rPr>
          <w:rFonts w:cs="Arial"/>
          <w:lang w:val="en-GB"/>
        </w:rPr>
        <w:t>.</w:t>
      </w:r>
    </w:p>
    <w:p w14:paraId="4C5FD040" w14:textId="77777777" w:rsidR="00E17DA6" w:rsidRPr="00161B5A" w:rsidRDefault="004B2198">
      <w:pPr>
        <w:spacing w:after="200"/>
        <w:ind w:left="360" w:hanging="360"/>
        <w:rPr>
          <w:rFonts w:cs="Arial"/>
          <w:lang w:val="en-GB"/>
        </w:rPr>
      </w:pPr>
      <w:r w:rsidRPr="00161B5A">
        <w:rPr>
          <w:rFonts w:cs="Arial"/>
          <w:lang w:val="en-GB"/>
        </w:rPr>
        <w:t xml:space="preserve">Kingsnorth, A.P., Wilson, C., Choudhary, P. and Griffin, T.P. (2023) ‘Comparing glucose outcomes following face-to-face and remote initiation of flash glucose monitoring in people living with diabetes’, </w:t>
      </w:r>
      <w:r w:rsidRPr="00161B5A">
        <w:rPr>
          <w:rFonts w:cs="Arial"/>
          <w:i/>
          <w:lang w:val="en-GB"/>
        </w:rPr>
        <w:t>Journal of Diabetes Science and Technology</w:t>
      </w:r>
      <w:r w:rsidRPr="00161B5A">
        <w:rPr>
          <w:rFonts w:cs="Arial"/>
          <w:lang w:val="en-GB"/>
        </w:rPr>
        <w:t xml:space="preserve">, 17(4), pp. 887–894. Available at: </w:t>
      </w:r>
      <w:hyperlink r:id="rId14">
        <w:r w:rsidR="00E17DA6" w:rsidRPr="00161B5A">
          <w:rPr>
            <w:rFonts w:cs="Arial"/>
            <w:color w:val="174A73"/>
            <w:lang w:val="en-GB"/>
          </w:rPr>
          <w:t>https://doi.org/10.1177/19322968231176531</w:t>
        </w:r>
      </w:hyperlink>
      <w:r w:rsidRPr="00161B5A">
        <w:rPr>
          <w:rFonts w:cs="Arial"/>
          <w:lang w:val="en-GB"/>
        </w:rPr>
        <w:t>.</w:t>
      </w:r>
    </w:p>
    <w:p w14:paraId="12C50942" w14:textId="77777777" w:rsidR="00E17DA6" w:rsidRPr="00161B5A" w:rsidRDefault="004B2198">
      <w:pPr>
        <w:spacing w:after="200"/>
        <w:ind w:left="360" w:hanging="360"/>
        <w:rPr>
          <w:rFonts w:cs="Arial"/>
          <w:lang w:val="en-GB"/>
        </w:rPr>
      </w:pPr>
      <w:r w:rsidRPr="00161B5A">
        <w:rPr>
          <w:rFonts w:cs="Arial"/>
          <w:lang w:val="en-GB"/>
        </w:rPr>
        <w:t xml:space="preserve">Leelarathna, L., Evans, M.L., Neupane, S., Rayman, G., Lumley, S., Cranston, I., Narendran, P., Barnard-Kelly, K., Sutton, C.J., Elliott, R.A., Taxiarchi, V.P., Gkountouras, G., Burns, M., Mubita, W., Kanumilli, N., Camm, M., Thabit, H. and Wilmot, E.G. (2022) ‘Intermittently scanned continuous glucose monitoring for type 1 diabetes’, </w:t>
      </w:r>
      <w:r w:rsidRPr="00161B5A">
        <w:rPr>
          <w:rFonts w:cs="Arial"/>
          <w:i/>
          <w:lang w:val="en-GB"/>
        </w:rPr>
        <w:t>New England Journal of Medicine</w:t>
      </w:r>
      <w:r w:rsidRPr="00161B5A">
        <w:rPr>
          <w:rFonts w:cs="Arial"/>
          <w:lang w:val="en-GB"/>
        </w:rPr>
        <w:t xml:space="preserve">, 387(16), pp. 1477–1487. Available at: </w:t>
      </w:r>
      <w:hyperlink r:id="rId15">
        <w:r w:rsidR="00E17DA6" w:rsidRPr="00161B5A">
          <w:rPr>
            <w:rFonts w:cs="Arial"/>
            <w:color w:val="174A73"/>
            <w:lang w:val="en-GB"/>
          </w:rPr>
          <w:t>https://doi.org/10.1056/NEJMoa2205650</w:t>
        </w:r>
      </w:hyperlink>
      <w:r w:rsidRPr="00161B5A">
        <w:rPr>
          <w:rFonts w:cs="Arial"/>
          <w:lang w:val="en-GB"/>
        </w:rPr>
        <w:t>.</w:t>
      </w:r>
    </w:p>
    <w:p w14:paraId="2C00F2EF" w14:textId="77777777" w:rsidR="00E17DA6" w:rsidRPr="00161B5A" w:rsidRDefault="004B2198">
      <w:pPr>
        <w:spacing w:after="200"/>
        <w:ind w:left="360" w:hanging="360"/>
        <w:rPr>
          <w:rFonts w:cs="Arial"/>
          <w:lang w:val="en-GB"/>
        </w:rPr>
      </w:pPr>
      <w:r w:rsidRPr="00161B5A">
        <w:rPr>
          <w:rFonts w:cs="Arial"/>
          <w:lang w:val="en-GB"/>
        </w:rPr>
        <w:t xml:space="preserve">May, C. and Finch, T. (2009) ‘Implementing, embedding, and integrating practices: an outline of Normalization Process Theory’, </w:t>
      </w:r>
      <w:r w:rsidRPr="00161B5A">
        <w:rPr>
          <w:rFonts w:cs="Arial"/>
          <w:i/>
          <w:lang w:val="en-GB"/>
        </w:rPr>
        <w:t>Sociology</w:t>
      </w:r>
      <w:r w:rsidRPr="00161B5A">
        <w:rPr>
          <w:rFonts w:cs="Arial"/>
          <w:lang w:val="en-GB"/>
        </w:rPr>
        <w:t xml:space="preserve">, 43(3), pp. 535–554. Available at: </w:t>
      </w:r>
      <w:hyperlink r:id="rId16">
        <w:r w:rsidR="00E17DA6" w:rsidRPr="00161B5A">
          <w:rPr>
            <w:rFonts w:cs="Arial"/>
            <w:color w:val="174A73"/>
            <w:lang w:val="en-GB"/>
          </w:rPr>
          <w:t>https://doi.org/10.1177/0038038509103208</w:t>
        </w:r>
      </w:hyperlink>
      <w:r w:rsidRPr="00161B5A">
        <w:rPr>
          <w:rFonts w:cs="Arial"/>
          <w:lang w:val="en-GB"/>
        </w:rPr>
        <w:t>.</w:t>
      </w:r>
    </w:p>
    <w:p w14:paraId="3B747904" w14:textId="77777777" w:rsidR="00E17DA6" w:rsidRPr="00161B5A" w:rsidRDefault="004B2198">
      <w:pPr>
        <w:spacing w:after="200"/>
        <w:ind w:left="360" w:hanging="360"/>
        <w:rPr>
          <w:rFonts w:cs="Arial"/>
          <w:lang w:val="en-GB"/>
        </w:rPr>
      </w:pPr>
      <w:r w:rsidRPr="00161B5A">
        <w:rPr>
          <w:rFonts w:cs="Arial"/>
          <w:lang w:val="en-GB"/>
        </w:rPr>
        <w:t xml:space="preserve">National Institute for Health and Care Excellence (NICE) (2022) </w:t>
      </w:r>
      <w:r w:rsidRPr="00161B5A">
        <w:rPr>
          <w:rFonts w:cs="Arial"/>
          <w:i/>
          <w:lang w:val="en-GB"/>
        </w:rPr>
        <w:t>Type 1 diabetes in adults: diagnosis and management</w:t>
      </w:r>
      <w:r w:rsidRPr="00161B5A">
        <w:rPr>
          <w:rFonts w:cs="Arial"/>
          <w:lang w:val="en-GB"/>
        </w:rPr>
        <w:t xml:space="preserve">. NICE guideline NG17, updated 2022. Available at: </w:t>
      </w:r>
      <w:hyperlink r:id="rId17">
        <w:r w:rsidR="00E17DA6" w:rsidRPr="00161B5A">
          <w:rPr>
            <w:rFonts w:cs="Arial"/>
            <w:color w:val="174A73"/>
            <w:lang w:val="en-GB"/>
          </w:rPr>
          <w:t>https://www.nice.org.uk/guidance/ng17/chapter/recommendations</w:t>
        </w:r>
      </w:hyperlink>
      <w:r w:rsidRPr="00161B5A">
        <w:rPr>
          <w:rFonts w:cs="Arial"/>
          <w:lang w:val="en-GB"/>
        </w:rPr>
        <w:t xml:space="preserve"> (Accessed: 6 October 2026).</w:t>
      </w:r>
    </w:p>
    <w:p w14:paraId="7E535F26" w14:textId="77777777" w:rsidR="00E17DA6" w:rsidRPr="00161B5A" w:rsidRDefault="004B2198">
      <w:pPr>
        <w:spacing w:after="200"/>
        <w:ind w:left="360" w:hanging="360"/>
        <w:rPr>
          <w:rFonts w:cs="Arial"/>
          <w:lang w:val="en-GB"/>
        </w:rPr>
      </w:pPr>
      <w:r w:rsidRPr="00161B5A">
        <w:rPr>
          <w:rFonts w:cs="Arial"/>
          <w:lang w:val="en-GB"/>
        </w:rPr>
        <w:t xml:space="preserve">NHS England (2019) </w:t>
      </w:r>
      <w:r w:rsidRPr="00161B5A">
        <w:rPr>
          <w:rFonts w:cs="Arial"/>
          <w:i/>
          <w:lang w:val="en-GB"/>
        </w:rPr>
        <w:t>NHS England publishes guidance on Flash Glucose Monitors for Type 1 diabetes patients</w:t>
      </w:r>
      <w:r w:rsidRPr="00161B5A">
        <w:rPr>
          <w:rFonts w:cs="Arial"/>
          <w:lang w:val="en-GB"/>
        </w:rPr>
        <w:t xml:space="preserve">, 7 March. Available at: </w:t>
      </w:r>
      <w:hyperlink r:id="rId18">
        <w:r w:rsidR="00E17DA6" w:rsidRPr="00161B5A">
          <w:rPr>
            <w:rFonts w:cs="Arial"/>
            <w:color w:val="174A73"/>
            <w:lang w:val="en-GB"/>
          </w:rPr>
          <w:t>https://www.england.nhs.uk/2019/03/nhs-england-publishes-guidance-on-flash-glucose-monitors-for-type-1-diabetes-patients/</w:t>
        </w:r>
      </w:hyperlink>
      <w:r w:rsidRPr="00161B5A">
        <w:rPr>
          <w:rFonts w:cs="Arial"/>
          <w:lang w:val="en-GB"/>
        </w:rPr>
        <w:t xml:space="preserve"> (Accessed: 6 October 2026).</w:t>
      </w:r>
    </w:p>
    <w:p w14:paraId="5F7626B2" w14:textId="1FDCC91E" w:rsidR="00A41F0B" w:rsidRPr="00161B5A" w:rsidRDefault="004B2198" w:rsidP="00A41F0B">
      <w:pPr>
        <w:spacing w:after="200"/>
        <w:ind w:left="360" w:hanging="360"/>
        <w:rPr>
          <w:rFonts w:cs="Arial"/>
          <w:lang w:val="en-GB"/>
        </w:rPr>
      </w:pPr>
      <w:r w:rsidRPr="00161B5A">
        <w:rPr>
          <w:rFonts w:cs="Arial"/>
          <w:lang w:val="en-GB"/>
        </w:rPr>
        <w:t>Richardson, E., Stribling, B., Ridgeway, J., Kitching-Davis, C., Willcocks, L., Heggs, L., Wakefield, H., Gallen, G., Jolley, A., Bareford, K., Williams, A., Farrow, D., Fletcher-Salt, T., Hicks, D., Higgins, J., Jordan, L., Kelly, B., Metcalf-O’Shea, C., Turner, M., Walden, E., Walker, A. and Choudhary, P. (2026) ‘A consensus statement on a National Competency Framework for training and assessment of knowledge and skills in diabetes technologies, including hybrid closed loop (HCL), insulin pump systems, an</w:t>
      </w:r>
      <w:r w:rsidRPr="00161B5A">
        <w:rPr>
          <w:rFonts w:cs="Arial"/>
          <w:lang w:val="en-GB"/>
        </w:rPr>
        <w:t xml:space="preserve">d continuous glucose monitoring (CGM) devices’, </w:t>
      </w:r>
      <w:r w:rsidRPr="00161B5A">
        <w:rPr>
          <w:rFonts w:cs="Arial"/>
          <w:i/>
          <w:lang w:val="en-GB"/>
        </w:rPr>
        <w:t>Diabetic Medicine</w:t>
      </w:r>
      <w:r w:rsidRPr="00161B5A">
        <w:rPr>
          <w:rFonts w:cs="Arial"/>
          <w:lang w:val="en-GB"/>
        </w:rPr>
        <w:t xml:space="preserve">, 43(7), article e70253. Available at: </w:t>
      </w:r>
      <w:hyperlink r:id="rId19">
        <w:r w:rsidR="00A41F0B" w:rsidRPr="00161B5A">
          <w:rPr>
            <w:rFonts w:cs="Arial"/>
            <w:color w:val="174A73"/>
            <w:lang w:val="en-GB"/>
          </w:rPr>
          <w:t>https://doi.org/10.1111/dme.70253</w:t>
        </w:r>
      </w:hyperlink>
      <w:r w:rsidRPr="00161B5A">
        <w:rPr>
          <w:rFonts w:cs="Arial"/>
          <w:lang w:val="en-GB"/>
        </w:rPr>
        <w:t>.</w:t>
      </w:r>
    </w:p>
    <w:p w14:paraId="5EBBA453" w14:textId="28AB724D" w:rsidR="00E17DA6" w:rsidRPr="00161B5A" w:rsidRDefault="00E17DA6">
      <w:pPr>
        <w:rPr>
          <w:rFonts w:cs="Arial"/>
          <w:lang w:val="en-GB"/>
        </w:rPr>
      </w:pPr>
    </w:p>
    <w:sectPr w:rsidR="00E17DA6" w:rsidRPr="00161B5A" w:rsidSect="00034616">
      <w:footerReference w:type="default" r:id="rId20"/>
      <w:pgSz w:w="11909" w:h="16834"/>
      <w:pgMar w:top="1224" w:right="1296" w:bottom="1224" w:left="1296"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3099577" w14:textId="77777777" w:rsidR="001D0C49" w:rsidRDefault="001D0C49">
      <w:pPr>
        <w:spacing w:after="0" w:line="240" w:lineRule="auto"/>
      </w:pPr>
      <w:r>
        <w:separator/>
      </w:r>
    </w:p>
  </w:endnote>
  <w:endnote w:type="continuationSeparator" w:id="0">
    <w:p w14:paraId="651A842C" w14:textId="77777777" w:rsidR="001D0C49" w:rsidRDefault="001D0C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95DC95" w14:textId="77777777" w:rsidR="00E17DA6" w:rsidRDefault="004B2198">
    <w:pPr>
      <w:pStyle w:val="Footer"/>
      <w:jc w:val="center"/>
    </w:pPr>
    <w:r>
      <w:t xml:space="preserve">Page </w:t>
    </w:r>
    <w:r>
      <w:fldChar w:fldCharType="begin"/>
    </w:r>
    <w:r>
      <w:instrText>PAGE</w:instrText>
    </w:r>
    <w:r>
      <w:fldChar w:fldCharType="separate"/>
    </w:r>
    <w:r w:rsidR="00AB5EAD">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AF08E4D" w14:textId="77777777" w:rsidR="001D0C49" w:rsidRDefault="001D0C49">
      <w:pPr>
        <w:spacing w:after="0" w:line="240" w:lineRule="auto"/>
      </w:pPr>
      <w:r>
        <w:separator/>
      </w:r>
    </w:p>
  </w:footnote>
  <w:footnote w:type="continuationSeparator" w:id="0">
    <w:p w14:paraId="260A544F" w14:textId="77777777" w:rsidR="001D0C49" w:rsidRDefault="001D0C4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jJlztf26" int2:invalidationBookmarkName="" int2:hashCode="PVPyNHMkDT8JD0" int2:id="0AkLquMC">
      <int2:state int2:value="Rejected" int2:type="style"/>
    </int2:bookmark>
    <int2:bookmark int2:bookmarkName="_Int_Lpjz21UC" int2:invalidationBookmarkName="" int2:hashCode="2/Zj6FVGQB1+2R" int2:id="U7NlpDC2">
      <int2:state int2:value="Rejected" int2:type="style"/>
    </int2:bookmark>
    <int2:bookmark int2:bookmarkName="_Int_lKUxLxgu" int2:invalidationBookmarkName="" int2:hashCode="QTrdmBrFRkT6m6" int2:id="INX92ppN">
      <int2:state int2:value="Rejected" int2:type="style"/>
    </int2:bookmark>
    <int2:bookmark int2:bookmarkName="_Int_YPr8K6rH" int2:invalidationBookmarkName="" int2:hashCode="Z3z4mbVO68gw+D" int2:id="VI1cfHJk">
      <int2:state int2:value="Rejected" int2:type="style"/>
    </int2:bookmark>
    <int2:bookmark int2:bookmarkName="_Int_BzOX9ZKR" int2:invalidationBookmarkName="" int2:hashCode="zmzJGCTRvNocIm" int2:id="uddRHPZf">
      <int2:state int2:value="Rejected" int2:type="style"/>
    </int2:bookmark>
    <int2:bookmark int2:bookmarkName="_Int_eRxNeID8" int2:invalidationBookmarkName="" int2:hashCode="TSDQLFvmrERnju" int2:id="JLai3IuH">
      <int2:state int2:value="Rejected" int2:type="style"/>
    </int2:bookmark>
    <int2:bookmark int2:bookmarkName="_Int_s1jtd8wp" int2:invalidationBookmarkName="" int2:hashCode="abv8hEK+50SKSI" int2:id="oWHKCjlc">
      <int2:state int2:value="Rejected" int2:type="style"/>
    </int2:bookmark>
    <int2:bookmark int2:bookmarkName="_Int_Uoj0BQLH" int2:invalidationBookmarkName="" int2:hashCode="i1wS7chpbgrMZC" int2:id="t4iFVs6j">
      <int2:state int2:value="Rejected" int2:type="style"/>
    </int2:bookmark>
    <int2:bookmark int2:bookmarkName="_Int_VZCrOMXt" int2:invalidationBookmarkName="" int2:hashCode="45ZZReysSWIMoh" int2:id="9gCFBsfH">
      <int2:state int2:value="Rejected" int2:type="style"/>
    </int2:bookmark>
    <int2:bookmark int2:bookmarkName="_Int_g3JuVyAo" int2:invalidationBookmarkName="" int2:hashCode="q6x18dm+eLzEIN" int2:id="97rVVW3q">
      <int2:state int2:value="Rejected" int2:type="style"/>
    </int2:bookmark>
    <int2:bookmark int2:bookmarkName="_Int_yewZJZ8h" int2:invalidationBookmarkName="" int2:hashCode="cLNgNfPTdXISCb" int2:id="on1vA1wJ">
      <int2:state int2:value="Rejected" int2:type="style"/>
    </int2:bookmark>
    <int2:bookmark int2:bookmarkName="_Int_GqOsTudA" int2:invalidationBookmarkName="" int2:hashCode="hCy70cDPJAl1Gx" int2:id="tqbpYSgL">
      <int2:state int2:value="Rejected" int2:type="style"/>
    </int2:bookmark>
    <int2:bookmark int2:bookmarkName="_Int_EMcICm8A" int2:invalidationBookmarkName="" int2:hashCode="ozSWl/ZnY69Y4o" int2:id="WCOIZ59d">
      <int2:state int2:value="Rejected" int2:type="style"/>
    </int2:bookmark>
    <int2:bookmark int2:bookmarkName="_Int_0VEOGq1S" int2:invalidationBookmarkName="" int2:hashCode="wbMpbDXW46ofkb" int2:id="uOHZTXKE">
      <int2:state int2:value="Rejected" int2:type="style"/>
    </int2:bookmark>
    <int2:bookmark int2:bookmarkName="_Int_GUGMCxMV" int2:invalidationBookmarkName="" int2:hashCode="5sI2PUUDC3XtUc" int2:id="43xZMEyi">
      <int2:state int2:value="Rejected" int2:type="style"/>
    </int2:bookmark>
    <int2:bookmark int2:bookmarkName="_Int_OreptmOk" int2:invalidationBookmarkName="" int2:hashCode="u9pq0NOV4WThss" int2:id="zlyItRfC">
      <int2:state int2:value="Rejected" int2:type="style"/>
    </int2:bookmark>
    <int2:bookmark int2:bookmarkName="_Int_vqtJxxFR" int2:invalidationBookmarkName="" int2:hashCode="6D3YDSLpyzSoVt" int2:id="hUbdqsMi">
      <int2:state int2:value="Rejected" int2:type="style"/>
    </int2:bookmark>
    <int2:bookmark int2:bookmarkName="_Int_fzoXc53g" int2:invalidationBookmarkName="" int2:hashCode="mGGxO6mvkVQ7ZF" int2:id="uISsX3B2">
      <int2:state int2:value="Rejected" int2:type="style"/>
    </int2:bookmark>
    <int2:bookmark int2:bookmarkName="_Int_xlMZTVkl" int2:invalidationBookmarkName="" int2:hashCode="SyJ4tKJEAit6jW" int2:id="fAMmQXsN">
      <int2:state int2:value="Rejected" int2:type="style"/>
    </int2:bookmark>
    <int2:bookmark int2:bookmarkName="_Int_tssfFQyl" int2:invalidationBookmarkName="" int2:hashCode="woyhXQAn2qDPH8" int2:id="Jk2826E8">
      <int2:state int2:value="Rejected" int2:type="style"/>
    </int2:bookmark>
    <int2:bookmark int2:bookmarkName="_Int_0wUzRzcB" int2:invalidationBookmarkName="" int2:hashCode="3Q4yC7V24CHo5R" int2:id="odVzpj1B">
      <int2:state int2:value="Rejected" int2:type="style"/>
    </int2:bookmark>
    <int2:bookmark int2:bookmarkName="_Int_906EqLIN" int2:invalidationBookmarkName="" int2:hashCode="kOl357MEJUiyol" int2:id="yI4inGPc">
      <int2:state int2:value="Rejected" int2:type="style"/>
    </int2:bookmark>
    <int2:bookmark int2:bookmarkName="_Int_KWxy8nO0" int2:invalidationBookmarkName="" int2:hashCode="UC2JR6jFNsVOww" int2:id="iSgC9gPn">
      <int2:state int2:value="Rejected" int2:type="style"/>
    </int2:bookmark>
    <int2:bookmark int2:bookmarkName="_Int_jqr0Sd2Y" int2:invalidationBookmarkName="" int2:hashCode="YMdP1mTcvytHHX" int2:id="eomZhpDL">
      <int2:state int2:value="Rejected" int2:type="style"/>
    </int2:bookmark>
    <int2:bookmark int2:bookmarkName="_Int_zXt4JBdI" int2:invalidationBookmarkName="" int2:hashCode="f4zwjjr8W/wINw" int2:id="PJO55FSS">
      <int2:state int2:value="Rejected" int2:type="style"/>
    </int2:bookmark>
    <int2:bookmark int2:bookmarkName="_Int_OVmv1Ao1" int2:invalidationBookmarkName="" int2:hashCode="2ri/DQugDlgE8H" int2:id="R0SYNdRQ">
      <int2:state int2:value="Rejected" int2:type="style"/>
    </int2:bookmark>
    <int2:bookmark int2:bookmarkName="_Int_rWV3d2mj" int2:invalidationBookmarkName="" int2:hashCode="zT0yYPELHUvIyy" int2:id="sFewqeCk">
      <int2:state int2:value="Rejected" int2:type="style"/>
    </int2:bookmark>
    <int2:bookmark int2:bookmarkName="_Int_PiHVdkVa" int2:invalidationBookmarkName="" int2:hashCode="kOl357MEJUiyol" int2:id="Aa55VYGR">
      <int2:state int2:value="Rejected" int2:type="style"/>
    </int2:bookmark>
    <int2:bookmark int2:bookmarkName="_Int_V4NuONIF" int2:invalidationBookmarkName="" int2:hashCode="RdoqFNKQP561c4" int2:id="QA2yt6qc">
      <int2:state int2:value="Rejected" int2:type="style"/>
    </int2:bookmark>
    <int2:bookmark int2:bookmarkName="_Int_lwGHyq9L" int2:invalidationBookmarkName="" int2:hashCode="+CdJPrWFC/LgQR" int2:id="qSDawcP8">
      <int2:state int2:value="Rejected" int2:type="style"/>
    </int2:bookmark>
    <int2:bookmark int2:bookmarkName="_Int_RLizHdPy" int2:invalidationBookmarkName="" int2:hashCode="3FvYtZL3uTSc1s" int2:id="aO5v5y5z">
      <int2:state int2:value="Rejected" int2:type="style"/>
    </int2:bookmark>
    <int2:bookmark int2:bookmarkName="_Int_vww2I4gQ" int2:invalidationBookmarkName="" int2:hashCode="FBURAR6zf690mX" int2:id="xMVChPVI">
      <int2:state int2:value="Rejected" int2:type="style"/>
    </int2:bookmark>
    <int2:bookmark int2:bookmarkName="_Int_S0OZ3aFy" int2:invalidationBookmarkName="" int2:hashCode="u8mUsBerZxdfzs" int2:id="oEV77ae0">
      <int2:state int2:value="Rejected" int2:type="style"/>
    </int2:bookmark>
    <int2:bookmark int2:bookmarkName="_Int_mSI9uiKc" int2:invalidationBookmarkName="" int2:hashCode="t8xaJcwRNn16bh" int2:id="QRyMSU8z">
      <int2:state int2:value="Rejected" int2:type="style"/>
    </int2:bookmark>
    <int2:bookmark int2:bookmarkName="_Int_xFoaBSI8" int2:invalidationBookmarkName="" int2:hashCode="rK0YlWK9l9aPOW" int2:id="GRPIAqAD">
      <int2:state int2:value="Rejected" int2:type="style"/>
    </int2:bookmark>
    <int2:bookmark int2:bookmarkName="_Int_U5WSnbUa" int2:invalidationBookmarkName="" int2:hashCode="OK8LzXYiukBY/I" int2:id="b921fV3n">
      <int2:state int2:value="Rejected" int2:type="style"/>
    </int2:bookmark>
    <int2:bookmark int2:bookmarkName="_Int_TsV2Q5QC" int2:invalidationBookmarkName="" int2:hashCode="1x+1qZ2cBpy/1L" int2:id="T81WkP4n">
      <int2:state int2:value="Rejected" int2:type="style"/>
    </int2:bookmark>
    <int2:bookmark int2:bookmarkName="_Int_f4Vm7mcE" int2:invalidationBookmarkName="" int2:hashCode="5sI2PUUDC3XtUc" int2:id="qxLNyGeD">
      <int2:state int2:value="Rejected" int2:type="style"/>
    </int2:bookmark>
    <int2:bookmark int2:bookmarkName="_Int_I6oj7gP6" int2:invalidationBookmarkName="" int2:hashCode="9URBXBkAWwioNL" int2:id="jOlJGLMO">
      <int2:state int2:value="Rejected" int2:type="style"/>
    </int2:bookmark>
    <int2:bookmark int2:bookmarkName="_Int_zQHyxx8E" int2:invalidationBookmarkName="" int2:hashCode="8Vc85G8PJiwi4q" int2:id="pXLHcyf1">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72286200">
    <w:abstractNumId w:val="8"/>
  </w:num>
  <w:num w:numId="2" w16cid:durableId="742024292">
    <w:abstractNumId w:val="6"/>
  </w:num>
  <w:num w:numId="3" w16cid:durableId="1691493276">
    <w:abstractNumId w:val="5"/>
  </w:num>
  <w:num w:numId="4" w16cid:durableId="1454977072">
    <w:abstractNumId w:val="4"/>
  </w:num>
  <w:num w:numId="5" w16cid:durableId="836849634">
    <w:abstractNumId w:val="7"/>
  </w:num>
  <w:num w:numId="6" w16cid:durableId="1595090728">
    <w:abstractNumId w:val="3"/>
  </w:num>
  <w:num w:numId="7" w16cid:durableId="1669556621">
    <w:abstractNumId w:val="2"/>
  </w:num>
  <w:num w:numId="8" w16cid:durableId="1290816462">
    <w:abstractNumId w:val="1"/>
  </w:num>
  <w:num w:numId="9" w16cid:durableId="5088279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51A22"/>
    <w:rsid w:val="0006063C"/>
    <w:rsid w:val="00091A78"/>
    <w:rsid w:val="00095C36"/>
    <w:rsid w:val="000D471A"/>
    <w:rsid w:val="0015074B"/>
    <w:rsid w:val="001508E3"/>
    <w:rsid w:val="00161B5A"/>
    <w:rsid w:val="001656F9"/>
    <w:rsid w:val="001D0C49"/>
    <w:rsid w:val="001D34FB"/>
    <w:rsid w:val="001F77DF"/>
    <w:rsid w:val="0029639D"/>
    <w:rsid w:val="003226F1"/>
    <w:rsid w:val="00326F90"/>
    <w:rsid w:val="0036597B"/>
    <w:rsid w:val="0044117A"/>
    <w:rsid w:val="004B2198"/>
    <w:rsid w:val="00521177"/>
    <w:rsid w:val="005F4051"/>
    <w:rsid w:val="0060350A"/>
    <w:rsid w:val="007025B0"/>
    <w:rsid w:val="007A6400"/>
    <w:rsid w:val="008936E2"/>
    <w:rsid w:val="00A07088"/>
    <w:rsid w:val="00A41F0B"/>
    <w:rsid w:val="00AA1D8D"/>
    <w:rsid w:val="00AB5EAD"/>
    <w:rsid w:val="00AE0CF3"/>
    <w:rsid w:val="00B47730"/>
    <w:rsid w:val="00C9273A"/>
    <w:rsid w:val="00CB0664"/>
    <w:rsid w:val="00DA3328"/>
    <w:rsid w:val="00DF54BC"/>
    <w:rsid w:val="00E17DA6"/>
    <w:rsid w:val="00ED213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21B4E23"/>
  <w14:defaultImageDpi w14:val="300"/>
  <w15:docId w15:val="{B8B3670D-C55E-46C4-BDE4-4244F624A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40" w:line="360" w:lineRule="auto"/>
      <w:jc w:val="both"/>
    </w:pPr>
    <w:rPr>
      <w:rFonts w:ascii="Arial" w:hAnsi="Arial"/>
    </w:rPr>
  </w:style>
  <w:style w:type="paragraph" w:styleId="Heading1">
    <w:name w:val="heading 1"/>
    <w:basedOn w:val="Normal"/>
    <w:next w:val="Normal"/>
    <w:link w:val="Heading1Char"/>
    <w:uiPriority w:val="9"/>
    <w:qFormat/>
    <w:rsid w:val="00FC693F"/>
    <w:pPr>
      <w:keepNext/>
      <w:keepLines/>
      <w:spacing w:before="240" w:after="120"/>
      <w:outlineLvl w:val="0"/>
    </w:pPr>
    <w:rPr>
      <w:rFonts w:asciiTheme="majorHAnsi" w:eastAsiaTheme="majorEastAsia" w:hAnsiTheme="majorHAnsi" w:cstheme="majorBidi"/>
      <w:b/>
      <w:bCs/>
      <w:color w:val="000000"/>
      <w:szCs w:val="28"/>
    </w:rPr>
  </w:style>
  <w:style w:type="paragraph" w:styleId="Heading2">
    <w:name w:val="heading 2"/>
    <w:basedOn w:val="Normal"/>
    <w:next w:val="Normal"/>
    <w:link w:val="Heading2Char"/>
    <w:uiPriority w:val="9"/>
    <w:unhideWhenUsed/>
    <w:qFormat/>
    <w:rsid w:val="00FC693F"/>
    <w:pPr>
      <w:keepNext/>
      <w:keepLines/>
      <w:spacing w:before="240" w:after="120"/>
      <w:outlineLvl w:val="1"/>
    </w:pPr>
    <w:rPr>
      <w:rFonts w:asciiTheme="majorHAnsi" w:eastAsiaTheme="majorEastAsia" w:hAnsiTheme="majorHAnsi" w:cstheme="majorBidi"/>
      <w:b/>
      <w:bCs/>
      <w:color w:val="000000"/>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rPr>
      <w:rFonts w:ascii="Arial" w:hAnsi="Arial"/>
    </w:r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Arial" w:hAnsi="Arial"/>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rPr>
      <w:rFonts w:ascii="Arial" w:hAnsi="Arial"/>
    </w:r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bmjopen-2022-070477" TargetMode="External"/><Relationship Id="rId13" Type="http://schemas.openxmlformats.org/officeDocument/2006/relationships/hyperlink" Target="https://doi.org/10.1136/bmjdrc-2023-003561" TargetMode="External"/><Relationship Id="rId18" Type="http://schemas.openxmlformats.org/officeDocument/2006/relationships/hyperlink" Target="https://www.england.nhs.uk/2019/03/nhs-england-publishes-guidance-on-flash-glucose-monitors-for-type-1-diabetes-patient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07/s00125-021-05578-1" TargetMode="External"/><Relationship Id="rId17" Type="http://schemas.openxmlformats.org/officeDocument/2006/relationships/hyperlink" Target="https://www.nice.org.uk/guidance/ng17/chapter/recommendations" TargetMode="External"/><Relationship Id="rId2" Type="http://schemas.openxmlformats.org/officeDocument/2006/relationships/numbering" Target="numbering.xml"/><Relationship Id="rId16" Type="http://schemas.openxmlformats.org/officeDocument/2006/relationships/hyperlink" Target="https://doi.org/10.1177/0038038509103208"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dme.15232" TargetMode="External"/><Relationship Id="rId5" Type="http://schemas.openxmlformats.org/officeDocument/2006/relationships/webSettings" Target="webSettings.xml"/><Relationship Id="rId15" Type="http://schemas.openxmlformats.org/officeDocument/2006/relationships/hyperlink" Target="https://doi.org/10.1056/NEJMoa2205650" TargetMode="External"/><Relationship Id="rId23" Type="http://schemas.microsoft.com/office/2020/10/relationships/intelligence" Target="intelligence2.xml"/><Relationship Id="rId10" Type="http://schemas.openxmlformats.org/officeDocument/2006/relationships/hyperlink" Target="https://doi.org/10.1111/dom.14467" TargetMode="External"/><Relationship Id="rId19" Type="http://schemas.openxmlformats.org/officeDocument/2006/relationships/hyperlink" Target="https://doi.org/10.1111/dme.70253" TargetMode="External"/><Relationship Id="rId4" Type="http://schemas.openxmlformats.org/officeDocument/2006/relationships/settings" Target="settings.xml"/><Relationship Id="rId9" Type="http://schemas.openxmlformats.org/officeDocument/2006/relationships/hyperlink" Target="https://doi.org/10.2337/dc20-0738" TargetMode="External"/><Relationship Id="rId14" Type="http://schemas.openxmlformats.org/officeDocument/2006/relationships/hyperlink" Target="https://doi.org/10.1177/1932296823117653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3309</Words>
  <Characters>18866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22131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FreeStyle Libre in NHS Diabetes Care in England</dc:title>
  <dc:subject>BMHP6026 Component 1: Written Report</dc:subject>
  <dc:creator/>
  <cp:keywords/>
  <dc:description>generated by python-docx</dc:description>
  <cp:lastModifiedBy>Aysha Hussain (2319032)</cp:lastModifiedBy>
  <cp:revision>2</cp:revision>
  <dcterms:created xsi:type="dcterms:W3CDTF">2026-10-17T22:00:00Z</dcterms:created>
  <dcterms:modified xsi:type="dcterms:W3CDTF">2026-10-17T22:00:00Z</dcterms:modified>
  <cp:category/>
</cp:coreProperties>
</file>