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2EF804A0" w14:textId="09959A44" w:rsidR="00ED5964" w:rsidRDefault="00ED5964" w:rsidP="00ED5964">
      <w:pPr>
        <w:jc w:val="both"/>
        <w:rPr>
          <w:rFonts w:asciiTheme="minorBidi" w:hAnsiTheme="minorBidi"/>
          <w:sz w:val="28"/>
          <w:szCs w:val="28"/>
        </w:rPr>
      </w:pPr>
      <w:r>
        <w:rPr>
          <w:rFonts w:asciiTheme="minorBidi" w:hAnsiTheme="minorBidi"/>
          <w:sz w:val="28"/>
          <w:szCs w:val="28"/>
        </w:rPr>
        <w:t xml:space="preserve">Name: </w:t>
      </w:r>
      <w:r w:rsidR="002C1FBF">
        <w:rPr>
          <w:rFonts w:asciiTheme="minorBidi" w:hAnsiTheme="minorBidi"/>
          <w:sz w:val="28"/>
          <w:szCs w:val="28"/>
        </w:rPr>
        <w:t>Nazish Mushtaq</w:t>
      </w:r>
    </w:p>
    <w:p w14:paraId="485B6F49" w14:textId="12CB6AD6" w:rsidR="00ED5964" w:rsidRDefault="00ED5964" w:rsidP="00ED5964">
      <w:pPr>
        <w:jc w:val="both"/>
        <w:rPr>
          <w:rFonts w:asciiTheme="minorBidi" w:hAnsiTheme="minorBidi"/>
          <w:sz w:val="28"/>
          <w:szCs w:val="28"/>
        </w:rPr>
      </w:pPr>
      <w:r>
        <w:rPr>
          <w:rFonts w:asciiTheme="minorBidi" w:hAnsiTheme="minorBidi"/>
          <w:sz w:val="28"/>
          <w:szCs w:val="28"/>
        </w:rPr>
        <w:t xml:space="preserve">Student ID: </w:t>
      </w:r>
      <w:r w:rsidR="002C1FBF">
        <w:rPr>
          <w:rFonts w:asciiTheme="minorBidi" w:hAnsiTheme="minorBidi"/>
          <w:sz w:val="28"/>
          <w:szCs w:val="28"/>
        </w:rPr>
        <w:t>2545279</w:t>
      </w:r>
    </w:p>
    <w:p w14:paraId="3C1E7A20" w14:textId="45FB23EC" w:rsidR="00ED5964" w:rsidRDefault="00ED5964" w:rsidP="00ED5964">
      <w:pPr>
        <w:jc w:val="both"/>
        <w:rPr>
          <w:rFonts w:asciiTheme="minorBidi" w:hAnsiTheme="minorBidi"/>
          <w:sz w:val="28"/>
          <w:szCs w:val="28"/>
        </w:rPr>
      </w:pPr>
      <w:r>
        <w:rPr>
          <w:rFonts w:asciiTheme="minorBidi" w:hAnsiTheme="minorBidi"/>
          <w:sz w:val="28"/>
          <w:szCs w:val="28"/>
        </w:rPr>
        <w:t xml:space="preserve">Module Code: </w:t>
      </w:r>
      <w:r w:rsidR="002C1FBF">
        <w:rPr>
          <w:rFonts w:asciiTheme="minorBidi" w:hAnsiTheme="minorBidi"/>
          <w:sz w:val="28"/>
          <w:szCs w:val="28"/>
        </w:rPr>
        <w:t>LCHS4001</w:t>
      </w:r>
    </w:p>
    <w:p w14:paraId="4EEB2DA3" w14:textId="3D15E131" w:rsidR="00ED5964" w:rsidRDefault="00ED5964" w:rsidP="00ED5964">
      <w:pPr>
        <w:jc w:val="both"/>
        <w:rPr>
          <w:rFonts w:asciiTheme="minorBidi" w:hAnsiTheme="minorBidi"/>
          <w:sz w:val="28"/>
          <w:szCs w:val="28"/>
        </w:rPr>
      </w:pPr>
      <w:r>
        <w:rPr>
          <w:rFonts w:asciiTheme="minorBidi" w:hAnsiTheme="minorBidi"/>
          <w:sz w:val="28"/>
          <w:szCs w:val="28"/>
        </w:rPr>
        <w:t xml:space="preserve">Module: </w:t>
      </w:r>
      <w:r w:rsidR="002C1FBF">
        <w:rPr>
          <w:rFonts w:asciiTheme="minorBidi" w:hAnsiTheme="minorBidi"/>
          <w:sz w:val="28"/>
          <w:szCs w:val="28"/>
        </w:rPr>
        <w:t>Academic and employability skills</w:t>
      </w:r>
    </w:p>
    <w:p w14:paraId="112342CB" w14:textId="73D28AF6" w:rsidR="00ED5964" w:rsidRDefault="00ED5964" w:rsidP="00ED5964">
      <w:pPr>
        <w:jc w:val="both"/>
        <w:rPr>
          <w:rFonts w:asciiTheme="minorBidi" w:hAnsiTheme="minorBidi"/>
          <w:sz w:val="28"/>
          <w:szCs w:val="28"/>
        </w:rPr>
      </w:pPr>
      <w:r>
        <w:rPr>
          <w:rFonts w:asciiTheme="minorBidi" w:hAnsiTheme="minorBidi"/>
          <w:sz w:val="28"/>
          <w:szCs w:val="28"/>
        </w:rPr>
        <w:t xml:space="preserve">Lecturer: </w:t>
      </w:r>
      <w:r w:rsidR="002C1FBF">
        <w:rPr>
          <w:rFonts w:asciiTheme="minorBidi" w:hAnsiTheme="minorBidi"/>
          <w:sz w:val="28"/>
          <w:szCs w:val="28"/>
        </w:rPr>
        <w:t>Rajeev Nath</w:t>
      </w:r>
    </w:p>
    <w:p w14:paraId="78C0B80E" w14:textId="77777777" w:rsidR="00ED5964" w:rsidRDefault="00ED5964" w:rsidP="00ED5964">
      <w:pPr>
        <w:jc w:val="both"/>
        <w:rPr>
          <w:rFonts w:asciiTheme="minorBidi" w:hAnsiTheme="minorBidi"/>
          <w:sz w:val="28"/>
          <w:szCs w:val="28"/>
        </w:rPr>
      </w:pPr>
    </w:p>
    <w:p w14:paraId="0C6F95D6" w14:textId="77777777" w:rsidR="00ED5964" w:rsidRDefault="00ED5964" w:rsidP="00ED5964">
      <w:pPr>
        <w:jc w:val="both"/>
        <w:rPr>
          <w:rFonts w:asciiTheme="minorBidi" w:hAnsiTheme="minorBidi"/>
          <w:sz w:val="28"/>
          <w:szCs w:val="28"/>
        </w:rPr>
      </w:pPr>
    </w:p>
    <w:p w14:paraId="71D7459F" w14:textId="77777777" w:rsidR="00ED5964" w:rsidRDefault="00ED5964" w:rsidP="00ED5964">
      <w:pPr>
        <w:jc w:val="both"/>
        <w:rPr>
          <w:rFonts w:asciiTheme="minorBidi" w:hAnsiTheme="minorBidi"/>
          <w:sz w:val="28"/>
          <w:szCs w:val="28"/>
        </w:rPr>
      </w:pPr>
    </w:p>
    <w:p w14:paraId="38621A58" w14:textId="77777777" w:rsidR="00ED5964" w:rsidRDefault="00ED5964" w:rsidP="00ED5964">
      <w:pPr>
        <w:jc w:val="both"/>
        <w:rPr>
          <w:rFonts w:asciiTheme="minorBidi" w:hAnsiTheme="minorBidi"/>
          <w:sz w:val="28"/>
          <w:szCs w:val="28"/>
        </w:rPr>
      </w:pPr>
    </w:p>
    <w:p w14:paraId="6988A1DC" w14:textId="77777777" w:rsidR="00ED5964" w:rsidRDefault="00ED5964" w:rsidP="00ED5964">
      <w:pPr>
        <w:jc w:val="both"/>
        <w:rPr>
          <w:rFonts w:asciiTheme="minorBidi" w:hAnsiTheme="minorBidi"/>
          <w:sz w:val="28"/>
          <w:szCs w:val="28"/>
        </w:rPr>
      </w:pPr>
    </w:p>
    <w:p w14:paraId="25C114EE" w14:textId="77777777" w:rsidR="00ED5964" w:rsidRDefault="00ED5964" w:rsidP="00ED5964">
      <w:pPr>
        <w:jc w:val="both"/>
        <w:rPr>
          <w:rFonts w:asciiTheme="minorBidi" w:hAnsiTheme="minorBidi"/>
          <w:sz w:val="28"/>
          <w:szCs w:val="28"/>
        </w:rPr>
      </w:pPr>
    </w:p>
    <w:p w14:paraId="4A73B1BE" w14:textId="77777777" w:rsidR="00ED5964" w:rsidRDefault="00ED5964" w:rsidP="00ED5964">
      <w:pPr>
        <w:jc w:val="both"/>
        <w:rPr>
          <w:rFonts w:asciiTheme="minorBidi" w:hAnsiTheme="minorBidi"/>
          <w:sz w:val="28"/>
          <w:szCs w:val="28"/>
        </w:rPr>
      </w:pPr>
    </w:p>
    <w:p w14:paraId="072506E1" w14:textId="3C1D422E" w:rsidR="00ED5964" w:rsidRDefault="00ED5964" w:rsidP="00ED5964">
      <w:pPr>
        <w:jc w:val="both"/>
        <w:rPr>
          <w:rFonts w:asciiTheme="minorBidi" w:hAnsiTheme="minorBidi"/>
          <w:sz w:val="28"/>
          <w:szCs w:val="28"/>
        </w:rPr>
      </w:pPr>
      <w:r>
        <w:rPr>
          <w:rFonts w:asciiTheme="minorBidi" w:hAnsiTheme="minorBidi"/>
          <w:sz w:val="28"/>
          <w:szCs w:val="28"/>
        </w:rPr>
        <w:tab/>
      </w:r>
      <w:r>
        <w:rPr>
          <w:rFonts w:asciiTheme="minorBidi" w:hAnsiTheme="minorBidi"/>
          <w:sz w:val="28"/>
          <w:szCs w:val="28"/>
        </w:rPr>
        <w:tab/>
      </w:r>
      <w:r>
        <w:rPr>
          <w:rFonts w:asciiTheme="minorBidi" w:hAnsiTheme="minorBidi"/>
          <w:sz w:val="28"/>
          <w:szCs w:val="28"/>
        </w:rPr>
        <w:tab/>
      </w:r>
      <w:r w:rsidR="006A5CFC">
        <w:rPr>
          <w:rFonts w:asciiTheme="minorBidi" w:hAnsiTheme="minorBidi"/>
          <w:sz w:val="28"/>
          <w:szCs w:val="28"/>
        </w:rPr>
        <w:tab/>
      </w:r>
      <w:r>
        <w:rPr>
          <w:rFonts w:asciiTheme="minorBidi" w:hAnsiTheme="minorBidi"/>
          <w:sz w:val="28"/>
          <w:szCs w:val="28"/>
        </w:rPr>
        <w:t xml:space="preserve">Submitted on:    </w:t>
      </w:r>
    </w:p>
    <w:p w14:paraId="3C6FB008" w14:textId="77777777" w:rsidR="00ED5964" w:rsidRDefault="00ED5964" w:rsidP="00ED5964">
      <w:pPr>
        <w:jc w:val="both"/>
        <w:rPr>
          <w:rFonts w:asciiTheme="minorBidi" w:hAnsiTheme="minorBidi"/>
          <w:sz w:val="28"/>
          <w:szCs w:val="28"/>
        </w:rPr>
      </w:pPr>
    </w:p>
    <w:p w14:paraId="3EA711CF" w14:textId="77777777" w:rsidR="00ED5964" w:rsidRDefault="00ED5964" w:rsidP="00ED5964">
      <w:pPr>
        <w:jc w:val="both"/>
        <w:rPr>
          <w:rFonts w:asciiTheme="minorBidi" w:hAnsiTheme="minorBidi"/>
          <w:sz w:val="28"/>
          <w:szCs w:val="28"/>
        </w:rPr>
      </w:pPr>
    </w:p>
    <w:p w14:paraId="32C3A4F9" w14:textId="77777777" w:rsidR="00ED5964" w:rsidRDefault="00ED5964" w:rsidP="00ED5964">
      <w:pPr>
        <w:jc w:val="both"/>
        <w:rPr>
          <w:rFonts w:asciiTheme="minorBidi" w:hAnsiTheme="minorBidi"/>
          <w:sz w:val="28"/>
          <w:szCs w:val="28"/>
        </w:rPr>
      </w:pPr>
    </w:p>
    <w:p w14:paraId="1434F2B1" w14:textId="77777777" w:rsidR="00ED5964" w:rsidRDefault="00ED5964" w:rsidP="00ED5964">
      <w:pPr>
        <w:jc w:val="both"/>
        <w:rPr>
          <w:rFonts w:asciiTheme="minorBidi" w:hAnsiTheme="minorBidi"/>
          <w:sz w:val="28"/>
          <w:szCs w:val="28"/>
        </w:rPr>
      </w:pPr>
    </w:p>
    <w:p w14:paraId="4F979E62" w14:textId="77777777" w:rsidR="00ED5964" w:rsidRDefault="00ED5964" w:rsidP="00ED5964">
      <w:pPr>
        <w:jc w:val="both"/>
        <w:rPr>
          <w:rFonts w:asciiTheme="minorBidi" w:hAnsiTheme="minorBidi"/>
          <w:sz w:val="28"/>
          <w:szCs w:val="28"/>
        </w:rPr>
      </w:pPr>
    </w:p>
    <w:p w14:paraId="4180CDBC" w14:textId="77777777" w:rsidR="00ED5964" w:rsidRPr="00242974" w:rsidRDefault="00ED5964" w:rsidP="00ED5964">
      <w:pPr>
        <w:jc w:val="both"/>
        <w:rPr>
          <w:rFonts w:asciiTheme="minorBidi" w:hAnsiTheme="minorBidi"/>
          <w:sz w:val="28"/>
          <w:szCs w:val="28"/>
        </w:rPr>
      </w:pPr>
    </w:p>
    <w:sdt>
      <w:sdtPr>
        <w:rPr>
          <w:rFonts w:eastAsiaTheme="minorEastAsia" w:cstheme="minorHAnsi"/>
          <w:b/>
          <w:color w:val="auto"/>
          <w:kern w:val="2"/>
          <w:sz w:val="20"/>
          <w:szCs w:val="22"/>
          <w:lang w:val="en-GB" w:eastAsia="zh-CN"/>
          <w14:ligatures w14:val="standardContextual"/>
        </w:rPr>
        <w:id w:val="2083777713"/>
        <w:docPartObj>
          <w:docPartGallery w:val="Table of Contents"/>
          <w:docPartUnique/>
        </w:docPartObj>
      </w:sdtPr>
      <w:sdtContent>
        <w:p w14:paraId="69A45AB4" w14:textId="1BC22B3F" w:rsidR="00184A9A" w:rsidRPr="002976D4" w:rsidRDefault="00184A9A">
          <w:pPr>
            <w:pStyle w:val="TOCHeading"/>
            <w:rPr>
              <w:color w:val="4472C4" w:themeColor="accent1"/>
            </w:rPr>
          </w:pPr>
          <w:r w:rsidRPr="0CF501EC">
            <w:rPr>
              <w:color w:val="4471C4"/>
            </w:rPr>
            <w:t>Table of Contents</w:t>
          </w:r>
        </w:p>
        <w:p w14:paraId="5D06697C" w14:textId="78EFB154" w:rsidR="00824CB1" w:rsidRDefault="0156E134" w:rsidP="0CF501EC">
          <w:pPr>
            <w:pStyle w:val="TOC2"/>
            <w:tabs>
              <w:tab w:val="right" w:leader="dot" w:pos="9015"/>
            </w:tabs>
            <w:rPr>
              <w:rStyle w:val="Hyperlink"/>
              <w:noProof/>
              <w:lang w:eastAsia="en-GB"/>
            </w:rPr>
          </w:pPr>
          <w:r>
            <w:fldChar w:fldCharType="begin"/>
          </w:r>
          <w:r w:rsidR="00184A9A">
            <w:instrText>TOC \o "1-3" \z \u \h</w:instrText>
          </w:r>
          <w:r>
            <w:fldChar w:fldCharType="separate"/>
          </w:r>
          <w:hyperlink w:anchor="_Toc695233283">
            <w:r w:rsidR="0CF501EC" w:rsidRPr="0CF501EC">
              <w:rPr>
                <w:rStyle w:val="Hyperlink"/>
              </w:rPr>
              <w:t>1.1 Introduction</w:t>
            </w:r>
            <w:r w:rsidR="00184A9A">
              <w:tab/>
            </w:r>
            <w:r w:rsidR="00184A9A">
              <w:fldChar w:fldCharType="begin"/>
            </w:r>
            <w:r w:rsidR="00184A9A">
              <w:instrText>PAGEREF _Toc695233283 \h</w:instrText>
            </w:r>
            <w:r w:rsidR="00184A9A">
              <w:fldChar w:fldCharType="separate"/>
            </w:r>
            <w:r w:rsidR="0CF501EC" w:rsidRPr="0CF501EC">
              <w:rPr>
                <w:rStyle w:val="Hyperlink"/>
              </w:rPr>
              <w:t>3</w:t>
            </w:r>
            <w:r w:rsidR="00184A9A">
              <w:fldChar w:fldCharType="end"/>
            </w:r>
          </w:hyperlink>
        </w:p>
        <w:p w14:paraId="5A09ADA9" w14:textId="441EB8D1" w:rsidR="00824CB1" w:rsidRDefault="0CF501EC" w:rsidP="0CF501EC">
          <w:pPr>
            <w:pStyle w:val="TOC2"/>
            <w:tabs>
              <w:tab w:val="right" w:leader="dot" w:pos="9015"/>
            </w:tabs>
            <w:rPr>
              <w:rStyle w:val="Hyperlink"/>
              <w:noProof/>
              <w:lang w:eastAsia="en-GB"/>
            </w:rPr>
          </w:pPr>
          <w:hyperlink w:anchor="_Toc1915621813">
            <w:r w:rsidRPr="0CF501EC">
              <w:rPr>
                <w:rStyle w:val="Hyperlink"/>
              </w:rPr>
              <w:t>2 [INSERT YOUR ROLE HERE] in the Health and Social Care Field</w:t>
            </w:r>
            <w:r w:rsidR="00824CB1">
              <w:tab/>
            </w:r>
            <w:r w:rsidR="00824CB1">
              <w:fldChar w:fldCharType="begin"/>
            </w:r>
            <w:r w:rsidR="00824CB1">
              <w:instrText>PAGEREF _Toc1915621813 \h</w:instrText>
            </w:r>
            <w:r w:rsidR="00824CB1">
              <w:fldChar w:fldCharType="separate"/>
            </w:r>
            <w:r w:rsidRPr="0CF501EC">
              <w:rPr>
                <w:rStyle w:val="Hyperlink"/>
              </w:rPr>
              <w:t>3</w:t>
            </w:r>
            <w:r w:rsidR="00824CB1">
              <w:fldChar w:fldCharType="end"/>
            </w:r>
          </w:hyperlink>
        </w:p>
        <w:p w14:paraId="405810A6" w14:textId="35857A35" w:rsidR="00824CB1" w:rsidRDefault="0CF501EC" w:rsidP="0CF501EC">
          <w:pPr>
            <w:pStyle w:val="TOC2"/>
            <w:tabs>
              <w:tab w:val="right" w:leader="dot" w:pos="9015"/>
            </w:tabs>
            <w:rPr>
              <w:rStyle w:val="Hyperlink"/>
              <w:noProof/>
              <w:lang w:eastAsia="en-GB"/>
            </w:rPr>
          </w:pPr>
          <w:hyperlink w:anchor="_Toc796087951">
            <w:r w:rsidRPr="0CF501EC">
              <w:rPr>
                <w:rStyle w:val="Hyperlink"/>
              </w:rPr>
              <w:t>2.1 Description of [INSERT YOUR ROLE HERE] in Health and Social Care</w:t>
            </w:r>
            <w:r w:rsidR="00824CB1">
              <w:tab/>
            </w:r>
            <w:r w:rsidR="00824CB1">
              <w:fldChar w:fldCharType="begin"/>
            </w:r>
            <w:r w:rsidR="00824CB1">
              <w:instrText>PAGEREF _Toc796087951 \h</w:instrText>
            </w:r>
            <w:r w:rsidR="00824CB1">
              <w:fldChar w:fldCharType="separate"/>
            </w:r>
            <w:r w:rsidRPr="0CF501EC">
              <w:rPr>
                <w:rStyle w:val="Hyperlink"/>
              </w:rPr>
              <w:t>3</w:t>
            </w:r>
            <w:r w:rsidR="00824CB1">
              <w:fldChar w:fldCharType="end"/>
            </w:r>
          </w:hyperlink>
        </w:p>
        <w:p w14:paraId="0D838B7F" w14:textId="55AF5704" w:rsidR="00824CB1" w:rsidRDefault="0CF501EC" w:rsidP="0CF501EC">
          <w:pPr>
            <w:pStyle w:val="TOC2"/>
            <w:tabs>
              <w:tab w:val="right" w:leader="dot" w:pos="9015"/>
            </w:tabs>
            <w:rPr>
              <w:rStyle w:val="Hyperlink"/>
              <w:noProof/>
              <w:lang w:eastAsia="en-GB"/>
            </w:rPr>
          </w:pPr>
          <w:hyperlink w:anchor="_Toc1426973069">
            <w:r w:rsidRPr="0CF501EC">
              <w:rPr>
                <w:rStyle w:val="Hyperlink"/>
              </w:rPr>
              <w:t>2.2 Explanation of Most Significant Skills Needed for [INSERT YOUR ROLE HERE] in Health and Social Care</w:t>
            </w:r>
            <w:r w:rsidR="00824CB1">
              <w:tab/>
            </w:r>
            <w:r w:rsidR="00824CB1">
              <w:fldChar w:fldCharType="begin"/>
            </w:r>
            <w:r w:rsidR="00824CB1">
              <w:instrText>PAGEREF _Toc1426973069 \h</w:instrText>
            </w:r>
            <w:r w:rsidR="00824CB1">
              <w:fldChar w:fldCharType="separate"/>
            </w:r>
            <w:r w:rsidRPr="0CF501EC">
              <w:rPr>
                <w:rStyle w:val="Hyperlink"/>
              </w:rPr>
              <w:t>3</w:t>
            </w:r>
            <w:r w:rsidR="00824CB1">
              <w:fldChar w:fldCharType="end"/>
            </w:r>
          </w:hyperlink>
        </w:p>
        <w:p w14:paraId="0A8B3CCA" w14:textId="1C16FCF0" w:rsidR="00824CB1" w:rsidRDefault="0CF501EC" w:rsidP="0CF501EC">
          <w:pPr>
            <w:pStyle w:val="TOC2"/>
            <w:tabs>
              <w:tab w:val="right" w:leader="dot" w:pos="9015"/>
            </w:tabs>
            <w:rPr>
              <w:rStyle w:val="Hyperlink"/>
              <w:noProof/>
              <w:lang w:eastAsia="en-GB"/>
            </w:rPr>
          </w:pPr>
          <w:hyperlink w:anchor="_Toc992114325">
            <w:r w:rsidRPr="0CF501EC">
              <w:rPr>
                <w:rStyle w:val="Hyperlink"/>
              </w:rPr>
              <w:t>3 Strategies for Skill Improvement for [INSERT YOUR ROLE HERE]</w:t>
            </w:r>
            <w:r w:rsidR="00824CB1">
              <w:tab/>
            </w:r>
            <w:r w:rsidR="00824CB1">
              <w:fldChar w:fldCharType="begin"/>
            </w:r>
            <w:r w:rsidR="00824CB1">
              <w:instrText>PAGEREF _Toc992114325 \h</w:instrText>
            </w:r>
            <w:r w:rsidR="00824CB1">
              <w:fldChar w:fldCharType="separate"/>
            </w:r>
            <w:r w:rsidRPr="0CF501EC">
              <w:rPr>
                <w:rStyle w:val="Hyperlink"/>
              </w:rPr>
              <w:t>4</w:t>
            </w:r>
            <w:r w:rsidR="00824CB1">
              <w:fldChar w:fldCharType="end"/>
            </w:r>
          </w:hyperlink>
        </w:p>
        <w:p w14:paraId="1AA7C6F6" w14:textId="29504892" w:rsidR="00824CB1" w:rsidRDefault="0CF501EC" w:rsidP="0CF501EC">
          <w:pPr>
            <w:pStyle w:val="TOC2"/>
            <w:tabs>
              <w:tab w:val="right" w:leader="dot" w:pos="9015"/>
            </w:tabs>
            <w:rPr>
              <w:rStyle w:val="Hyperlink"/>
              <w:noProof/>
              <w:lang w:eastAsia="en-GB"/>
            </w:rPr>
          </w:pPr>
          <w:hyperlink w:anchor="_Toc1405407187">
            <w:r w:rsidRPr="0CF501EC">
              <w:rPr>
                <w:rStyle w:val="Hyperlink"/>
              </w:rPr>
              <w:t>3.1 Three Strategies to Improve the Skills for [INSERT YOUR ROLE HERE]</w:t>
            </w:r>
            <w:r w:rsidR="00824CB1">
              <w:tab/>
            </w:r>
            <w:r w:rsidR="00824CB1">
              <w:fldChar w:fldCharType="begin"/>
            </w:r>
            <w:r w:rsidR="00824CB1">
              <w:instrText>PAGEREF _Toc1405407187 \h</w:instrText>
            </w:r>
            <w:r w:rsidR="00824CB1">
              <w:fldChar w:fldCharType="separate"/>
            </w:r>
            <w:r w:rsidRPr="0CF501EC">
              <w:rPr>
                <w:rStyle w:val="Hyperlink"/>
              </w:rPr>
              <w:t>4</w:t>
            </w:r>
            <w:r w:rsidR="00824CB1">
              <w:fldChar w:fldCharType="end"/>
            </w:r>
          </w:hyperlink>
        </w:p>
        <w:p w14:paraId="318879F9" w14:textId="5AC227C8" w:rsidR="00824CB1" w:rsidRDefault="0CF501EC" w:rsidP="0CF501EC">
          <w:pPr>
            <w:pStyle w:val="TOC2"/>
            <w:tabs>
              <w:tab w:val="right" w:leader="dot" w:pos="9015"/>
            </w:tabs>
            <w:rPr>
              <w:rStyle w:val="Hyperlink"/>
              <w:noProof/>
              <w:lang w:eastAsia="en-GB"/>
            </w:rPr>
          </w:pPr>
          <w:hyperlink w:anchor="_Toc1799977123">
            <w:r w:rsidRPr="0CF501EC">
              <w:rPr>
                <w:rStyle w:val="Hyperlink"/>
              </w:rPr>
              <w:t>4 Conclusion</w:t>
            </w:r>
            <w:r w:rsidR="00824CB1">
              <w:tab/>
            </w:r>
            <w:r w:rsidR="00824CB1">
              <w:fldChar w:fldCharType="begin"/>
            </w:r>
            <w:r w:rsidR="00824CB1">
              <w:instrText>PAGEREF _Toc1799977123 \h</w:instrText>
            </w:r>
            <w:r w:rsidR="00824CB1">
              <w:fldChar w:fldCharType="separate"/>
            </w:r>
            <w:r w:rsidRPr="0CF501EC">
              <w:rPr>
                <w:rStyle w:val="Hyperlink"/>
              </w:rPr>
              <w:t>4</w:t>
            </w:r>
            <w:r w:rsidR="00824CB1">
              <w:fldChar w:fldCharType="end"/>
            </w:r>
          </w:hyperlink>
        </w:p>
        <w:p w14:paraId="2F2A1EA8" w14:textId="5F5BA79B" w:rsidR="0156E134" w:rsidRDefault="0CF501EC" w:rsidP="0156E134">
          <w:pPr>
            <w:pStyle w:val="TOC2"/>
            <w:tabs>
              <w:tab w:val="right" w:leader="dot" w:pos="9015"/>
            </w:tabs>
            <w:rPr>
              <w:rStyle w:val="Hyperlink"/>
            </w:rPr>
          </w:pPr>
          <w:hyperlink w:anchor="_Toc1911583216">
            <w:r w:rsidRPr="0CF501EC">
              <w:rPr>
                <w:rStyle w:val="Hyperlink"/>
              </w:rPr>
              <w:t>5 Reference List</w:t>
            </w:r>
            <w:r w:rsidR="0156E134">
              <w:tab/>
            </w:r>
            <w:r w:rsidR="0156E134">
              <w:fldChar w:fldCharType="begin"/>
            </w:r>
            <w:r w:rsidR="0156E134">
              <w:instrText>PAGEREF _Toc1911583216 \h</w:instrText>
            </w:r>
            <w:r w:rsidR="0156E134">
              <w:fldChar w:fldCharType="separate"/>
            </w:r>
            <w:r w:rsidRPr="0CF501EC">
              <w:rPr>
                <w:rStyle w:val="Hyperlink"/>
              </w:rPr>
              <w:t>5</w:t>
            </w:r>
            <w:r w:rsidR="0156E134">
              <w:fldChar w:fldCharType="end"/>
            </w:r>
          </w:hyperlink>
          <w:r w:rsidR="0156E134">
            <w:fldChar w:fldCharType="end"/>
          </w:r>
        </w:p>
      </w:sdtContent>
    </w:sdt>
    <w:p w14:paraId="6138A55F" w14:textId="5BBC1E8C" w:rsidR="00184A9A" w:rsidRPr="00242974" w:rsidRDefault="00184A9A"/>
    <w:p w14:paraId="4A159F97" w14:textId="77777777" w:rsidR="00ED5964" w:rsidRPr="00242974" w:rsidRDefault="00ED5964" w:rsidP="00ED5964">
      <w:pPr>
        <w:jc w:val="both"/>
        <w:rPr>
          <w:rFonts w:asciiTheme="minorBidi" w:hAnsiTheme="minorBidi"/>
          <w:b/>
          <w:bCs/>
          <w:sz w:val="28"/>
          <w:szCs w:val="28"/>
        </w:rPr>
      </w:pPr>
    </w:p>
    <w:p w14:paraId="09E24E55" w14:textId="77777777" w:rsidR="00ED5964" w:rsidRPr="00242974" w:rsidRDefault="00ED5964" w:rsidP="00ED5964">
      <w:pPr>
        <w:jc w:val="both"/>
        <w:rPr>
          <w:rFonts w:asciiTheme="minorBidi" w:hAnsiTheme="minorBidi"/>
          <w:b/>
          <w:bCs/>
          <w:sz w:val="28"/>
          <w:szCs w:val="28"/>
        </w:rPr>
      </w:pPr>
    </w:p>
    <w:p w14:paraId="40BC340F" w14:textId="77777777" w:rsidR="00ED5964" w:rsidRPr="00242974" w:rsidRDefault="00ED5964" w:rsidP="00ED5964">
      <w:pPr>
        <w:jc w:val="both"/>
        <w:rPr>
          <w:rFonts w:asciiTheme="minorBidi" w:hAnsiTheme="minorBidi"/>
          <w:b/>
          <w:bCs/>
          <w:sz w:val="28"/>
          <w:szCs w:val="28"/>
        </w:rPr>
      </w:pPr>
    </w:p>
    <w:p w14:paraId="41A63835" w14:textId="77777777" w:rsidR="00ED5964" w:rsidRPr="00242974" w:rsidRDefault="00ED5964" w:rsidP="00ED5964">
      <w:pPr>
        <w:jc w:val="both"/>
        <w:rPr>
          <w:rFonts w:asciiTheme="minorBidi" w:hAnsiTheme="minorBidi"/>
          <w:b/>
          <w:bCs/>
          <w:sz w:val="28"/>
          <w:szCs w:val="28"/>
        </w:rPr>
      </w:pPr>
    </w:p>
    <w:p w14:paraId="123865CA" w14:textId="77777777" w:rsidR="00ED5964" w:rsidRPr="00242974" w:rsidRDefault="00ED5964" w:rsidP="00ED5964">
      <w:pPr>
        <w:jc w:val="both"/>
        <w:rPr>
          <w:rFonts w:asciiTheme="minorBidi" w:hAnsiTheme="minorBidi"/>
          <w:b/>
          <w:bCs/>
          <w:sz w:val="28"/>
          <w:szCs w:val="28"/>
        </w:rPr>
      </w:pPr>
    </w:p>
    <w:p w14:paraId="2A21042D" w14:textId="77777777" w:rsidR="00ED5964" w:rsidRPr="00242974" w:rsidRDefault="00ED5964" w:rsidP="00ED5964">
      <w:pPr>
        <w:jc w:val="both"/>
        <w:rPr>
          <w:rFonts w:asciiTheme="minorBidi" w:hAnsiTheme="minorBidi"/>
          <w:b/>
          <w:bCs/>
          <w:sz w:val="28"/>
          <w:szCs w:val="28"/>
        </w:rPr>
      </w:pPr>
    </w:p>
    <w:p w14:paraId="48382F67" w14:textId="77777777" w:rsidR="00ED5964" w:rsidRPr="00242974" w:rsidRDefault="00ED5964" w:rsidP="00ED5964">
      <w:pPr>
        <w:jc w:val="both"/>
        <w:rPr>
          <w:rFonts w:asciiTheme="minorBidi" w:hAnsiTheme="minorBidi"/>
          <w:b/>
          <w:bCs/>
          <w:sz w:val="28"/>
          <w:szCs w:val="28"/>
        </w:rPr>
      </w:pPr>
    </w:p>
    <w:p w14:paraId="6A057EFD" w14:textId="77777777" w:rsidR="00ED5964" w:rsidRPr="00242974" w:rsidRDefault="00ED5964" w:rsidP="00ED5964">
      <w:pPr>
        <w:jc w:val="both"/>
        <w:rPr>
          <w:rFonts w:asciiTheme="minorBidi" w:hAnsiTheme="minorBidi"/>
          <w:b/>
          <w:bCs/>
          <w:sz w:val="28"/>
          <w:szCs w:val="28"/>
        </w:rPr>
      </w:pPr>
    </w:p>
    <w:p w14:paraId="55078F3B" w14:textId="77777777" w:rsidR="00ED5964" w:rsidRPr="00242974" w:rsidRDefault="00ED5964" w:rsidP="00ED5964">
      <w:pPr>
        <w:jc w:val="both"/>
        <w:rPr>
          <w:rFonts w:asciiTheme="minorBidi" w:hAnsiTheme="minorBidi"/>
          <w:b/>
          <w:bCs/>
          <w:sz w:val="28"/>
          <w:szCs w:val="28"/>
        </w:rPr>
      </w:pPr>
    </w:p>
    <w:p w14:paraId="4CEF6B46" w14:textId="77777777" w:rsidR="005709B1" w:rsidRPr="00242974" w:rsidRDefault="005709B1" w:rsidP="005709B1"/>
    <w:p w14:paraId="3E34A5EF" w14:textId="77777777" w:rsidR="002E71BA" w:rsidRPr="00242974" w:rsidRDefault="002E71BA">
      <w:pPr>
        <w:rPr>
          <w:b/>
          <w:bCs/>
          <w:sz w:val="21"/>
          <w:szCs w:val="21"/>
        </w:rPr>
      </w:pPr>
      <w:r w:rsidRPr="00242974">
        <w:rPr>
          <w:b/>
          <w:bCs/>
          <w:sz w:val="21"/>
          <w:szCs w:val="21"/>
        </w:rPr>
        <w:br w:type="page"/>
      </w:r>
    </w:p>
    <w:p w14:paraId="4AD7A5C1" w14:textId="3946F1B0" w:rsidR="002A5577" w:rsidRPr="00242974" w:rsidRDefault="002A5577" w:rsidP="002A5577">
      <w:pPr>
        <w:rPr>
          <w:b/>
          <w:bCs/>
          <w:sz w:val="21"/>
          <w:szCs w:val="21"/>
        </w:rPr>
      </w:pPr>
      <w:r w:rsidRPr="0156E134">
        <w:rPr>
          <w:b/>
          <w:bCs/>
          <w:sz w:val="21"/>
          <w:szCs w:val="21"/>
        </w:rPr>
        <w:lastRenderedPageBreak/>
        <w:t>Delete any and all instructions before you submit (including th</w:t>
      </w:r>
      <w:r w:rsidR="007D25AA" w:rsidRPr="0156E134">
        <w:rPr>
          <w:b/>
          <w:bCs/>
          <w:sz w:val="21"/>
          <w:szCs w:val="21"/>
        </w:rPr>
        <w:t>is one</w:t>
      </w:r>
      <w:r w:rsidRPr="0156E134">
        <w:rPr>
          <w:b/>
          <w:bCs/>
          <w:sz w:val="21"/>
          <w:szCs w:val="21"/>
        </w:rPr>
        <w:t>)!</w:t>
      </w:r>
    </w:p>
    <w:p w14:paraId="0CAE5527" w14:textId="7C9B9F97" w:rsidR="00AC7BE2" w:rsidRDefault="00631F2E" w:rsidP="00774092">
      <w:pPr>
        <w:jc w:val="both"/>
        <w:rPr>
          <w:b/>
          <w:bCs/>
          <w:sz w:val="21"/>
          <w:szCs w:val="21"/>
        </w:rPr>
      </w:pPr>
      <w:r w:rsidRPr="00242974">
        <w:rPr>
          <w:b/>
          <w:bCs/>
          <w:sz w:val="21"/>
          <w:szCs w:val="21"/>
        </w:rPr>
        <w:t>THIS IS NOT A PERSONAL REFLECTION-PLEASE DO NOT USE PERSONAL PRONOUNS IN THIS REPORT.</w:t>
      </w:r>
    </w:p>
    <w:p w14:paraId="260D6869" w14:textId="6C29956B" w:rsidR="00D676C3" w:rsidRPr="00242974" w:rsidRDefault="00D676C3" w:rsidP="00774092">
      <w:pPr>
        <w:jc w:val="both"/>
        <w:rPr>
          <w:sz w:val="21"/>
          <w:szCs w:val="21"/>
        </w:rPr>
      </w:pPr>
      <w:r>
        <w:rPr>
          <w:b/>
          <w:bCs/>
          <w:sz w:val="21"/>
          <w:szCs w:val="21"/>
        </w:rPr>
        <w:t>PLEASE DO NOT USE BULLET POINTS IN THIS REPORT. ALL SECTIONS SHOULD BE WRITTEN IN FULL, CLEAR, AND LINKED SENTENCES.</w:t>
      </w:r>
    </w:p>
    <w:p w14:paraId="7E817B09" w14:textId="50F31860" w:rsidR="00A035CD" w:rsidRPr="002976D4" w:rsidRDefault="00AA77C8" w:rsidP="00500295">
      <w:pPr>
        <w:pStyle w:val="Heading2"/>
        <w:rPr>
          <w:color w:val="4472C4" w:themeColor="accent1"/>
        </w:rPr>
      </w:pPr>
      <w:bookmarkStart w:id="0" w:name="_Toc695233283"/>
      <w:r w:rsidRPr="0CF501EC">
        <w:rPr>
          <w:color w:val="4471C4"/>
        </w:rPr>
        <w:t>1</w:t>
      </w:r>
      <w:r w:rsidR="00500295" w:rsidRPr="0CF501EC">
        <w:rPr>
          <w:color w:val="4471C4"/>
        </w:rPr>
        <w:t xml:space="preserve">.1 </w:t>
      </w:r>
      <w:r w:rsidR="00A035CD" w:rsidRPr="0CF501EC">
        <w:rPr>
          <w:color w:val="4471C4"/>
        </w:rPr>
        <w:t>Introduction</w:t>
      </w:r>
      <w:bookmarkEnd w:id="0"/>
    </w:p>
    <w:p w14:paraId="07DF9925" w14:textId="77777777" w:rsidR="006E105F" w:rsidRPr="006E105F" w:rsidRDefault="006E105F" w:rsidP="006E105F">
      <w:pPr>
        <w:jc w:val="both"/>
        <w:rPr>
          <w:rFonts w:ascii="Arial" w:hAnsi="Arial" w:cs="Arial"/>
          <w:sz w:val="23"/>
          <w:szCs w:val="23"/>
        </w:rPr>
      </w:pPr>
      <w:r w:rsidRPr="006E105F">
        <w:rPr>
          <w:rFonts w:ascii="Arial" w:eastAsia="Segoe UI" w:hAnsi="Arial" w:cs="Arial"/>
          <w:sz w:val="23"/>
          <w:szCs w:val="23"/>
        </w:rPr>
        <w:t xml:space="preserve">The health and social care sector relies on a wide </w:t>
      </w:r>
      <w:r w:rsidRPr="006E105F">
        <w:rPr>
          <w:rFonts w:ascii="Arial" w:hAnsi="Arial" w:cs="Arial"/>
          <w:sz w:val="23"/>
          <w:szCs w:val="23"/>
        </w:rPr>
        <w:t>variety</w:t>
      </w:r>
      <w:r w:rsidRPr="006E105F">
        <w:rPr>
          <w:rFonts w:ascii="Arial" w:eastAsia="Segoe UI" w:hAnsi="Arial" w:cs="Arial"/>
          <w:sz w:val="23"/>
          <w:szCs w:val="23"/>
        </w:rPr>
        <w:t xml:space="preserve"> of practitioners whose skills and conduct directly affect</w:t>
      </w:r>
      <w:r w:rsidRPr="006E105F">
        <w:rPr>
          <w:rFonts w:ascii="Arial" w:hAnsi="Arial" w:cs="Arial"/>
          <w:sz w:val="23"/>
          <w:szCs w:val="23"/>
        </w:rPr>
        <w:t xml:space="preserve">s </w:t>
      </w:r>
      <w:r w:rsidRPr="006E105F">
        <w:rPr>
          <w:rFonts w:ascii="Arial" w:eastAsia="Segoe UI" w:hAnsi="Arial" w:cs="Arial"/>
          <w:sz w:val="23"/>
          <w:szCs w:val="23"/>
        </w:rPr>
        <w:t xml:space="preserve">the safety and wellbeing of </w:t>
      </w:r>
      <w:r w:rsidRPr="006E105F">
        <w:rPr>
          <w:rFonts w:ascii="Arial" w:hAnsi="Arial" w:cs="Arial"/>
          <w:sz w:val="23"/>
          <w:szCs w:val="23"/>
        </w:rPr>
        <w:t>people</w:t>
      </w:r>
      <w:r w:rsidRPr="006E105F">
        <w:rPr>
          <w:rFonts w:ascii="Arial" w:eastAsia="Segoe UI" w:hAnsi="Arial" w:cs="Arial"/>
          <w:sz w:val="23"/>
          <w:szCs w:val="23"/>
        </w:rPr>
        <w:t xml:space="preserve"> in their care. Within education, </w:t>
      </w:r>
      <w:r w:rsidRPr="006E105F">
        <w:rPr>
          <w:rFonts w:ascii="Arial" w:hAnsi="Arial" w:cs="Arial"/>
          <w:sz w:val="23"/>
          <w:szCs w:val="23"/>
        </w:rPr>
        <w:t>a school healthcare assistant occupies a role such as this</w:t>
      </w:r>
      <w:r w:rsidRPr="006E105F">
        <w:rPr>
          <w:rFonts w:ascii="Arial" w:eastAsia="Segoe UI" w:hAnsi="Arial" w:cs="Arial"/>
          <w:sz w:val="23"/>
          <w:szCs w:val="23"/>
        </w:rPr>
        <w:t xml:space="preserve">, supporting </w:t>
      </w:r>
      <w:r w:rsidRPr="006E105F">
        <w:rPr>
          <w:rFonts w:ascii="Arial" w:hAnsi="Arial" w:cs="Arial"/>
          <w:sz w:val="23"/>
          <w:szCs w:val="23"/>
        </w:rPr>
        <w:t>students’</w:t>
      </w:r>
      <w:r w:rsidRPr="006E105F">
        <w:rPr>
          <w:rFonts w:ascii="Arial" w:eastAsia="Segoe UI" w:hAnsi="Arial" w:cs="Arial"/>
          <w:sz w:val="23"/>
          <w:szCs w:val="23"/>
        </w:rPr>
        <w:t xml:space="preserve"> wellbeing and enabling safe access to learning for children with health needs. This report examines the </w:t>
      </w:r>
      <w:r w:rsidRPr="006E105F">
        <w:rPr>
          <w:rFonts w:ascii="Arial" w:hAnsi="Arial" w:cs="Arial"/>
          <w:sz w:val="23"/>
          <w:szCs w:val="23"/>
        </w:rPr>
        <w:t>role of a school healthcare assistant</w:t>
      </w:r>
      <w:r w:rsidRPr="006E105F">
        <w:rPr>
          <w:rFonts w:ascii="Arial" w:eastAsia="Segoe UI" w:hAnsi="Arial" w:cs="Arial"/>
          <w:sz w:val="23"/>
          <w:szCs w:val="23"/>
        </w:rPr>
        <w:t xml:space="preserve">, </w:t>
      </w:r>
      <w:r w:rsidRPr="006E105F">
        <w:rPr>
          <w:rFonts w:ascii="Arial" w:hAnsi="Arial" w:cs="Arial"/>
          <w:sz w:val="23"/>
          <w:szCs w:val="23"/>
        </w:rPr>
        <w:t xml:space="preserve">the </w:t>
      </w:r>
      <w:r w:rsidRPr="006E105F">
        <w:rPr>
          <w:rFonts w:ascii="Arial" w:eastAsia="Segoe UI" w:hAnsi="Arial" w:cs="Arial"/>
          <w:sz w:val="23"/>
          <w:szCs w:val="23"/>
        </w:rPr>
        <w:t>principal duties</w:t>
      </w:r>
      <w:r w:rsidRPr="006E105F">
        <w:rPr>
          <w:rFonts w:ascii="Arial" w:hAnsi="Arial" w:cs="Arial"/>
          <w:sz w:val="23"/>
          <w:szCs w:val="23"/>
        </w:rPr>
        <w:t xml:space="preserve"> that come with it</w:t>
      </w:r>
      <w:r w:rsidRPr="006E105F">
        <w:rPr>
          <w:rFonts w:ascii="Arial" w:eastAsia="Segoe UI" w:hAnsi="Arial" w:cs="Arial"/>
          <w:sz w:val="23"/>
          <w:szCs w:val="23"/>
        </w:rPr>
        <w:t xml:space="preserve">, and the three most significant skills required for safe practice. It then proposes </w:t>
      </w:r>
      <w:r w:rsidRPr="006E105F">
        <w:rPr>
          <w:rFonts w:ascii="Arial" w:hAnsi="Arial" w:cs="Arial"/>
          <w:sz w:val="23"/>
          <w:szCs w:val="23"/>
        </w:rPr>
        <w:t>strategies backed up by evidence</w:t>
      </w:r>
      <w:r w:rsidRPr="006E105F">
        <w:rPr>
          <w:rFonts w:ascii="Arial" w:eastAsia="Segoe UI" w:hAnsi="Arial" w:cs="Arial"/>
          <w:sz w:val="23"/>
          <w:szCs w:val="23"/>
        </w:rPr>
        <w:t xml:space="preserve"> for developing those skills, </w:t>
      </w:r>
      <w:r w:rsidRPr="006E105F">
        <w:rPr>
          <w:rFonts w:ascii="Arial" w:hAnsi="Arial" w:cs="Arial"/>
          <w:sz w:val="23"/>
          <w:szCs w:val="23"/>
        </w:rPr>
        <w:t>relying</w:t>
      </w:r>
      <w:r w:rsidRPr="006E105F">
        <w:rPr>
          <w:rFonts w:ascii="Arial" w:eastAsia="Segoe UI" w:hAnsi="Arial" w:cs="Arial"/>
          <w:sz w:val="23"/>
          <w:szCs w:val="23"/>
        </w:rPr>
        <w:t xml:space="preserve"> on current UK </w:t>
      </w:r>
      <w:r w:rsidRPr="006E105F">
        <w:rPr>
          <w:rFonts w:ascii="Arial" w:hAnsi="Arial" w:cs="Arial"/>
          <w:sz w:val="23"/>
          <w:szCs w:val="23"/>
        </w:rPr>
        <w:t>lawful</w:t>
      </w:r>
      <w:r w:rsidRPr="006E105F">
        <w:rPr>
          <w:rFonts w:ascii="Arial" w:eastAsia="Segoe UI" w:hAnsi="Arial" w:cs="Arial"/>
          <w:sz w:val="23"/>
          <w:szCs w:val="23"/>
        </w:rPr>
        <w:t xml:space="preserve"> guidance and professional standards to consider the risks of skill deficits and recommend practical improvements.</w:t>
      </w:r>
    </w:p>
    <w:p w14:paraId="4CC61BC1" w14:textId="55FEF9DD" w:rsidR="00F36ADC" w:rsidRPr="00242974" w:rsidRDefault="00F36ADC" w:rsidP="0156E134">
      <w:pPr>
        <w:spacing w:after="0" w:line="240" w:lineRule="auto"/>
        <w:rPr>
          <w:sz w:val="22"/>
        </w:rPr>
      </w:pPr>
    </w:p>
    <w:p w14:paraId="64F36E68" w14:textId="15841E63" w:rsidR="3C659699" w:rsidRDefault="3C659699" w:rsidP="0CF501EC">
      <w:pPr>
        <w:pStyle w:val="Heading2"/>
        <w:rPr>
          <w:color w:val="4472C4" w:themeColor="accent1"/>
        </w:rPr>
      </w:pPr>
      <w:bookmarkStart w:id="1" w:name="_Toc1915621813"/>
      <w:r w:rsidRPr="0CF501EC">
        <w:rPr>
          <w:color w:val="4471C4"/>
        </w:rPr>
        <w:t>2 [</w:t>
      </w:r>
      <w:r w:rsidR="006E105F">
        <w:rPr>
          <w:color w:val="4471C4"/>
        </w:rPr>
        <w:t>School Healthcare Assistant</w:t>
      </w:r>
      <w:r w:rsidRPr="0CF501EC">
        <w:rPr>
          <w:color w:val="4471C4"/>
        </w:rPr>
        <w:t>] in the Health and Social Care Field</w:t>
      </w:r>
      <w:bookmarkEnd w:id="1"/>
    </w:p>
    <w:p w14:paraId="3C079BEF" w14:textId="401104E7" w:rsidR="0156E134" w:rsidRDefault="0156E134" w:rsidP="0156E134">
      <w:pPr>
        <w:spacing w:after="0" w:line="240" w:lineRule="auto"/>
        <w:jc w:val="both"/>
        <w:rPr>
          <w:sz w:val="21"/>
          <w:szCs w:val="21"/>
        </w:rPr>
      </w:pPr>
    </w:p>
    <w:p w14:paraId="50A9FBC6" w14:textId="7EEB9A79" w:rsidR="008B0B22" w:rsidRPr="002976D4" w:rsidRDefault="5CF7C3DB" w:rsidP="0156E134">
      <w:pPr>
        <w:pStyle w:val="Heading2"/>
        <w:rPr>
          <w:color w:val="4472C4" w:themeColor="accent1"/>
        </w:rPr>
      </w:pPr>
      <w:bookmarkStart w:id="2" w:name="_Toc796087951"/>
      <w:r w:rsidRPr="0CF501EC">
        <w:rPr>
          <w:color w:val="4471C4"/>
        </w:rPr>
        <w:t>2.1</w:t>
      </w:r>
      <w:r w:rsidR="002370CE" w:rsidRPr="0CF501EC">
        <w:rPr>
          <w:color w:val="4471C4"/>
        </w:rPr>
        <w:t xml:space="preserve"> </w:t>
      </w:r>
      <w:r w:rsidR="071F48DC" w:rsidRPr="0CF501EC">
        <w:rPr>
          <w:color w:val="4471C4"/>
        </w:rPr>
        <w:t>Description</w:t>
      </w:r>
      <w:r w:rsidR="00070818" w:rsidRPr="0CF501EC">
        <w:rPr>
          <w:color w:val="4471C4"/>
        </w:rPr>
        <w:t xml:space="preserve"> </w:t>
      </w:r>
      <w:r w:rsidR="13BD3D5D" w:rsidRPr="0CF501EC">
        <w:rPr>
          <w:color w:val="4471C4"/>
        </w:rPr>
        <w:t xml:space="preserve">of </w:t>
      </w:r>
      <w:r w:rsidR="00070818" w:rsidRPr="0CF501EC">
        <w:rPr>
          <w:color w:val="4471C4"/>
        </w:rPr>
        <w:t>[</w:t>
      </w:r>
      <w:r w:rsidR="006E105F">
        <w:rPr>
          <w:color w:val="4471C4"/>
        </w:rPr>
        <w:t>School Healthcare Assistant</w:t>
      </w:r>
      <w:r w:rsidR="00070818" w:rsidRPr="0CF501EC">
        <w:rPr>
          <w:color w:val="4471C4"/>
        </w:rPr>
        <w:t>]</w:t>
      </w:r>
      <w:r w:rsidR="008B0B22" w:rsidRPr="0CF501EC">
        <w:rPr>
          <w:color w:val="4471C4"/>
        </w:rPr>
        <w:t xml:space="preserve"> in Health</w:t>
      </w:r>
      <w:r w:rsidR="3464B4D3" w:rsidRPr="0CF501EC">
        <w:rPr>
          <w:color w:val="4471C4"/>
        </w:rPr>
        <w:t xml:space="preserve"> and Social </w:t>
      </w:r>
      <w:r w:rsidR="3D6135D7" w:rsidRPr="0CF501EC">
        <w:rPr>
          <w:color w:val="4471C4"/>
        </w:rPr>
        <w:t>C</w:t>
      </w:r>
      <w:r w:rsidR="008B0B22" w:rsidRPr="0CF501EC">
        <w:rPr>
          <w:color w:val="4471C4"/>
        </w:rPr>
        <w:t>are</w:t>
      </w:r>
      <w:bookmarkEnd w:id="2"/>
      <w:r w:rsidR="008B0B22" w:rsidRPr="0CF501EC">
        <w:rPr>
          <w:color w:val="4471C4"/>
        </w:rPr>
        <w:t xml:space="preserve"> </w:t>
      </w:r>
    </w:p>
    <w:p w14:paraId="26E0D1A5" w14:textId="06C7C686" w:rsidR="0156E134" w:rsidRDefault="0156E134" w:rsidP="0156E134">
      <w:pPr>
        <w:spacing w:after="0" w:line="240" w:lineRule="auto"/>
        <w:jc w:val="both"/>
        <w:rPr>
          <w:sz w:val="22"/>
        </w:rPr>
      </w:pPr>
    </w:p>
    <w:p w14:paraId="2D7D0C12" w14:textId="77777777" w:rsidR="006E105F" w:rsidRDefault="006E105F" w:rsidP="006E105F">
      <w:pPr>
        <w:jc w:val="both"/>
      </w:pPr>
      <w:r w:rsidRPr="006E105F">
        <w:rPr>
          <w:rFonts w:ascii="Arial" w:eastAsia="Segoe UI" w:hAnsi="Arial" w:cs="Arial"/>
          <w:sz w:val="23"/>
          <w:szCs w:val="23"/>
        </w:rPr>
        <w:t>A school healthcare assistant (SHA) supports the delivery of healthcare within a</w:t>
      </w:r>
      <w:r w:rsidRPr="006E105F">
        <w:rPr>
          <w:rFonts w:ascii="Arial" w:hAnsi="Arial" w:cs="Arial"/>
          <w:sz w:val="23"/>
          <w:szCs w:val="23"/>
        </w:rPr>
        <w:t xml:space="preserve"> professional educational </w:t>
      </w:r>
      <w:r w:rsidRPr="006E105F">
        <w:rPr>
          <w:rFonts w:ascii="Arial" w:eastAsia="Segoe UI" w:hAnsi="Arial" w:cs="Arial"/>
          <w:sz w:val="23"/>
          <w:szCs w:val="23"/>
        </w:rPr>
        <w:t xml:space="preserve">setting, working under the direction of registered nurses, school leaders </w:t>
      </w:r>
      <w:r w:rsidRPr="006E105F">
        <w:rPr>
          <w:rFonts w:ascii="Arial" w:hAnsi="Arial" w:cs="Arial"/>
          <w:sz w:val="23"/>
          <w:szCs w:val="23"/>
        </w:rPr>
        <w:t xml:space="preserve">and </w:t>
      </w:r>
      <w:r w:rsidRPr="006E105F">
        <w:rPr>
          <w:rFonts w:ascii="Arial" w:eastAsia="Segoe UI" w:hAnsi="Arial" w:cs="Arial"/>
          <w:sz w:val="23"/>
          <w:szCs w:val="23"/>
        </w:rPr>
        <w:t>external clinicians. Th</w:t>
      </w:r>
      <w:r w:rsidRPr="006E105F">
        <w:rPr>
          <w:rFonts w:ascii="Arial" w:hAnsi="Arial" w:cs="Arial"/>
          <w:sz w:val="23"/>
          <w:szCs w:val="23"/>
        </w:rPr>
        <w:t xml:space="preserve">is </w:t>
      </w:r>
      <w:r w:rsidRPr="006E105F">
        <w:rPr>
          <w:rFonts w:ascii="Arial" w:eastAsia="Segoe UI" w:hAnsi="Arial" w:cs="Arial"/>
          <w:sz w:val="23"/>
          <w:szCs w:val="23"/>
        </w:rPr>
        <w:t xml:space="preserve">role is important because it allows pupils with health needs to </w:t>
      </w:r>
      <w:r w:rsidRPr="006E105F">
        <w:rPr>
          <w:rFonts w:ascii="Arial" w:hAnsi="Arial" w:cs="Arial"/>
          <w:sz w:val="23"/>
          <w:szCs w:val="23"/>
        </w:rPr>
        <w:t xml:space="preserve">safely remain </w:t>
      </w:r>
      <w:r w:rsidRPr="006E105F">
        <w:rPr>
          <w:rFonts w:ascii="Arial" w:eastAsia="Segoe UI" w:hAnsi="Arial" w:cs="Arial"/>
          <w:sz w:val="23"/>
          <w:szCs w:val="23"/>
        </w:rPr>
        <w:t xml:space="preserve">in mainstream education rather than being excluded from learning, and because pupil safety depends </w:t>
      </w:r>
      <w:r w:rsidRPr="006E105F">
        <w:rPr>
          <w:rFonts w:ascii="Arial" w:hAnsi="Arial" w:cs="Arial"/>
          <w:sz w:val="23"/>
          <w:szCs w:val="23"/>
        </w:rPr>
        <w:t xml:space="preserve">mainly on the ability </w:t>
      </w:r>
      <w:r w:rsidRPr="006E105F">
        <w:rPr>
          <w:rFonts w:ascii="Arial" w:eastAsia="Segoe UI" w:hAnsi="Arial" w:cs="Arial"/>
          <w:sz w:val="23"/>
          <w:szCs w:val="23"/>
        </w:rPr>
        <w:t xml:space="preserve">of the staff supporting them. </w:t>
      </w:r>
      <w:r w:rsidRPr="006E105F">
        <w:rPr>
          <w:rFonts w:ascii="Arial" w:hAnsi="Arial" w:cs="Arial"/>
          <w:sz w:val="23"/>
          <w:szCs w:val="23"/>
        </w:rPr>
        <w:t>The most important</w:t>
      </w:r>
      <w:r w:rsidRPr="006E105F">
        <w:rPr>
          <w:rFonts w:ascii="Arial" w:eastAsia="Segoe UI" w:hAnsi="Arial" w:cs="Arial"/>
          <w:sz w:val="23"/>
          <w:szCs w:val="23"/>
        </w:rPr>
        <w:t xml:space="preserve"> duties include administering medication according to a pupil's Individual Healthcare Plan (IHP), a framework set out in Department for Education statutory guidance (DfE, 2015), providing first aid and emergency response, assisting with condition</w:t>
      </w:r>
      <w:r w:rsidRPr="006E105F">
        <w:rPr>
          <w:rFonts w:ascii="Arial" w:hAnsi="Arial" w:cs="Arial"/>
          <w:sz w:val="23"/>
          <w:szCs w:val="23"/>
        </w:rPr>
        <w:t xml:space="preserve"> </w:t>
      </w:r>
      <w:r w:rsidRPr="006E105F">
        <w:rPr>
          <w:rFonts w:ascii="Arial" w:eastAsia="Segoe UI" w:hAnsi="Arial" w:cs="Arial"/>
          <w:sz w:val="23"/>
          <w:szCs w:val="23"/>
        </w:rPr>
        <w:t xml:space="preserve">specific procedures such as gastrostomy or diabetes care, maintaining accurate records and handovers, and </w:t>
      </w:r>
      <w:r w:rsidRPr="006E105F">
        <w:rPr>
          <w:rFonts w:ascii="Arial" w:hAnsi="Arial" w:cs="Arial"/>
          <w:sz w:val="23"/>
          <w:szCs w:val="23"/>
        </w:rPr>
        <w:t>communicating</w:t>
      </w:r>
      <w:r w:rsidRPr="006E105F">
        <w:rPr>
          <w:rFonts w:ascii="Arial" w:eastAsia="Segoe UI" w:hAnsi="Arial" w:cs="Arial"/>
          <w:sz w:val="23"/>
          <w:szCs w:val="23"/>
        </w:rPr>
        <w:t xml:space="preserve"> with parents, carers and the school nursing service. SHAs also contribute to safeguarding by recognising and escalating concerns in line with statutory guidance. Because the role spans a wide age range and pupils with diverse communication and developmental needs, adaptability and precise documentation are </w:t>
      </w:r>
      <w:r w:rsidRPr="006E105F">
        <w:rPr>
          <w:rFonts w:ascii="Arial" w:hAnsi="Arial" w:cs="Arial"/>
          <w:sz w:val="23"/>
          <w:szCs w:val="23"/>
        </w:rPr>
        <w:t>essential</w:t>
      </w:r>
      <w:r w:rsidRPr="006E105F">
        <w:rPr>
          <w:rFonts w:ascii="Arial" w:eastAsia="Segoe UI" w:hAnsi="Arial" w:cs="Arial"/>
          <w:sz w:val="23"/>
          <w:szCs w:val="23"/>
        </w:rPr>
        <w:t xml:space="preserve"> to safe practice. The SHA operates within local policies and national frameworks that define delegation, competence and accountability, so that clinical tasks are carried out only once appropriate training</w:t>
      </w:r>
      <w:r w:rsidRPr="006E105F">
        <w:rPr>
          <w:rFonts w:ascii="Arial" w:hAnsi="Arial" w:cs="Arial"/>
          <w:sz w:val="23"/>
          <w:szCs w:val="23"/>
        </w:rPr>
        <w:t xml:space="preserve"> and supervision are in place</w:t>
      </w:r>
      <w:r>
        <w:t>.</w:t>
      </w:r>
    </w:p>
    <w:p w14:paraId="1CB8B0F1" w14:textId="34C40497" w:rsidR="0156E134" w:rsidRDefault="0156E134" w:rsidP="0156E134">
      <w:pPr>
        <w:spacing w:after="0" w:line="240" w:lineRule="auto"/>
        <w:jc w:val="both"/>
        <w:rPr>
          <w:sz w:val="22"/>
        </w:rPr>
      </w:pPr>
    </w:p>
    <w:p w14:paraId="4010C35E" w14:textId="6B973A01" w:rsidR="00EC7EBE" w:rsidRPr="002976D4" w:rsidRDefault="04019B15" w:rsidP="0CF501EC">
      <w:pPr>
        <w:pStyle w:val="Heading2"/>
        <w:rPr>
          <w:color w:val="4472C4" w:themeColor="accent1"/>
        </w:rPr>
      </w:pPr>
      <w:bookmarkStart w:id="3" w:name="_Toc1426973069"/>
      <w:r w:rsidRPr="0CF501EC">
        <w:rPr>
          <w:color w:val="4471C4"/>
        </w:rPr>
        <w:t>2.2</w:t>
      </w:r>
      <w:r w:rsidR="00676FEB" w:rsidRPr="0CF501EC">
        <w:rPr>
          <w:color w:val="4471C4"/>
        </w:rPr>
        <w:t xml:space="preserve"> </w:t>
      </w:r>
      <w:r w:rsidR="00DD5135" w:rsidRPr="0CF501EC">
        <w:rPr>
          <w:color w:val="4471C4"/>
        </w:rPr>
        <w:t>Explanation</w:t>
      </w:r>
      <w:r w:rsidR="00805726" w:rsidRPr="0CF501EC">
        <w:rPr>
          <w:color w:val="4471C4"/>
        </w:rPr>
        <w:t xml:space="preserve"> of </w:t>
      </w:r>
      <w:r w:rsidR="549B9698" w:rsidRPr="0CF501EC">
        <w:rPr>
          <w:color w:val="4471C4"/>
        </w:rPr>
        <w:t>M</w:t>
      </w:r>
      <w:r w:rsidR="00824CB1" w:rsidRPr="0CF501EC">
        <w:rPr>
          <w:color w:val="4471C4"/>
        </w:rPr>
        <w:t xml:space="preserve">ost </w:t>
      </w:r>
      <w:r w:rsidR="7AC44C89" w:rsidRPr="0CF501EC">
        <w:rPr>
          <w:color w:val="4471C4"/>
        </w:rPr>
        <w:t>S</w:t>
      </w:r>
      <w:r w:rsidR="00824CB1" w:rsidRPr="0CF501EC">
        <w:rPr>
          <w:color w:val="4471C4"/>
        </w:rPr>
        <w:t xml:space="preserve">ignificant </w:t>
      </w:r>
      <w:r w:rsidR="556E2D6A" w:rsidRPr="0CF501EC">
        <w:rPr>
          <w:color w:val="4471C4"/>
        </w:rPr>
        <w:t>S</w:t>
      </w:r>
      <w:r w:rsidR="00D4006B" w:rsidRPr="0CF501EC">
        <w:rPr>
          <w:color w:val="4471C4"/>
        </w:rPr>
        <w:t xml:space="preserve">kills </w:t>
      </w:r>
      <w:r w:rsidR="653BE314" w:rsidRPr="0CF501EC">
        <w:rPr>
          <w:color w:val="4471C4"/>
        </w:rPr>
        <w:t>N</w:t>
      </w:r>
      <w:r w:rsidR="00D4006B" w:rsidRPr="0CF501EC">
        <w:rPr>
          <w:color w:val="4471C4"/>
        </w:rPr>
        <w:t>eeded for [</w:t>
      </w:r>
      <w:r w:rsidR="006E105F">
        <w:rPr>
          <w:color w:val="4471C4"/>
        </w:rPr>
        <w:t>School Healthcare Assistant</w:t>
      </w:r>
      <w:r w:rsidR="00D4006B" w:rsidRPr="0CF501EC">
        <w:rPr>
          <w:color w:val="4471C4"/>
        </w:rPr>
        <w:t>]</w:t>
      </w:r>
      <w:r w:rsidR="007138EF" w:rsidRPr="0CF501EC">
        <w:rPr>
          <w:color w:val="4471C4"/>
        </w:rPr>
        <w:t xml:space="preserve"> in Health</w:t>
      </w:r>
      <w:r w:rsidR="655ACEAB" w:rsidRPr="0CF501EC">
        <w:rPr>
          <w:color w:val="4471C4"/>
        </w:rPr>
        <w:t xml:space="preserve"> and Social C</w:t>
      </w:r>
      <w:r w:rsidR="007138EF" w:rsidRPr="0CF501EC">
        <w:rPr>
          <w:color w:val="4471C4"/>
        </w:rPr>
        <w:t>are</w:t>
      </w:r>
      <w:bookmarkEnd w:id="3"/>
    </w:p>
    <w:p w14:paraId="4C19BF8D" w14:textId="3F3AE712" w:rsidR="006E105F" w:rsidRPr="006E105F" w:rsidRDefault="006E105F" w:rsidP="006E105F">
      <w:pPr>
        <w:jc w:val="both"/>
        <w:rPr>
          <w:rFonts w:ascii="Arial" w:hAnsi="Arial" w:cs="Arial"/>
          <w:sz w:val="23"/>
          <w:szCs w:val="23"/>
        </w:rPr>
      </w:pPr>
      <w:r w:rsidRPr="006E105F">
        <w:rPr>
          <w:rFonts w:ascii="Arial" w:eastAsia="Segoe UI" w:hAnsi="Arial" w:cs="Arial"/>
          <w:b/>
          <w:bCs/>
          <w:sz w:val="23"/>
          <w:szCs w:val="23"/>
        </w:rPr>
        <w:t xml:space="preserve">Communication.  </w:t>
      </w:r>
      <w:r w:rsidRPr="006E105F">
        <w:rPr>
          <w:rFonts w:ascii="Arial" w:eastAsia="Segoe UI" w:hAnsi="Arial" w:cs="Arial"/>
          <w:sz w:val="23"/>
          <w:szCs w:val="23"/>
        </w:rPr>
        <w:t xml:space="preserve">Effective communication is fundamental to the SHA role because it </w:t>
      </w:r>
      <w:r w:rsidRPr="006E105F">
        <w:rPr>
          <w:rFonts w:ascii="Arial" w:hAnsi="Arial" w:cs="Arial"/>
          <w:sz w:val="23"/>
          <w:szCs w:val="23"/>
        </w:rPr>
        <w:t>supports</w:t>
      </w:r>
      <w:r w:rsidRPr="006E105F">
        <w:rPr>
          <w:rFonts w:ascii="Arial" w:eastAsia="Segoe UI" w:hAnsi="Arial" w:cs="Arial"/>
          <w:sz w:val="23"/>
          <w:szCs w:val="23"/>
        </w:rPr>
        <w:t xml:space="preserve"> safe handover, accurate record</w:t>
      </w:r>
      <w:r w:rsidRPr="006E105F">
        <w:rPr>
          <w:rFonts w:ascii="Arial" w:hAnsi="Arial" w:cs="Arial"/>
          <w:sz w:val="23"/>
          <w:szCs w:val="23"/>
        </w:rPr>
        <w:t xml:space="preserve"> </w:t>
      </w:r>
      <w:r w:rsidRPr="006E105F">
        <w:rPr>
          <w:rFonts w:ascii="Arial" w:eastAsia="Segoe UI" w:hAnsi="Arial" w:cs="Arial"/>
          <w:sz w:val="23"/>
          <w:szCs w:val="23"/>
        </w:rPr>
        <w:t xml:space="preserve">keeping and collaborative working with teachers, parents and clinicians. Guidance from the Royal College of Nursing (RCN, 2018) emphasises clear written and verbal communication to reduce medication errors and </w:t>
      </w:r>
      <w:r w:rsidRPr="006E105F">
        <w:rPr>
          <w:rFonts w:ascii="Arial" w:eastAsia="Segoe UI" w:hAnsi="Arial" w:cs="Arial"/>
          <w:sz w:val="23"/>
          <w:szCs w:val="23"/>
        </w:rPr>
        <w:lastRenderedPageBreak/>
        <w:t xml:space="preserve">maintain </w:t>
      </w:r>
      <w:r w:rsidRPr="006E105F">
        <w:rPr>
          <w:rFonts w:ascii="Arial" w:hAnsi="Arial" w:cs="Arial"/>
          <w:sz w:val="23"/>
          <w:szCs w:val="23"/>
        </w:rPr>
        <w:t>progression</w:t>
      </w:r>
      <w:r w:rsidRPr="006E105F">
        <w:rPr>
          <w:rFonts w:ascii="Arial" w:eastAsia="Segoe UI" w:hAnsi="Arial" w:cs="Arial"/>
          <w:sz w:val="23"/>
          <w:szCs w:val="23"/>
        </w:rPr>
        <w:t xml:space="preserve"> of care. In practice, an SHA must translate clinical instructions from a school nurse into </w:t>
      </w:r>
      <w:r w:rsidRPr="006E105F">
        <w:rPr>
          <w:rFonts w:ascii="Arial" w:hAnsi="Arial" w:cs="Arial"/>
          <w:sz w:val="23"/>
          <w:szCs w:val="23"/>
        </w:rPr>
        <w:t>understandable</w:t>
      </w:r>
      <w:r w:rsidRPr="006E105F">
        <w:rPr>
          <w:rFonts w:ascii="Arial" w:eastAsia="Segoe UI" w:hAnsi="Arial" w:cs="Arial"/>
          <w:sz w:val="23"/>
          <w:szCs w:val="23"/>
        </w:rPr>
        <w:t xml:space="preserve"> explanations for a pupil and their teacher, document medication administration precisely in the school's records, and provide </w:t>
      </w:r>
      <w:r w:rsidRPr="006E105F">
        <w:rPr>
          <w:rFonts w:ascii="Arial" w:hAnsi="Arial" w:cs="Arial"/>
          <w:sz w:val="23"/>
          <w:szCs w:val="23"/>
        </w:rPr>
        <w:t>brief</w:t>
      </w:r>
      <w:r w:rsidRPr="006E105F">
        <w:rPr>
          <w:rFonts w:ascii="Arial" w:eastAsia="Segoe UI" w:hAnsi="Arial" w:cs="Arial"/>
          <w:sz w:val="23"/>
          <w:szCs w:val="23"/>
        </w:rPr>
        <w:t xml:space="preserve">, timely handovers at shift changes. Poor communication can lead to missed doses, confusion about care plans and </w:t>
      </w:r>
      <w:r w:rsidRPr="006E105F">
        <w:rPr>
          <w:rFonts w:ascii="Arial" w:hAnsi="Arial" w:cs="Arial"/>
          <w:sz w:val="23"/>
          <w:szCs w:val="23"/>
        </w:rPr>
        <w:t>can breakdown the safeguarding pathways, s</w:t>
      </w:r>
      <w:r w:rsidRPr="006E105F">
        <w:rPr>
          <w:rFonts w:ascii="Arial" w:eastAsia="Segoe UI" w:hAnsi="Arial" w:cs="Arial"/>
          <w:sz w:val="23"/>
          <w:szCs w:val="23"/>
        </w:rPr>
        <w:t xml:space="preserve">tructured handover tools and standardised record templates, by contrast, reduce </w:t>
      </w:r>
      <w:r w:rsidRPr="006E105F">
        <w:rPr>
          <w:rFonts w:ascii="Arial" w:hAnsi="Arial" w:cs="Arial"/>
          <w:sz w:val="23"/>
          <w:szCs w:val="23"/>
        </w:rPr>
        <w:t>confusion</w:t>
      </w:r>
      <w:r w:rsidRPr="006E105F">
        <w:rPr>
          <w:rFonts w:ascii="Arial" w:eastAsia="Segoe UI" w:hAnsi="Arial" w:cs="Arial"/>
          <w:sz w:val="23"/>
          <w:szCs w:val="23"/>
        </w:rPr>
        <w:t xml:space="preserve"> and make outcomes safer.</w:t>
      </w:r>
    </w:p>
    <w:p w14:paraId="12D674BB" w14:textId="77777777" w:rsidR="006E105F" w:rsidRPr="006E105F" w:rsidRDefault="006E105F" w:rsidP="006E105F">
      <w:pPr>
        <w:jc w:val="both"/>
        <w:rPr>
          <w:rFonts w:ascii="Arial" w:hAnsi="Arial" w:cs="Arial"/>
          <w:sz w:val="23"/>
          <w:szCs w:val="23"/>
        </w:rPr>
      </w:pPr>
      <w:r w:rsidRPr="006E105F">
        <w:rPr>
          <w:rFonts w:ascii="Arial" w:eastAsia="Segoe UI" w:hAnsi="Arial" w:cs="Arial"/>
          <w:b/>
          <w:bCs/>
          <w:sz w:val="23"/>
          <w:szCs w:val="23"/>
        </w:rPr>
        <w:t xml:space="preserve">Safeguarding awareness.  </w:t>
      </w:r>
      <w:r w:rsidRPr="006E105F">
        <w:rPr>
          <w:rFonts w:ascii="Arial" w:eastAsia="Segoe UI" w:hAnsi="Arial" w:cs="Arial"/>
          <w:sz w:val="23"/>
          <w:szCs w:val="23"/>
        </w:rPr>
        <w:t xml:space="preserve">Safeguarding awareness is a </w:t>
      </w:r>
      <w:r w:rsidRPr="006E105F">
        <w:rPr>
          <w:rFonts w:ascii="Arial" w:hAnsi="Arial" w:cs="Arial"/>
          <w:sz w:val="23"/>
          <w:szCs w:val="23"/>
        </w:rPr>
        <w:t>non-negotiable</w:t>
      </w:r>
      <w:r w:rsidRPr="006E105F">
        <w:rPr>
          <w:rFonts w:ascii="Arial" w:eastAsia="Segoe UI" w:hAnsi="Arial" w:cs="Arial"/>
          <w:sz w:val="23"/>
          <w:szCs w:val="23"/>
        </w:rPr>
        <w:t xml:space="preserve"> skill for SHAs, who are often the first adults to notice physical or behavioural </w:t>
      </w:r>
      <w:r w:rsidRPr="006E105F">
        <w:rPr>
          <w:rFonts w:ascii="Arial" w:hAnsi="Arial" w:cs="Arial"/>
          <w:sz w:val="23"/>
          <w:szCs w:val="23"/>
        </w:rPr>
        <w:t>changes indicating</w:t>
      </w:r>
      <w:r w:rsidRPr="006E105F">
        <w:rPr>
          <w:rFonts w:ascii="Arial" w:eastAsia="Segoe UI" w:hAnsi="Arial" w:cs="Arial"/>
          <w:sz w:val="23"/>
          <w:szCs w:val="23"/>
        </w:rPr>
        <w:t xml:space="preserve"> harm. Statutory guidance requires school staff to recognise, record and escalate concerns </w:t>
      </w:r>
      <w:r w:rsidRPr="006E105F">
        <w:rPr>
          <w:rFonts w:ascii="Arial" w:hAnsi="Arial" w:cs="Arial"/>
          <w:sz w:val="23"/>
          <w:szCs w:val="23"/>
        </w:rPr>
        <w:t>according to</w:t>
      </w:r>
      <w:r w:rsidRPr="006E105F">
        <w:rPr>
          <w:rFonts w:ascii="Arial" w:eastAsia="Segoe UI" w:hAnsi="Arial" w:cs="Arial"/>
          <w:sz w:val="23"/>
          <w:szCs w:val="23"/>
        </w:rPr>
        <w:t xml:space="preserve"> Keeping Children Safe in Education (DfE, 2025). An SHA </w:t>
      </w:r>
      <w:proofErr w:type="gramStart"/>
      <w:r w:rsidRPr="006E105F">
        <w:rPr>
          <w:rFonts w:ascii="Arial" w:hAnsi="Arial" w:cs="Arial"/>
          <w:sz w:val="23"/>
          <w:szCs w:val="23"/>
        </w:rPr>
        <w:t>has to</w:t>
      </w:r>
      <w:proofErr w:type="gramEnd"/>
      <w:r w:rsidRPr="006E105F">
        <w:rPr>
          <w:rFonts w:ascii="Arial" w:eastAsia="Segoe UI" w:hAnsi="Arial" w:cs="Arial"/>
          <w:sz w:val="23"/>
          <w:szCs w:val="23"/>
        </w:rPr>
        <w:t xml:space="preserve"> be able to identify signs of neglect or abuse, complete accurate incident records, and follow the school's safeguarding referral process </w:t>
      </w:r>
      <w:r w:rsidRPr="006E105F">
        <w:rPr>
          <w:rFonts w:ascii="Arial" w:hAnsi="Arial" w:cs="Arial"/>
          <w:sz w:val="23"/>
          <w:szCs w:val="23"/>
        </w:rPr>
        <w:t>immediately</w:t>
      </w:r>
      <w:r w:rsidRPr="006E105F">
        <w:rPr>
          <w:rFonts w:ascii="Arial" w:eastAsia="Segoe UI" w:hAnsi="Arial" w:cs="Arial"/>
          <w:sz w:val="23"/>
          <w:szCs w:val="23"/>
        </w:rPr>
        <w:t>. For example, an SHA who notices unexplained bruising during a routine clinical procedure must document the observation, inform the designated safeguarding lead</w:t>
      </w:r>
      <w:r w:rsidRPr="006E105F">
        <w:rPr>
          <w:rFonts w:ascii="Arial" w:hAnsi="Arial" w:cs="Arial"/>
          <w:sz w:val="23"/>
          <w:szCs w:val="23"/>
        </w:rPr>
        <w:t xml:space="preserve">s </w:t>
      </w:r>
      <w:r w:rsidRPr="006E105F">
        <w:rPr>
          <w:rFonts w:ascii="Arial" w:eastAsia="Segoe UI" w:hAnsi="Arial" w:cs="Arial"/>
          <w:sz w:val="23"/>
          <w:szCs w:val="23"/>
        </w:rPr>
        <w:t xml:space="preserve">and, where necessary, </w:t>
      </w:r>
      <w:r w:rsidRPr="006E105F">
        <w:rPr>
          <w:rFonts w:ascii="Arial" w:hAnsi="Arial" w:cs="Arial"/>
          <w:sz w:val="23"/>
          <w:szCs w:val="23"/>
        </w:rPr>
        <w:t>communicate</w:t>
      </w:r>
      <w:r w:rsidRPr="006E105F">
        <w:rPr>
          <w:rFonts w:ascii="Arial" w:eastAsia="Segoe UI" w:hAnsi="Arial" w:cs="Arial"/>
          <w:sz w:val="23"/>
          <w:szCs w:val="23"/>
        </w:rPr>
        <w:t xml:space="preserve"> with external safeguarding agencies. Failure to act appropriately risks delayed protection for the child and potential legal and professional consequences for the school.</w:t>
      </w:r>
    </w:p>
    <w:p w14:paraId="4848F1DD" w14:textId="77777777" w:rsidR="006E105F" w:rsidRPr="006E105F" w:rsidRDefault="006E105F" w:rsidP="006E105F">
      <w:pPr>
        <w:jc w:val="both"/>
        <w:rPr>
          <w:rFonts w:ascii="Arial" w:hAnsi="Arial" w:cs="Arial"/>
          <w:sz w:val="23"/>
          <w:szCs w:val="23"/>
        </w:rPr>
      </w:pPr>
      <w:r w:rsidRPr="006E105F">
        <w:rPr>
          <w:rFonts w:ascii="Arial" w:eastAsia="Segoe UI" w:hAnsi="Arial" w:cs="Arial"/>
          <w:b/>
          <w:bCs/>
          <w:sz w:val="23"/>
          <w:szCs w:val="23"/>
        </w:rPr>
        <w:t xml:space="preserve">Clinical and practical competence.  </w:t>
      </w:r>
      <w:r w:rsidRPr="006E105F">
        <w:rPr>
          <w:rFonts w:ascii="Arial" w:eastAsia="Segoe UI" w:hAnsi="Arial" w:cs="Arial"/>
          <w:sz w:val="23"/>
          <w:szCs w:val="23"/>
        </w:rPr>
        <w:t xml:space="preserve">Clinical </w:t>
      </w:r>
      <w:r w:rsidRPr="006E105F">
        <w:rPr>
          <w:rFonts w:ascii="Arial" w:hAnsi="Arial" w:cs="Arial"/>
          <w:sz w:val="23"/>
          <w:szCs w:val="23"/>
        </w:rPr>
        <w:t>capability</w:t>
      </w:r>
      <w:r w:rsidRPr="006E105F">
        <w:rPr>
          <w:rFonts w:ascii="Arial" w:eastAsia="Segoe UI" w:hAnsi="Arial" w:cs="Arial"/>
          <w:sz w:val="23"/>
          <w:szCs w:val="23"/>
        </w:rPr>
        <w:t xml:space="preserve">, </w:t>
      </w:r>
      <w:r w:rsidRPr="006E105F">
        <w:rPr>
          <w:rFonts w:ascii="Arial" w:hAnsi="Arial" w:cs="Arial"/>
          <w:sz w:val="23"/>
          <w:szCs w:val="23"/>
        </w:rPr>
        <w:t>ensuring</w:t>
      </w:r>
      <w:r w:rsidRPr="006E105F">
        <w:rPr>
          <w:rFonts w:ascii="Arial" w:eastAsia="Segoe UI" w:hAnsi="Arial" w:cs="Arial"/>
          <w:sz w:val="23"/>
          <w:szCs w:val="23"/>
        </w:rPr>
        <w:t xml:space="preserve"> safe medication administration, </w:t>
      </w:r>
      <w:r w:rsidRPr="006E105F">
        <w:rPr>
          <w:rFonts w:ascii="Arial" w:hAnsi="Arial" w:cs="Arial"/>
          <w:sz w:val="23"/>
          <w:szCs w:val="23"/>
        </w:rPr>
        <w:t>compliance</w:t>
      </w:r>
      <w:r w:rsidRPr="006E105F">
        <w:rPr>
          <w:rFonts w:ascii="Arial" w:eastAsia="Segoe UI" w:hAnsi="Arial" w:cs="Arial"/>
          <w:sz w:val="23"/>
          <w:szCs w:val="23"/>
        </w:rPr>
        <w:t xml:space="preserve"> to IHPs and the safe delivery of condition</w:t>
      </w:r>
      <w:r w:rsidRPr="006E105F">
        <w:rPr>
          <w:rFonts w:ascii="Arial" w:hAnsi="Arial" w:cs="Arial"/>
          <w:sz w:val="23"/>
          <w:szCs w:val="23"/>
        </w:rPr>
        <w:t xml:space="preserve"> </w:t>
      </w:r>
      <w:r w:rsidRPr="006E105F">
        <w:rPr>
          <w:rFonts w:ascii="Arial" w:eastAsia="Segoe UI" w:hAnsi="Arial" w:cs="Arial"/>
          <w:sz w:val="23"/>
          <w:szCs w:val="23"/>
        </w:rPr>
        <w:t>specific procedures, is essential to prevent</w:t>
      </w:r>
      <w:r w:rsidRPr="006E105F">
        <w:rPr>
          <w:rFonts w:ascii="Arial" w:hAnsi="Arial" w:cs="Arial"/>
          <w:sz w:val="23"/>
          <w:szCs w:val="23"/>
        </w:rPr>
        <w:t>ing</w:t>
      </w:r>
      <w:r w:rsidRPr="006E105F">
        <w:rPr>
          <w:rFonts w:ascii="Arial" w:eastAsia="Segoe UI" w:hAnsi="Arial" w:cs="Arial"/>
          <w:sz w:val="23"/>
          <w:szCs w:val="23"/>
        </w:rPr>
        <w:t xml:space="preserve"> harm. RCN guidance on meeting medical ne</w:t>
      </w:r>
      <w:r w:rsidRPr="006E105F">
        <w:rPr>
          <w:rFonts w:ascii="Arial" w:hAnsi="Arial" w:cs="Arial"/>
          <w:sz w:val="23"/>
          <w:szCs w:val="23"/>
        </w:rPr>
        <w:t xml:space="preserve"> </w:t>
      </w:r>
      <w:r w:rsidRPr="006E105F">
        <w:rPr>
          <w:rFonts w:ascii="Arial" w:eastAsia="Segoe UI" w:hAnsi="Arial" w:cs="Arial"/>
          <w:sz w:val="23"/>
          <w:szCs w:val="23"/>
        </w:rPr>
        <w:t xml:space="preserve">eds in schools </w:t>
      </w:r>
      <w:r w:rsidRPr="006E105F">
        <w:rPr>
          <w:rFonts w:ascii="Arial" w:hAnsi="Arial" w:cs="Arial"/>
          <w:sz w:val="23"/>
          <w:szCs w:val="23"/>
        </w:rPr>
        <w:t>shows</w:t>
      </w:r>
      <w:r w:rsidRPr="006E105F">
        <w:rPr>
          <w:rFonts w:ascii="Arial" w:eastAsia="Segoe UI" w:hAnsi="Arial" w:cs="Arial"/>
          <w:sz w:val="23"/>
          <w:szCs w:val="23"/>
        </w:rPr>
        <w:t xml:space="preserve"> the importance of formal training, </w:t>
      </w:r>
      <w:r w:rsidRPr="006E105F">
        <w:rPr>
          <w:rFonts w:ascii="Arial" w:hAnsi="Arial" w:cs="Arial"/>
          <w:sz w:val="23"/>
          <w:szCs w:val="23"/>
        </w:rPr>
        <w:t>skill</w:t>
      </w:r>
      <w:r w:rsidRPr="006E105F">
        <w:rPr>
          <w:rFonts w:ascii="Arial" w:eastAsia="Segoe UI" w:hAnsi="Arial" w:cs="Arial"/>
          <w:sz w:val="23"/>
          <w:szCs w:val="23"/>
        </w:rPr>
        <w:t xml:space="preserve"> assessment and documented sign</w:t>
      </w:r>
      <w:r w:rsidRPr="006E105F">
        <w:rPr>
          <w:rFonts w:ascii="Arial" w:hAnsi="Arial" w:cs="Arial"/>
          <w:sz w:val="23"/>
          <w:szCs w:val="23"/>
        </w:rPr>
        <w:t xml:space="preserve"> </w:t>
      </w:r>
      <w:r w:rsidRPr="006E105F">
        <w:rPr>
          <w:rFonts w:ascii="Arial" w:eastAsia="Segoe UI" w:hAnsi="Arial" w:cs="Arial"/>
          <w:sz w:val="23"/>
          <w:szCs w:val="23"/>
        </w:rPr>
        <w:t xml:space="preserve">off before non-registered staff </w:t>
      </w:r>
      <w:r w:rsidRPr="006E105F">
        <w:rPr>
          <w:rFonts w:ascii="Arial" w:hAnsi="Arial" w:cs="Arial"/>
          <w:sz w:val="23"/>
          <w:szCs w:val="23"/>
        </w:rPr>
        <w:t>tackle</w:t>
      </w:r>
      <w:r w:rsidRPr="006E105F">
        <w:rPr>
          <w:rFonts w:ascii="Arial" w:eastAsia="Segoe UI" w:hAnsi="Arial" w:cs="Arial"/>
          <w:sz w:val="23"/>
          <w:szCs w:val="23"/>
        </w:rPr>
        <w:t xml:space="preserve"> clinical tasks (RCN, 2018). In the school context, an SHA may be trained and assessed to administer insulin or use an </w:t>
      </w:r>
      <w:r w:rsidRPr="006E105F">
        <w:rPr>
          <w:rFonts w:ascii="Arial" w:hAnsi="Arial" w:cs="Arial"/>
          <w:sz w:val="23"/>
          <w:szCs w:val="23"/>
        </w:rPr>
        <w:t>EpiPen</w:t>
      </w:r>
      <w:r w:rsidRPr="006E105F">
        <w:rPr>
          <w:rFonts w:ascii="Arial" w:eastAsia="Segoe UI" w:hAnsi="Arial" w:cs="Arial"/>
          <w:sz w:val="23"/>
          <w:szCs w:val="23"/>
        </w:rPr>
        <w:t xml:space="preserve"> under supervision, with competence demonstrated through observed practice, written assessment and periodic reassessment. When </w:t>
      </w:r>
      <w:r w:rsidRPr="006E105F">
        <w:rPr>
          <w:rFonts w:ascii="Arial" w:hAnsi="Arial" w:cs="Arial"/>
          <w:sz w:val="23"/>
          <w:szCs w:val="23"/>
        </w:rPr>
        <w:t>competence</w:t>
      </w:r>
      <w:r w:rsidRPr="006E105F">
        <w:rPr>
          <w:rFonts w:ascii="Arial" w:eastAsia="Segoe UI" w:hAnsi="Arial" w:cs="Arial"/>
          <w:sz w:val="23"/>
          <w:szCs w:val="23"/>
        </w:rPr>
        <w:t xml:space="preserve"> is lacking, </w:t>
      </w:r>
      <w:r w:rsidRPr="006E105F">
        <w:rPr>
          <w:rFonts w:ascii="Arial" w:hAnsi="Arial" w:cs="Arial"/>
          <w:sz w:val="23"/>
          <w:szCs w:val="23"/>
        </w:rPr>
        <w:t>harms</w:t>
      </w:r>
      <w:r w:rsidRPr="006E105F">
        <w:rPr>
          <w:rFonts w:ascii="Arial" w:eastAsia="Segoe UI" w:hAnsi="Arial" w:cs="Arial"/>
          <w:sz w:val="23"/>
          <w:szCs w:val="23"/>
        </w:rPr>
        <w:t xml:space="preserve"> include medication errors, incorrect device use and delayed emergency response, </w:t>
      </w:r>
      <w:r w:rsidRPr="006E105F">
        <w:rPr>
          <w:rFonts w:ascii="Arial" w:hAnsi="Arial" w:cs="Arial"/>
          <w:sz w:val="23"/>
          <w:szCs w:val="23"/>
        </w:rPr>
        <w:t xml:space="preserve">and all of these </w:t>
      </w:r>
      <w:r w:rsidRPr="006E105F">
        <w:rPr>
          <w:rFonts w:ascii="Arial" w:eastAsia="Segoe UI" w:hAnsi="Arial" w:cs="Arial"/>
          <w:sz w:val="23"/>
          <w:szCs w:val="23"/>
        </w:rPr>
        <w:t>have serious clinical consequences for pupils.</w:t>
      </w:r>
    </w:p>
    <w:p w14:paraId="31739383" w14:textId="77777777" w:rsidR="006E105F" w:rsidRPr="006E105F" w:rsidRDefault="006E105F" w:rsidP="006E105F">
      <w:pPr>
        <w:jc w:val="both"/>
        <w:rPr>
          <w:rFonts w:ascii="Arial" w:hAnsi="Arial" w:cs="Arial"/>
          <w:sz w:val="23"/>
          <w:szCs w:val="23"/>
        </w:rPr>
      </w:pPr>
      <w:r w:rsidRPr="006E105F">
        <w:rPr>
          <w:rFonts w:ascii="Arial" w:eastAsia="Segoe UI" w:hAnsi="Arial" w:cs="Arial"/>
          <w:b/>
          <w:bCs/>
          <w:sz w:val="23"/>
          <w:szCs w:val="23"/>
        </w:rPr>
        <w:t xml:space="preserve">Consequences when these skills are absent.  </w:t>
      </w:r>
      <w:r w:rsidRPr="006E105F">
        <w:rPr>
          <w:rFonts w:ascii="Arial" w:eastAsia="Segoe UI" w:hAnsi="Arial" w:cs="Arial"/>
          <w:sz w:val="23"/>
          <w:szCs w:val="23"/>
        </w:rPr>
        <w:t xml:space="preserve">When communication, safeguarding awareness and clinical competence are </w:t>
      </w:r>
      <w:r w:rsidRPr="006E105F">
        <w:rPr>
          <w:rFonts w:ascii="Arial" w:hAnsi="Arial" w:cs="Arial"/>
          <w:sz w:val="23"/>
          <w:szCs w:val="23"/>
        </w:rPr>
        <w:t>lacking</w:t>
      </w:r>
      <w:r w:rsidRPr="006E105F">
        <w:rPr>
          <w:rFonts w:ascii="Arial" w:eastAsia="Segoe UI" w:hAnsi="Arial" w:cs="Arial"/>
          <w:sz w:val="23"/>
          <w:szCs w:val="23"/>
        </w:rPr>
        <w:t xml:space="preserve">, the </w:t>
      </w:r>
      <w:r w:rsidRPr="006E105F">
        <w:rPr>
          <w:rFonts w:ascii="Arial" w:hAnsi="Arial" w:cs="Arial"/>
          <w:sz w:val="23"/>
          <w:szCs w:val="23"/>
        </w:rPr>
        <w:t>progressive</w:t>
      </w:r>
      <w:r w:rsidRPr="006E105F">
        <w:rPr>
          <w:rFonts w:ascii="Arial" w:eastAsia="Segoe UI" w:hAnsi="Arial" w:cs="Arial"/>
          <w:sz w:val="23"/>
          <w:szCs w:val="23"/>
        </w:rPr>
        <w:t xml:space="preserve"> risk to pupils increases. </w:t>
      </w:r>
      <w:r w:rsidRPr="006E105F">
        <w:rPr>
          <w:rFonts w:ascii="Arial" w:hAnsi="Arial" w:cs="Arial"/>
          <w:sz w:val="23"/>
          <w:szCs w:val="23"/>
        </w:rPr>
        <w:t xml:space="preserve">Medication errors, </w:t>
      </w:r>
      <w:r w:rsidRPr="006E105F">
        <w:rPr>
          <w:rFonts w:ascii="Arial" w:eastAsia="Segoe UI" w:hAnsi="Arial" w:cs="Arial"/>
          <w:sz w:val="23"/>
          <w:szCs w:val="23"/>
        </w:rPr>
        <w:t xml:space="preserve">mishandled safeguarding disclosures, and delayed or incorrect emergency interventions are documented outcomes in reviews of school healthcare incidents. A breakdown in handover, for instance, could result in a pupil with a severe allergy not receiving their prescribed antihistamine </w:t>
      </w:r>
      <w:r w:rsidRPr="006E105F">
        <w:rPr>
          <w:rFonts w:ascii="Arial" w:hAnsi="Arial" w:cs="Arial"/>
          <w:sz w:val="23"/>
          <w:szCs w:val="23"/>
        </w:rPr>
        <w:t>quickly</w:t>
      </w:r>
      <w:r w:rsidRPr="006E105F">
        <w:rPr>
          <w:rFonts w:ascii="Arial" w:eastAsia="Segoe UI" w:hAnsi="Arial" w:cs="Arial"/>
          <w:sz w:val="23"/>
          <w:szCs w:val="23"/>
        </w:rPr>
        <w:t xml:space="preserve">, while </w:t>
      </w:r>
      <w:r w:rsidRPr="006E105F">
        <w:rPr>
          <w:rFonts w:ascii="Arial" w:hAnsi="Arial" w:cs="Arial"/>
          <w:sz w:val="23"/>
          <w:szCs w:val="23"/>
        </w:rPr>
        <w:t>safeguarding recognition not up to standard can</w:t>
      </w:r>
      <w:r w:rsidRPr="006E105F">
        <w:rPr>
          <w:rFonts w:ascii="Arial" w:eastAsia="Segoe UI" w:hAnsi="Arial" w:cs="Arial"/>
          <w:sz w:val="23"/>
          <w:szCs w:val="23"/>
        </w:rPr>
        <w:t xml:space="preserve"> allow abuse to </w:t>
      </w:r>
      <w:r w:rsidRPr="006E105F">
        <w:rPr>
          <w:rFonts w:ascii="Arial" w:hAnsi="Arial" w:cs="Arial"/>
          <w:sz w:val="23"/>
          <w:szCs w:val="23"/>
        </w:rPr>
        <w:t>continue</w:t>
      </w:r>
      <w:r w:rsidRPr="006E105F">
        <w:rPr>
          <w:rFonts w:ascii="Arial" w:eastAsia="Segoe UI" w:hAnsi="Arial" w:cs="Arial"/>
          <w:sz w:val="23"/>
          <w:szCs w:val="23"/>
        </w:rPr>
        <w:t xml:space="preserve">. These scenarios underline the need for </w:t>
      </w:r>
      <w:r w:rsidRPr="006E105F">
        <w:rPr>
          <w:rFonts w:ascii="Arial" w:hAnsi="Arial" w:cs="Arial"/>
          <w:sz w:val="23"/>
          <w:szCs w:val="23"/>
        </w:rPr>
        <w:t>solid</w:t>
      </w:r>
      <w:r w:rsidRPr="006E105F">
        <w:rPr>
          <w:rFonts w:ascii="Arial" w:eastAsia="Segoe UI" w:hAnsi="Arial" w:cs="Arial"/>
          <w:sz w:val="23"/>
          <w:szCs w:val="23"/>
        </w:rPr>
        <w:t xml:space="preserve"> training, clear policies and ongoing supervision to reduce risk.</w:t>
      </w:r>
    </w:p>
    <w:p w14:paraId="7338813D" w14:textId="39EED578" w:rsidR="00C85A7C" w:rsidRPr="00242974" w:rsidRDefault="00C85A7C" w:rsidP="006E105F">
      <w:pPr>
        <w:spacing w:after="0" w:line="240" w:lineRule="auto"/>
        <w:jc w:val="both"/>
        <w:rPr>
          <w:sz w:val="21"/>
          <w:szCs w:val="21"/>
        </w:rPr>
      </w:pPr>
    </w:p>
    <w:p w14:paraId="2CAEA1EC" w14:textId="30DAC7D5" w:rsidR="002370CE" w:rsidRPr="002976D4" w:rsidRDefault="1F09BC6E" w:rsidP="0CF501EC">
      <w:pPr>
        <w:pStyle w:val="Heading2"/>
        <w:rPr>
          <w:color w:val="4472C4" w:themeColor="accent1"/>
        </w:rPr>
      </w:pPr>
      <w:bookmarkStart w:id="4" w:name="_Toc992114325"/>
      <w:r w:rsidRPr="0CF501EC">
        <w:rPr>
          <w:color w:val="4471C4"/>
        </w:rPr>
        <w:t>3</w:t>
      </w:r>
      <w:r w:rsidR="005D5457" w:rsidRPr="0CF501EC">
        <w:rPr>
          <w:color w:val="4471C4"/>
        </w:rPr>
        <w:t xml:space="preserve"> </w:t>
      </w:r>
      <w:r w:rsidR="003003FD" w:rsidRPr="0CF501EC">
        <w:rPr>
          <w:color w:val="4471C4"/>
        </w:rPr>
        <w:t>Strategies</w:t>
      </w:r>
      <w:r w:rsidR="00183CB9" w:rsidRPr="0CF501EC">
        <w:rPr>
          <w:color w:val="4471C4"/>
        </w:rPr>
        <w:t xml:space="preserve"> </w:t>
      </w:r>
      <w:r w:rsidR="59AB5A3E" w:rsidRPr="0CF501EC">
        <w:rPr>
          <w:color w:val="4471C4"/>
        </w:rPr>
        <w:t>for Skill Improvement for [</w:t>
      </w:r>
      <w:r w:rsidR="006E105F">
        <w:rPr>
          <w:color w:val="4471C4"/>
        </w:rPr>
        <w:t>School Healthcare Assistant</w:t>
      </w:r>
      <w:r w:rsidR="59AB5A3E" w:rsidRPr="0CF501EC">
        <w:rPr>
          <w:color w:val="4471C4"/>
        </w:rPr>
        <w:t>]</w:t>
      </w:r>
      <w:bookmarkEnd w:id="4"/>
    </w:p>
    <w:p w14:paraId="01C49510" w14:textId="68427D87" w:rsidR="002370CE" w:rsidRPr="002976D4" w:rsidRDefault="0C5D0C5C" w:rsidP="0156E134">
      <w:pPr>
        <w:pStyle w:val="Heading2"/>
        <w:rPr>
          <w:color w:val="4472C4" w:themeColor="accent1"/>
        </w:rPr>
      </w:pPr>
      <w:bookmarkStart w:id="5" w:name="_Toc1405407187"/>
      <w:r w:rsidRPr="0CF501EC">
        <w:rPr>
          <w:color w:val="4471C4"/>
        </w:rPr>
        <w:t xml:space="preserve">3.1 Three Strategies </w:t>
      </w:r>
      <w:r w:rsidR="00183CB9" w:rsidRPr="0CF501EC">
        <w:rPr>
          <w:color w:val="4471C4"/>
        </w:rPr>
        <w:t xml:space="preserve">to </w:t>
      </w:r>
      <w:r w:rsidR="5CE671C3" w:rsidRPr="0CF501EC">
        <w:rPr>
          <w:color w:val="4471C4"/>
        </w:rPr>
        <w:t>I</w:t>
      </w:r>
      <w:r w:rsidR="00183CB9" w:rsidRPr="0CF501EC">
        <w:rPr>
          <w:color w:val="4471C4"/>
        </w:rPr>
        <w:t xml:space="preserve">mprove the </w:t>
      </w:r>
      <w:r w:rsidR="40F0AB75" w:rsidRPr="0CF501EC">
        <w:rPr>
          <w:color w:val="4471C4"/>
        </w:rPr>
        <w:t>S</w:t>
      </w:r>
      <w:r w:rsidR="00183CB9" w:rsidRPr="0CF501EC">
        <w:rPr>
          <w:color w:val="4471C4"/>
        </w:rPr>
        <w:t>kills</w:t>
      </w:r>
      <w:r w:rsidR="005D5457" w:rsidRPr="0CF501EC">
        <w:rPr>
          <w:color w:val="4471C4"/>
        </w:rPr>
        <w:t xml:space="preserve"> </w:t>
      </w:r>
      <w:r w:rsidR="00070818" w:rsidRPr="0CF501EC">
        <w:rPr>
          <w:color w:val="4471C4"/>
        </w:rPr>
        <w:t>for [</w:t>
      </w:r>
      <w:r w:rsidR="006E105F">
        <w:rPr>
          <w:color w:val="4471C4"/>
        </w:rPr>
        <w:t>School Healthcare Assistant</w:t>
      </w:r>
      <w:r w:rsidR="00070818" w:rsidRPr="0CF501EC">
        <w:rPr>
          <w:color w:val="4471C4"/>
        </w:rPr>
        <w:t>]</w:t>
      </w:r>
      <w:bookmarkEnd w:id="5"/>
    </w:p>
    <w:p w14:paraId="25444F57" w14:textId="1E4646F3" w:rsidR="006E105F" w:rsidRPr="006E105F" w:rsidRDefault="006E105F" w:rsidP="006E105F">
      <w:pPr>
        <w:jc w:val="both"/>
        <w:rPr>
          <w:rFonts w:ascii="Arial" w:hAnsi="Arial" w:cs="Arial"/>
          <w:sz w:val="23"/>
          <w:szCs w:val="23"/>
        </w:rPr>
      </w:pPr>
      <w:r w:rsidRPr="006E105F">
        <w:rPr>
          <w:rFonts w:ascii="Arial" w:eastAsia="Segoe UI" w:hAnsi="Arial" w:cs="Arial"/>
          <w:b/>
          <w:bCs/>
          <w:sz w:val="23"/>
          <w:szCs w:val="23"/>
        </w:rPr>
        <w:t>Structured clinical mentorship and competency sign</w:t>
      </w:r>
      <w:r w:rsidRPr="006E105F">
        <w:rPr>
          <w:rFonts w:ascii="Arial" w:hAnsi="Arial" w:cs="Arial"/>
          <w:b/>
          <w:bCs/>
          <w:sz w:val="23"/>
          <w:szCs w:val="23"/>
        </w:rPr>
        <w:t xml:space="preserve"> </w:t>
      </w:r>
      <w:r w:rsidRPr="006E105F">
        <w:rPr>
          <w:rFonts w:ascii="Arial" w:eastAsia="Segoe UI" w:hAnsi="Arial" w:cs="Arial"/>
          <w:b/>
          <w:bCs/>
          <w:sz w:val="23"/>
          <w:szCs w:val="23"/>
        </w:rPr>
        <w:t xml:space="preserve">off (improves clinical competence).  </w:t>
      </w:r>
      <w:r w:rsidRPr="006E105F">
        <w:rPr>
          <w:rFonts w:ascii="Arial" w:eastAsia="Segoe UI" w:hAnsi="Arial" w:cs="Arial"/>
          <w:sz w:val="23"/>
          <w:szCs w:val="23"/>
        </w:rPr>
        <w:t xml:space="preserve">Structured clinical mentorship with </w:t>
      </w:r>
      <w:r w:rsidRPr="006E105F">
        <w:rPr>
          <w:rFonts w:ascii="Arial" w:hAnsi="Arial" w:cs="Arial"/>
          <w:sz w:val="23"/>
          <w:szCs w:val="23"/>
        </w:rPr>
        <w:t>skills verification</w:t>
      </w:r>
      <w:r w:rsidRPr="006E105F">
        <w:rPr>
          <w:rFonts w:ascii="Arial" w:eastAsia="Segoe UI" w:hAnsi="Arial" w:cs="Arial"/>
          <w:sz w:val="23"/>
          <w:szCs w:val="23"/>
        </w:rPr>
        <w:t xml:space="preserve"> is the most direct route to clinical competence. A formal, supervised practice programme, led by the school nurse, uses workplace</w:t>
      </w:r>
      <w:r w:rsidRPr="006E105F">
        <w:rPr>
          <w:rFonts w:ascii="Arial" w:hAnsi="Arial" w:cs="Arial"/>
          <w:sz w:val="23"/>
          <w:szCs w:val="23"/>
        </w:rPr>
        <w:t xml:space="preserve"> </w:t>
      </w:r>
      <w:r w:rsidRPr="006E105F">
        <w:rPr>
          <w:rFonts w:ascii="Arial" w:eastAsia="Segoe UI" w:hAnsi="Arial" w:cs="Arial"/>
          <w:sz w:val="23"/>
          <w:szCs w:val="23"/>
        </w:rPr>
        <w:t>based assessment against recognised standards, such as the Care Certificate (Skills for Care, Health Education England and Skills for Health, 2015) and local</w:t>
      </w:r>
      <w:r w:rsidRPr="006E105F">
        <w:rPr>
          <w:rFonts w:ascii="Arial" w:hAnsi="Arial" w:cs="Arial"/>
          <w:sz w:val="23"/>
          <w:szCs w:val="23"/>
        </w:rPr>
        <w:t xml:space="preserve"> skills assessments</w:t>
      </w:r>
      <w:r w:rsidRPr="006E105F">
        <w:rPr>
          <w:rFonts w:ascii="Arial" w:eastAsia="Segoe UI" w:hAnsi="Arial" w:cs="Arial"/>
          <w:sz w:val="23"/>
          <w:szCs w:val="23"/>
        </w:rPr>
        <w:t xml:space="preserve">, and </w:t>
      </w:r>
      <w:r w:rsidRPr="006E105F">
        <w:rPr>
          <w:rFonts w:ascii="Arial" w:hAnsi="Arial" w:cs="Arial"/>
          <w:sz w:val="23"/>
          <w:szCs w:val="23"/>
        </w:rPr>
        <w:t>concluded</w:t>
      </w:r>
      <w:r w:rsidRPr="006E105F">
        <w:rPr>
          <w:rFonts w:ascii="Arial" w:eastAsia="Segoe UI" w:hAnsi="Arial" w:cs="Arial"/>
          <w:sz w:val="23"/>
          <w:szCs w:val="23"/>
        </w:rPr>
        <w:t xml:space="preserve"> in documented </w:t>
      </w:r>
      <w:r w:rsidRPr="006E105F">
        <w:rPr>
          <w:rFonts w:ascii="Arial" w:hAnsi="Arial" w:cs="Arial"/>
          <w:sz w:val="23"/>
          <w:szCs w:val="23"/>
        </w:rPr>
        <w:t>endorsement</w:t>
      </w:r>
      <w:r w:rsidRPr="006E105F">
        <w:rPr>
          <w:rFonts w:ascii="Arial" w:eastAsia="Segoe UI" w:hAnsi="Arial" w:cs="Arial"/>
          <w:sz w:val="23"/>
          <w:szCs w:val="23"/>
        </w:rPr>
        <w:t xml:space="preserve">. Mentorship typically </w:t>
      </w:r>
      <w:r w:rsidRPr="006E105F">
        <w:rPr>
          <w:rFonts w:ascii="Arial" w:eastAsia="Segoe UI" w:hAnsi="Arial" w:cs="Arial"/>
          <w:sz w:val="23"/>
          <w:szCs w:val="23"/>
        </w:rPr>
        <w:lastRenderedPageBreak/>
        <w:t xml:space="preserve">involves </w:t>
      </w:r>
      <w:r w:rsidRPr="006E105F">
        <w:rPr>
          <w:rFonts w:ascii="Arial" w:hAnsi="Arial" w:cs="Arial"/>
          <w:sz w:val="23"/>
          <w:szCs w:val="23"/>
        </w:rPr>
        <w:t>monitoring</w:t>
      </w:r>
      <w:r w:rsidRPr="006E105F">
        <w:rPr>
          <w:rFonts w:ascii="Arial" w:eastAsia="Segoe UI" w:hAnsi="Arial" w:cs="Arial"/>
          <w:sz w:val="23"/>
          <w:szCs w:val="23"/>
        </w:rPr>
        <w:t xml:space="preserve">, observed practice, reflective debriefs and a logbook of supervised procedures. This approach is well established in health services literature and reflected in RCN (2018) guidance, which recommends formal </w:t>
      </w:r>
      <w:r w:rsidRPr="006E105F">
        <w:rPr>
          <w:rFonts w:ascii="Arial" w:hAnsi="Arial" w:cs="Arial"/>
          <w:sz w:val="23"/>
          <w:szCs w:val="23"/>
        </w:rPr>
        <w:t>endorsement</w:t>
      </w:r>
      <w:r w:rsidRPr="006E105F">
        <w:rPr>
          <w:rFonts w:ascii="Arial" w:eastAsia="Segoe UI" w:hAnsi="Arial" w:cs="Arial"/>
          <w:sz w:val="23"/>
          <w:szCs w:val="23"/>
        </w:rPr>
        <w:t xml:space="preserve"> before </w:t>
      </w:r>
      <w:r w:rsidRPr="006E105F">
        <w:rPr>
          <w:rFonts w:ascii="Arial" w:hAnsi="Arial" w:cs="Arial"/>
          <w:sz w:val="23"/>
          <w:szCs w:val="23"/>
        </w:rPr>
        <w:t>assignment</w:t>
      </w:r>
      <w:r w:rsidRPr="006E105F">
        <w:rPr>
          <w:rFonts w:ascii="Arial" w:eastAsia="Segoe UI" w:hAnsi="Arial" w:cs="Arial"/>
          <w:sz w:val="23"/>
          <w:szCs w:val="23"/>
        </w:rPr>
        <w:t xml:space="preserve"> of </w:t>
      </w:r>
      <w:r w:rsidRPr="006E105F">
        <w:rPr>
          <w:rFonts w:ascii="Arial" w:hAnsi="Arial" w:cs="Arial"/>
          <w:sz w:val="23"/>
          <w:szCs w:val="23"/>
        </w:rPr>
        <w:t>medical</w:t>
      </w:r>
      <w:r w:rsidRPr="006E105F">
        <w:rPr>
          <w:rFonts w:ascii="Arial" w:eastAsia="Segoe UI" w:hAnsi="Arial" w:cs="Arial"/>
          <w:sz w:val="23"/>
          <w:szCs w:val="23"/>
        </w:rPr>
        <w:t xml:space="preserve"> tasks. </w:t>
      </w:r>
      <w:r w:rsidRPr="006E105F">
        <w:rPr>
          <w:rFonts w:ascii="Arial" w:hAnsi="Arial" w:cs="Arial"/>
          <w:sz w:val="23"/>
          <w:szCs w:val="23"/>
        </w:rPr>
        <w:t>Effectively</w:t>
      </w:r>
      <w:r w:rsidRPr="006E105F">
        <w:rPr>
          <w:rFonts w:ascii="Arial" w:eastAsia="Segoe UI" w:hAnsi="Arial" w:cs="Arial"/>
          <w:sz w:val="23"/>
          <w:szCs w:val="23"/>
        </w:rPr>
        <w:t xml:space="preserve">, an SHA learning insulin administration would observe a qualified nurse, perform the task under supervision until assessed as </w:t>
      </w:r>
      <w:r w:rsidRPr="006E105F">
        <w:rPr>
          <w:rFonts w:ascii="Arial" w:hAnsi="Arial" w:cs="Arial"/>
          <w:sz w:val="23"/>
          <w:szCs w:val="23"/>
        </w:rPr>
        <w:t>able</w:t>
      </w:r>
      <w:r w:rsidRPr="006E105F">
        <w:rPr>
          <w:rFonts w:ascii="Arial" w:eastAsia="Segoe UI" w:hAnsi="Arial" w:cs="Arial"/>
          <w:sz w:val="23"/>
          <w:szCs w:val="23"/>
        </w:rPr>
        <w:t xml:space="preserve">, and be reassessed at regular </w:t>
      </w:r>
      <w:r w:rsidRPr="006E105F">
        <w:rPr>
          <w:rFonts w:ascii="Arial" w:hAnsi="Arial" w:cs="Arial"/>
          <w:sz w:val="23"/>
          <w:szCs w:val="23"/>
        </w:rPr>
        <w:t>stages</w:t>
      </w:r>
      <w:r w:rsidRPr="006E105F">
        <w:rPr>
          <w:rFonts w:ascii="Arial" w:eastAsia="Segoe UI" w:hAnsi="Arial" w:cs="Arial"/>
          <w:sz w:val="23"/>
          <w:szCs w:val="23"/>
        </w:rPr>
        <w:t xml:space="preserve"> or after any change in the pupil's condition. </w:t>
      </w:r>
      <w:r w:rsidRPr="006E105F">
        <w:rPr>
          <w:rFonts w:ascii="Arial" w:hAnsi="Arial" w:cs="Arial"/>
          <w:sz w:val="23"/>
          <w:szCs w:val="23"/>
        </w:rPr>
        <w:t xml:space="preserve">Rooting </w:t>
      </w:r>
      <w:r w:rsidRPr="006E105F">
        <w:rPr>
          <w:rFonts w:ascii="Arial" w:eastAsia="Segoe UI" w:hAnsi="Arial" w:cs="Arial"/>
          <w:sz w:val="23"/>
          <w:szCs w:val="23"/>
        </w:rPr>
        <w:t xml:space="preserve">this in practice means maintaining a </w:t>
      </w:r>
      <w:r w:rsidRPr="006E105F">
        <w:rPr>
          <w:rFonts w:ascii="Arial" w:hAnsi="Arial" w:cs="Arial"/>
          <w:sz w:val="23"/>
          <w:szCs w:val="23"/>
        </w:rPr>
        <w:t>proficiency</w:t>
      </w:r>
      <w:r w:rsidRPr="006E105F">
        <w:rPr>
          <w:rFonts w:ascii="Arial" w:eastAsia="Segoe UI" w:hAnsi="Arial" w:cs="Arial"/>
          <w:sz w:val="23"/>
          <w:szCs w:val="23"/>
        </w:rPr>
        <w:t xml:space="preserve"> portfolio for each SHA and scheduling protected time for supervised sessions.</w:t>
      </w:r>
    </w:p>
    <w:p w14:paraId="48A492B3" w14:textId="77777777" w:rsidR="006E105F" w:rsidRPr="006E105F" w:rsidRDefault="006E105F" w:rsidP="006E105F">
      <w:pPr>
        <w:jc w:val="both"/>
        <w:rPr>
          <w:rFonts w:ascii="Arial" w:hAnsi="Arial" w:cs="Arial"/>
          <w:sz w:val="23"/>
          <w:szCs w:val="23"/>
        </w:rPr>
      </w:pPr>
      <w:r w:rsidRPr="006E105F">
        <w:rPr>
          <w:rFonts w:ascii="Arial" w:hAnsi="Arial" w:cs="Arial"/>
          <w:b/>
          <w:bCs/>
          <w:sz w:val="23"/>
          <w:szCs w:val="23"/>
        </w:rPr>
        <w:t>Licensed</w:t>
      </w:r>
      <w:r w:rsidRPr="006E105F">
        <w:rPr>
          <w:rFonts w:ascii="Arial" w:eastAsia="Segoe UI" w:hAnsi="Arial" w:cs="Arial"/>
          <w:b/>
          <w:bCs/>
          <w:sz w:val="23"/>
          <w:szCs w:val="23"/>
        </w:rPr>
        <w:t xml:space="preserve"> safeguarding training with scenario-based refreshers (improves safeguarding awareness).  </w:t>
      </w:r>
      <w:r w:rsidRPr="006E105F">
        <w:rPr>
          <w:rFonts w:ascii="Arial" w:hAnsi="Arial" w:cs="Arial"/>
          <w:sz w:val="23"/>
          <w:szCs w:val="23"/>
        </w:rPr>
        <w:t>The best way to raise awareness of safeguarding is through licensed safeguarding training with scenario-based reviews. Basic knowledge is provided by courses in accordance with Keeping Children Safe in Education (DfE, 2025). However, since adult learning theory suggests that active, contextualised practice improves retention more than one-time training, ingraining that knowledge requires regular, scenario-based reviews and local policy drills. For example, SHAs can practise identifying symptoms, filling out paperwork and starting conversations with the designated safeguarding lead through regular safeguarding tabletop exercises. This strategy is in line with educational research and legislative guidelines on staff training, which demonstrate that scenario-based practice increases confidence and accuracy in identifying safeguarding risks</w:t>
      </w:r>
      <w:r w:rsidRPr="006E105F">
        <w:rPr>
          <w:rFonts w:ascii="Arial" w:eastAsia="Segoe UI" w:hAnsi="Arial" w:cs="Arial"/>
          <w:sz w:val="23"/>
          <w:szCs w:val="23"/>
        </w:rPr>
        <w:t xml:space="preserve">. Schools can </w:t>
      </w:r>
      <w:r w:rsidRPr="006E105F">
        <w:rPr>
          <w:rFonts w:ascii="Arial" w:hAnsi="Arial" w:cs="Arial"/>
          <w:sz w:val="23"/>
          <w:szCs w:val="23"/>
        </w:rPr>
        <w:t>root</w:t>
      </w:r>
      <w:r w:rsidRPr="006E105F">
        <w:rPr>
          <w:rFonts w:ascii="Arial" w:eastAsia="Segoe UI" w:hAnsi="Arial" w:cs="Arial"/>
          <w:sz w:val="23"/>
          <w:szCs w:val="23"/>
        </w:rPr>
        <w:t xml:space="preserve"> this by scheduling scenario drills into the academic </w:t>
      </w:r>
      <w:r w:rsidRPr="006E105F">
        <w:rPr>
          <w:rFonts w:ascii="Arial" w:hAnsi="Arial" w:cs="Arial"/>
          <w:sz w:val="23"/>
          <w:szCs w:val="23"/>
        </w:rPr>
        <w:t>year</w:t>
      </w:r>
      <w:r w:rsidRPr="006E105F">
        <w:rPr>
          <w:rFonts w:ascii="Arial" w:eastAsia="Segoe UI" w:hAnsi="Arial" w:cs="Arial"/>
          <w:sz w:val="23"/>
          <w:szCs w:val="23"/>
        </w:rPr>
        <w:t xml:space="preserve"> and having outcomes recorded and reviewed by the safeguarding lead.</w:t>
      </w:r>
    </w:p>
    <w:p w14:paraId="6C9CAB8D" w14:textId="77777777" w:rsidR="006E105F" w:rsidRDefault="006E105F" w:rsidP="006E105F">
      <w:pPr>
        <w:jc w:val="both"/>
      </w:pPr>
      <w:r w:rsidRPr="006E105F">
        <w:rPr>
          <w:rFonts w:ascii="Arial" w:eastAsia="Segoe UI" w:hAnsi="Arial" w:cs="Arial"/>
          <w:b/>
          <w:bCs/>
          <w:sz w:val="23"/>
          <w:szCs w:val="23"/>
        </w:rPr>
        <w:t xml:space="preserve">Structured reflective practice and communication training (improves communication).  </w:t>
      </w:r>
      <w:r w:rsidRPr="006E105F">
        <w:rPr>
          <w:rFonts w:ascii="Arial" w:hAnsi="Arial" w:cs="Arial"/>
          <w:sz w:val="23"/>
          <w:szCs w:val="23"/>
        </w:rPr>
        <w:t>The ideal way to increase communication is to combine focused skills training in written record-keeping and handover practices with organised practice. During reflective supervision sessions, SHAs can evaluate difficult interactions, get feedback, and create more effective methods of communicating with staff and students. Information transfer variability is decreased by training in standardised documentation templates and handover frameworks like SBAR (Situation, Background, Assessment, Recommendation). Applying structured handover tools in schools makes medicine administration safer and preserving records more transparent, according to studies conducted in hospital settings. These methods also prevent information loss and inaccuracies. Timetable reflective supervision and auditable handover templates, whether digital or paper-based, are necessary for the foundation of this approach</w:t>
      </w:r>
      <w:r w:rsidRPr="0033086F">
        <w:t>.</w:t>
      </w:r>
    </w:p>
    <w:p w14:paraId="58A1B501" w14:textId="516E27D9" w:rsidR="0156E134" w:rsidRDefault="0156E134" w:rsidP="006E105F">
      <w:pPr>
        <w:spacing w:after="0"/>
        <w:rPr>
          <w:sz w:val="21"/>
          <w:szCs w:val="21"/>
        </w:rPr>
      </w:pPr>
    </w:p>
    <w:p w14:paraId="1497148C" w14:textId="5D9ACA22" w:rsidR="00A946CB" w:rsidRPr="002976D4" w:rsidRDefault="5617AA6E" w:rsidP="0156E134">
      <w:pPr>
        <w:pStyle w:val="Heading2"/>
        <w:rPr>
          <w:color w:val="4472C4" w:themeColor="accent1"/>
        </w:rPr>
      </w:pPr>
      <w:bookmarkStart w:id="6" w:name="_Toc1799977123"/>
      <w:r w:rsidRPr="0CF501EC">
        <w:rPr>
          <w:color w:val="4471C4"/>
        </w:rPr>
        <w:t>4</w:t>
      </w:r>
      <w:r w:rsidR="00A946CB" w:rsidRPr="0CF501EC">
        <w:rPr>
          <w:color w:val="4471C4"/>
        </w:rPr>
        <w:t xml:space="preserve"> Conclusion</w:t>
      </w:r>
      <w:bookmarkEnd w:id="6"/>
    </w:p>
    <w:p w14:paraId="5DD29964" w14:textId="77777777" w:rsidR="006E105F" w:rsidRPr="006E105F" w:rsidRDefault="006E105F" w:rsidP="006E105F">
      <w:pPr>
        <w:rPr>
          <w:rFonts w:ascii="Arial" w:hAnsi="Arial" w:cs="Arial"/>
          <w:sz w:val="23"/>
          <w:szCs w:val="23"/>
        </w:rPr>
      </w:pPr>
      <w:r w:rsidRPr="006E105F">
        <w:rPr>
          <w:rFonts w:ascii="Arial" w:hAnsi="Arial" w:cs="Arial"/>
          <w:sz w:val="23"/>
          <w:szCs w:val="23"/>
        </w:rPr>
        <w:t>The position of school healthcare assistant is essential to providing students with health needs with a safe and comprehensive education. The three pillars that enable SHAs to work securely and effectively are communication, safeguarding awareness, and medical proficiency. Any weakness in any of these areas can result in medication errors, missed disclosures, and delayed emergency care. A system of continuous professional growth that lowers the possibility of error is formed by structured mentorship with competency enclosures, certified safeguarding training with scenario practice, reflective supervision, and standardised handover tools. By incorporating these tactics into standard school policy, schools may fulfil their legal obligations and ensure that students' health needs are consistently met.</w:t>
      </w:r>
    </w:p>
    <w:p w14:paraId="3F34EF19" w14:textId="5E3278EB" w:rsidR="00D676C3" w:rsidRPr="006E105F" w:rsidRDefault="00D676C3">
      <w:pPr>
        <w:rPr>
          <w:rFonts w:ascii="Arial" w:hAnsi="Arial" w:cs="Arial"/>
          <w:sz w:val="23"/>
          <w:szCs w:val="23"/>
        </w:rPr>
      </w:pPr>
      <w:r w:rsidRPr="006E105F">
        <w:rPr>
          <w:rFonts w:ascii="Arial" w:hAnsi="Arial" w:cs="Arial"/>
          <w:sz w:val="23"/>
          <w:szCs w:val="23"/>
        </w:rPr>
        <w:br w:type="page"/>
      </w:r>
    </w:p>
    <w:p w14:paraId="5155B0ED" w14:textId="77777777" w:rsidR="00D676C3" w:rsidRPr="00242974" w:rsidRDefault="00D676C3" w:rsidP="00D676C3">
      <w:pPr>
        <w:pStyle w:val="ListParagraph"/>
        <w:spacing w:after="0" w:line="240" w:lineRule="auto"/>
        <w:rPr>
          <w:sz w:val="21"/>
          <w:szCs w:val="21"/>
        </w:rPr>
      </w:pPr>
    </w:p>
    <w:p w14:paraId="6C4B494D" w14:textId="3FD9A722" w:rsidR="00226D31" w:rsidRPr="002976D4" w:rsidRDefault="00226D31" w:rsidP="0156E134">
      <w:pPr>
        <w:pStyle w:val="Heading2"/>
        <w:rPr>
          <w:color w:val="4472C4" w:themeColor="accent1"/>
        </w:rPr>
      </w:pPr>
      <w:bookmarkStart w:id="7" w:name="_Toc1911583216"/>
      <w:r w:rsidRPr="0CF501EC">
        <w:rPr>
          <w:color w:val="4471C4"/>
        </w:rPr>
        <w:t>5 Reference List</w:t>
      </w:r>
      <w:bookmarkEnd w:id="7"/>
    </w:p>
    <w:p w14:paraId="1C60E7DE" w14:textId="77777777" w:rsidR="006E105F" w:rsidRPr="006E105F" w:rsidRDefault="006E105F" w:rsidP="006E105F">
      <w:pPr>
        <w:spacing w:after="200"/>
        <w:ind w:left="720" w:hanging="720"/>
        <w:rPr>
          <w:rFonts w:ascii="Arial" w:hAnsi="Arial" w:cs="Arial"/>
          <w:sz w:val="23"/>
          <w:szCs w:val="23"/>
        </w:rPr>
      </w:pPr>
      <w:r w:rsidRPr="006E105F">
        <w:rPr>
          <w:rFonts w:ascii="Arial" w:eastAsia="Segoe UI" w:hAnsi="Arial" w:cs="Arial"/>
          <w:sz w:val="23"/>
          <w:szCs w:val="23"/>
        </w:rPr>
        <w:t>Department for Education (2015) Supporting pupils at school with medical conditions. Available at: https://www.gov.uk/government/publications/supporting-pupils-at-school-with-medical-conditions--3 (Accessed: 21 August 2026).</w:t>
      </w:r>
    </w:p>
    <w:p w14:paraId="4CABF63B" w14:textId="77777777" w:rsidR="006E105F" w:rsidRPr="006E105F" w:rsidRDefault="006E105F" w:rsidP="006E105F">
      <w:pPr>
        <w:spacing w:after="200"/>
        <w:ind w:left="720" w:hanging="720"/>
        <w:rPr>
          <w:rFonts w:ascii="Arial" w:hAnsi="Arial" w:cs="Arial"/>
          <w:sz w:val="23"/>
          <w:szCs w:val="23"/>
        </w:rPr>
      </w:pPr>
      <w:r w:rsidRPr="006E105F">
        <w:rPr>
          <w:rFonts w:ascii="Arial" w:eastAsia="Segoe UI" w:hAnsi="Arial" w:cs="Arial"/>
          <w:sz w:val="23"/>
          <w:szCs w:val="23"/>
        </w:rPr>
        <w:t>Department for Education (2025) Keeping Children Safe in Education. Available at: https://www.gov.uk/government/publications/keeping-children-safe-in-education--2 (Accessed: 21 August 2026).</w:t>
      </w:r>
    </w:p>
    <w:p w14:paraId="7C121351" w14:textId="77777777" w:rsidR="006E105F" w:rsidRPr="006E105F" w:rsidRDefault="006E105F" w:rsidP="006E105F">
      <w:pPr>
        <w:spacing w:after="200"/>
        <w:ind w:left="720" w:hanging="720"/>
        <w:rPr>
          <w:rFonts w:ascii="Arial" w:hAnsi="Arial" w:cs="Arial"/>
          <w:sz w:val="23"/>
          <w:szCs w:val="23"/>
        </w:rPr>
      </w:pPr>
      <w:r w:rsidRPr="006E105F">
        <w:rPr>
          <w:rFonts w:ascii="Arial" w:eastAsia="Segoe UI" w:hAnsi="Arial" w:cs="Arial"/>
          <w:sz w:val="23"/>
          <w:szCs w:val="23"/>
        </w:rPr>
        <w:t>Royal College of Nursing (2018) Meeting Medical Needs in Schools and Community Settings. London: RCN. Available at: https://www.rcn.org.uk/ (Accessed: 21 August 2026).</w:t>
      </w:r>
    </w:p>
    <w:p w14:paraId="5C7BFB1E" w14:textId="77777777" w:rsidR="006E105F" w:rsidRPr="006E105F" w:rsidRDefault="006E105F" w:rsidP="006E105F">
      <w:pPr>
        <w:spacing w:after="200"/>
        <w:ind w:left="720" w:hanging="720"/>
        <w:rPr>
          <w:rFonts w:ascii="Arial" w:hAnsi="Arial" w:cs="Arial"/>
          <w:sz w:val="23"/>
          <w:szCs w:val="23"/>
        </w:rPr>
      </w:pPr>
      <w:r w:rsidRPr="006E105F">
        <w:rPr>
          <w:rFonts w:ascii="Arial" w:eastAsia="Segoe UI" w:hAnsi="Arial" w:cs="Arial"/>
          <w:sz w:val="23"/>
          <w:szCs w:val="23"/>
        </w:rPr>
        <w:t>Skills for Care, Health Education England and Skills for Health (2015) The Care Certificate: Standards for health and social care workers. Available at: https://www.skillsforcare.org.uk/ (Accessed: 21 August 2026).</w:t>
      </w:r>
    </w:p>
    <w:p w14:paraId="1D0F2D59" w14:textId="04FD5966" w:rsidR="004552CE" w:rsidRPr="005E44B5" w:rsidRDefault="004552CE" w:rsidP="005E44B5">
      <w:pPr>
        <w:rPr>
          <w:color w:val="FF0000"/>
        </w:rPr>
      </w:pPr>
    </w:p>
    <w:sectPr w:rsidR="004552CE" w:rsidRPr="005E44B5" w:rsidSect="00D676C3">
      <w:headerReference w:type="even" r:id="rId9"/>
      <w:headerReference w:type="defaul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2E8469" w14:textId="77777777" w:rsidR="00802CD0" w:rsidRDefault="00802CD0" w:rsidP="003C7C97">
      <w:pPr>
        <w:spacing w:after="0" w:line="240" w:lineRule="auto"/>
      </w:pPr>
      <w:r>
        <w:separator/>
      </w:r>
    </w:p>
  </w:endnote>
  <w:endnote w:type="continuationSeparator" w:id="0">
    <w:p w14:paraId="45F35D6F" w14:textId="77777777" w:rsidR="00802CD0" w:rsidRDefault="00802CD0"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B09C34" w14:textId="77777777" w:rsidR="00802CD0" w:rsidRDefault="00802CD0" w:rsidP="003C7C97">
      <w:pPr>
        <w:spacing w:after="0" w:line="240" w:lineRule="auto"/>
      </w:pPr>
      <w:r>
        <w:separator/>
      </w:r>
    </w:p>
  </w:footnote>
  <w:footnote w:type="continuationSeparator" w:id="0">
    <w:p w14:paraId="58AEA96A" w14:textId="77777777" w:rsidR="00802CD0" w:rsidRDefault="00802CD0" w:rsidP="003C7C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85892932"/>
      <w:docPartObj>
        <w:docPartGallery w:val="Page Numbers (Top of Page)"/>
        <w:docPartUnique/>
      </w:docPartObj>
    </w:sdtPr>
    <w:sdtContent>
      <w:p w14:paraId="5BB2DE41" w14:textId="00632B28" w:rsidR="00D676C3" w:rsidRDefault="00D676C3" w:rsidP="00776D70">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68C82FB7" w14:textId="77777777" w:rsidR="00D676C3" w:rsidRDefault="00D676C3" w:rsidP="00D676C3">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79713788"/>
      <w:docPartObj>
        <w:docPartGallery w:val="Page Numbers (Top of Page)"/>
        <w:docPartUnique/>
      </w:docPartObj>
    </w:sdtPr>
    <w:sdtContent>
      <w:p w14:paraId="7218427B" w14:textId="0A8B1AEA" w:rsidR="00D676C3" w:rsidRDefault="00D676C3" w:rsidP="00776D70">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1631D71E" w14:textId="77777777" w:rsidR="00D676C3" w:rsidRDefault="00D676C3" w:rsidP="00D676C3">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7542198"/>
    <w:multiLevelType w:val="hybridMultilevel"/>
    <w:tmpl w:val="DA242B48"/>
    <w:lvl w:ilvl="0" w:tplc="B636C0C0">
      <w:start w:val="1"/>
      <w:numFmt w:val="bullet"/>
      <w:lvlText w:val=""/>
      <w:lvlJc w:val="left"/>
      <w:pPr>
        <w:ind w:left="720" w:hanging="360"/>
      </w:pPr>
      <w:rPr>
        <w:rFonts w:ascii="Symbol" w:hAnsi="Symbol" w:hint="default"/>
      </w:rPr>
    </w:lvl>
    <w:lvl w:ilvl="1" w:tplc="19E26D70">
      <w:start w:val="1"/>
      <w:numFmt w:val="bullet"/>
      <w:lvlText w:val="o"/>
      <w:lvlJc w:val="left"/>
      <w:pPr>
        <w:ind w:left="1440" w:hanging="360"/>
      </w:pPr>
      <w:rPr>
        <w:rFonts w:ascii="Courier New" w:hAnsi="Courier New" w:hint="default"/>
      </w:rPr>
    </w:lvl>
    <w:lvl w:ilvl="2" w:tplc="F78A119A">
      <w:start w:val="1"/>
      <w:numFmt w:val="bullet"/>
      <w:lvlText w:val=""/>
      <w:lvlJc w:val="left"/>
      <w:pPr>
        <w:ind w:left="2160" w:hanging="360"/>
      </w:pPr>
      <w:rPr>
        <w:rFonts w:ascii="Wingdings" w:hAnsi="Wingdings" w:hint="default"/>
      </w:rPr>
    </w:lvl>
    <w:lvl w:ilvl="3" w:tplc="89922708">
      <w:start w:val="1"/>
      <w:numFmt w:val="bullet"/>
      <w:lvlText w:val=""/>
      <w:lvlJc w:val="left"/>
      <w:pPr>
        <w:ind w:left="2880" w:hanging="360"/>
      </w:pPr>
      <w:rPr>
        <w:rFonts w:ascii="Symbol" w:hAnsi="Symbol" w:hint="default"/>
      </w:rPr>
    </w:lvl>
    <w:lvl w:ilvl="4" w:tplc="E7DED5C4">
      <w:start w:val="1"/>
      <w:numFmt w:val="bullet"/>
      <w:lvlText w:val="o"/>
      <w:lvlJc w:val="left"/>
      <w:pPr>
        <w:ind w:left="3600" w:hanging="360"/>
      </w:pPr>
      <w:rPr>
        <w:rFonts w:ascii="Courier New" w:hAnsi="Courier New" w:hint="default"/>
      </w:rPr>
    </w:lvl>
    <w:lvl w:ilvl="5" w:tplc="6A162F3E">
      <w:start w:val="1"/>
      <w:numFmt w:val="bullet"/>
      <w:lvlText w:val=""/>
      <w:lvlJc w:val="left"/>
      <w:pPr>
        <w:ind w:left="4320" w:hanging="360"/>
      </w:pPr>
      <w:rPr>
        <w:rFonts w:ascii="Wingdings" w:hAnsi="Wingdings" w:hint="default"/>
      </w:rPr>
    </w:lvl>
    <w:lvl w:ilvl="6" w:tplc="B1B01DAE">
      <w:start w:val="1"/>
      <w:numFmt w:val="bullet"/>
      <w:lvlText w:val=""/>
      <w:lvlJc w:val="left"/>
      <w:pPr>
        <w:ind w:left="5040" w:hanging="360"/>
      </w:pPr>
      <w:rPr>
        <w:rFonts w:ascii="Symbol" w:hAnsi="Symbol" w:hint="default"/>
      </w:rPr>
    </w:lvl>
    <w:lvl w:ilvl="7" w:tplc="0ED2D242">
      <w:start w:val="1"/>
      <w:numFmt w:val="bullet"/>
      <w:lvlText w:val="o"/>
      <w:lvlJc w:val="left"/>
      <w:pPr>
        <w:ind w:left="5760" w:hanging="360"/>
      </w:pPr>
      <w:rPr>
        <w:rFonts w:ascii="Courier New" w:hAnsi="Courier New" w:hint="default"/>
      </w:rPr>
    </w:lvl>
    <w:lvl w:ilvl="8" w:tplc="CB08A6FA">
      <w:start w:val="1"/>
      <w:numFmt w:val="bullet"/>
      <w:lvlText w:val=""/>
      <w:lvlJc w:val="left"/>
      <w:pPr>
        <w:ind w:left="6480" w:hanging="360"/>
      </w:pPr>
      <w:rPr>
        <w:rFonts w:ascii="Wingdings" w:hAnsi="Wingdings" w:hint="default"/>
      </w:rPr>
    </w:lvl>
  </w:abstractNum>
  <w:abstractNum w:abstractNumId="2"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ACA6C03"/>
    <w:multiLevelType w:val="hybridMultilevel"/>
    <w:tmpl w:val="42D2F1F4"/>
    <w:lvl w:ilvl="0" w:tplc="A44ECD2E">
      <w:start w:val="1"/>
      <w:numFmt w:val="bullet"/>
      <w:lvlText w:val=""/>
      <w:lvlJc w:val="left"/>
      <w:pPr>
        <w:ind w:left="720" w:hanging="360"/>
      </w:pPr>
      <w:rPr>
        <w:rFonts w:ascii="Symbol" w:hAnsi="Symbol" w:hint="default"/>
      </w:rPr>
    </w:lvl>
    <w:lvl w:ilvl="1" w:tplc="ED0215CC">
      <w:start w:val="1"/>
      <w:numFmt w:val="bullet"/>
      <w:lvlText w:val="o"/>
      <w:lvlJc w:val="left"/>
      <w:pPr>
        <w:ind w:left="1440" w:hanging="360"/>
      </w:pPr>
      <w:rPr>
        <w:rFonts w:ascii="Courier New" w:hAnsi="Courier New" w:hint="default"/>
      </w:rPr>
    </w:lvl>
    <w:lvl w:ilvl="2" w:tplc="A7026624">
      <w:start w:val="1"/>
      <w:numFmt w:val="bullet"/>
      <w:lvlText w:val=""/>
      <w:lvlJc w:val="left"/>
      <w:pPr>
        <w:ind w:left="2160" w:hanging="360"/>
      </w:pPr>
      <w:rPr>
        <w:rFonts w:ascii="Wingdings" w:hAnsi="Wingdings" w:hint="default"/>
      </w:rPr>
    </w:lvl>
    <w:lvl w:ilvl="3" w:tplc="F3D2821E">
      <w:start w:val="1"/>
      <w:numFmt w:val="bullet"/>
      <w:lvlText w:val=""/>
      <w:lvlJc w:val="left"/>
      <w:pPr>
        <w:ind w:left="2880" w:hanging="360"/>
      </w:pPr>
      <w:rPr>
        <w:rFonts w:ascii="Symbol" w:hAnsi="Symbol" w:hint="default"/>
      </w:rPr>
    </w:lvl>
    <w:lvl w:ilvl="4" w:tplc="51CC6804">
      <w:start w:val="1"/>
      <w:numFmt w:val="bullet"/>
      <w:lvlText w:val="o"/>
      <w:lvlJc w:val="left"/>
      <w:pPr>
        <w:ind w:left="3600" w:hanging="360"/>
      </w:pPr>
      <w:rPr>
        <w:rFonts w:ascii="Courier New" w:hAnsi="Courier New" w:hint="default"/>
      </w:rPr>
    </w:lvl>
    <w:lvl w:ilvl="5" w:tplc="E6CE2D9A">
      <w:start w:val="1"/>
      <w:numFmt w:val="bullet"/>
      <w:lvlText w:val=""/>
      <w:lvlJc w:val="left"/>
      <w:pPr>
        <w:ind w:left="4320" w:hanging="360"/>
      </w:pPr>
      <w:rPr>
        <w:rFonts w:ascii="Wingdings" w:hAnsi="Wingdings" w:hint="default"/>
      </w:rPr>
    </w:lvl>
    <w:lvl w:ilvl="6" w:tplc="B5FE7088">
      <w:start w:val="1"/>
      <w:numFmt w:val="bullet"/>
      <w:lvlText w:val=""/>
      <w:lvlJc w:val="left"/>
      <w:pPr>
        <w:ind w:left="5040" w:hanging="360"/>
      </w:pPr>
      <w:rPr>
        <w:rFonts w:ascii="Symbol" w:hAnsi="Symbol" w:hint="default"/>
      </w:rPr>
    </w:lvl>
    <w:lvl w:ilvl="7" w:tplc="7DDE3984">
      <w:start w:val="1"/>
      <w:numFmt w:val="bullet"/>
      <w:lvlText w:val="o"/>
      <w:lvlJc w:val="left"/>
      <w:pPr>
        <w:ind w:left="5760" w:hanging="360"/>
      </w:pPr>
      <w:rPr>
        <w:rFonts w:ascii="Courier New" w:hAnsi="Courier New" w:hint="default"/>
      </w:rPr>
    </w:lvl>
    <w:lvl w:ilvl="8" w:tplc="FC8C2524">
      <w:start w:val="1"/>
      <w:numFmt w:val="bullet"/>
      <w:lvlText w:val=""/>
      <w:lvlJc w:val="left"/>
      <w:pPr>
        <w:ind w:left="6480" w:hanging="360"/>
      </w:pPr>
      <w:rPr>
        <w:rFonts w:ascii="Wingdings" w:hAnsi="Wingdings" w:hint="default"/>
      </w:rPr>
    </w:lvl>
  </w:abstractNum>
  <w:abstractNum w:abstractNumId="4"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1A2A81"/>
    <w:multiLevelType w:val="multilevel"/>
    <w:tmpl w:val="A49EE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34789E61"/>
    <w:multiLevelType w:val="hybridMultilevel"/>
    <w:tmpl w:val="BA8E5BB0"/>
    <w:lvl w:ilvl="0" w:tplc="C172E482">
      <w:start w:val="1"/>
      <w:numFmt w:val="bullet"/>
      <w:lvlText w:val=""/>
      <w:lvlJc w:val="left"/>
      <w:pPr>
        <w:ind w:left="720" w:hanging="360"/>
      </w:pPr>
      <w:rPr>
        <w:rFonts w:ascii="Symbol" w:hAnsi="Symbol" w:hint="default"/>
      </w:rPr>
    </w:lvl>
    <w:lvl w:ilvl="1" w:tplc="ED3CDD04">
      <w:start w:val="1"/>
      <w:numFmt w:val="bullet"/>
      <w:lvlText w:val="o"/>
      <w:lvlJc w:val="left"/>
      <w:pPr>
        <w:ind w:left="1440" w:hanging="360"/>
      </w:pPr>
      <w:rPr>
        <w:rFonts w:ascii="Courier New" w:hAnsi="Courier New" w:hint="default"/>
      </w:rPr>
    </w:lvl>
    <w:lvl w:ilvl="2" w:tplc="95DC90E6">
      <w:start w:val="1"/>
      <w:numFmt w:val="bullet"/>
      <w:lvlText w:val=""/>
      <w:lvlJc w:val="left"/>
      <w:pPr>
        <w:ind w:left="2160" w:hanging="360"/>
      </w:pPr>
      <w:rPr>
        <w:rFonts w:ascii="Wingdings" w:hAnsi="Wingdings" w:hint="default"/>
      </w:rPr>
    </w:lvl>
    <w:lvl w:ilvl="3" w:tplc="421CAD7C">
      <w:start w:val="1"/>
      <w:numFmt w:val="bullet"/>
      <w:lvlText w:val=""/>
      <w:lvlJc w:val="left"/>
      <w:pPr>
        <w:ind w:left="2880" w:hanging="360"/>
      </w:pPr>
      <w:rPr>
        <w:rFonts w:ascii="Symbol" w:hAnsi="Symbol" w:hint="default"/>
      </w:rPr>
    </w:lvl>
    <w:lvl w:ilvl="4" w:tplc="E744AD8E">
      <w:start w:val="1"/>
      <w:numFmt w:val="bullet"/>
      <w:lvlText w:val="o"/>
      <w:lvlJc w:val="left"/>
      <w:pPr>
        <w:ind w:left="3600" w:hanging="360"/>
      </w:pPr>
      <w:rPr>
        <w:rFonts w:ascii="Courier New" w:hAnsi="Courier New" w:hint="default"/>
      </w:rPr>
    </w:lvl>
    <w:lvl w:ilvl="5" w:tplc="C1F09F8E">
      <w:start w:val="1"/>
      <w:numFmt w:val="bullet"/>
      <w:lvlText w:val=""/>
      <w:lvlJc w:val="left"/>
      <w:pPr>
        <w:ind w:left="4320" w:hanging="360"/>
      </w:pPr>
      <w:rPr>
        <w:rFonts w:ascii="Wingdings" w:hAnsi="Wingdings" w:hint="default"/>
      </w:rPr>
    </w:lvl>
    <w:lvl w:ilvl="6" w:tplc="78C47736">
      <w:start w:val="1"/>
      <w:numFmt w:val="bullet"/>
      <w:lvlText w:val=""/>
      <w:lvlJc w:val="left"/>
      <w:pPr>
        <w:ind w:left="5040" w:hanging="360"/>
      </w:pPr>
      <w:rPr>
        <w:rFonts w:ascii="Symbol" w:hAnsi="Symbol" w:hint="default"/>
      </w:rPr>
    </w:lvl>
    <w:lvl w:ilvl="7" w:tplc="D5E2B55A">
      <w:start w:val="1"/>
      <w:numFmt w:val="bullet"/>
      <w:lvlText w:val="o"/>
      <w:lvlJc w:val="left"/>
      <w:pPr>
        <w:ind w:left="5760" w:hanging="360"/>
      </w:pPr>
      <w:rPr>
        <w:rFonts w:ascii="Courier New" w:hAnsi="Courier New" w:hint="default"/>
      </w:rPr>
    </w:lvl>
    <w:lvl w:ilvl="8" w:tplc="E7F089B0">
      <w:start w:val="1"/>
      <w:numFmt w:val="bullet"/>
      <w:lvlText w:val=""/>
      <w:lvlJc w:val="left"/>
      <w:pPr>
        <w:ind w:left="6480" w:hanging="360"/>
      </w:pPr>
      <w:rPr>
        <w:rFonts w:ascii="Wingdings" w:hAnsi="Wingdings" w:hint="default"/>
      </w:rPr>
    </w:lvl>
  </w:abstractNum>
  <w:abstractNum w:abstractNumId="12" w15:restartNumberingAfterBreak="0">
    <w:nsid w:val="3AB16C17"/>
    <w:multiLevelType w:val="hybridMultilevel"/>
    <w:tmpl w:val="61B603D2"/>
    <w:lvl w:ilvl="0" w:tplc="0FA6C5DC">
      <w:start w:val="1"/>
      <w:numFmt w:val="bullet"/>
      <w:lvlText w:val=""/>
      <w:lvlJc w:val="left"/>
      <w:pPr>
        <w:ind w:left="720" w:hanging="360"/>
      </w:pPr>
      <w:rPr>
        <w:rFonts w:ascii="Symbol" w:hAnsi="Symbol" w:hint="default"/>
      </w:rPr>
    </w:lvl>
    <w:lvl w:ilvl="1" w:tplc="18946D48">
      <w:start w:val="1"/>
      <w:numFmt w:val="bullet"/>
      <w:lvlText w:val="o"/>
      <w:lvlJc w:val="left"/>
      <w:pPr>
        <w:ind w:left="1440" w:hanging="360"/>
      </w:pPr>
      <w:rPr>
        <w:rFonts w:ascii="Courier New" w:hAnsi="Courier New" w:hint="default"/>
      </w:rPr>
    </w:lvl>
    <w:lvl w:ilvl="2" w:tplc="F6467EB6">
      <w:start w:val="1"/>
      <w:numFmt w:val="bullet"/>
      <w:lvlText w:val=""/>
      <w:lvlJc w:val="left"/>
      <w:pPr>
        <w:ind w:left="2160" w:hanging="360"/>
      </w:pPr>
      <w:rPr>
        <w:rFonts w:ascii="Wingdings" w:hAnsi="Wingdings" w:hint="default"/>
      </w:rPr>
    </w:lvl>
    <w:lvl w:ilvl="3" w:tplc="6ED44396">
      <w:start w:val="1"/>
      <w:numFmt w:val="bullet"/>
      <w:lvlText w:val=""/>
      <w:lvlJc w:val="left"/>
      <w:pPr>
        <w:ind w:left="2880" w:hanging="360"/>
      </w:pPr>
      <w:rPr>
        <w:rFonts w:ascii="Symbol" w:hAnsi="Symbol" w:hint="default"/>
      </w:rPr>
    </w:lvl>
    <w:lvl w:ilvl="4" w:tplc="5A04A9FE">
      <w:start w:val="1"/>
      <w:numFmt w:val="bullet"/>
      <w:lvlText w:val="o"/>
      <w:lvlJc w:val="left"/>
      <w:pPr>
        <w:ind w:left="3600" w:hanging="360"/>
      </w:pPr>
      <w:rPr>
        <w:rFonts w:ascii="Courier New" w:hAnsi="Courier New" w:hint="default"/>
      </w:rPr>
    </w:lvl>
    <w:lvl w:ilvl="5" w:tplc="F472567C">
      <w:start w:val="1"/>
      <w:numFmt w:val="bullet"/>
      <w:lvlText w:val=""/>
      <w:lvlJc w:val="left"/>
      <w:pPr>
        <w:ind w:left="4320" w:hanging="360"/>
      </w:pPr>
      <w:rPr>
        <w:rFonts w:ascii="Wingdings" w:hAnsi="Wingdings" w:hint="default"/>
      </w:rPr>
    </w:lvl>
    <w:lvl w:ilvl="6" w:tplc="6DD275CA">
      <w:start w:val="1"/>
      <w:numFmt w:val="bullet"/>
      <w:lvlText w:val=""/>
      <w:lvlJc w:val="left"/>
      <w:pPr>
        <w:ind w:left="5040" w:hanging="360"/>
      </w:pPr>
      <w:rPr>
        <w:rFonts w:ascii="Symbol" w:hAnsi="Symbol" w:hint="default"/>
      </w:rPr>
    </w:lvl>
    <w:lvl w:ilvl="7" w:tplc="67605BF8">
      <w:start w:val="1"/>
      <w:numFmt w:val="bullet"/>
      <w:lvlText w:val="o"/>
      <w:lvlJc w:val="left"/>
      <w:pPr>
        <w:ind w:left="5760" w:hanging="360"/>
      </w:pPr>
      <w:rPr>
        <w:rFonts w:ascii="Courier New" w:hAnsi="Courier New" w:hint="default"/>
      </w:rPr>
    </w:lvl>
    <w:lvl w:ilvl="8" w:tplc="D41CAC22">
      <w:start w:val="1"/>
      <w:numFmt w:val="bullet"/>
      <w:lvlText w:val=""/>
      <w:lvlJc w:val="left"/>
      <w:pPr>
        <w:ind w:left="6480" w:hanging="360"/>
      </w:pPr>
      <w:rPr>
        <w:rFonts w:ascii="Wingdings" w:hAnsi="Wingdings" w:hint="default"/>
      </w:rPr>
    </w:lvl>
  </w:abstractNum>
  <w:abstractNum w:abstractNumId="13"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A224439"/>
    <w:multiLevelType w:val="hybridMultilevel"/>
    <w:tmpl w:val="0C009D5A"/>
    <w:lvl w:ilvl="0" w:tplc="F0C42DDE">
      <w:start w:val="1"/>
      <w:numFmt w:val="bullet"/>
      <w:lvlText w:val=""/>
      <w:lvlJc w:val="left"/>
      <w:pPr>
        <w:ind w:left="720" w:hanging="360"/>
      </w:pPr>
      <w:rPr>
        <w:rFonts w:ascii="Symbol" w:hAnsi="Symbol" w:hint="default"/>
      </w:rPr>
    </w:lvl>
    <w:lvl w:ilvl="1" w:tplc="FB0ED518">
      <w:start w:val="1"/>
      <w:numFmt w:val="bullet"/>
      <w:lvlText w:val="o"/>
      <w:lvlJc w:val="left"/>
      <w:pPr>
        <w:ind w:left="1440" w:hanging="360"/>
      </w:pPr>
      <w:rPr>
        <w:rFonts w:ascii="Courier New" w:hAnsi="Courier New" w:hint="default"/>
      </w:rPr>
    </w:lvl>
    <w:lvl w:ilvl="2" w:tplc="89FC1DA4">
      <w:start w:val="1"/>
      <w:numFmt w:val="bullet"/>
      <w:lvlText w:val=""/>
      <w:lvlJc w:val="left"/>
      <w:pPr>
        <w:ind w:left="2160" w:hanging="360"/>
      </w:pPr>
      <w:rPr>
        <w:rFonts w:ascii="Wingdings" w:hAnsi="Wingdings" w:hint="default"/>
      </w:rPr>
    </w:lvl>
    <w:lvl w:ilvl="3" w:tplc="66EE3402">
      <w:start w:val="1"/>
      <w:numFmt w:val="bullet"/>
      <w:lvlText w:val=""/>
      <w:lvlJc w:val="left"/>
      <w:pPr>
        <w:ind w:left="2880" w:hanging="360"/>
      </w:pPr>
      <w:rPr>
        <w:rFonts w:ascii="Symbol" w:hAnsi="Symbol" w:hint="default"/>
      </w:rPr>
    </w:lvl>
    <w:lvl w:ilvl="4" w:tplc="8EC6D560">
      <w:start w:val="1"/>
      <w:numFmt w:val="bullet"/>
      <w:lvlText w:val="o"/>
      <w:lvlJc w:val="left"/>
      <w:pPr>
        <w:ind w:left="3600" w:hanging="360"/>
      </w:pPr>
      <w:rPr>
        <w:rFonts w:ascii="Courier New" w:hAnsi="Courier New" w:hint="default"/>
      </w:rPr>
    </w:lvl>
    <w:lvl w:ilvl="5" w:tplc="6CF8BF66">
      <w:start w:val="1"/>
      <w:numFmt w:val="bullet"/>
      <w:lvlText w:val=""/>
      <w:lvlJc w:val="left"/>
      <w:pPr>
        <w:ind w:left="4320" w:hanging="360"/>
      </w:pPr>
      <w:rPr>
        <w:rFonts w:ascii="Wingdings" w:hAnsi="Wingdings" w:hint="default"/>
      </w:rPr>
    </w:lvl>
    <w:lvl w:ilvl="6" w:tplc="606A36F4">
      <w:start w:val="1"/>
      <w:numFmt w:val="bullet"/>
      <w:lvlText w:val=""/>
      <w:lvlJc w:val="left"/>
      <w:pPr>
        <w:ind w:left="5040" w:hanging="360"/>
      </w:pPr>
      <w:rPr>
        <w:rFonts w:ascii="Symbol" w:hAnsi="Symbol" w:hint="default"/>
      </w:rPr>
    </w:lvl>
    <w:lvl w:ilvl="7" w:tplc="A9CA1968">
      <w:start w:val="1"/>
      <w:numFmt w:val="bullet"/>
      <w:lvlText w:val="o"/>
      <w:lvlJc w:val="left"/>
      <w:pPr>
        <w:ind w:left="5760" w:hanging="360"/>
      </w:pPr>
      <w:rPr>
        <w:rFonts w:ascii="Courier New" w:hAnsi="Courier New" w:hint="default"/>
      </w:rPr>
    </w:lvl>
    <w:lvl w:ilvl="8" w:tplc="F2F66EF2">
      <w:start w:val="1"/>
      <w:numFmt w:val="bullet"/>
      <w:lvlText w:val=""/>
      <w:lvlJc w:val="left"/>
      <w:pPr>
        <w:ind w:left="6480" w:hanging="360"/>
      </w:pPr>
      <w:rPr>
        <w:rFonts w:ascii="Wingdings" w:hAnsi="Wingdings" w:hint="default"/>
      </w:rPr>
    </w:lvl>
  </w:abstractNum>
  <w:abstractNum w:abstractNumId="16"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126354"/>
    <w:multiLevelType w:val="hybridMultilevel"/>
    <w:tmpl w:val="FB34BA3A"/>
    <w:lvl w:ilvl="0" w:tplc="ED846C2A">
      <w:start w:val="1"/>
      <w:numFmt w:val="bullet"/>
      <w:lvlText w:val=""/>
      <w:lvlJc w:val="left"/>
      <w:pPr>
        <w:ind w:left="720" w:hanging="360"/>
      </w:pPr>
      <w:rPr>
        <w:rFonts w:ascii="Symbol" w:hAnsi="Symbol" w:hint="default"/>
      </w:rPr>
    </w:lvl>
    <w:lvl w:ilvl="1" w:tplc="1794CF6E">
      <w:start w:val="1"/>
      <w:numFmt w:val="bullet"/>
      <w:lvlText w:val="o"/>
      <w:lvlJc w:val="left"/>
      <w:pPr>
        <w:ind w:left="1440" w:hanging="360"/>
      </w:pPr>
      <w:rPr>
        <w:rFonts w:ascii="Courier New" w:hAnsi="Courier New" w:hint="default"/>
      </w:rPr>
    </w:lvl>
    <w:lvl w:ilvl="2" w:tplc="2DA80872">
      <w:start w:val="1"/>
      <w:numFmt w:val="bullet"/>
      <w:lvlText w:val=""/>
      <w:lvlJc w:val="left"/>
      <w:pPr>
        <w:ind w:left="2160" w:hanging="360"/>
      </w:pPr>
      <w:rPr>
        <w:rFonts w:ascii="Wingdings" w:hAnsi="Wingdings" w:hint="default"/>
      </w:rPr>
    </w:lvl>
    <w:lvl w:ilvl="3" w:tplc="42AE7336">
      <w:start w:val="1"/>
      <w:numFmt w:val="bullet"/>
      <w:lvlText w:val=""/>
      <w:lvlJc w:val="left"/>
      <w:pPr>
        <w:ind w:left="2880" w:hanging="360"/>
      </w:pPr>
      <w:rPr>
        <w:rFonts w:ascii="Symbol" w:hAnsi="Symbol" w:hint="default"/>
      </w:rPr>
    </w:lvl>
    <w:lvl w:ilvl="4" w:tplc="7E76E6F0">
      <w:start w:val="1"/>
      <w:numFmt w:val="bullet"/>
      <w:lvlText w:val="o"/>
      <w:lvlJc w:val="left"/>
      <w:pPr>
        <w:ind w:left="3600" w:hanging="360"/>
      </w:pPr>
      <w:rPr>
        <w:rFonts w:ascii="Courier New" w:hAnsi="Courier New" w:hint="default"/>
      </w:rPr>
    </w:lvl>
    <w:lvl w:ilvl="5" w:tplc="3B30F2F8">
      <w:start w:val="1"/>
      <w:numFmt w:val="bullet"/>
      <w:lvlText w:val=""/>
      <w:lvlJc w:val="left"/>
      <w:pPr>
        <w:ind w:left="4320" w:hanging="360"/>
      </w:pPr>
      <w:rPr>
        <w:rFonts w:ascii="Wingdings" w:hAnsi="Wingdings" w:hint="default"/>
      </w:rPr>
    </w:lvl>
    <w:lvl w:ilvl="6" w:tplc="A692E2C8">
      <w:start w:val="1"/>
      <w:numFmt w:val="bullet"/>
      <w:lvlText w:val=""/>
      <w:lvlJc w:val="left"/>
      <w:pPr>
        <w:ind w:left="5040" w:hanging="360"/>
      </w:pPr>
      <w:rPr>
        <w:rFonts w:ascii="Symbol" w:hAnsi="Symbol" w:hint="default"/>
      </w:rPr>
    </w:lvl>
    <w:lvl w:ilvl="7" w:tplc="A824170E">
      <w:start w:val="1"/>
      <w:numFmt w:val="bullet"/>
      <w:lvlText w:val="o"/>
      <w:lvlJc w:val="left"/>
      <w:pPr>
        <w:ind w:left="5760" w:hanging="360"/>
      </w:pPr>
      <w:rPr>
        <w:rFonts w:ascii="Courier New" w:hAnsi="Courier New" w:hint="default"/>
      </w:rPr>
    </w:lvl>
    <w:lvl w:ilvl="8" w:tplc="CD163D78">
      <w:start w:val="1"/>
      <w:numFmt w:val="bullet"/>
      <w:lvlText w:val=""/>
      <w:lvlJc w:val="left"/>
      <w:pPr>
        <w:ind w:left="6480" w:hanging="360"/>
      </w:pPr>
      <w:rPr>
        <w:rFonts w:ascii="Wingdings" w:hAnsi="Wingdings" w:hint="default"/>
      </w:rPr>
    </w:lvl>
  </w:abstractNum>
  <w:abstractNum w:abstractNumId="24"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FC937D8"/>
    <w:multiLevelType w:val="multilevel"/>
    <w:tmpl w:val="233E4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8E35C29"/>
    <w:multiLevelType w:val="hybridMultilevel"/>
    <w:tmpl w:val="9022ED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A1A1C04"/>
    <w:multiLevelType w:val="multilevel"/>
    <w:tmpl w:val="D6E81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1826433">
    <w:abstractNumId w:val="11"/>
  </w:num>
  <w:num w:numId="2" w16cid:durableId="2127044105">
    <w:abstractNumId w:val="12"/>
  </w:num>
  <w:num w:numId="3" w16cid:durableId="883755127">
    <w:abstractNumId w:val="1"/>
  </w:num>
  <w:num w:numId="4" w16cid:durableId="228270504">
    <w:abstractNumId w:val="3"/>
  </w:num>
  <w:num w:numId="5" w16cid:durableId="1620837406">
    <w:abstractNumId w:val="15"/>
  </w:num>
  <w:num w:numId="6" w16cid:durableId="1551767625">
    <w:abstractNumId w:val="23"/>
  </w:num>
  <w:num w:numId="7" w16cid:durableId="52895227">
    <w:abstractNumId w:val="8"/>
  </w:num>
  <w:num w:numId="8" w16cid:durableId="351032333">
    <w:abstractNumId w:val="2"/>
  </w:num>
  <w:num w:numId="9" w16cid:durableId="1067413603">
    <w:abstractNumId w:val="13"/>
  </w:num>
  <w:num w:numId="10" w16cid:durableId="931426930">
    <w:abstractNumId w:val="26"/>
  </w:num>
  <w:num w:numId="11" w16cid:durableId="1422484198">
    <w:abstractNumId w:val="21"/>
  </w:num>
  <w:num w:numId="12" w16cid:durableId="552929862">
    <w:abstractNumId w:val="22"/>
  </w:num>
  <w:num w:numId="13" w16cid:durableId="587203086">
    <w:abstractNumId w:val="27"/>
  </w:num>
  <w:num w:numId="14" w16cid:durableId="389156196">
    <w:abstractNumId w:val="18"/>
  </w:num>
  <w:num w:numId="15" w16cid:durableId="1393503788">
    <w:abstractNumId w:val="5"/>
  </w:num>
  <w:num w:numId="16" w16cid:durableId="1579359955">
    <w:abstractNumId w:val="16"/>
  </w:num>
  <w:num w:numId="17" w16cid:durableId="806699681">
    <w:abstractNumId w:val="17"/>
  </w:num>
  <w:num w:numId="18" w16cid:durableId="1314750107">
    <w:abstractNumId w:val="14"/>
  </w:num>
  <w:num w:numId="19" w16cid:durableId="1766919701">
    <w:abstractNumId w:val="20"/>
  </w:num>
  <w:num w:numId="20" w16cid:durableId="1957908719">
    <w:abstractNumId w:val="10"/>
  </w:num>
  <w:num w:numId="21" w16cid:durableId="1132019979">
    <w:abstractNumId w:val="4"/>
  </w:num>
  <w:num w:numId="22" w16cid:durableId="1457524365">
    <w:abstractNumId w:val="7"/>
  </w:num>
  <w:num w:numId="23" w16cid:durableId="1386294306">
    <w:abstractNumId w:val="29"/>
  </w:num>
  <w:num w:numId="24" w16cid:durableId="1838374920">
    <w:abstractNumId w:val="24"/>
  </w:num>
  <w:num w:numId="25" w16cid:durableId="1827044992">
    <w:abstractNumId w:val="9"/>
  </w:num>
  <w:num w:numId="26" w16cid:durableId="895820667">
    <w:abstractNumId w:val="19"/>
  </w:num>
  <w:num w:numId="27" w16cid:durableId="817497522">
    <w:abstractNumId w:val="31"/>
  </w:num>
  <w:num w:numId="28" w16cid:durableId="725690465">
    <w:abstractNumId w:val="0"/>
  </w:num>
  <w:num w:numId="29" w16cid:durableId="1814372142">
    <w:abstractNumId w:val="25"/>
  </w:num>
  <w:num w:numId="30" w16cid:durableId="258563261">
    <w:abstractNumId w:val="28"/>
  </w:num>
  <w:num w:numId="31" w16cid:durableId="1306274523">
    <w:abstractNumId w:val="30"/>
  </w:num>
  <w:num w:numId="32" w16cid:durableId="139646566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3"/>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1715D"/>
    <w:rsid w:val="00022C42"/>
    <w:rsid w:val="00027B15"/>
    <w:rsid w:val="00030A05"/>
    <w:rsid w:val="00070818"/>
    <w:rsid w:val="0008238F"/>
    <w:rsid w:val="00082EC6"/>
    <w:rsid w:val="00085388"/>
    <w:rsid w:val="000D41DC"/>
    <w:rsid w:val="00125D37"/>
    <w:rsid w:val="00127C1A"/>
    <w:rsid w:val="00150D81"/>
    <w:rsid w:val="00166CEB"/>
    <w:rsid w:val="00183CB9"/>
    <w:rsid w:val="00184A9A"/>
    <w:rsid w:val="001947DF"/>
    <w:rsid w:val="001B22BB"/>
    <w:rsid w:val="001B619C"/>
    <w:rsid w:val="001D1D3C"/>
    <w:rsid w:val="002205D4"/>
    <w:rsid w:val="00222C3A"/>
    <w:rsid w:val="00226D31"/>
    <w:rsid w:val="00236401"/>
    <w:rsid w:val="002370CE"/>
    <w:rsid w:val="00242974"/>
    <w:rsid w:val="002976D4"/>
    <w:rsid w:val="002A5577"/>
    <w:rsid w:val="002B4AA4"/>
    <w:rsid w:val="002C1FBF"/>
    <w:rsid w:val="002E71BA"/>
    <w:rsid w:val="002F5066"/>
    <w:rsid w:val="003003FD"/>
    <w:rsid w:val="00310245"/>
    <w:rsid w:val="00316C95"/>
    <w:rsid w:val="003458DB"/>
    <w:rsid w:val="003523D3"/>
    <w:rsid w:val="00364C35"/>
    <w:rsid w:val="00396F60"/>
    <w:rsid w:val="003A51D6"/>
    <w:rsid w:val="003B125E"/>
    <w:rsid w:val="003B2A5E"/>
    <w:rsid w:val="003C7C97"/>
    <w:rsid w:val="00406B8D"/>
    <w:rsid w:val="00410068"/>
    <w:rsid w:val="0041618E"/>
    <w:rsid w:val="0042295C"/>
    <w:rsid w:val="00426EEC"/>
    <w:rsid w:val="004466C3"/>
    <w:rsid w:val="004552CE"/>
    <w:rsid w:val="00481FF7"/>
    <w:rsid w:val="00500295"/>
    <w:rsid w:val="00501AAF"/>
    <w:rsid w:val="00527AFA"/>
    <w:rsid w:val="005419DA"/>
    <w:rsid w:val="005678AC"/>
    <w:rsid w:val="005679BD"/>
    <w:rsid w:val="005709B1"/>
    <w:rsid w:val="00572B3B"/>
    <w:rsid w:val="005836D2"/>
    <w:rsid w:val="00587C58"/>
    <w:rsid w:val="005A7FD4"/>
    <w:rsid w:val="005B1A84"/>
    <w:rsid w:val="005D1AF9"/>
    <w:rsid w:val="005D5457"/>
    <w:rsid w:val="005E2699"/>
    <w:rsid w:val="005E44B5"/>
    <w:rsid w:val="00612DEA"/>
    <w:rsid w:val="00614572"/>
    <w:rsid w:val="006232DF"/>
    <w:rsid w:val="00631F2E"/>
    <w:rsid w:val="006457C0"/>
    <w:rsid w:val="00652BB7"/>
    <w:rsid w:val="00661758"/>
    <w:rsid w:val="0067612C"/>
    <w:rsid w:val="00676FEB"/>
    <w:rsid w:val="006912C4"/>
    <w:rsid w:val="006A5CFC"/>
    <w:rsid w:val="006C5138"/>
    <w:rsid w:val="006C689B"/>
    <w:rsid w:val="006E005C"/>
    <w:rsid w:val="006E105F"/>
    <w:rsid w:val="006E6EE5"/>
    <w:rsid w:val="006F0029"/>
    <w:rsid w:val="007138EF"/>
    <w:rsid w:val="007632A9"/>
    <w:rsid w:val="00774092"/>
    <w:rsid w:val="00782830"/>
    <w:rsid w:val="0078664A"/>
    <w:rsid w:val="007B0F6D"/>
    <w:rsid w:val="007C62C3"/>
    <w:rsid w:val="007D25AA"/>
    <w:rsid w:val="007F0873"/>
    <w:rsid w:val="00802CD0"/>
    <w:rsid w:val="00805726"/>
    <w:rsid w:val="00815117"/>
    <w:rsid w:val="00824CB1"/>
    <w:rsid w:val="008520F8"/>
    <w:rsid w:val="00855F34"/>
    <w:rsid w:val="008826B6"/>
    <w:rsid w:val="008B0B22"/>
    <w:rsid w:val="008C58B0"/>
    <w:rsid w:val="008C591B"/>
    <w:rsid w:val="008C6182"/>
    <w:rsid w:val="0090779E"/>
    <w:rsid w:val="00926458"/>
    <w:rsid w:val="00933720"/>
    <w:rsid w:val="009C7E52"/>
    <w:rsid w:val="009E4934"/>
    <w:rsid w:val="009F40A7"/>
    <w:rsid w:val="009F5CE6"/>
    <w:rsid w:val="00A035CD"/>
    <w:rsid w:val="00A50E80"/>
    <w:rsid w:val="00A513B0"/>
    <w:rsid w:val="00A63F7F"/>
    <w:rsid w:val="00A667CE"/>
    <w:rsid w:val="00A75042"/>
    <w:rsid w:val="00A774BC"/>
    <w:rsid w:val="00A82678"/>
    <w:rsid w:val="00A946CB"/>
    <w:rsid w:val="00AA77C8"/>
    <w:rsid w:val="00AC7BE2"/>
    <w:rsid w:val="00AE35BF"/>
    <w:rsid w:val="00B1067E"/>
    <w:rsid w:val="00B81790"/>
    <w:rsid w:val="00B81BBC"/>
    <w:rsid w:val="00BD03D5"/>
    <w:rsid w:val="00C3215E"/>
    <w:rsid w:val="00C45272"/>
    <w:rsid w:val="00C47770"/>
    <w:rsid w:val="00C75856"/>
    <w:rsid w:val="00C85A7C"/>
    <w:rsid w:val="00C95214"/>
    <w:rsid w:val="00CC3F59"/>
    <w:rsid w:val="00CD4774"/>
    <w:rsid w:val="00CE1732"/>
    <w:rsid w:val="00D10AAF"/>
    <w:rsid w:val="00D27540"/>
    <w:rsid w:val="00D4006B"/>
    <w:rsid w:val="00D40D7A"/>
    <w:rsid w:val="00D64A0D"/>
    <w:rsid w:val="00D676C3"/>
    <w:rsid w:val="00D750B4"/>
    <w:rsid w:val="00D81C18"/>
    <w:rsid w:val="00D8461A"/>
    <w:rsid w:val="00D95CAF"/>
    <w:rsid w:val="00DB60B6"/>
    <w:rsid w:val="00DC1CC6"/>
    <w:rsid w:val="00DD5135"/>
    <w:rsid w:val="00E067A8"/>
    <w:rsid w:val="00E11479"/>
    <w:rsid w:val="00E13924"/>
    <w:rsid w:val="00E15FD5"/>
    <w:rsid w:val="00E1725A"/>
    <w:rsid w:val="00E33758"/>
    <w:rsid w:val="00E53E5E"/>
    <w:rsid w:val="00E64325"/>
    <w:rsid w:val="00E673C5"/>
    <w:rsid w:val="00E67967"/>
    <w:rsid w:val="00E82723"/>
    <w:rsid w:val="00EA29A5"/>
    <w:rsid w:val="00EC107C"/>
    <w:rsid w:val="00EC7EBE"/>
    <w:rsid w:val="00EC7FD2"/>
    <w:rsid w:val="00ED5964"/>
    <w:rsid w:val="00F1720B"/>
    <w:rsid w:val="00F36ADC"/>
    <w:rsid w:val="00F605C6"/>
    <w:rsid w:val="00F6785B"/>
    <w:rsid w:val="00F9012D"/>
    <w:rsid w:val="00F915D6"/>
    <w:rsid w:val="00FF2B0A"/>
    <w:rsid w:val="00FF5D06"/>
    <w:rsid w:val="0156E134"/>
    <w:rsid w:val="02AEF76F"/>
    <w:rsid w:val="039D865D"/>
    <w:rsid w:val="03F72721"/>
    <w:rsid w:val="04019B15"/>
    <w:rsid w:val="04D669FE"/>
    <w:rsid w:val="071F48DC"/>
    <w:rsid w:val="0A1BD9C6"/>
    <w:rsid w:val="0C5D0C5C"/>
    <w:rsid w:val="0CF501EC"/>
    <w:rsid w:val="13BD3D5D"/>
    <w:rsid w:val="14AA69B9"/>
    <w:rsid w:val="18625B0D"/>
    <w:rsid w:val="1A27FBCF"/>
    <w:rsid w:val="1F09BC6E"/>
    <w:rsid w:val="209C6AFA"/>
    <w:rsid w:val="239B752F"/>
    <w:rsid w:val="3464B4D3"/>
    <w:rsid w:val="3697CCBD"/>
    <w:rsid w:val="37E0668F"/>
    <w:rsid w:val="3C659699"/>
    <w:rsid w:val="3D6135D7"/>
    <w:rsid w:val="40F0AB75"/>
    <w:rsid w:val="45F7FCBB"/>
    <w:rsid w:val="47AB21B7"/>
    <w:rsid w:val="48942F29"/>
    <w:rsid w:val="4DA29D29"/>
    <w:rsid w:val="4E707105"/>
    <w:rsid w:val="506F78BE"/>
    <w:rsid w:val="5293F137"/>
    <w:rsid w:val="549B9698"/>
    <w:rsid w:val="556E2D6A"/>
    <w:rsid w:val="5617AA6E"/>
    <w:rsid w:val="59AB5A3E"/>
    <w:rsid w:val="5B5435BF"/>
    <w:rsid w:val="5CE671C3"/>
    <w:rsid w:val="5CF7C3DB"/>
    <w:rsid w:val="5D18D413"/>
    <w:rsid w:val="5D49BF1F"/>
    <w:rsid w:val="5EB28EA7"/>
    <w:rsid w:val="621430C3"/>
    <w:rsid w:val="6288133F"/>
    <w:rsid w:val="653BE314"/>
    <w:rsid w:val="655ACEAB"/>
    <w:rsid w:val="66EBA1AA"/>
    <w:rsid w:val="6CD03BBB"/>
    <w:rsid w:val="6DAC9956"/>
    <w:rsid w:val="6F3208D0"/>
    <w:rsid w:val="759A1527"/>
    <w:rsid w:val="7AC44C89"/>
    <w:rsid w:val="7BC3E7A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 w:type="character" w:styleId="PageNumber">
    <w:name w:val="page number"/>
    <w:basedOn w:val="DefaultParagraphFont"/>
    <w:uiPriority w:val="99"/>
    <w:semiHidden/>
    <w:unhideWhenUsed/>
    <w:rsid w:val="00D676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1794</Words>
  <Characters>10229</Characters>
  <Application>Microsoft Office Word</Application>
  <DocSecurity>0</DocSecurity>
  <Lines>85</Lines>
  <Paragraphs>23</Paragraphs>
  <ScaleCrop>false</ScaleCrop>
  <Company>University of Wales Trinity Saint David</Company>
  <LinksUpToDate>false</LinksUpToDate>
  <CharactersWithSpaces>12000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Nazish Mushtaq (2545279)</cp:lastModifiedBy>
  <cp:revision>2</cp:revision>
  <dcterms:created xsi:type="dcterms:W3CDTF">2026-08-21T12:58:00Z</dcterms:created>
  <dcterms:modified xsi:type="dcterms:W3CDTF">2026-08-21T12:58:00Z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