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EAA7" w14:textId="77777777" w:rsidR="009D5D4E" w:rsidRPr="009D5D4E" w:rsidRDefault="009D5D4E" w:rsidP="007E45A0">
      <w:pPr>
        <w:spacing w:line="480" w:lineRule="auto"/>
        <w:rPr>
          <w:rFonts w:ascii="Arial" w:hAnsi="Arial" w:cs="Arial"/>
          <w:sz w:val="28"/>
          <w:szCs w:val="28"/>
        </w:rPr>
      </w:pPr>
    </w:p>
    <w:p w14:paraId="62AA1701" w14:textId="77777777" w:rsidR="009D5D4E" w:rsidRPr="009D5D4E" w:rsidRDefault="009D5D4E" w:rsidP="007E45A0">
      <w:pPr>
        <w:spacing w:line="480" w:lineRule="auto"/>
        <w:rPr>
          <w:rFonts w:ascii="Arial" w:hAnsi="Arial" w:cs="Arial"/>
          <w:sz w:val="28"/>
          <w:szCs w:val="28"/>
        </w:rPr>
      </w:pPr>
    </w:p>
    <w:p w14:paraId="15C9ACB7" w14:textId="77777777" w:rsidR="009D5D4E" w:rsidRPr="009D5D4E" w:rsidRDefault="009D5D4E" w:rsidP="007E45A0">
      <w:pPr>
        <w:spacing w:line="480" w:lineRule="auto"/>
        <w:jc w:val="center"/>
        <w:rPr>
          <w:rFonts w:ascii="Arial" w:hAnsi="Arial" w:cs="Arial"/>
          <w:sz w:val="28"/>
          <w:szCs w:val="28"/>
        </w:rPr>
      </w:pPr>
    </w:p>
    <w:p w14:paraId="5DC3B2E2" w14:textId="3F743853" w:rsidR="009D5D4E" w:rsidRPr="009D5D4E" w:rsidRDefault="009D5D4E" w:rsidP="007E45A0">
      <w:pPr>
        <w:spacing w:line="480" w:lineRule="auto"/>
        <w:jc w:val="center"/>
        <w:rPr>
          <w:rFonts w:ascii="Arial" w:hAnsi="Arial" w:cs="Arial"/>
          <w:sz w:val="28"/>
          <w:szCs w:val="28"/>
        </w:rPr>
      </w:pPr>
      <w:r w:rsidRPr="009D5D4E">
        <w:rPr>
          <w:rFonts w:ascii="Arial" w:hAnsi="Arial" w:cs="Arial"/>
          <w:sz w:val="28"/>
          <w:szCs w:val="28"/>
        </w:rPr>
        <w:t>A critical evaluation and the</w:t>
      </w:r>
      <w:r>
        <w:rPr>
          <w:rFonts w:ascii="Arial" w:hAnsi="Arial" w:cs="Arial"/>
          <w:sz w:val="28"/>
          <w:szCs w:val="28"/>
        </w:rPr>
        <w:t xml:space="preserve"> identification of next teaching and</w:t>
      </w:r>
      <w:r w:rsidRPr="009D5D4E">
        <w:rPr>
          <w:rFonts w:ascii="Arial" w:hAnsi="Arial" w:cs="Arial"/>
          <w:sz w:val="28"/>
          <w:szCs w:val="28"/>
        </w:rPr>
        <w:t xml:space="preserve"> learning steps focusing on a case study of an individual learner or a group of learners, based on an observed critical incident.</w:t>
      </w:r>
    </w:p>
    <w:p w14:paraId="5EB55CAF" w14:textId="77777777" w:rsidR="009D5D4E" w:rsidRPr="009D5D4E" w:rsidRDefault="009D5D4E" w:rsidP="007E45A0">
      <w:pPr>
        <w:spacing w:line="480" w:lineRule="auto"/>
        <w:jc w:val="center"/>
        <w:rPr>
          <w:rFonts w:ascii="Arial" w:hAnsi="Arial" w:cs="Arial"/>
          <w:sz w:val="28"/>
          <w:szCs w:val="28"/>
        </w:rPr>
      </w:pPr>
    </w:p>
    <w:p w14:paraId="2BE7865E" w14:textId="725DDA09" w:rsidR="009D5D4E" w:rsidRDefault="009D5D4E" w:rsidP="007E45A0">
      <w:pPr>
        <w:spacing w:line="480" w:lineRule="auto"/>
        <w:jc w:val="center"/>
        <w:rPr>
          <w:rFonts w:ascii="Arial" w:hAnsi="Arial" w:cs="Arial"/>
          <w:sz w:val="28"/>
          <w:szCs w:val="28"/>
        </w:rPr>
      </w:pPr>
      <w:r w:rsidRPr="009D5D4E">
        <w:rPr>
          <w:rFonts w:ascii="Arial" w:hAnsi="Arial" w:cs="Arial"/>
          <w:sz w:val="28"/>
          <w:szCs w:val="28"/>
        </w:rPr>
        <w:t xml:space="preserve">Word Count - </w:t>
      </w:r>
      <w:r w:rsidR="0044593E">
        <w:rPr>
          <w:rFonts w:ascii="Arial" w:hAnsi="Arial" w:cs="Arial"/>
          <w:sz w:val="28"/>
          <w:szCs w:val="28"/>
        </w:rPr>
        <w:t>4685</w:t>
      </w:r>
    </w:p>
    <w:p w14:paraId="0BB34070" w14:textId="77777777" w:rsidR="009D5D4E" w:rsidRDefault="009D5D4E" w:rsidP="007E45A0">
      <w:pPr>
        <w:spacing w:line="480" w:lineRule="auto"/>
      </w:pPr>
    </w:p>
    <w:p w14:paraId="6EDFD7C9" w14:textId="15BBA0A2" w:rsidR="00C23B04" w:rsidRPr="00436223" w:rsidRDefault="009D5D4E" w:rsidP="007E45A0">
      <w:pPr>
        <w:spacing w:line="480" w:lineRule="auto"/>
        <w:rPr>
          <w:rFonts w:ascii="Arial" w:hAnsi="Arial" w:cs="Arial"/>
          <w:bCs/>
          <w:lang w:val="en-US"/>
        </w:rPr>
      </w:pPr>
      <w:r>
        <w:br w:type="page"/>
      </w:r>
    </w:p>
    <w:p w14:paraId="480386EA" w14:textId="7A52AB2C" w:rsidR="009840FE" w:rsidRPr="00436223" w:rsidRDefault="00262762" w:rsidP="00436223">
      <w:pPr>
        <w:spacing w:line="480" w:lineRule="auto"/>
        <w:jc w:val="center"/>
        <w:rPr>
          <w:b/>
          <w:bCs/>
        </w:rPr>
      </w:pPr>
      <w:r w:rsidRPr="00436223">
        <w:rPr>
          <w:rFonts w:ascii="Arial" w:hAnsi="Arial" w:cs="Arial"/>
          <w:b/>
          <w:bCs/>
          <w:u w:val="single"/>
        </w:rPr>
        <w:lastRenderedPageBreak/>
        <w:t>Intro</w:t>
      </w:r>
      <w:r w:rsidR="00792752">
        <w:rPr>
          <w:rFonts w:ascii="Arial" w:hAnsi="Arial" w:cs="Arial"/>
          <w:b/>
          <w:bCs/>
          <w:u w:val="single"/>
        </w:rPr>
        <w:t>duction</w:t>
      </w:r>
      <w:r w:rsidRPr="00436223">
        <w:rPr>
          <w:rFonts w:ascii="Arial" w:hAnsi="Arial" w:cs="Arial"/>
          <w:b/>
          <w:bCs/>
          <w:u w:val="single"/>
        </w:rPr>
        <w:t xml:space="preserve"> </w:t>
      </w:r>
      <w:r w:rsidR="009840FE" w:rsidRPr="00436223">
        <w:rPr>
          <w:rFonts w:ascii="Arial" w:hAnsi="Arial" w:cs="Arial"/>
          <w:b/>
          <w:bCs/>
          <w:u w:val="single"/>
        </w:rPr>
        <w:t xml:space="preserve"> </w:t>
      </w:r>
    </w:p>
    <w:p w14:paraId="0DD109AE" w14:textId="096980D5" w:rsidR="00792752" w:rsidRDefault="00792752" w:rsidP="00792752">
      <w:pPr>
        <w:spacing w:line="480" w:lineRule="auto"/>
        <w:ind w:firstLine="720"/>
        <w:rPr>
          <w:rFonts w:ascii="Arial" w:hAnsi="Arial" w:cs="Arial"/>
        </w:rPr>
      </w:pPr>
      <w:r>
        <w:rPr>
          <w:rFonts w:ascii="Arial" w:hAnsi="Arial" w:cs="Arial"/>
        </w:rPr>
        <w:t xml:space="preserve">The aim of this analysis is to critically reflect on an observed incident to build awareness of research-informed practice and to develop as a practitioner. </w:t>
      </w:r>
      <w:proofErr w:type="spellStart"/>
      <w:r w:rsidR="0048063E">
        <w:rPr>
          <w:rFonts w:ascii="Arial" w:hAnsi="Arial" w:cs="Arial"/>
        </w:rPr>
        <w:t>Zwozdiak</w:t>
      </w:r>
      <w:proofErr w:type="spellEnd"/>
      <w:r w:rsidR="0048063E">
        <w:rPr>
          <w:rFonts w:ascii="Arial" w:hAnsi="Arial" w:cs="Arial"/>
        </w:rPr>
        <w:t>-Myers (</w:t>
      </w:r>
      <w:r w:rsidR="005C057A">
        <w:rPr>
          <w:rFonts w:ascii="Arial" w:hAnsi="Arial" w:cs="Arial"/>
        </w:rPr>
        <w:t>2012</w:t>
      </w:r>
      <w:r w:rsidR="0048063E">
        <w:rPr>
          <w:rFonts w:ascii="Arial" w:hAnsi="Arial" w:cs="Arial"/>
        </w:rPr>
        <w:t>, p. 5)</w:t>
      </w:r>
      <w:r w:rsidR="005C057A">
        <w:rPr>
          <w:rFonts w:ascii="Arial" w:hAnsi="Arial" w:cs="Arial"/>
        </w:rPr>
        <w:t xml:space="preserve"> has proclaimed the significance of research and reflective practice to teachers in their writing. In their Framework of Reflective Practice, they highlight the importance of linking theory to practice and questioning beliefs, to maximise students’ learning potential (</w:t>
      </w:r>
      <w:proofErr w:type="spellStart"/>
      <w:r w:rsidR="005C057A">
        <w:rPr>
          <w:rFonts w:ascii="Arial" w:hAnsi="Arial" w:cs="Arial"/>
        </w:rPr>
        <w:t>Zwozdiak</w:t>
      </w:r>
      <w:proofErr w:type="spellEnd"/>
      <w:r w:rsidR="005C057A">
        <w:rPr>
          <w:rFonts w:ascii="Arial" w:hAnsi="Arial" w:cs="Arial"/>
        </w:rPr>
        <w:t xml:space="preserve">-Myers, 2012, p. 5). Through reflection, the analysis that follows will enrich future teaching practice and quality of future teaching. </w:t>
      </w:r>
    </w:p>
    <w:p w14:paraId="7A3D0785" w14:textId="68D8B09D" w:rsidR="00E271C0" w:rsidRDefault="00016030" w:rsidP="00E271C0">
      <w:pPr>
        <w:spacing w:line="480" w:lineRule="auto"/>
        <w:ind w:firstLine="720"/>
        <w:rPr>
          <w:rFonts w:ascii="Arial" w:hAnsi="Arial" w:cs="Arial"/>
        </w:rPr>
      </w:pPr>
      <w:r>
        <w:rPr>
          <w:rFonts w:ascii="Arial" w:hAnsi="Arial" w:cs="Arial"/>
        </w:rPr>
        <w:t>A key preliminary document to be aware of in this analysis is Donaldson’s ‘Successful Futures’ Report (</w:t>
      </w:r>
      <w:r w:rsidR="00E271C0">
        <w:rPr>
          <w:rFonts w:ascii="Arial" w:hAnsi="Arial" w:cs="Arial"/>
        </w:rPr>
        <w:t>2015). Donaldson’s recommendations for the Welsh curriculum, which eventually became the Four Purposes of the new Curriculum</w:t>
      </w:r>
      <w:r w:rsidR="00C41D07">
        <w:rPr>
          <w:rFonts w:ascii="Arial" w:hAnsi="Arial" w:cs="Arial"/>
        </w:rPr>
        <w:t xml:space="preserve"> </w:t>
      </w:r>
      <w:r w:rsidR="00E271C0">
        <w:rPr>
          <w:rFonts w:ascii="Arial" w:hAnsi="Arial" w:cs="Arial"/>
        </w:rPr>
        <w:t>(Welsh Government, 2020), highlighted the importance of prioritising ‘ambitious, capable learners, ready to learn throughout their lives’</w:t>
      </w:r>
      <w:r w:rsidR="00C41D07">
        <w:rPr>
          <w:rFonts w:ascii="Arial" w:hAnsi="Arial" w:cs="Arial"/>
        </w:rPr>
        <w:t xml:space="preserve"> (Donaldson, 2015). Ambition and motivation are inherently linked, as is classroom management and readiness to learn. Awareness of this purpose within the curriculum has influenced this analysis, encouraging reflective and research-based enquiry.</w:t>
      </w:r>
    </w:p>
    <w:p w14:paraId="7E353F50" w14:textId="7B351CA6" w:rsidR="00C41D07" w:rsidRDefault="00C41D07" w:rsidP="00E271C0">
      <w:pPr>
        <w:spacing w:line="480" w:lineRule="auto"/>
        <w:ind w:firstLine="720"/>
        <w:rPr>
          <w:rFonts w:ascii="Arial" w:hAnsi="Arial" w:cs="Arial"/>
        </w:rPr>
      </w:pPr>
      <w:r>
        <w:rPr>
          <w:rFonts w:ascii="Arial" w:hAnsi="Arial" w:cs="Arial"/>
        </w:rPr>
        <w:t xml:space="preserve">Tripp’s philosophy towards reflective practice encourages teachers to analyse the significance of events that occur within their classroom experience (Tripp, </w:t>
      </w:r>
      <w:r w:rsidR="00C05F23">
        <w:rPr>
          <w:rFonts w:ascii="Arial" w:hAnsi="Arial" w:cs="Arial"/>
        </w:rPr>
        <w:t>2012</w:t>
      </w:r>
      <w:r>
        <w:rPr>
          <w:rFonts w:ascii="Arial" w:hAnsi="Arial" w:cs="Arial"/>
        </w:rPr>
        <w:t>, p. 8). Tripp asserts that teachers must be aware of their professional values and practice to reflect upon it, build upon it and improve it. By analysing these events, Tripp theorises that critical incidents are created and can radically transform teaching practice (</w:t>
      </w:r>
      <w:r w:rsidR="00C05F23">
        <w:rPr>
          <w:rFonts w:ascii="Arial" w:hAnsi="Arial" w:cs="Arial"/>
        </w:rPr>
        <w:t>2012</w:t>
      </w:r>
      <w:r>
        <w:rPr>
          <w:rFonts w:ascii="Arial" w:hAnsi="Arial" w:cs="Arial"/>
        </w:rPr>
        <w:t xml:space="preserve">, p. 22). </w:t>
      </w:r>
    </w:p>
    <w:p w14:paraId="49033361" w14:textId="22949077" w:rsidR="009840FE" w:rsidRDefault="00C41D07" w:rsidP="00C41D07">
      <w:pPr>
        <w:spacing w:line="480" w:lineRule="auto"/>
        <w:ind w:firstLine="720"/>
        <w:rPr>
          <w:rFonts w:ascii="Arial" w:hAnsi="Arial" w:cs="Arial"/>
        </w:rPr>
      </w:pPr>
      <w:r>
        <w:rPr>
          <w:rFonts w:ascii="Arial" w:hAnsi="Arial" w:cs="Arial"/>
        </w:rPr>
        <w:t xml:space="preserve">Informed by the emphasis on reflective practice in pedagogy and equipped with the method of Tripp’s critical incident theory, this analysis will explore an </w:t>
      </w:r>
      <w:r>
        <w:rPr>
          <w:rFonts w:ascii="Arial" w:hAnsi="Arial" w:cs="Arial"/>
        </w:rPr>
        <w:lastRenderedPageBreak/>
        <w:t>observed classroom event with a view to create an opportunity for meaningful professional growth.</w:t>
      </w:r>
    </w:p>
    <w:p w14:paraId="57EBB82D" w14:textId="12BF1A18" w:rsidR="009840FE" w:rsidRPr="00436223" w:rsidRDefault="00436223" w:rsidP="00436223">
      <w:pPr>
        <w:spacing w:line="480" w:lineRule="auto"/>
        <w:jc w:val="center"/>
        <w:rPr>
          <w:rFonts w:ascii="Arial" w:hAnsi="Arial" w:cs="Arial"/>
          <w:b/>
          <w:bCs/>
          <w:u w:val="single"/>
        </w:rPr>
      </w:pPr>
      <w:r w:rsidRPr="00436223">
        <w:rPr>
          <w:rFonts w:ascii="Arial" w:hAnsi="Arial" w:cs="Arial"/>
          <w:b/>
          <w:bCs/>
          <w:u w:val="single"/>
        </w:rPr>
        <w:t>Literature Review</w:t>
      </w:r>
    </w:p>
    <w:p w14:paraId="56E237E6" w14:textId="7634FD22" w:rsidR="007E45A0" w:rsidRDefault="007E45A0" w:rsidP="003C6E01">
      <w:pPr>
        <w:spacing w:line="480" w:lineRule="auto"/>
        <w:ind w:firstLine="720"/>
        <w:rPr>
          <w:rFonts w:ascii="Arial" w:hAnsi="Arial" w:cs="Arial"/>
          <w:color w:val="000000" w:themeColor="text1"/>
        </w:rPr>
      </w:pPr>
      <w:r>
        <w:rPr>
          <w:rFonts w:ascii="Arial" w:hAnsi="Arial" w:cs="Arial"/>
          <w:color w:val="000000" w:themeColor="text1"/>
        </w:rPr>
        <w:t xml:space="preserve">This critical incident </w:t>
      </w:r>
      <w:r w:rsidRPr="007E45A0">
        <w:rPr>
          <w:rFonts w:ascii="Arial" w:hAnsi="Arial" w:cs="Arial"/>
          <w:color w:val="000000" w:themeColor="text1"/>
        </w:rPr>
        <w:t xml:space="preserve">could be appraised via various psychological and </w:t>
      </w:r>
      <w:r w:rsidRPr="00971290">
        <w:rPr>
          <w:rFonts w:ascii="Arial" w:hAnsi="Arial" w:cs="Arial"/>
          <w:color w:val="000000" w:themeColor="text1"/>
        </w:rPr>
        <w:t xml:space="preserve">sociological lenses. </w:t>
      </w:r>
      <w:r w:rsidR="0044593E">
        <w:rPr>
          <w:rFonts w:ascii="Arial" w:hAnsi="Arial" w:cs="Arial"/>
          <w:color w:val="000000" w:themeColor="text1"/>
        </w:rPr>
        <w:t xml:space="preserve">Behaviourism, </w:t>
      </w:r>
      <w:proofErr w:type="gramStart"/>
      <w:r w:rsidR="0044593E">
        <w:rPr>
          <w:rFonts w:ascii="Arial" w:hAnsi="Arial" w:cs="Arial"/>
          <w:color w:val="000000" w:themeColor="text1"/>
        </w:rPr>
        <w:t>motivation</w:t>
      </w:r>
      <w:proofErr w:type="gramEnd"/>
      <w:r w:rsidR="0044593E">
        <w:rPr>
          <w:rFonts w:ascii="Arial" w:hAnsi="Arial" w:cs="Arial"/>
          <w:color w:val="000000" w:themeColor="text1"/>
        </w:rPr>
        <w:t xml:space="preserve"> and positive behaviour management were the approaches chosen through </w:t>
      </w:r>
      <w:r w:rsidR="003C6E01">
        <w:rPr>
          <w:rFonts w:ascii="Arial" w:hAnsi="Arial" w:cs="Arial"/>
          <w:color w:val="000000" w:themeColor="text1"/>
        </w:rPr>
        <w:t>reflection on the incident</w:t>
      </w:r>
      <w:r w:rsidR="0044593E">
        <w:rPr>
          <w:rFonts w:ascii="Arial" w:hAnsi="Arial" w:cs="Arial"/>
          <w:color w:val="000000" w:themeColor="text1"/>
        </w:rPr>
        <w:t xml:space="preserve">, </w:t>
      </w:r>
      <w:r w:rsidR="003C6E01">
        <w:rPr>
          <w:rFonts w:ascii="Arial" w:hAnsi="Arial" w:cs="Arial"/>
          <w:color w:val="000000" w:themeColor="text1"/>
        </w:rPr>
        <w:t>as they link strongly to significant moments during the observation.</w:t>
      </w:r>
      <w:r w:rsidR="00BA77CF">
        <w:rPr>
          <w:rFonts w:ascii="Arial" w:hAnsi="Arial" w:cs="Arial"/>
          <w:color w:val="000000" w:themeColor="text1"/>
        </w:rPr>
        <w:t xml:space="preserve"> </w:t>
      </w:r>
    </w:p>
    <w:p w14:paraId="5B89C4AE" w14:textId="4CC4F4B2" w:rsidR="007E45A0" w:rsidRPr="007E45A0" w:rsidRDefault="007E45A0" w:rsidP="007E45A0">
      <w:pPr>
        <w:spacing w:line="480" w:lineRule="auto"/>
        <w:rPr>
          <w:rFonts w:ascii="Arial" w:hAnsi="Arial" w:cs="Arial"/>
          <w:color w:val="000000" w:themeColor="text1"/>
          <w:u w:val="single"/>
        </w:rPr>
      </w:pPr>
      <w:r>
        <w:rPr>
          <w:rFonts w:ascii="Arial" w:hAnsi="Arial" w:cs="Arial"/>
          <w:color w:val="000000" w:themeColor="text1"/>
          <w:u w:val="single"/>
        </w:rPr>
        <w:t>Behaviourism</w:t>
      </w:r>
    </w:p>
    <w:p w14:paraId="7AFDBBDF" w14:textId="1528484B" w:rsidR="00381B78" w:rsidRPr="00381B78" w:rsidRDefault="00381B78" w:rsidP="00381B78">
      <w:pPr>
        <w:spacing w:line="480" w:lineRule="auto"/>
        <w:ind w:firstLine="720"/>
        <w:rPr>
          <w:rFonts w:ascii="Arial" w:hAnsi="Arial" w:cs="Arial"/>
          <w:color w:val="000000" w:themeColor="text1"/>
        </w:rPr>
      </w:pPr>
      <w:r w:rsidRPr="00381B78">
        <w:rPr>
          <w:rFonts w:ascii="Arial" w:hAnsi="Arial" w:cs="Arial"/>
          <w:color w:val="000000" w:themeColor="text1"/>
        </w:rPr>
        <w:t xml:space="preserve">Classical </w:t>
      </w:r>
      <w:r w:rsidR="003C6E01">
        <w:rPr>
          <w:rFonts w:ascii="Arial" w:hAnsi="Arial" w:cs="Arial"/>
          <w:color w:val="000000" w:themeColor="text1"/>
        </w:rPr>
        <w:t>c</w:t>
      </w:r>
      <w:r w:rsidRPr="00381B78">
        <w:rPr>
          <w:rFonts w:ascii="Arial" w:hAnsi="Arial" w:cs="Arial"/>
          <w:color w:val="000000" w:themeColor="text1"/>
        </w:rPr>
        <w:t xml:space="preserve">onditioning was initially presented by Pavlov </w:t>
      </w:r>
      <w:r w:rsidR="00765E62">
        <w:rPr>
          <w:rFonts w:ascii="Arial" w:hAnsi="Arial" w:cs="Arial"/>
          <w:color w:val="000000" w:themeColor="text1"/>
        </w:rPr>
        <w:t xml:space="preserve">(1997) </w:t>
      </w:r>
      <w:r w:rsidRPr="00381B78">
        <w:rPr>
          <w:rFonts w:ascii="Arial" w:hAnsi="Arial" w:cs="Arial"/>
          <w:color w:val="000000" w:themeColor="text1"/>
        </w:rPr>
        <w:t>and introduced the concept of adapting neutral stimuli via association</w:t>
      </w:r>
      <w:r>
        <w:rPr>
          <w:rFonts w:ascii="Arial" w:hAnsi="Arial" w:cs="Arial"/>
          <w:color w:val="000000" w:themeColor="text1"/>
        </w:rPr>
        <w:t>. Pavlov’s use of canines rather than humans weakens the applicability of this theory to children</w:t>
      </w:r>
      <w:r w:rsidR="003C6E01">
        <w:rPr>
          <w:rFonts w:ascii="Arial" w:hAnsi="Arial" w:cs="Arial"/>
          <w:color w:val="000000" w:themeColor="text1"/>
        </w:rPr>
        <w:t xml:space="preserve">. </w:t>
      </w:r>
      <w:r w:rsidR="00765E62">
        <w:rPr>
          <w:rFonts w:ascii="Arial" w:hAnsi="Arial" w:cs="Arial"/>
          <w:color w:val="000000" w:themeColor="text1"/>
        </w:rPr>
        <w:t xml:space="preserve"> </w:t>
      </w:r>
      <w:r w:rsidR="003C6E01" w:rsidRPr="00381B78">
        <w:rPr>
          <w:rFonts w:ascii="Arial" w:hAnsi="Arial" w:cs="Arial"/>
          <w:color w:val="000000" w:themeColor="text1"/>
        </w:rPr>
        <w:t>Furthermore, a review by Adams</w:t>
      </w:r>
      <w:r w:rsidR="00722906">
        <w:rPr>
          <w:rFonts w:ascii="Arial" w:hAnsi="Arial" w:cs="Arial"/>
          <w:color w:val="000000" w:themeColor="text1"/>
        </w:rPr>
        <w:t xml:space="preserve"> (2020)</w:t>
      </w:r>
      <w:r w:rsidR="003C6E01" w:rsidRPr="00381B78">
        <w:rPr>
          <w:rFonts w:ascii="Arial" w:hAnsi="Arial" w:cs="Arial"/>
          <w:color w:val="000000" w:themeColor="text1"/>
        </w:rPr>
        <w:t xml:space="preserve"> criticised the validity of Pavlov’s paper as the lack of detail in the paper lends uncertainty to the control variables, and therefore the validity of the claim.</w:t>
      </w:r>
      <w:r w:rsidR="003C6E01">
        <w:rPr>
          <w:rFonts w:ascii="Arial" w:hAnsi="Arial" w:cs="Arial"/>
          <w:color w:val="000000" w:themeColor="text1"/>
        </w:rPr>
        <w:t xml:space="preserve"> H</w:t>
      </w:r>
      <w:r>
        <w:rPr>
          <w:rFonts w:ascii="Arial" w:hAnsi="Arial" w:cs="Arial"/>
          <w:color w:val="000000" w:themeColor="text1"/>
        </w:rPr>
        <w:t>owever</w:t>
      </w:r>
      <w:r w:rsidR="003C6E01">
        <w:rPr>
          <w:rFonts w:ascii="Arial" w:hAnsi="Arial" w:cs="Arial"/>
          <w:color w:val="000000" w:themeColor="text1"/>
        </w:rPr>
        <w:t>,</w:t>
      </w:r>
      <w:r>
        <w:rPr>
          <w:rFonts w:ascii="Arial" w:hAnsi="Arial" w:cs="Arial"/>
          <w:color w:val="000000" w:themeColor="text1"/>
        </w:rPr>
        <w:t xml:space="preserve"> comparative human studies </w:t>
      </w:r>
      <w:r w:rsidR="00722906">
        <w:rPr>
          <w:rFonts w:ascii="Arial" w:hAnsi="Arial" w:cs="Arial"/>
          <w:color w:val="000000" w:themeColor="text1"/>
        </w:rPr>
        <w:t xml:space="preserve">documented by Clark (2004) and </w:t>
      </w:r>
      <w:proofErr w:type="spellStart"/>
      <w:r w:rsidR="00722906">
        <w:rPr>
          <w:rFonts w:ascii="Arial" w:hAnsi="Arial" w:cs="Arial"/>
          <w:color w:val="000000" w:themeColor="text1"/>
        </w:rPr>
        <w:t>Shimp</w:t>
      </w:r>
      <w:proofErr w:type="spellEnd"/>
      <w:r w:rsidR="00722906">
        <w:rPr>
          <w:rFonts w:ascii="Arial" w:hAnsi="Arial" w:cs="Arial"/>
          <w:color w:val="000000" w:themeColor="text1"/>
        </w:rPr>
        <w:t xml:space="preserve"> et al. (1991) </w:t>
      </w:r>
      <w:r>
        <w:rPr>
          <w:rFonts w:ascii="Arial" w:hAnsi="Arial" w:cs="Arial"/>
          <w:color w:val="000000" w:themeColor="text1"/>
        </w:rPr>
        <w:t>have shown equally strong results</w:t>
      </w:r>
      <w:r w:rsidR="003C6E01">
        <w:rPr>
          <w:rFonts w:ascii="Arial" w:hAnsi="Arial" w:cs="Arial"/>
          <w:color w:val="000000" w:themeColor="text1"/>
        </w:rPr>
        <w:t xml:space="preserve"> and therefore the theory is still considered relevant to the incident.</w:t>
      </w:r>
    </w:p>
    <w:p w14:paraId="69BFCB19" w14:textId="6C13D7DB" w:rsidR="007E45A0" w:rsidRDefault="00FF06C7" w:rsidP="004D3114">
      <w:pPr>
        <w:spacing w:line="480" w:lineRule="auto"/>
        <w:ind w:firstLine="720"/>
        <w:rPr>
          <w:rStyle w:val="apple-converted-space"/>
          <w:rFonts w:ascii="Arial" w:hAnsi="Arial" w:cs="Arial"/>
          <w:color w:val="000000" w:themeColor="text1"/>
        </w:rPr>
      </w:pPr>
      <w:r>
        <w:rPr>
          <w:rFonts w:ascii="Arial" w:hAnsi="Arial" w:cs="Arial"/>
          <w:color w:val="000000" w:themeColor="text1"/>
        </w:rPr>
        <w:t>Several years later, Skinner</w:t>
      </w:r>
      <w:r w:rsidR="00722906">
        <w:rPr>
          <w:rFonts w:ascii="Arial" w:hAnsi="Arial" w:cs="Arial"/>
          <w:color w:val="000000" w:themeColor="text1"/>
        </w:rPr>
        <w:t xml:space="preserve"> (1938)</w:t>
      </w:r>
      <w:r>
        <w:rPr>
          <w:rFonts w:ascii="Arial" w:hAnsi="Arial" w:cs="Arial"/>
          <w:color w:val="000000" w:themeColor="text1"/>
        </w:rPr>
        <w:t xml:space="preserve"> introduced his theory of Opera</w:t>
      </w:r>
      <w:r w:rsidRPr="00FF06C7">
        <w:rPr>
          <w:rFonts w:ascii="Arial" w:hAnsi="Arial" w:cs="Arial"/>
          <w:color w:val="000000" w:themeColor="text1"/>
        </w:rPr>
        <w:t xml:space="preserve">nt </w:t>
      </w:r>
      <w:r w:rsidR="003C6E01">
        <w:rPr>
          <w:rFonts w:ascii="Arial" w:hAnsi="Arial" w:cs="Arial"/>
          <w:color w:val="000000" w:themeColor="text1"/>
        </w:rPr>
        <w:t>c</w:t>
      </w:r>
      <w:r w:rsidRPr="00FF06C7">
        <w:rPr>
          <w:rFonts w:ascii="Arial" w:hAnsi="Arial" w:cs="Arial"/>
          <w:color w:val="000000" w:themeColor="text1"/>
        </w:rPr>
        <w:t>onditioning</w:t>
      </w:r>
      <w:r>
        <w:rPr>
          <w:rStyle w:val="apple-converted-space"/>
          <w:rFonts w:ascii="Arial" w:hAnsi="Arial" w:cs="Arial"/>
          <w:color w:val="000000" w:themeColor="text1"/>
        </w:rPr>
        <w:t xml:space="preserve">. </w:t>
      </w:r>
      <w:r w:rsidR="004D3114">
        <w:rPr>
          <w:rStyle w:val="apple-converted-space"/>
          <w:rFonts w:ascii="Arial" w:hAnsi="Arial" w:cs="Arial"/>
          <w:color w:val="000000" w:themeColor="text1"/>
        </w:rPr>
        <w:t xml:space="preserve">During </w:t>
      </w:r>
      <w:r w:rsidR="00722906">
        <w:rPr>
          <w:rStyle w:val="apple-converted-space"/>
          <w:rFonts w:ascii="Arial" w:hAnsi="Arial" w:cs="Arial"/>
          <w:color w:val="000000" w:themeColor="text1"/>
        </w:rPr>
        <w:t xml:space="preserve">his </w:t>
      </w:r>
      <w:r w:rsidR="004D3114">
        <w:rPr>
          <w:rStyle w:val="apple-converted-space"/>
          <w:rFonts w:ascii="Arial" w:hAnsi="Arial" w:cs="Arial"/>
          <w:color w:val="000000" w:themeColor="text1"/>
        </w:rPr>
        <w:t>experimental research, he invented the Skinner Box which minimalised environmental input to only his chosen variables, improving the validity of his experiments</w:t>
      </w:r>
      <w:r w:rsidR="00654F8F">
        <w:rPr>
          <w:rStyle w:val="apple-converted-space"/>
          <w:rFonts w:ascii="Arial" w:hAnsi="Arial" w:cs="Arial"/>
          <w:color w:val="000000" w:themeColor="text1"/>
        </w:rPr>
        <w:t xml:space="preserve"> </w:t>
      </w:r>
      <w:r w:rsidR="00654F8F">
        <w:rPr>
          <w:rStyle w:val="apple-converted-space"/>
          <w:rFonts w:ascii="Arial" w:hAnsi="Arial" w:cs="Arial"/>
          <w:color w:val="000000" w:themeColor="text1"/>
        </w:rPr>
        <w:t>(Aubrey and Riley, 2016, p. 60)</w:t>
      </w:r>
      <w:r w:rsidR="004D3114">
        <w:rPr>
          <w:rStyle w:val="apple-converted-space"/>
          <w:rFonts w:ascii="Arial" w:hAnsi="Arial" w:cs="Arial"/>
          <w:color w:val="000000" w:themeColor="text1"/>
        </w:rPr>
        <w:t>. As with Pavlov,</w:t>
      </w:r>
      <w:r>
        <w:rPr>
          <w:rStyle w:val="apple-converted-space"/>
          <w:rFonts w:ascii="Arial" w:hAnsi="Arial" w:cs="Arial"/>
          <w:color w:val="000000" w:themeColor="text1"/>
        </w:rPr>
        <w:t xml:space="preserve"> Skinner used animals in his research, rather than humans, weakening the applicability of his research. Skinner did address this</w:t>
      </w:r>
      <w:r w:rsidR="00722906">
        <w:rPr>
          <w:rStyle w:val="apple-converted-space"/>
          <w:rFonts w:ascii="Arial" w:hAnsi="Arial" w:cs="Arial"/>
          <w:color w:val="000000" w:themeColor="text1"/>
        </w:rPr>
        <w:t xml:space="preserve"> (Aubrey and Riley, 2016</w:t>
      </w:r>
      <w:r w:rsidR="00654F8F">
        <w:rPr>
          <w:rStyle w:val="apple-converted-space"/>
          <w:rFonts w:ascii="Arial" w:hAnsi="Arial" w:cs="Arial"/>
          <w:color w:val="000000" w:themeColor="text1"/>
        </w:rPr>
        <w:t>, p. 66</w:t>
      </w:r>
      <w:r w:rsidR="00722906">
        <w:rPr>
          <w:rStyle w:val="apple-converted-space"/>
          <w:rFonts w:ascii="Arial" w:hAnsi="Arial" w:cs="Arial"/>
          <w:color w:val="000000" w:themeColor="text1"/>
        </w:rPr>
        <w:t>)</w:t>
      </w:r>
      <w:r>
        <w:rPr>
          <w:rStyle w:val="apple-converted-space"/>
          <w:rFonts w:ascii="Arial" w:hAnsi="Arial" w:cs="Arial"/>
          <w:color w:val="000000" w:themeColor="text1"/>
        </w:rPr>
        <w:t>, arguing that his work was relevant to people as human behaviour was also strongly influenced by reinforcers, but without experimental evidence for this claim, it lacks validity.</w:t>
      </w:r>
    </w:p>
    <w:p w14:paraId="24992659" w14:textId="491E4245" w:rsidR="009840FE" w:rsidRDefault="0022326E" w:rsidP="004A122D">
      <w:pPr>
        <w:spacing w:line="480" w:lineRule="auto"/>
        <w:ind w:firstLine="720"/>
        <w:rPr>
          <w:rFonts w:ascii="Arial" w:hAnsi="Arial" w:cs="Arial"/>
          <w:color w:val="000000" w:themeColor="text1"/>
        </w:rPr>
      </w:pPr>
      <w:r>
        <w:rPr>
          <w:rFonts w:ascii="Arial" w:hAnsi="Arial" w:cs="Arial"/>
          <w:color w:val="000000" w:themeColor="text1"/>
        </w:rPr>
        <w:lastRenderedPageBreak/>
        <w:t xml:space="preserve">Using the principles of behaviourism, </w:t>
      </w:r>
      <w:proofErr w:type="spellStart"/>
      <w:proofErr w:type="gramStart"/>
      <w:r>
        <w:rPr>
          <w:rFonts w:ascii="Arial" w:hAnsi="Arial" w:cs="Arial"/>
          <w:color w:val="000000" w:themeColor="text1"/>
        </w:rPr>
        <w:t>Ayllon</w:t>
      </w:r>
      <w:proofErr w:type="spellEnd"/>
      <w:proofErr w:type="gramEnd"/>
      <w:r>
        <w:rPr>
          <w:rFonts w:ascii="Arial" w:hAnsi="Arial" w:cs="Arial"/>
          <w:color w:val="000000" w:themeColor="text1"/>
        </w:rPr>
        <w:t xml:space="preserve"> and </w:t>
      </w:r>
      <w:proofErr w:type="spellStart"/>
      <w:r>
        <w:rPr>
          <w:rFonts w:ascii="Arial" w:hAnsi="Arial" w:cs="Arial"/>
          <w:color w:val="000000" w:themeColor="text1"/>
        </w:rPr>
        <w:t>Azrin</w:t>
      </w:r>
      <w:proofErr w:type="spellEnd"/>
      <w:r w:rsidR="00654F8F">
        <w:rPr>
          <w:rFonts w:ascii="Arial" w:hAnsi="Arial" w:cs="Arial"/>
          <w:color w:val="000000" w:themeColor="text1"/>
        </w:rPr>
        <w:t xml:space="preserve"> (1968)</w:t>
      </w:r>
      <w:r>
        <w:rPr>
          <w:rFonts w:ascii="Arial" w:hAnsi="Arial" w:cs="Arial"/>
          <w:color w:val="000000" w:themeColor="text1"/>
        </w:rPr>
        <w:t xml:space="preserve"> developed the first </w:t>
      </w:r>
      <w:r w:rsidR="00F4742E">
        <w:rPr>
          <w:rFonts w:ascii="Arial" w:hAnsi="Arial" w:cs="Arial"/>
          <w:color w:val="000000" w:themeColor="text1"/>
        </w:rPr>
        <w:t>t</w:t>
      </w:r>
      <w:r>
        <w:rPr>
          <w:rFonts w:ascii="Arial" w:hAnsi="Arial" w:cs="Arial"/>
          <w:color w:val="000000" w:themeColor="text1"/>
        </w:rPr>
        <w:t xml:space="preserve">oken </w:t>
      </w:r>
      <w:r w:rsidR="00F4742E">
        <w:rPr>
          <w:rFonts w:ascii="Arial" w:hAnsi="Arial" w:cs="Arial"/>
          <w:color w:val="000000" w:themeColor="text1"/>
        </w:rPr>
        <w:t>e</w:t>
      </w:r>
      <w:r>
        <w:rPr>
          <w:rFonts w:ascii="Arial" w:hAnsi="Arial" w:cs="Arial"/>
          <w:color w:val="000000" w:themeColor="text1"/>
        </w:rPr>
        <w:t>conomy system. Though this system was initially created for use in clinical settings,</w:t>
      </w:r>
      <w:r w:rsidR="004A122D">
        <w:rPr>
          <w:rFonts w:ascii="Arial" w:hAnsi="Arial" w:cs="Arial"/>
          <w:color w:val="000000" w:themeColor="text1"/>
        </w:rPr>
        <w:t xml:space="preserve"> </w:t>
      </w:r>
      <w:r w:rsidR="00354BDA">
        <w:rPr>
          <w:rFonts w:ascii="Arial" w:hAnsi="Arial" w:cs="Arial"/>
          <w:color w:val="000000" w:themeColor="text1"/>
        </w:rPr>
        <w:t>subsequent studies have demonstrated its applicability in multiple situations</w:t>
      </w:r>
      <w:r w:rsidR="004A122D">
        <w:rPr>
          <w:rFonts w:ascii="Arial" w:hAnsi="Arial" w:cs="Arial"/>
          <w:color w:val="000000" w:themeColor="text1"/>
        </w:rPr>
        <w:t xml:space="preserve">; Lawrence and </w:t>
      </w:r>
      <w:proofErr w:type="spellStart"/>
      <w:r w:rsidR="004A122D">
        <w:rPr>
          <w:rFonts w:ascii="Arial" w:hAnsi="Arial" w:cs="Arial"/>
          <w:color w:val="000000" w:themeColor="text1"/>
        </w:rPr>
        <w:t>Muathe’s</w:t>
      </w:r>
      <w:proofErr w:type="spellEnd"/>
      <w:r w:rsidR="004A122D">
        <w:rPr>
          <w:rFonts w:ascii="Arial" w:hAnsi="Arial" w:cs="Arial"/>
          <w:color w:val="000000" w:themeColor="text1"/>
        </w:rPr>
        <w:t xml:space="preserve"> study</w:t>
      </w:r>
      <w:r w:rsidR="00654F8F">
        <w:rPr>
          <w:rFonts w:ascii="Arial" w:hAnsi="Arial" w:cs="Arial"/>
          <w:color w:val="000000" w:themeColor="text1"/>
        </w:rPr>
        <w:t xml:space="preserve"> (2022)</w:t>
      </w:r>
      <w:r w:rsidR="004A122D">
        <w:rPr>
          <w:rFonts w:ascii="Arial" w:hAnsi="Arial" w:cs="Arial"/>
          <w:color w:val="000000" w:themeColor="text1"/>
        </w:rPr>
        <w:t xml:space="preserve"> showed a positive relationship between the use of a points program in supermarkets and consumer purchasing patterns</w:t>
      </w:r>
      <w:r w:rsidR="00654F8F">
        <w:rPr>
          <w:rFonts w:ascii="Arial" w:hAnsi="Arial" w:cs="Arial"/>
          <w:color w:val="000000" w:themeColor="text1"/>
        </w:rPr>
        <w:t>.</w:t>
      </w:r>
      <w:r>
        <w:rPr>
          <w:rFonts w:ascii="Arial" w:hAnsi="Arial" w:cs="Arial"/>
          <w:color w:val="000000" w:themeColor="text1"/>
        </w:rPr>
        <w:t xml:space="preserve"> Whilst the system has been widely lauded it is worth noting that </w:t>
      </w:r>
      <w:r w:rsidR="00354BDA">
        <w:rPr>
          <w:rFonts w:ascii="Arial" w:hAnsi="Arial" w:cs="Arial"/>
          <w:color w:val="000000" w:themeColor="text1"/>
        </w:rPr>
        <w:t xml:space="preserve">in one of </w:t>
      </w:r>
      <w:proofErr w:type="spellStart"/>
      <w:r w:rsidR="00354BDA">
        <w:rPr>
          <w:rFonts w:ascii="Arial" w:hAnsi="Arial" w:cs="Arial"/>
          <w:color w:val="000000" w:themeColor="text1"/>
        </w:rPr>
        <w:t>Ayllon</w:t>
      </w:r>
      <w:proofErr w:type="spellEnd"/>
      <w:r w:rsidR="00354BDA">
        <w:rPr>
          <w:rFonts w:ascii="Arial" w:hAnsi="Arial" w:cs="Arial"/>
          <w:color w:val="000000" w:themeColor="text1"/>
        </w:rPr>
        <w:t xml:space="preserve"> and </w:t>
      </w:r>
      <w:proofErr w:type="spellStart"/>
      <w:r w:rsidR="00354BDA">
        <w:rPr>
          <w:rFonts w:ascii="Arial" w:hAnsi="Arial" w:cs="Arial"/>
          <w:color w:val="000000" w:themeColor="text1"/>
        </w:rPr>
        <w:t>Azrin’s</w:t>
      </w:r>
      <w:proofErr w:type="spellEnd"/>
      <w:r w:rsidR="00354BDA">
        <w:rPr>
          <w:rFonts w:ascii="Arial" w:hAnsi="Arial" w:cs="Arial"/>
          <w:color w:val="000000" w:themeColor="text1"/>
        </w:rPr>
        <w:t xml:space="preserve"> stud</w:t>
      </w:r>
      <w:r w:rsidR="00654F8F">
        <w:rPr>
          <w:rFonts w:ascii="Arial" w:hAnsi="Arial" w:cs="Arial"/>
          <w:color w:val="000000" w:themeColor="text1"/>
        </w:rPr>
        <w:t>ies (1968, p. 347)</w:t>
      </w:r>
      <w:r w:rsidR="00354BDA">
        <w:rPr>
          <w:rFonts w:ascii="Arial" w:hAnsi="Arial" w:cs="Arial"/>
          <w:color w:val="000000" w:themeColor="text1"/>
        </w:rPr>
        <w:t xml:space="preserve">, </w:t>
      </w:r>
      <w:r>
        <w:rPr>
          <w:rFonts w:ascii="Arial" w:hAnsi="Arial" w:cs="Arial"/>
          <w:color w:val="000000" w:themeColor="text1"/>
        </w:rPr>
        <w:t>18% of a sample group showed no interest in the positive reinforcement used in the system. It is worth noting however, that this research was conducted on patients with chronic schizophrenia, so many not be indicative of a standardised response to a token economy</w:t>
      </w:r>
      <w:r w:rsidR="00654F8F">
        <w:rPr>
          <w:rFonts w:ascii="Arial" w:hAnsi="Arial" w:cs="Arial"/>
          <w:color w:val="000000" w:themeColor="text1"/>
        </w:rPr>
        <w:t xml:space="preserve"> (Ibid.)</w:t>
      </w:r>
      <w:r>
        <w:rPr>
          <w:rFonts w:ascii="Arial" w:hAnsi="Arial" w:cs="Arial"/>
          <w:color w:val="000000" w:themeColor="text1"/>
        </w:rPr>
        <w:t>.</w:t>
      </w:r>
    </w:p>
    <w:p w14:paraId="3C6F9932" w14:textId="2756734E" w:rsidR="00354BDA" w:rsidRDefault="00354BDA" w:rsidP="004A122D">
      <w:pPr>
        <w:spacing w:line="480" w:lineRule="auto"/>
        <w:ind w:firstLine="720"/>
        <w:rPr>
          <w:rFonts w:ascii="Arial" w:hAnsi="Arial" w:cs="Arial"/>
          <w:color w:val="000000" w:themeColor="text1"/>
        </w:rPr>
      </w:pPr>
      <w:r>
        <w:rPr>
          <w:rFonts w:ascii="Arial" w:hAnsi="Arial" w:cs="Arial"/>
          <w:color w:val="000000" w:themeColor="text1"/>
        </w:rPr>
        <w:t xml:space="preserve">The above research is significant to this case study, as the teacher’s use of attention grabber, reinforcement and praise shows a strong correlation to principles of behaviourism. </w:t>
      </w:r>
    </w:p>
    <w:p w14:paraId="035F96F6" w14:textId="2971475E" w:rsidR="00971290" w:rsidRPr="007E45A0" w:rsidRDefault="00971290" w:rsidP="00971290">
      <w:pPr>
        <w:spacing w:line="480" w:lineRule="auto"/>
        <w:rPr>
          <w:rFonts w:ascii="Arial" w:hAnsi="Arial" w:cs="Arial"/>
          <w:color w:val="000000" w:themeColor="text1"/>
          <w:u w:val="single"/>
        </w:rPr>
      </w:pPr>
      <w:r>
        <w:rPr>
          <w:rFonts w:ascii="Arial" w:hAnsi="Arial" w:cs="Arial"/>
          <w:color w:val="000000" w:themeColor="text1"/>
          <w:u w:val="single"/>
        </w:rPr>
        <w:t>Positive Behaviour Management</w:t>
      </w:r>
    </w:p>
    <w:p w14:paraId="51954ABF" w14:textId="77B6EE8B" w:rsidR="00971290" w:rsidRDefault="00CD5148" w:rsidP="00971290">
      <w:pPr>
        <w:spacing w:line="480" w:lineRule="auto"/>
        <w:ind w:firstLine="720"/>
        <w:rPr>
          <w:rFonts w:ascii="Arial" w:hAnsi="Arial" w:cs="Arial"/>
        </w:rPr>
      </w:pPr>
      <w:r>
        <w:rPr>
          <w:rFonts w:ascii="Arial" w:hAnsi="Arial" w:cs="Arial"/>
          <w:color w:val="000000" w:themeColor="text1"/>
        </w:rPr>
        <w:t>Reflecting on years of theoretical and empirical investigation, Bronfenbrenner</w:t>
      </w:r>
      <w:r w:rsidR="00654F8F">
        <w:rPr>
          <w:rFonts w:ascii="Arial" w:hAnsi="Arial" w:cs="Arial"/>
          <w:color w:val="000000" w:themeColor="text1"/>
        </w:rPr>
        <w:t xml:space="preserve"> (1979) developed</w:t>
      </w:r>
      <w:r>
        <w:rPr>
          <w:rFonts w:ascii="Arial" w:hAnsi="Arial" w:cs="Arial"/>
          <w:color w:val="000000" w:themeColor="text1"/>
        </w:rPr>
        <w:t xml:space="preserve"> his Ecological Systems</w:t>
      </w:r>
      <w:r w:rsidR="00654F8F">
        <w:rPr>
          <w:rFonts w:ascii="Arial" w:hAnsi="Arial" w:cs="Arial"/>
          <w:color w:val="000000" w:themeColor="text1"/>
        </w:rPr>
        <w:t xml:space="preserve"> Theory</w:t>
      </w:r>
      <w:r>
        <w:rPr>
          <w:rFonts w:ascii="Arial" w:hAnsi="Arial" w:cs="Arial"/>
        </w:rPr>
        <w:t>.</w:t>
      </w:r>
      <w:r w:rsidR="00CB3D90">
        <w:rPr>
          <w:rFonts w:ascii="Arial" w:hAnsi="Arial" w:cs="Arial"/>
        </w:rPr>
        <w:t xml:space="preserve"> As this theory was developed through secondary research, it could have been more valid had Bronfenbrenner undertaken his own experimental research. As it stands, the many specific hypotheses regarding developmental processes Bronfenbrenner presented in his book</w:t>
      </w:r>
      <w:r w:rsidR="00654F8F">
        <w:rPr>
          <w:rFonts w:ascii="Arial" w:hAnsi="Arial" w:cs="Arial"/>
        </w:rPr>
        <w:t xml:space="preserve"> (Ibid.)</w:t>
      </w:r>
      <w:r w:rsidR="00CB3D90">
        <w:rPr>
          <w:rFonts w:ascii="Arial" w:hAnsi="Arial" w:cs="Arial"/>
        </w:rPr>
        <w:t xml:space="preserve"> have not been well validated by him or subsequent researchers.</w:t>
      </w:r>
    </w:p>
    <w:p w14:paraId="729AC5A2" w14:textId="45DDCC52" w:rsidR="0022326E" w:rsidRDefault="004906F4" w:rsidP="004906F4">
      <w:pPr>
        <w:spacing w:line="480" w:lineRule="auto"/>
        <w:ind w:firstLine="720"/>
        <w:rPr>
          <w:rFonts w:ascii="Arial" w:hAnsi="Arial" w:cs="Arial"/>
          <w:color w:val="000000" w:themeColor="text1"/>
        </w:rPr>
      </w:pPr>
      <w:r>
        <w:rPr>
          <w:rFonts w:ascii="Arial" w:hAnsi="Arial" w:cs="Arial"/>
          <w:color w:val="000000" w:themeColor="text1"/>
        </w:rPr>
        <w:t xml:space="preserve">During the 1960s Bandura </w:t>
      </w:r>
      <w:r w:rsidR="00654F8F">
        <w:rPr>
          <w:rFonts w:ascii="Arial" w:hAnsi="Arial" w:cs="Arial"/>
          <w:color w:val="000000" w:themeColor="text1"/>
        </w:rPr>
        <w:t>(</w:t>
      </w:r>
      <w:r>
        <w:rPr>
          <w:rFonts w:ascii="Arial" w:hAnsi="Arial" w:cs="Arial"/>
          <w:color w:val="000000" w:themeColor="text1"/>
        </w:rPr>
        <w:t>collated the results of his experimental studies to create his Social Learning Theory. H</w:t>
      </w:r>
      <w:r w:rsidR="00AD5374">
        <w:rPr>
          <w:rFonts w:ascii="Arial" w:hAnsi="Arial" w:cs="Arial"/>
          <w:color w:val="000000" w:themeColor="text1"/>
        </w:rPr>
        <w:t>e professionally introduced this theory in his</w:t>
      </w:r>
      <w:r>
        <w:rPr>
          <w:rFonts w:ascii="Arial" w:hAnsi="Arial" w:cs="Arial"/>
          <w:color w:val="000000" w:themeColor="text1"/>
        </w:rPr>
        <w:t xml:space="preserve"> seminal paper </w:t>
      </w:r>
      <w:r>
        <w:rPr>
          <w:rFonts w:ascii="Arial" w:hAnsi="Arial" w:cs="Arial"/>
          <w:i/>
          <w:iCs/>
          <w:color w:val="000000" w:themeColor="text1"/>
        </w:rPr>
        <w:t>Social Learning through Interaction</w:t>
      </w:r>
      <w:r>
        <w:rPr>
          <w:rFonts w:ascii="Arial" w:hAnsi="Arial" w:cs="Arial"/>
          <w:color w:val="000000" w:themeColor="text1"/>
        </w:rPr>
        <w:t xml:space="preserve"> </w:t>
      </w:r>
      <w:r w:rsidR="00AD5374">
        <w:rPr>
          <w:rFonts w:ascii="Arial" w:hAnsi="Arial" w:cs="Arial"/>
          <w:color w:val="000000" w:themeColor="text1"/>
        </w:rPr>
        <w:t>(Bandura, 1962).</w:t>
      </w:r>
      <w:r>
        <w:rPr>
          <w:rFonts w:ascii="Arial" w:hAnsi="Arial" w:cs="Arial"/>
          <w:color w:val="000000" w:themeColor="text1"/>
        </w:rPr>
        <w:t xml:space="preserve"> An example of one of these studies was the </w:t>
      </w:r>
      <w:r w:rsidR="00AD5374">
        <w:rPr>
          <w:rFonts w:ascii="Arial" w:hAnsi="Arial" w:cs="Arial"/>
          <w:color w:val="000000" w:themeColor="text1"/>
        </w:rPr>
        <w:t xml:space="preserve">1961 </w:t>
      </w:r>
      <w:r>
        <w:rPr>
          <w:rFonts w:ascii="Arial" w:hAnsi="Arial" w:cs="Arial"/>
          <w:color w:val="000000" w:themeColor="text1"/>
        </w:rPr>
        <w:t xml:space="preserve">Bobo doll experiment </w:t>
      </w:r>
      <w:r w:rsidR="00AD5374">
        <w:rPr>
          <w:rFonts w:ascii="Arial" w:hAnsi="Arial" w:cs="Arial"/>
          <w:color w:val="000000" w:themeColor="text1"/>
        </w:rPr>
        <w:t>(Bandura et al., 1961)</w:t>
      </w:r>
      <w:r>
        <w:rPr>
          <w:rFonts w:ascii="Arial" w:hAnsi="Arial" w:cs="Arial"/>
          <w:color w:val="000000" w:themeColor="text1"/>
        </w:rPr>
        <w:t xml:space="preserve">, which produced results confirming its hypothesis that subjects witnessing aggression </w:t>
      </w:r>
      <w:r>
        <w:rPr>
          <w:rFonts w:ascii="Arial" w:hAnsi="Arial" w:cs="Arial"/>
          <w:color w:val="000000" w:themeColor="text1"/>
        </w:rPr>
        <w:lastRenderedPageBreak/>
        <w:t xml:space="preserve">were more likely to imitate this aggression. </w:t>
      </w:r>
      <w:r w:rsidR="00354BDA">
        <w:rPr>
          <w:rFonts w:ascii="Arial" w:hAnsi="Arial" w:cs="Arial"/>
          <w:color w:val="000000" w:themeColor="text1"/>
        </w:rPr>
        <w:t>Some</w:t>
      </w:r>
      <w:r>
        <w:rPr>
          <w:rFonts w:ascii="Arial" w:hAnsi="Arial" w:cs="Arial"/>
          <w:color w:val="000000" w:themeColor="text1"/>
        </w:rPr>
        <w:t xml:space="preserve"> researchers have critiqued </w:t>
      </w:r>
      <w:r w:rsidR="00354BDA">
        <w:rPr>
          <w:rFonts w:ascii="Arial" w:hAnsi="Arial" w:cs="Arial"/>
          <w:color w:val="000000" w:themeColor="text1"/>
        </w:rPr>
        <w:t>the study however</w:t>
      </w:r>
      <w:r>
        <w:rPr>
          <w:rFonts w:ascii="Arial" w:hAnsi="Arial" w:cs="Arial"/>
          <w:color w:val="000000" w:themeColor="text1"/>
        </w:rPr>
        <w:t>, arguing that there is a biased sample</w:t>
      </w:r>
      <w:r w:rsidR="00354BDA">
        <w:rPr>
          <w:rFonts w:ascii="Arial" w:hAnsi="Arial" w:cs="Arial"/>
          <w:color w:val="000000" w:themeColor="text1"/>
        </w:rPr>
        <w:t>:</w:t>
      </w:r>
      <w:r>
        <w:rPr>
          <w:rFonts w:ascii="Arial" w:hAnsi="Arial" w:cs="Arial"/>
          <w:color w:val="000000" w:themeColor="text1"/>
        </w:rPr>
        <w:t xml:space="preserve"> all children used in the study were chosen from the Stamford University Nursery School</w:t>
      </w:r>
      <w:r w:rsidR="00AD5374">
        <w:rPr>
          <w:rFonts w:ascii="Arial" w:hAnsi="Arial" w:cs="Arial"/>
          <w:color w:val="000000" w:themeColor="text1"/>
        </w:rPr>
        <w:t xml:space="preserve"> (Ibid.)</w:t>
      </w:r>
      <w:r>
        <w:rPr>
          <w:rFonts w:ascii="Arial" w:hAnsi="Arial" w:cs="Arial"/>
          <w:color w:val="000000" w:themeColor="text1"/>
        </w:rPr>
        <w:t>.</w:t>
      </w:r>
      <w:r w:rsidR="00177BFE">
        <w:rPr>
          <w:rFonts w:ascii="Arial" w:hAnsi="Arial" w:cs="Arial"/>
          <w:color w:val="000000" w:themeColor="text1"/>
        </w:rPr>
        <w:t xml:space="preserve"> Bandura’s theories have garnered acclaim from researchers </w:t>
      </w:r>
      <w:r w:rsidR="00AD5374">
        <w:rPr>
          <w:rFonts w:ascii="Arial" w:hAnsi="Arial" w:cs="Arial"/>
          <w:color w:val="000000" w:themeColor="text1"/>
        </w:rPr>
        <w:t xml:space="preserve">(Maltby et al., 2017) </w:t>
      </w:r>
      <w:r w:rsidR="00177BFE">
        <w:rPr>
          <w:rFonts w:ascii="Arial" w:hAnsi="Arial" w:cs="Arial"/>
          <w:color w:val="000000" w:themeColor="text1"/>
        </w:rPr>
        <w:t>who have noted that his comprehensive exploration of the self-regulatory and self-reinforcement processes set his work apart from other learning theorists.</w:t>
      </w:r>
    </w:p>
    <w:p w14:paraId="249F0C18" w14:textId="6F4979FE" w:rsidR="00177BFE" w:rsidRDefault="00177BFE" w:rsidP="004906F4">
      <w:pPr>
        <w:spacing w:line="480" w:lineRule="auto"/>
        <w:ind w:firstLine="720"/>
        <w:rPr>
          <w:rFonts w:ascii="Arial" w:hAnsi="Arial" w:cs="Arial"/>
          <w:color w:val="000000" w:themeColor="text1"/>
        </w:rPr>
      </w:pPr>
      <w:r>
        <w:rPr>
          <w:rFonts w:ascii="Arial" w:hAnsi="Arial" w:cs="Arial"/>
          <w:color w:val="000000" w:themeColor="text1"/>
        </w:rPr>
        <w:t xml:space="preserve">There is extensive research dedicated to the concept of ‘self-regulation’. </w:t>
      </w:r>
      <w:proofErr w:type="spellStart"/>
      <w:r>
        <w:rPr>
          <w:rFonts w:ascii="Arial" w:hAnsi="Arial" w:cs="Arial"/>
          <w:color w:val="000000" w:themeColor="text1"/>
        </w:rPr>
        <w:t>Dignath</w:t>
      </w:r>
      <w:proofErr w:type="spellEnd"/>
      <w:r>
        <w:rPr>
          <w:rFonts w:ascii="Arial" w:hAnsi="Arial" w:cs="Arial"/>
          <w:color w:val="000000" w:themeColor="text1"/>
        </w:rPr>
        <w:t xml:space="preserve">, Buettner and </w:t>
      </w:r>
      <w:proofErr w:type="spellStart"/>
      <w:r>
        <w:rPr>
          <w:rFonts w:ascii="Arial" w:hAnsi="Arial" w:cs="Arial"/>
          <w:color w:val="000000" w:themeColor="text1"/>
        </w:rPr>
        <w:t>Langfeldt’s</w:t>
      </w:r>
      <w:proofErr w:type="spellEnd"/>
      <w:r>
        <w:rPr>
          <w:rFonts w:ascii="Arial" w:hAnsi="Arial" w:cs="Arial"/>
          <w:color w:val="000000" w:themeColor="text1"/>
        </w:rPr>
        <w:t xml:space="preserve"> meta-analysis </w:t>
      </w:r>
      <w:r w:rsidR="00AD5374">
        <w:rPr>
          <w:rFonts w:ascii="Arial" w:hAnsi="Arial" w:cs="Arial"/>
          <w:color w:val="000000" w:themeColor="text1"/>
        </w:rPr>
        <w:t xml:space="preserve">(2008) </w:t>
      </w:r>
      <w:r>
        <w:rPr>
          <w:rFonts w:ascii="Arial" w:hAnsi="Arial" w:cs="Arial"/>
          <w:color w:val="000000" w:themeColor="text1"/>
        </w:rPr>
        <w:t>conclude</w:t>
      </w:r>
      <w:r w:rsidR="00354BDA">
        <w:rPr>
          <w:rFonts w:ascii="Arial" w:hAnsi="Arial" w:cs="Arial"/>
          <w:color w:val="000000" w:themeColor="text1"/>
        </w:rPr>
        <w:t>d</w:t>
      </w:r>
      <w:r>
        <w:rPr>
          <w:rFonts w:ascii="Arial" w:hAnsi="Arial" w:cs="Arial"/>
          <w:color w:val="000000" w:themeColor="text1"/>
        </w:rPr>
        <w:t xml:space="preserve"> that increased emphasis of self-regulation in the classroom had a positive effect on both learning outcomes and motivation of students.</w:t>
      </w:r>
      <w:r w:rsidR="00A54E47">
        <w:rPr>
          <w:rFonts w:ascii="Arial" w:hAnsi="Arial" w:cs="Arial"/>
          <w:color w:val="000000" w:themeColor="text1"/>
        </w:rPr>
        <w:t xml:space="preserve"> Results from an experimental study </w:t>
      </w:r>
      <w:r w:rsidR="00AD5374">
        <w:rPr>
          <w:rFonts w:ascii="Arial" w:hAnsi="Arial" w:cs="Arial"/>
          <w:color w:val="000000" w:themeColor="text1"/>
        </w:rPr>
        <w:t xml:space="preserve">(Raver and </w:t>
      </w:r>
      <w:proofErr w:type="spellStart"/>
      <w:r w:rsidR="00AD5374">
        <w:rPr>
          <w:rFonts w:ascii="Arial" w:hAnsi="Arial" w:cs="Arial"/>
          <w:color w:val="000000" w:themeColor="text1"/>
        </w:rPr>
        <w:t>Knitzer</w:t>
      </w:r>
      <w:proofErr w:type="spellEnd"/>
      <w:r w:rsidR="00AD5374">
        <w:rPr>
          <w:rFonts w:ascii="Arial" w:hAnsi="Arial" w:cs="Arial"/>
          <w:color w:val="000000" w:themeColor="text1"/>
        </w:rPr>
        <w:t xml:space="preserve">, 2002) </w:t>
      </w:r>
      <w:r w:rsidR="00A54E47">
        <w:rPr>
          <w:rFonts w:ascii="Arial" w:hAnsi="Arial" w:cs="Arial"/>
          <w:color w:val="000000" w:themeColor="text1"/>
        </w:rPr>
        <w:t>presenting a curriculum teaching self-regulation to children noted improvements in children’s behaviour (both adaptive and attentional behaviours) and in their social interactions. Other researchers</w:t>
      </w:r>
      <w:r w:rsidR="00AD5374">
        <w:rPr>
          <w:rFonts w:ascii="Arial" w:hAnsi="Arial" w:cs="Arial"/>
          <w:color w:val="000000" w:themeColor="text1"/>
        </w:rPr>
        <w:t xml:space="preserve"> (Zimmerman, 2001) </w:t>
      </w:r>
      <w:r w:rsidR="00A54E47">
        <w:rPr>
          <w:rFonts w:ascii="Arial" w:hAnsi="Arial" w:cs="Arial"/>
          <w:color w:val="000000" w:themeColor="text1"/>
        </w:rPr>
        <w:t>have identified a link between self-regulation and academic achievement.</w:t>
      </w:r>
    </w:p>
    <w:p w14:paraId="3C31CA55" w14:textId="4D71A0C2" w:rsidR="00354BDA" w:rsidRDefault="00354BDA" w:rsidP="004906F4">
      <w:pPr>
        <w:spacing w:line="480" w:lineRule="auto"/>
        <w:ind w:firstLine="720"/>
        <w:rPr>
          <w:rFonts w:ascii="Arial" w:hAnsi="Arial" w:cs="Arial"/>
          <w:color w:val="000000" w:themeColor="text1"/>
        </w:rPr>
      </w:pPr>
      <w:r>
        <w:rPr>
          <w:rFonts w:ascii="Arial" w:hAnsi="Arial" w:cs="Arial"/>
          <w:color w:val="000000" w:themeColor="text1"/>
        </w:rPr>
        <w:t>The research highlighted here informs the analysis of reinforcement used by the teacher in the example. In addition, it aids in understanding the classroom environment in which the incident took place.</w:t>
      </w:r>
    </w:p>
    <w:p w14:paraId="07B04DB1" w14:textId="5A21C1D7" w:rsidR="00A54E47" w:rsidRPr="007E45A0" w:rsidRDefault="00A54E47" w:rsidP="00A54E47">
      <w:pPr>
        <w:spacing w:line="480" w:lineRule="auto"/>
        <w:rPr>
          <w:rFonts w:ascii="Arial" w:hAnsi="Arial" w:cs="Arial"/>
          <w:color w:val="000000" w:themeColor="text1"/>
          <w:u w:val="single"/>
        </w:rPr>
      </w:pPr>
      <w:r>
        <w:rPr>
          <w:rFonts w:ascii="Arial" w:hAnsi="Arial" w:cs="Arial"/>
          <w:color w:val="000000" w:themeColor="text1"/>
          <w:u w:val="single"/>
        </w:rPr>
        <w:t>Motivation</w:t>
      </w:r>
    </w:p>
    <w:p w14:paraId="2CA67EAC" w14:textId="204877DB" w:rsidR="001A37CD" w:rsidRDefault="001A37CD" w:rsidP="00A54E47">
      <w:pPr>
        <w:spacing w:line="480" w:lineRule="auto"/>
        <w:ind w:firstLine="720"/>
        <w:rPr>
          <w:rFonts w:ascii="Arial" w:hAnsi="Arial" w:cs="Arial"/>
          <w:color w:val="000000" w:themeColor="text1"/>
        </w:rPr>
      </w:pPr>
      <w:r>
        <w:rPr>
          <w:rFonts w:ascii="Arial" w:hAnsi="Arial" w:cs="Arial"/>
          <w:color w:val="000000" w:themeColor="text1"/>
        </w:rPr>
        <w:t xml:space="preserve">Heider is credited with constructing Attribution Theory, describing it in his seminal text </w:t>
      </w:r>
      <w:r>
        <w:rPr>
          <w:rFonts w:ascii="Arial" w:hAnsi="Arial" w:cs="Arial"/>
          <w:i/>
          <w:iCs/>
          <w:color w:val="000000" w:themeColor="text1"/>
        </w:rPr>
        <w:t>The psychology of interpersonal relations</w:t>
      </w:r>
      <w:r>
        <w:rPr>
          <w:rFonts w:ascii="Arial" w:hAnsi="Arial" w:cs="Arial"/>
          <w:color w:val="000000" w:themeColor="text1"/>
        </w:rPr>
        <w:t xml:space="preserve"> </w:t>
      </w:r>
      <w:r w:rsidR="00AD5374">
        <w:rPr>
          <w:rFonts w:ascii="Arial" w:hAnsi="Arial" w:cs="Arial"/>
          <w:color w:val="000000" w:themeColor="text1"/>
        </w:rPr>
        <w:t>(Heider, 1958)</w:t>
      </w:r>
      <w:r>
        <w:rPr>
          <w:rFonts w:ascii="Arial" w:hAnsi="Arial" w:cs="Arial"/>
          <w:color w:val="000000" w:themeColor="text1"/>
        </w:rPr>
        <w:t xml:space="preserve">. </w:t>
      </w:r>
      <w:r w:rsidR="00D36AA4">
        <w:rPr>
          <w:rFonts w:ascii="Arial" w:hAnsi="Arial" w:cs="Arial"/>
          <w:color w:val="000000" w:themeColor="text1"/>
        </w:rPr>
        <w:t>Theorists such as Weiner</w:t>
      </w:r>
      <w:r w:rsidR="00AD5374">
        <w:rPr>
          <w:rFonts w:ascii="Arial" w:hAnsi="Arial" w:cs="Arial"/>
          <w:color w:val="000000" w:themeColor="text1"/>
        </w:rPr>
        <w:t xml:space="preserve"> </w:t>
      </w:r>
      <w:r w:rsidR="00D36AA4">
        <w:rPr>
          <w:rFonts w:ascii="Arial" w:hAnsi="Arial" w:cs="Arial"/>
          <w:color w:val="000000" w:themeColor="text1"/>
        </w:rPr>
        <w:t xml:space="preserve">have suggested a link in attribution-based theories of motivation </w:t>
      </w:r>
      <w:r>
        <w:rPr>
          <w:rFonts w:ascii="Arial" w:hAnsi="Arial" w:cs="Arial"/>
          <w:color w:val="000000" w:themeColor="text1"/>
        </w:rPr>
        <w:t>between students’ casual thinking and their learning and motivational outcomes</w:t>
      </w:r>
      <w:r w:rsidR="00AD5374">
        <w:rPr>
          <w:rFonts w:ascii="Arial" w:hAnsi="Arial" w:cs="Arial"/>
          <w:color w:val="000000" w:themeColor="text1"/>
        </w:rPr>
        <w:t xml:space="preserve"> (Fishman and </w:t>
      </w:r>
      <w:proofErr w:type="spellStart"/>
      <w:r w:rsidR="00AD5374">
        <w:rPr>
          <w:rFonts w:ascii="Arial" w:hAnsi="Arial" w:cs="Arial"/>
          <w:color w:val="000000" w:themeColor="text1"/>
        </w:rPr>
        <w:t>Husman</w:t>
      </w:r>
      <w:proofErr w:type="spellEnd"/>
      <w:r w:rsidR="00AD5374">
        <w:rPr>
          <w:rFonts w:ascii="Arial" w:hAnsi="Arial" w:cs="Arial"/>
          <w:color w:val="000000" w:themeColor="text1"/>
        </w:rPr>
        <w:t>, 2017)</w:t>
      </w:r>
      <w:r>
        <w:rPr>
          <w:rFonts w:ascii="Arial" w:hAnsi="Arial" w:cs="Arial"/>
          <w:color w:val="000000" w:themeColor="text1"/>
        </w:rPr>
        <w:t xml:space="preserve">. </w:t>
      </w:r>
      <w:r w:rsidR="00D36AA4">
        <w:rPr>
          <w:rFonts w:ascii="Arial" w:hAnsi="Arial" w:cs="Arial"/>
          <w:color w:val="000000" w:themeColor="text1"/>
        </w:rPr>
        <w:t>Weiner also acknowledged in their research</w:t>
      </w:r>
      <w:r w:rsidR="002C1C60">
        <w:rPr>
          <w:rFonts w:ascii="Arial" w:hAnsi="Arial" w:cs="Arial"/>
          <w:color w:val="000000" w:themeColor="text1"/>
        </w:rPr>
        <w:t xml:space="preserve"> that factors outside of the traditional Attribution Theory model contribute to the link between students’ causal attributions and their positive motivational outcomes</w:t>
      </w:r>
      <w:r w:rsidR="00AD5374">
        <w:rPr>
          <w:rFonts w:ascii="Arial" w:hAnsi="Arial" w:cs="Arial"/>
          <w:color w:val="000000" w:themeColor="text1"/>
        </w:rPr>
        <w:t xml:space="preserve"> (Ibid).</w:t>
      </w:r>
    </w:p>
    <w:p w14:paraId="1A0FFB8D" w14:textId="5F320A56" w:rsidR="004906F4" w:rsidRDefault="002C1C60" w:rsidP="00C23B04">
      <w:pPr>
        <w:spacing w:line="480" w:lineRule="auto"/>
        <w:ind w:firstLine="720"/>
        <w:rPr>
          <w:rFonts w:ascii="Arial" w:hAnsi="Arial" w:cs="Arial"/>
        </w:rPr>
      </w:pPr>
      <w:r>
        <w:rPr>
          <w:rFonts w:ascii="Arial" w:hAnsi="Arial" w:cs="Arial"/>
          <w:color w:val="000000" w:themeColor="text1"/>
        </w:rPr>
        <w:lastRenderedPageBreak/>
        <w:t xml:space="preserve">Ryan and Deci </w:t>
      </w:r>
      <w:r w:rsidR="00B67A3E">
        <w:rPr>
          <w:rFonts w:ascii="Arial" w:hAnsi="Arial" w:cs="Arial"/>
          <w:color w:val="000000" w:themeColor="text1"/>
        </w:rPr>
        <w:t xml:space="preserve">(2000) </w:t>
      </w:r>
      <w:r>
        <w:rPr>
          <w:rFonts w:ascii="Arial" w:hAnsi="Arial" w:cs="Arial"/>
          <w:color w:val="000000" w:themeColor="text1"/>
        </w:rPr>
        <w:t>developed their Self-Determination Theory over many years</w:t>
      </w:r>
      <w:r w:rsidR="00B67A3E">
        <w:rPr>
          <w:rFonts w:ascii="Arial" w:hAnsi="Arial" w:cs="Arial"/>
          <w:color w:val="000000" w:themeColor="text1"/>
        </w:rPr>
        <w:t xml:space="preserve">. </w:t>
      </w:r>
      <w:r w:rsidR="00CD09AB">
        <w:rPr>
          <w:rFonts w:ascii="Arial" w:hAnsi="Arial" w:cs="Arial"/>
        </w:rPr>
        <w:t>This theory has a strong basis in repeated experimental studies</w:t>
      </w:r>
      <w:r w:rsidR="00B67A3E">
        <w:rPr>
          <w:rFonts w:ascii="Arial" w:hAnsi="Arial" w:cs="Arial"/>
        </w:rPr>
        <w:t xml:space="preserve"> (Ibid</w:t>
      </w:r>
      <w:proofErr w:type="gramStart"/>
      <w:r w:rsidR="00B67A3E">
        <w:rPr>
          <w:rFonts w:ascii="Arial" w:hAnsi="Arial" w:cs="Arial"/>
        </w:rPr>
        <w:t>)</w:t>
      </w:r>
      <w:proofErr w:type="gramEnd"/>
      <w:r w:rsidR="00B67A3E">
        <w:rPr>
          <w:rFonts w:ascii="Arial" w:hAnsi="Arial" w:cs="Arial"/>
        </w:rPr>
        <w:t xml:space="preserve"> and </w:t>
      </w:r>
      <w:r w:rsidR="00CD09AB">
        <w:rPr>
          <w:rFonts w:ascii="Arial" w:hAnsi="Arial" w:cs="Arial"/>
        </w:rPr>
        <w:t>many follow up studies guided by Self-Determination Theory have supported its reliability</w:t>
      </w:r>
      <w:r w:rsidR="00B67A3E">
        <w:rPr>
          <w:rFonts w:ascii="Arial" w:hAnsi="Arial" w:cs="Arial"/>
        </w:rPr>
        <w:t xml:space="preserve"> (</w:t>
      </w:r>
      <w:proofErr w:type="spellStart"/>
      <w:r w:rsidR="00B67A3E">
        <w:rPr>
          <w:rFonts w:ascii="Arial" w:hAnsi="Arial" w:cs="Arial"/>
        </w:rPr>
        <w:t>Gagné</w:t>
      </w:r>
      <w:proofErr w:type="spellEnd"/>
      <w:r w:rsidR="00B67A3E">
        <w:rPr>
          <w:rFonts w:ascii="Arial" w:hAnsi="Arial" w:cs="Arial"/>
        </w:rPr>
        <w:t xml:space="preserve"> and Deci, 2005)</w:t>
      </w:r>
      <w:r w:rsidR="00CD09AB">
        <w:rPr>
          <w:rFonts w:ascii="Arial" w:hAnsi="Arial" w:cs="Arial"/>
        </w:rPr>
        <w:t xml:space="preserve">. </w:t>
      </w:r>
      <w:proofErr w:type="spellStart"/>
      <w:r w:rsidR="00CD09AB">
        <w:rPr>
          <w:rFonts w:ascii="Arial" w:hAnsi="Arial" w:cs="Arial"/>
        </w:rPr>
        <w:t>Perera</w:t>
      </w:r>
      <w:proofErr w:type="spellEnd"/>
      <w:r w:rsidR="00CD09AB">
        <w:rPr>
          <w:rFonts w:ascii="Arial" w:hAnsi="Arial" w:cs="Arial"/>
        </w:rPr>
        <w:t xml:space="preserve"> </w:t>
      </w:r>
      <w:r w:rsidR="00B67A3E">
        <w:rPr>
          <w:rFonts w:ascii="Arial" w:hAnsi="Arial" w:cs="Arial"/>
        </w:rPr>
        <w:t>(2020) i</w:t>
      </w:r>
      <w:r w:rsidR="00CD09AB">
        <w:rPr>
          <w:rFonts w:ascii="Arial" w:hAnsi="Arial" w:cs="Arial"/>
        </w:rPr>
        <w:t>dentified a need for further research into Self-Determination Theory in adolescents, as they found this area to be lacking.</w:t>
      </w:r>
    </w:p>
    <w:p w14:paraId="15F29F36" w14:textId="6F174CC7" w:rsidR="00354BDA" w:rsidRDefault="00354BDA" w:rsidP="00354BDA">
      <w:pPr>
        <w:spacing w:line="480" w:lineRule="auto"/>
        <w:ind w:firstLine="720"/>
        <w:rPr>
          <w:rFonts w:ascii="Arial" w:hAnsi="Arial" w:cs="Arial"/>
          <w:color w:val="000000" w:themeColor="text1"/>
        </w:rPr>
      </w:pPr>
      <w:r>
        <w:rPr>
          <w:rFonts w:ascii="Arial" w:hAnsi="Arial" w:cs="Arial"/>
          <w:color w:val="000000" w:themeColor="text1"/>
        </w:rPr>
        <w:t xml:space="preserve">Edwin Locke presented his Motivational Model in an essay within the 2023 book </w:t>
      </w:r>
      <w:r>
        <w:rPr>
          <w:rFonts w:ascii="Arial" w:hAnsi="Arial" w:cs="Arial"/>
          <w:i/>
          <w:iCs/>
          <w:color w:val="000000" w:themeColor="text1"/>
        </w:rPr>
        <w:t>Motivation Science: Controversies and Insights</w:t>
      </w:r>
      <w:r w:rsidR="00B67A3E">
        <w:rPr>
          <w:rFonts w:ascii="Arial" w:hAnsi="Arial" w:cs="Arial"/>
          <w:i/>
          <w:iCs/>
          <w:color w:val="000000" w:themeColor="text1"/>
        </w:rPr>
        <w:t xml:space="preserve"> </w:t>
      </w:r>
      <w:r w:rsidR="00B67A3E">
        <w:rPr>
          <w:rFonts w:ascii="Arial" w:hAnsi="Arial" w:cs="Arial"/>
          <w:color w:val="000000" w:themeColor="text1"/>
        </w:rPr>
        <w:t>(Locke, 2023)</w:t>
      </w:r>
      <w:r>
        <w:rPr>
          <w:rFonts w:ascii="Arial" w:hAnsi="Arial" w:cs="Arial"/>
          <w:color w:val="000000" w:themeColor="text1"/>
        </w:rPr>
        <w:t>.</w:t>
      </w:r>
      <w:r w:rsidR="00B67A3E">
        <w:rPr>
          <w:rFonts w:ascii="Arial" w:hAnsi="Arial" w:cs="Arial"/>
          <w:color w:val="000000" w:themeColor="text1"/>
        </w:rPr>
        <w:t xml:space="preserve"> </w:t>
      </w:r>
      <w:r>
        <w:rPr>
          <w:rFonts w:ascii="Arial" w:hAnsi="Arial" w:cs="Arial"/>
          <w:color w:val="000000" w:themeColor="text1"/>
        </w:rPr>
        <w:t>The methodology for this model is questionable as it has been presented in a descriptive body of work and lacks any experimental validation. However, it is validated by the findings of the evidence referenced in the rest of the review, and further validated by the fact that the author is a subject-area expert. The review is somewhat weakened, however, by Locke’s frequent use of self-citation</w:t>
      </w:r>
      <w:r w:rsidR="00B67A3E">
        <w:rPr>
          <w:rFonts w:ascii="Arial" w:hAnsi="Arial" w:cs="Arial"/>
          <w:color w:val="000000" w:themeColor="text1"/>
        </w:rPr>
        <w:t xml:space="preserve"> (Ibid).</w:t>
      </w:r>
    </w:p>
    <w:p w14:paraId="45649B32" w14:textId="3032C56A" w:rsidR="00C23B04" w:rsidRDefault="00D36AA4" w:rsidP="00D36AA4">
      <w:pPr>
        <w:spacing w:line="480" w:lineRule="auto"/>
        <w:ind w:firstLine="720"/>
        <w:rPr>
          <w:rFonts w:ascii="Arial" w:hAnsi="Arial" w:cs="Arial"/>
        </w:rPr>
      </w:pPr>
      <w:r>
        <w:rPr>
          <w:rFonts w:ascii="Arial" w:hAnsi="Arial" w:cs="Arial"/>
        </w:rPr>
        <w:t xml:space="preserve">Knowledge of research in the field of motivation will be poignant when observing the motivational choices of the students in this case study. </w:t>
      </w:r>
    </w:p>
    <w:p w14:paraId="026C02DD" w14:textId="77777777" w:rsidR="00D36AA4" w:rsidRPr="00D36AA4" w:rsidRDefault="00D36AA4" w:rsidP="00D36AA4">
      <w:pPr>
        <w:spacing w:line="480" w:lineRule="auto"/>
        <w:ind w:firstLine="720"/>
        <w:rPr>
          <w:rFonts w:ascii="Arial" w:hAnsi="Arial" w:cs="Arial"/>
        </w:rPr>
      </w:pPr>
    </w:p>
    <w:p w14:paraId="1FC6EC30" w14:textId="05990272" w:rsidR="00A26376" w:rsidRPr="003947DE" w:rsidRDefault="005E51B8" w:rsidP="003947DE">
      <w:pPr>
        <w:spacing w:line="480" w:lineRule="auto"/>
        <w:jc w:val="center"/>
        <w:rPr>
          <w:rFonts w:ascii="Arial" w:hAnsi="Arial" w:cs="Arial"/>
          <w:b/>
          <w:bCs/>
          <w:color w:val="000000" w:themeColor="text1"/>
          <w:u w:val="single"/>
        </w:rPr>
      </w:pPr>
      <w:r w:rsidRPr="00436223">
        <w:rPr>
          <w:rFonts w:ascii="Arial" w:hAnsi="Arial" w:cs="Arial"/>
          <w:b/>
          <w:bCs/>
          <w:color w:val="000000" w:themeColor="text1"/>
          <w:u w:val="single"/>
        </w:rPr>
        <w:t xml:space="preserve">Evaluation of </w:t>
      </w:r>
      <w:r w:rsidR="009840FE" w:rsidRPr="00436223">
        <w:rPr>
          <w:rFonts w:ascii="Arial" w:hAnsi="Arial" w:cs="Arial"/>
          <w:b/>
          <w:bCs/>
          <w:color w:val="000000" w:themeColor="text1"/>
          <w:u w:val="single"/>
        </w:rPr>
        <w:t>Case Study</w:t>
      </w:r>
      <w:r w:rsidR="000B3B77">
        <w:rPr>
          <w:rFonts w:ascii="Arial" w:hAnsi="Arial" w:cs="Arial"/>
        </w:rPr>
        <w:t xml:space="preserve"> </w:t>
      </w:r>
    </w:p>
    <w:p w14:paraId="019C6456" w14:textId="4F66B067" w:rsidR="00C41D07" w:rsidRDefault="00C41D07" w:rsidP="00C41D07">
      <w:pPr>
        <w:spacing w:line="480" w:lineRule="auto"/>
        <w:ind w:firstLine="720"/>
        <w:rPr>
          <w:rFonts w:ascii="Arial" w:hAnsi="Arial" w:cs="Arial"/>
        </w:rPr>
      </w:pPr>
      <w:r>
        <w:rPr>
          <w:rFonts w:ascii="Arial" w:hAnsi="Arial" w:cs="Arial"/>
        </w:rPr>
        <w:t>This critical incident was observed in an English-medium primary school in the Swansea area. The school has performed well in Estyn inspections, with points for improvement referencing more meaningful teacher feedback (Estyn, 2023). The observed lesson was in a year 4 class of 23 with a teacher and teaching assistant present. The children were sat at five different tables based on ability groupings</w:t>
      </w:r>
      <w:r w:rsidR="0044593E">
        <w:rPr>
          <w:rFonts w:ascii="Arial" w:hAnsi="Arial" w:cs="Arial"/>
        </w:rPr>
        <w:t>.</w:t>
      </w:r>
      <w:r>
        <w:rPr>
          <w:rFonts w:ascii="Arial" w:hAnsi="Arial" w:cs="Arial"/>
        </w:rPr>
        <w:t xml:space="preserve"> </w:t>
      </w:r>
    </w:p>
    <w:p w14:paraId="3EC34C10" w14:textId="7485842A" w:rsidR="005E51B8" w:rsidRPr="00D83707" w:rsidRDefault="005E51B8" w:rsidP="005E51B8">
      <w:pPr>
        <w:spacing w:line="480" w:lineRule="auto"/>
        <w:rPr>
          <w:rFonts w:ascii="Arial" w:hAnsi="Arial" w:cs="Arial"/>
          <w:color w:val="000000" w:themeColor="text1"/>
        </w:rPr>
      </w:pPr>
      <w:r w:rsidRPr="00D83707">
        <w:rPr>
          <w:rFonts w:ascii="Arial" w:hAnsi="Arial" w:cs="Arial"/>
          <w:color w:val="000000" w:themeColor="text1"/>
        </w:rPr>
        <w:tab/>
        <w:t xml:space="preserve">The observed incident occurred at the end of the students’ writing activity. The teacher used a musical call-and-response attention grabber to signal the end of the </w:t>
      </w:r>
      <w:r w:rsidRPr="00D83707">
        <w:rPr>
          <w:rFonts w:ascii="Arial" w:hAnsi="Arial" w:cs="Arial"/>
          <w:color w:val="000000" w:themeColor="text1"/>
        </w:rPr>
        <w:lastRenderedPageBreak/>
        <w:t xml:space="preserve">writing </w:t>
      </w:r>
      <w:r w:rsidRPr="00D83707">
        <w:rPr>
          <w:rFonts w:ascii="Arial" w:hAnsi="Arial" w:cs="Arial"/>
          <w:color w:val="000000" w:themeColor="text1"/>
        </w:rPr>
        <w:t>task</w:t>
      </w:r>
      <w:r w:rsidRPr="00D83707">
        <w:rPr>
          <w:rFonts w:ascii="Arial" w:hAnsi="Arial" w:cs="Arial"/>
          <w:color w:val="000000" w:themeColor="text1"/>
        </w:rPr>
        <w:t>. Child A was immediately engaged</w:t>
      </w:r>
      <w:r w:rsidR="00051DF5">
        <w:rPr>
          <w:rFonts w:ascii="Arial" w:hAnsi="Arial" w:cs="Arial"/>
          <w:color w:val="000000" w:themeColor="text1"/>
        </w:rPr>
        <w:t xml:space="preserve">, </w:t>
      </w:r>
      <w:r w:rsidRPr="00D83707">
        <w:rPr>
          <w:rFonts w:ascii="Arial" w:hAnsi="Arial" w:cs="Arial"/>
          <w:color w:val="000000" w:themeColor="text1"/>
        </w:rPr>
        <w:t>pu</w:t>
      </w:r>
      <w:r w:rsidR="00051DF5">
        <w:rPr>
          <w:rFonts w:ascii="Arial" w:hAnsi="Arial" w:cs="Arial"/>
          <w:color w:val="000000" w:themeColor="text1"/>
        </w:rPr>
        <w:t>tting</w:t>
      </w:r>
      <w:r w:rsidRPr="00D83707">
        <w:rPr>
          <w:rFonts w:ascii="Arial" w:hAnsi="Arial" w:cs="Arial"/>
          <w:color w:val="000000" w:themeColor="text1"/>
        </w:rPr>
        <w:t xml:space="preserve"> down their pen</w:t>
      </w:r>
      <w:r w:rsidR="00051DF5">
        <w:rPr>
          <w:rFonts w:ascii="Arial" w:hAnsi="Arial" w:cs="Arial"/>
          <w:color w:val="000000" w:themeColor="text1"/>
        </w:rPr>
        <w:t xml:space="preserve"> and clapping</w:t>
      </w:r>
      <w:r w:rsidRPr="00D83707">
        <w:rPr>
          <w:rFonts w:ascii="Arial" w:hAnsi="Arial" w:cs="Arial"/>
          <w:color w:val="000000" w:themeColor="text1"/>
        </w:rPr>
        <w:t xml:space="preserve"> </w:t>
      </w:r>
      <w:r w:rsidRPr="00D83707">
        <w:rPr>
          <w:rFonts w:ascii="Arial" w:hAnsi="Arial" w:cs="Arial"/>
          <w:color w:val="000000" w:themeColor="text1"/>
        </w:rPr>
        <w:t xml:space="preserve">in response. </w:t>
      </w:r>
      <w:r w:rsidRPr="00D83707">
        <w:rPr>
          <w:rFonts w:ascii="Arial" w:hAnsi="Arial" w:cs="Arial"/>
          <w:color w:val="000000" w:themeColor="text1"/>
        </w:rPr>
        <w:t xml:space="preserve">Child B, however, </w:t>
      </w:r>
      <w:r w:rsidRPr="00D83707">
        <w:rPr>
          <w:rFonts w:ascii="Arial" w:hAnsi="Arial" w:cs="Arial"/>
          <w:color w:val="000000" w:themeColor="text1"/>
        </w:rPr>
        <w:t>did</w:t>
      </w:r>
      <w:r w:rsidRPr="00D83707">
        <w:rPr>
          <w:rFonts w:ascii="Arial" w:hAnsi="Arial" w:cs="Arial"/>
          <w:color w:val="000000" w:themeColor="text1"/>
        </w:rPr>
        <w:t xml:space="preserve"> not respond and continued writing.</w:t>
      </w:r>
    </w:p>
    <w:p w14:paraId="3EBFEC40" w14:textId="1A6E3DA1" w:rsidR="00D36AA4" w:rsidRDefault="0000269C" w:rsidP="00B24E5B">
      <w:pPr>
        <w:spacing w:line="480" w:lineRule="auto"/>
        <w:rPr>
          <w:rFonts w:ascii="Arial" w:hAnsi="Arial" w:cs="Arial"/>
        </w:rPr>
      </w:pPr>
      <w:r>
        <w:rPr>
          <w:rFonts w:ascii="Arial" w:hAnsi="Arial" w:cs="Arial"/>
        </w:rPr>
        <w:tab/>
        <w:t>The initial attention grabber show</w:t>
      </w:r>
      <w:r w:rsidR="005E51B8">
        <w:rPr>
          <w:rFonts w:ascii="Arial" w:hAnsi="Arial" w:cs="Arial"/>
        </w:rPr>
        <w:t>ed</w:t>
      </w:r>
      <w:r>
        <w:rPr>
          <w:rFonts w:ascii="Arial" w:hAnsi="Arial" w:cs="Arial"/>
        </w:rPr>
        <w:t xml:space="preserve"> elements of </w:t>
      </w:r>
      <w:r w:rsidR="005E51B8">
        <w:rPr>
          <w:rFonts w:ascii="Arial" w:hAnsi="Arial" w:cs="Arial"/>
        </w:rPr>
        <w:t>classical conditioning</w:t>
      </w:r>
      <w:r w:rsidR="00B24E5B">
        <w:rPr>
          <w:rFonts w:ascii="Arial" w:hAnsi="Arial" w:cs="Arial"/>
        </w:rPr>
        <w:t xml:space="preserve"> </w:t>
      </w:r>
      <w:r w:rsidR="00B24E5B">
        <w:rPr>
          <w:rFonts w:ascii="Arial" w:hAnsi="Arial" w:cs="Arial"/>
        </w:rPr>
        <w:t>(Clark, 2004</w:t>
      </w:r>
      <w:r w:rsidR="00B24E5B">
        <w:rPr>
          <w:rFonts w:ascii="Arial" w:hAnsi="Arial" w:cs="Arial"/>
        </w:rPr>
        <w:t>, p. 279)</w:t>
      </w:r>
      <w:r>
        <w:rPr>
          <w:rFonts w:ascii="Arial" w:hAnsi="Arial" w:cs="Arial"/>
        </w:rPr>
        <w:t>, the effectiveness of which can be seen in Child A’s immediate response. The neutral stimulus</w:t>
      </w:r>
      <w:r w:rsidR="00051DF5">
        <w:rPr>
          <w:rFonts w:ascii="Arial" w:hAnsi="Arial" w:cs="Arial"/>
        </w:rPr>
        <w:t xml:space="preserve"> here</w:t>
      </w:r>
      <w:r w:rsidR="005E51B8">
        <w:rPr>
          <w:rFonts w:ascii="Arial" w:hAnsi="Arial" w:cs="Arial"/>
        </w:rPr>
        <w:t xml:space="preserve"> wa</w:t>
      </w:r>
      <w:r>
        <w:rPr>
          <w:rFonts w:ascii="Arial" w:hAnsi="Arial" w:cs="Arial"/>
        </w:rPr>
        <w:t xml:space="preserve">s the teacher’s </w:t>
      </w:r>
      <w:r w:rsidR="005E51B8">
        <w:rPr>
          <w:rFonts w:ascii="Arial" w:hAnsi="Arial" w:cs="Arial"/>
        </w:rPr>
        <w:t>call-and-response</w:t>
      </w:r>
      <w:r>
        <w:rPr>
          <w:rFonts w:ascii="Arial" w:hAnsi="Arial" w:cs="Arial"/>
        </w:rPr>
        <w:t>, the</w:t>
      </w:r>
      <w:r w:rsidR="00D36AA4">
        <w:rPr>
          <w:rFonts w:ascii="Arial" w:hAnsi="Arial" w:cs="Arial"/>
        </w:rPr>
        <w:t xml:space="preserve"> </w:t>
      </w:r>
      <w:r>
        <w:rPr>
          <w:rFonts w:ascii="Arial" w:hAnsi="Arial" w:cs="Arial"/>
        </w:rPr>
        <w:t xml:space="preserve">unconditioned stimulus </w:t>
      </w:r>
      <w:r w:rsidR="005E51B8">
        <w:rPr>
          <w:rFonts w:ascii="Arial" w:hAnsi="Arial" w:cs="Arial"/>
        </w:rPr>
        <w:t>was</w:t>
      </w:r>
      <w:r>
        <w:rPr>
          <w:rFonts w:ascii="Arial" w:hAnsi="Arial" w:cs="Arial"/>
        </w:rPr>
        <w:t xml:space="preserve"> the signal</w:t>
      </w:r>
      <w:r w:rsidR="00051DF5">
        <w:rPr>
          <w:rFonts w:ascii="Arial" w:hAnsi="Arial" w:cs="Arial"/>
        </w:rPr>
        <w:t xml:space="preserve"> to </w:t>
      </w:r>
      <w:r>
        <w:rPr>
          <w:rFonts w:ascii="Arial" w:hAnsi="Arial" w:cs="Arial"/>
        </w:rPr>
        <w:t xml:space="preserve">end the activity, and the conditioned response </w:t>
      </w:r>
      <w:r w:rsidR="005E51B8">
        <w:rPr>
          <w:rFonts w:ascii="Arial" w:hAnsi="Arial" w:cs="Arial"/>
        </w:rPr>
        <w:t>was</w:t>
      </w:r>
      <w:r>
        <w:rPr>
          <w:rFonts w:ascii="Arial" w:hAnsi="Arial" w:cs="Arial"/>
        </w:rPr>
        <w:t xml:space="preserve"> the students’ clapping, showing their engagement</w:t>
      </w:r>
      <w:r w:rsidR="005E51B8">
        <w:rPr>
          <w:rFonts w:ascii="Arial" w:hAnsi="Arial" w:cs="Arial"/>
        </w:rPr>
        <w:t xml:space="preserve">. </w:t>
      </w:r>
      <w:r w:rsidR="00936C14">
        <w:rPr>
          <w:rFonts w:ascii="Arial" w:hAnsi="Arial" w:cs="Arial"/>
        </w:rPr>
        <w:t>Child A’s immediate response s</w:t>
      </w:r>
      <w:r w:rsidR="00051DF5">
        <w:rPr>
          <w:rFonts w:ascii="Arial" w:hAnsi="Arial" w:cs="Arial"/>
        </w:rPr>
        <w:t>uggests</w:t>
      </w:r>
      <w:r w:rsidR="00936C14">
        <w:rPr>
          <w:rFonts w:ascii="Arial" w:hAnsi="Arial" w:cs="Arial"/>
        </w:rPr>
        <w:t xml:space="preserve"> a strong conditioning effect,</w:t>
      </w:r>
      <w:r w:rsidR="005E51B8">
        <w:rPr>
          <w:rFonts w:ascii="Arial" w:hAnsi="Arial" w:cs="Arial"/>
        </w:rPr>
        <w:t xml:space="preserve"> indicating that this association had been built by the teacher</w:t>
      </w:r>
      <w:r w:rsidR="00051DF5">
        <w:rPr>
          <w:rFonts w:ascii="Arial" w:hAnsi="Arial" w:cs="Arial"/>
        </w:rPr>
        <w:t xml:space="preserve">. Child </w:t>
      </w:r>
      <w:r w:rsidR="00936C14">
        <w:rPr>
          <w:rFonts w:ascii="Arial" w:hAnsi="Arial" w:cs="Arial"/>
        </w:rPr>
        <w:t xml:space="preserve">B’s </w:t>
      </w:r>
      <w:r w:rsidR="005E51B8">
        <w:rPr>
          <w:rFonts w:ascii="Arial" w:hAnsi="Arial" w:cs="Arial"/>
        </w:rPr>
        <w:t>lack of response</w:t>
      </w:r>
      <w:r w:rsidR="00051DF5">
        <w:rPr>
          <w:rFonts w:ascii="Arial" w:hAnsi="Arial" w:cs="Arial"/>
        </w:rPr>
        <w:t xml:space="preserve"> though</w:t>
      </w:r>
      <w:r w:rsidR="005E51B8">
        <w:rPr>
          <w:rFonts w:ascii="Arial" w:hAnsi="Arial" w:cs="Arial"/>
        </w:rPr>
        <w:t xml:space="preserve"> showed inconsistencies in this association</w:t>
      </w:r>
      <w:r w:rsidR="00051DF5">
        <w:rPr>
          <w:rFonts w:ascii="Arial" w:hAnsi="Arial" w:cs="Arial"/>
        </w:rPr>
        <w:t>.</w:t>
      </w:r>
    </w:p>
    <w:p w14:paraId="3034EFA3" w14:textId="22EEFABF" w:rsidR="00914308" w:rsidRDefault="00D36AA4" w:rsidP="00B24E5B">
      <w:pPr>
        <w:spacing w:line="480" w:lineRule="auto"/>
        <w:ind w:firstLine="720"/>
        <w:rPr>
          <w:rFonts w:ascii="Arial" w:hAnsi="Arial" w:cs="Arial"/>
        </w:rPr>
      </w:pPr>
      <w:r>
        <w:rPr>
          <w:rFonts w:ascii="Arial" w:hAnsi="Arial" w:cs="Arial"/>
        </w:rPr>
        <w:t>The use of attention grabbers can be effective, however the</w:t>
      </w:r>
      <w:r w:rsidR="00936C14">
        <w:rPr>
          <w:rFonts w:ascii="Arial" w:hAnsi="Arial" w:cs="Arial"/>
        </w:rPr>
        <w:t xml:space="preserve"> context and organisation </w:t>
      </w:r>
      <w:r>
        <w:rPr>
          <w:rFonts w:ascii="Arial" w:hAnsi="Arial" w:cs="Arial"/>
        </w:rPr>
        <w:t xml:space="preserve">of </w:t>
      </w:r>
      <w:r w:rsidR="00936C14">
        <w:rPr>
          <w:rFonts w:ascii="Arial" w:hAnsi="Arial" w:cs="Arial"/>
        </w:rPr>
        <w:t>classroom</w:t>
      </w:r>
      <w:r w:rsidR="005E51B8">
        <w:rPr>
          <w:rFonts w:ascii="Arial" w:hAnsi="Arial" w:cs="Arial"/>
        </w:rPr>
        <w:t>s</w:t>
      </w:r>
      <w:r w:rsidR="00051DF5">
        <w:rPr>
          <w:rFonts w:ascii="Arial" w:hAnsi="Arial" w:cs="Arial"/>
        </w:rPr>
        <w:t xml:space="preserve"> in which they are used,</w:t>
      </w:r>
      <w:r w:rsidR="00936C14">
        <w:rPr>
          <w:rFonts w:ascii="Arial" w:hAnsi="Arial" w:cs="Arial"/>
        </w:rPr>
        <w:t xml:space="preserve"> are</w:t>
      </w:r>
      <w:r>
        <w:rPr>
          <w:rFonts w:ascii="Arial" w:hAnsi="Arial" w:cs="Arial"/>
        </w:rPr>
        <w:t xml:space="preserve"> also</w:t>
      </w:r>
      <w:r w:rsidR="00936C14">
        <w:rPr>
          <w:rFonts w:ascii="Arial" w:hAnsi="Arial" w:cs="Arial"/>
        </w:rPr>
        <w:t xml:space="preserve"> influential in the</w:t>
      </w:r>
      <w:r w:rsidR="00051DF5">
        <w:rPr>
          <w:rFonts w:ascii="Arial" w:hAnsi="Arial" w:cs="Arial"/>
        </w:rPr>
        <w:t xml:space="preserve">ir </w:t>
      </w:r>
      <w:r w:rsidR="00936C14">
        <w:rPr>
          <w:rFonts w:ascii="Arial" w:hAnsi="Arial" w:cs="Arial"/>
        </w:rPr>
        <w:t xml:space="preserve">effectiveness. </w:t>
      </w:r>
      <w:r w:rsidR="00051DF5">
        <w:rPr>
          <w:rFonts w:ascii="Arial" w:hAnsi="Arial" w:cs="Arial"/>
        </w:rPr>
        <w:t>This</w:t>
      </w:r>
      <w:r w:rsidR="00936C14">
        <w:rPr>
          <w:rFonts w:ascii="Arial" w:hAnsi="Arial" w:cs="Arial"/>
        </w:rPr>
        <w:t xml:space="preserve"> connect</w:t>
      </w:r>
      <w:r w:rsidR="00051DF5">
        <w:rPr>
          <w:rFonts w:ascii="Arial" w:hAnsi="Arial" w:cs="Arial"/>
        </w:rPr>
        <w:t>s</w:t>
      </w:r>
      <w:r w:rsidR="00936C14">
        <w:rPr>
          <w:rFonts w:ascii="Arial" w:hAnsi="Arial" w:cs="Arial"/>
        </w:rPr>
        <w:t xml:space="preserve"> to Bronfenbrenner’s Ecological Systems Theory</w:t>
      </w:r>
      <w:r w:rsidR="006E6A35">
        <w:rPr>
          <w:rFonts w:ascii="Arial" w:hAnsi="Arial" w:cs="Arial"/>
        </w:rPr>
        <w:t xml:space="preserve"> (Aubrey and Riley, 2016, p. 117)</w:t>
      </w:r>
      <w:r w:rsidR="00936C14">
        <w:rPr>
          <w:rFonts w:ascii="Arial" w:hAnsi="Arial" w:cs="Arial"/>
        </w:rPr>
        <w:t xml:space="preserve">. The microsystem in this instance </w:t>
      </w:r>
      <w:r w:rsidR="006E6A35">
        <w:rPr>
          <w:rFonts w:ascii="Arial" w:hAnsi="Arial" w:cs="Arial"/>
        </w:rPr>
        <w:t>can be seen as</w:t>
      </w:r>
      <w:r w:rsidR="005E51B8">
        <w:rPr>
          <w:rFonts w:ascii="Arial" w:hAnsi="Arial" w:cs="Arial"/>
        </w:rPr>
        <w:t xml:space="preserve"> the </w:t>
      </w:r>
      <w:r w:rsidR="00936C14">
        <w:rPr>
          <w:rFonts w:ascii="Arial" w:hAnsi="Arial" w:cs="Arial"/>
        </w:rPr>
        <w:t xml:space="preserve">teacher, </w:t>
      </w:r>
      <w:r w:rsidR="0099761E">
        <w:rPr>
          <w:rFonts w:ascii="Arial" w:hAnsi="Arial" w:cs="Arial"/>
        </w:rPr>
        <w:t>students,</w:t>
      </w:r>
      <w:r w:rsidR="00936C14">
        <w:rPr>
          <w:rFonts w:ascii="Arial" w:hAnsi="Arial" w:cs="Arial"/>
        </w:rPr>
        <w:t xml:space="preserve"> and TA within the classroom environment. The mesosystem </w:t>
      </w:r>
      <w:r w:rsidR="007D32BF">
        <w:rPr>
          <w:rFonts w:ascii="Arial" w:hAnsi="Arial" w:cs="Arial"/>
        </w:rPr>
        <w:t xml:space="preserve">represents </w:t>
      </w:r>
      <w:r w:rsidR="00936C14">
        <w:rPr>
          <w:rFonts w:ascii="Arial" w:hAnsi="Arial" w:cs="Arial"/>
        </w:rPr>
        <w:t>the interactions between those within the microsystem</w:t>
      </w:r>
      <w:r w:rsidR="00951867">
        <w:rPr>
          <w:rFonts w:ascii="Arial" w:hAnsi="Arial" w:cs="Arial"/>
        </w:rPr>
        <w:t xml:space="preserve">. </w:t>
      </w:r>
      <w:r>
        <w:rPr>
          <w:rFonts w:ascii="Arial" w:hAnsi="Arial" w:cs="Arial"/>
        </w:rPr>
        <w:t>Though children are affected by many systems in Bronfenbrenner’s theory, this incident</w:t>
      </w:r>
      <w:r w:rsidR="00047A38">
        <w:rPr>
          <w:rFonts w:ascii="Arial" w:hAnsi="Arial" w:cs="Arial"/>
        </w:rPr>
        <w:t xml:space="preserve"> takes place within </w:t>
      </w:r>
      <w:r w:rsidR="00951867">
        <w:rPr>
          <w:rFonts w:ascii="Arial" w:hAnsi="Arial" w:cs="Arial"/>
        </w:rPr>
        <w:t>the micro- and mesosystems</w:t>
      </w:r>
      <w:r w:rsidR="00047A38">
        <w:rPr>
          <w:rFonts w:ascii="Arial" w:hAnsi="Arial" w:cs="Arial"/>
        </w:rPr>
        <w:t>.</w:t>
      </w:r>
      <w:r w:rsidR="00051DF5">
        <w:rPr>
          <w:rFonts w:ascii="Arial" w:hAnsi="Arial" w:cs="Arial"/>
        </w:rPr>
        <w:t xml:space="preserve"> F</w:t>
      </w:r>
      <w:r w:rsidR="00951867">
        <w:rPr>
          <w:rFonts w:ascii="Arial" w:hAnsi="Arial" w:cs="Arial"/>
        </w:rPr>
        <w:t>urther</w:t>
      </w:r>
      <w:r w:rsidR="0099761E">
        <w:rPr>
          <w:rFonts w:ascii="Arial" w:hAnsi="Arial" w:cs="Arial"/>
        </w:rPr>
        <w:t xml:space="preserve"> </w:t>
      </w:r>
      <w:r w:rsidR="00951867">
        <w:rPr>
          <w:rFonts w:ascii="Arial" w:hAnsi="Arial" w:cs="Arial"/>
        </w:rPr>
        <w:t>examination of the meso</w:t>
      </w:r>
      <w:r w:rsidR="00051DF5">
        <w:rPr>
          <w:rFonts w:ascii="Arial" w:hAnsi="Arial" w:cs="Arial"/>
        </w:rPr>
        <w:t>- and micro</w:t>
      </w:r>
      <w:r w:rsidR="00951867">
        <w:rPr>
          <w:rFonts w:ascii="Arial" w:hAnsi="Arial" w:cs="Arial"/>
        </w:rPr>
        <w:t xml:space="preserve">system </w:t>
      </w:r>
      <w:r w:rsidR="00051DF5">
        <w:rPr>
          <w:rFonts w:ascii="Arial" w:hAnsi="Arial" w:cs="Arial"/>
        </w:rPr>
        <w:t>here</w:t>
      </w:r>
      <w:r w:rsidR="00951867">
        <w:rPr>
          <w:rFonts w:ascii="Arial" w:hAnsi="Arial" w:cs="Arial"/>
        </w:rPr>
        <w:t xml:space="preserve"> could be used to understand Child B’s lack of initial response. </w:t>
      </w:r>
    </w:p>
    <w:p w14:paraId="3D7437AB" w14:textId="7A4753F9" w:rsidR="005E51B8" w:rsidRPr="00655901" w:rsidRDefault="00051DF5" w:rsidP="007D32BF">
      <w:pPr>
        <w:spacing w:line="480" w:lineRule="auto"/>
        <w:ind w:firstLine="720"/>
        <w:rPr>
          <w:rFonts w:ascii="Arial" w:hAnsi="Arial" w:cs="Arial"/>
          <w:color w:val="000000" w:themeColor="text1"/>
        </w:rPr>
      </w:pPr>
      <w:r>
        <w:rPr>
          <w:rFonts w:ascii="Arial" w:hAnsi="Arial" w:cs="Arial"/>
          <w:color w:val="000000" w:themeColor="text1"/>
        </w:rPr>
        <w:t>The</w:t>
      </w:r>
      <w:r w:rsidR="005E51B8" w:rsidRPr="00655901">
        <w:rPr>
          <w:rFonts w:ascii="Arial" w:hAnsi="Arial" w:cs="Arial"/>
          <w:color w:val="000000" w:themeColor="text1"/>
        </w:rPr>
        <w:t xml:space="preserve"> teacher verbally reinforced their </w:t>
      </w:r>
      <w:r w:rsidR="007D32BF" w:rsidRPr="00655901">
        <w:rPr>
          <w:rFonts w:ascii="Arial" w:hAnsi="Arial" w:cs="Arial"/>
          <w:color w:val="000000" w:themeColor="text1"/>
        </w:rPr>
        <w:t xml:space="preserve">expectations </w:t>
      </w:r>
      <w:r>
        <w:rPr>
          <w:rFonts w:ascii="Arial" w:hAnsi="Arial" w:cs="Arial"/>
          <w:color w:val="000000" w:themeColor="text1"/>
        </w:rPr>
        <w:t xml:space="preserve">in response to Child B </w:t>
      </w:r>
      <w:r w:rsidR="005E51B8" w:rsidRPr="00655901">
        <w:rPr>
          <w:rFonts w:ascii="Arial" w:hAnsi="Arial" w:cs="Arial"/>
          <w:color w:val="000000" w:themeColor="text1"/>
        </w:rPr>
        <w:t xml:space="preserve">by telling them their response was 45% of what </w:t>
      </w:r>
      <w:r w:rsidR="007D32BF" w:rsidRPr="00655901">
        <w:rPr>
          <w:rFonts w:ascii="Arial" w:hAnsi="Arial" w:cs="Arial"/>
          <w:color w:val="000000" w:themeColor="text1"/>
        </w:rPr>
        <w:t>was</w:t>
      </w:r>
      <w:r w:rsidR="005E51B8" w:rsidRPr="00655901">
        <w:rPr>
          <w:rFonts w:ascii="Arial" w:hAnsi="Arial" w:cs="Arial"/>
          <w:color w:val="000000" w:themeColor="text1"/>
        </w:rPr>
        <w:t xml:space="preserve"> expected. After this, the teacher used the attention grabber again and Child B engaged</w:t>
      </w:r>
      <w:r>
        <w:rPr>
          <w:rFonts w:ascii="Arial" w:hAnsi="Arial" w:cs="Arial"/>
          <w:color w:val="000000" w:themeColor="text1"/>
        </w:rPr>
        <w:t xml:space="preserve"> immediately.</w:t>
      </w:r>
    </w:p>
    <w:p w14:paraId="2DE8B7DE" w14:textId="6CCB0D26" w:rsidR="00951867" w:rsidRDefault="00951867" w:rsidP="00914308">
      <w:pPr>
        <w:spacing w:line="480" w:lineRule="auto"/>
        <w:rPr>
          <w:rFonts w:ascii="Arial" w:hAnsi="Arial" w:cs="Arial"/>
        </w:rPr>
      </w:pPr>
      <w:r>
        <w:rPr>
          <w:rFonts w:ascii="Arial" w:hAnsi="Arial" w:cs="Arial"/>
        </w:rPr>
        <w:tab/>
        <w:t>Shaping behaviour through reinforcement is a strong theme in Skinner’s Operant Conditioning</w:t>
      </w:r>
      <w:r w:rsidR="006E6A35">
        <w:rPr>
          <w:rFonts w:ascii="Arial" w:hAnsi="Arial" w:cs="Arial"/>
        </w:rPr>
        <w:t xml:space="preserve"> (Aubrey and Riley, 2016, p. 63)</w:t>
      </w:r>
      <w:r>
        <w:rPr>
          <w:rFonts w:ascii="Arial" w:hAnsi="Arial" w:cs="Arial"/>
        </w:rPr>
        <w:t xml:space="preserve">. </w:t>
      </w:r>
      <w:r w:rsidR="00401DD2">
        <w:rPr>
          <w:rFonts w:ascii="Arial" w:hAnsi="Arial" w:cs="Arial"/>
        </w:rPr>
        <w:t xml:space="preserve">After the attention grabber did not receive the </w:t>
      </w:r>
      <w:r w:rsidR="007D32BF">
        <w:rPr>
          <w:rFonts w:ascii="Arial" w:hAnsi="Arial" w:cs="Arial"/>
        </w:rPr>
        <w:t xml:space="preserve">expected </w:t>
      </w:r>
      <w:r w:rsidR="00401DD2">
        <w:rPr>
          <w:rFonts w:ascii="Arial" w:hAnsi="Arial" w:cs="Arial"/>
        </w:rPr>
        <w:t xml:space="preserve">engagement, the teacher employed negative </w:t>
      </w:r>
      <w:r w:rsidR="00401DD2">
        <w:rPr>
          <w:rFonts w:ascii="Arial" w:hAnsi="Arial" w:cs="Arial"/>
        </w:rPr>
        <w:lastRenderedPageBreak/>
        <w:t>reinforcement, highlighting to the class that their response was 45% of</w:t>
      </w:r>
      <w:r w:rsidR="007D32BF">
        <w:rPr>
          <w:rFonts w:ascii="Arial" w:hAnsi="Arial" w:cs="Arial"/>
        </w:rPr>
        <w:t xml:space="preserve"> what was</w:t>
      </w:r>
      <w:r w:rsidR="00401DD2">
        <w:rPr>
          <w:rFonts w:ascii="Arial" w:hAnsi="Arial" w:cs="Arial"/>
        </w:rPr>
        <w:t xml:space="preserve"> expected. After repeat</w:t>
      </w:r>
      <w:r w:rsidR="007D32BF">
        <w:rPr>
          <w:rFonts w:ascii="Arial" w:hAnsi="Arial" w:cs="Arial"/>
        </w:rPr>
        <w:t>ing</w:t>
      </w:r>
      <w:r w:rsidR="00401DD2">
        <w:rPr>
          <w:rFonts w:ascii="Arial" w:hAnsi="Arial" w:cs="Arial"/>
        </w:rPr>
        <w:t xml:space="preserve"> the attention grabber</w:t>
      </w:r>
      <w:r w:rsidR="007D32BF">
        <w:rPr>
          <w:rFonts w:ascii="Arial" w:hAnsi="Arial" w:cs="Arial"/>
        </w:rPr>
        <w:t>,</w:t>
      </w:r>
      <w:r w:rsidR="00401DD2">
        <w:rPr>
          <w:rFonts w:ascii="Arial" w:hAnsi="Arial" w:cs="Arial"/>
        </w:rPr>
        <w:t xml:space="preserve"> </w:t>
      </w:r>
      <w:r w:rsidR="007D32BF">
        <w:rPr>
          <w:rFonts w:ascii="Arial" w:hAnsi="Arial" w:cs="Arial"/>
        </w:rPr>
        <w:t>they</w:t>
      </w:r>
      <w:r w:rsidR="00401DD2">
        <w:rPr>
          <w:rFonts w:ascii="Arial" w:hAnsi="Arial" w:cs="Arial"/>
        </w:rPr>
        <w:t xml:space="preserve"> use</w:t>
      </w:r>
      <w:r w:rsidR="007D32BF">
        <w:rPr>
          <w:rFonts w:ascii="Arial" w:hAnsi="Arial" w:cs="Arial"/>
        </w:rPr>
        <w:t>d</w:t>
      </w:r>
      <w:r w:rsidR="00401DD2">
        <w:rPr>
          <w:rFonts w:ascii="Arial" w:hAnsi="Arial" w:cs="Arial"/>
        </w:rPr>
        <w:t xml:space="preserve"> positive reinforcement</w:t>
      </w:r>
      <w:r w:rsidR="00051DF5">
        <w:rPr>
          <w:rFonts w:ascii="Arial" w:hAnsi="Arial" w:cs="Arial"/>
        </w:rPr>
        <w:t xml:space="preserve">. </w:t>
      </w:r>
      <w:r w:rsidR="007D32BF">
        <w:rPr>
          <w:rFonts w:ascii="Arial" w:hAnsi="Arial" w:cs="Arial"/>
        </w:rPr>
        <w:t>The success of this can be seen in Child B’s response to the reinforcement.</w:t>
      </w:r>
      <w:r w:rsidR="00051DF5">
        <w:rPr>
          <w:rFonts w:ascii="Arial" w:hAnsi="Arial" w:cs="Arial"/>
        </w:rPr>
        <w:t xml:space="preserve"> Moreover</w:t>
      </w:r>
      <w:r w:rsidR="00401DD2">
        <w:rPr>
          <w:rFonts w:ascii="Arial" w:hAnsi="Arial" w:cs="Arial"/>
        </w:rPr>
        <w:t>, the teacher</w:t>
      </w:r>
      <w:r w:rsidR="007D32BF">
        <w:rPr>
          <w:rFonts w:ascii="Arial" w:hAnsi="Arial" w:cs="Arial"/>
        </w:rPr>
        <w:t xml:space="preserve"> used </w:t>
      </w:r>
      <w:r w:rsidR="00401DD2">
        <w:rPr>
          <w:rFonts w:ascii="Arial" w:hAnsi="Arial" w:cs="Arial"/>
        </w:rPr>
        <w:t>meaningful feedback here to convey expectations clearly</w:t>
      </w:r>
      <w:r w:rsidR="007D32BF">
        <w:rPr>
          <w:rFonts w:ascii="Arial" w:hAnsi="Arial" w:cs="Arial"/>
        </w:rPr>
        <w:t>, a</w:t>
      </w:r>
      <w:r w:rsidR="00401DD2">
        <w:rPr>
          <w:rFonts w:ascii="Arial" w:hAnsi="Arial" w:cs="Arial"/>
        </w:rPr>
        <w:t xml:space="preserve"> decision </w:t>
      </w:r>
      <w:r w:rsidR="007D32BF">
        <w:rPr>
          <w:rFonts w:ascii="Arial" w:hAnsi="Arial" w:cs="Arial"/>
        </w:rPr>
        <w:t xml:space="preserve">which </w:t>
      </w:r>
      <w:r w:rsidR="00401DD2">
        <w:rPr>
          <w:rFonts w:ascii="Arial" w:hAnsi="Arial" w:cs="Arial"/>
        </w:rPr>
        <w:t xml:space="preserve">could have been influenced by the </w:t>
      </w:r>
      <w:r w:rsidR="007D32BF">
        <w:rPr>
          <w:rFonts w:ascii="Arial" w:hAnsi="Arial" w:cs="Arial"/>
        </w:rPr>
        <w:t xml:space="preserve">points for improvements in the school’s </w:t>
      </w:r>
      <w:r w:rsidR="00401DD2">
        <w:rPr>
          <w:rFonts w:ascii="Arial" w:hAnsi="Arial" w:cs="Arial"/>
        </w:rPr>
        <w:t>recent Estyn report and</w:t>
      </w:r>
      <w:r w:rsidR="00051DF5">
        <w:rPr>
          <w:rFonts w:ascii="Arial" w:hAnsi="Arial" w:cs="Arial"/>
        </w:rPr>
        <w:t xml:space="preserve"> alludes to</w:t>
      </w:r>
      <w:r w:rsidR="00401DD2">
        <w:rPr>
          <w:rFonts w:ascii="Arial" w:hAnsi="Arial" w:cs="Arial"/>
        </w:rPr>
        <w:t xml:space="preserve"> reflective practice among teaching staff</w:t>
      </w:r>
      <w:r w:rsidR="00655901">
        <w:rPr>
          <w:rFonts w:ascii="Arial" w:hAnsi="Arial" w:cs="Arial"/>
        </w:rPr>
        <w:t xml:space="preserve"> (Estyn, 2023)</w:t>
      </w:r>
      <w:r w:rsidR="00401DD2">
        <w:rPr>
          <w:rFonts w:ascii="Arial" w:hAnsi="Arial" w:cs="Arial"/>
        </w:rPr>
        <w:t>.</w:t>
      </w:r>
    </w:p>
    <w:p w14:paraId="02179833" w14:textId="540CB421" w:rsidR="00401DD2" w:rsidRDefault="00401DD2" w:rsidP="00914308">
      <w:pPr>
        <w:spacing w:line="480" w:lineRule="auto"/>
        <w:rPr>
          <w:rFonts w:ascii="Arial" w:hAnsi="Arial" w:cs="Arial"/>
        </w:rPr>
      </w:pPr>
      <w:r>
        <w:rPr>
          <w:rFonts w:ascii="Arial" w:hAnsi="Arial" w:cs="Arial"/>
        </w:rPr>
        <w:tab/>
        <w:t xml:space="preserve">The teacher </w:t>
      </w:r>
      <w:r w:rsidR="007D32BF">
        <w:rPr>
          <w:rFonts w:ascii="Arial" w:hAnsi="Arial" w:cs="Arial"/>
        </w:rPr>
        <w:t xml:space="preserve">used </w:t>
      </w:r>
      <w:r>
        <w:rPr>
          <w:rFonts w:ascii="Arial" w:hAnsi="Arial" w:cs="Arial"/>
        </w:rPr>
        <w:t>feedback to promote self-regulation, encouraging student</w:t>
      </w:r>
      <w:r w:rsidR="00051DF5">
        <w:rPr>
          <w:rFonts w:ascii="Arial" w:hAnsi="Arial" w:cs="Arial"/>
        </w:rPr>
        <w:t xml:space="preserve"> reflection</w:t>
      </w:r>
      <w:r>
        <w:rPr>
          <w:rFonts w:ascii="Arial" w:hAnsi="Arial" w:cs="Arial"/>
        </w:rPr>
        <w:t xml:space="preserve">. </w:t>
      </w:r>
      <w:r w:rsidR="00051DF5">
        <w:rPr>
          <w:rFonts w:ascii="Arial" w:hAnsi="Arial" w:cs="Arial"/>
        </w:rPr>
        <w:t>Child A and B’s initial responses prompted the teacher to deliver</w:t>
      </w:r>
      <w:r w:rsidR="009A430B">
        <w:rPr>
          <w:rFonts w:ascii="Arial" w:hAnsi="Arial" w:cs="Arial"/>
        </w:rPr>
        <w:t xml:space="preserve"> feedback to the class, who then process</w:t>
      </w:r>
      <w:r w:rsidR="007D32BF">
        <w:rPr>
          <w:rFonts w:ascii="Arial" w:hAnsi="Arial" w:cs="Arial"/>
        </w:rPr>
        <w:t>ed</w:t>
      </w:r>
      <w:r w:rsidR="009A430B">
        <w:rPr>
          <w:rFonts w:ascii="Arial" w:hAnsi="Arial" w:cs="Arial"/>
        </w:rPr>
        <w:t xml:space="preserve"> the feedback</w:t>
      </w:r>
      <w:r w:rsidR="007D32BF">
        <w:rPr>
          <w:rFonts w:ascii="Arial" w:hAnsi="Arial" w:cs="Arial"/>
        </w:rPr>
        <w:t xml:space="preserve"> and</w:t>
      </w:r>
      <w:r w:rsidR="009A430B">
        <w:rPr>
          <w:rFonts w:ascii="Arial" w:hAnsi="Arial" w:cs="Arial"/>
        </w:rPr>
        <w:t xml:space="preserve"> reflect</w:t>
      </w:r>
      <w:r w:rsidR="007D32BF">
        <w:rPr>
          <w:rFonts w:ascii="Arial" w:hAnsi="Arial" w:cs="Arial"/>
        </w:rPr>
        <w:t>ed.</w:t>
      </w:r>
      <w:r w:rsidR="00655901">
        <w:rPr>
          <w:rFonts w:ascii="Arial" w:hAnsi="Arial" w:cs="Arial"/>
        </w:rPr>
        <w:t xml:space="preserve"> </w:t>
      </w:r>
      <w:r w:rsidR="00051DF5">
        <w:rPr>
          <w:rFonts w:ascii="Arial" w:hAnsi="Arial" w:cs="Arial"/>
        </w:rPr>
        <w:t>The n</w:t>
      </w:r>
      <w:r w:rsidR="009A430B">
        <w:rPr>
          <w:rFonts w:ascii="Arial" w:hAnsi="Arial" w:cs="Arial"/>
        </w:rPr>
        <w:t>ext time</w:t>
      </w:r>
      <w:r w:rsidR="00051DF5">
        <w:rPr>
          <w:rFonts w:ascii="Arial" w:hAnsi="Arial" w:cs="Arial"/>
        </w:rPr>
        <w:t xml:space="preserve"> </w:t>
      </w:r>
      <w:r w:rsidR="009A430B">
        <w:rPr>
          <w:rFonts w:ascii="Arial" w:hAnsi="Arial" w:cs="Arial"/>
        </w:rPr>
        <w:t xml:space="preserve">the teacher </w:t>
      </w:r>
      <w:r w:rsidR="007D32BF">
        <w:rPr>
          <w:rFonts w:ascii="Arial" w:hAnsi="Arial" w:cs="Arial"/>
        </w:rPr>
        <w:t>used the</w:t>
      </w:r>
      <w:r w:rsidR="009A430B">
        <w:rPr>
          <w:rFonts w:ascii="Arial" w:hAnsi="Arial" w:cs="Arial"/>
        </w:rPr>
        <w:t xml:space="preserve"> attention grabber, Child A and B immediately respond</w:t>
      </w:r>
      <w:r w:rsidR="007D32BF">
        <w:rPr>
          <w:rFonts w:ascii="Arial" w:hAnsi="Arial" w:cs="Arial"/>
        </w:rPr>
        <w:t>ed</w:t>
      </w:r>
      <w:r w:rsidR="009A430B">
        <w:rPr>
          <w:rFonts w:ascii="Arial" w:hAnsi="Arial" w:cs="Arial"/>
        </w:rPr>
        <w:t xml:space="preserve"> and receive</w:t>
      </w:r>
      <w:r w:rsidR="007D32BF">
        <w:rPr>
          <w:rFonts w:ascii="Arial" w:hAnsi="Arial" w:cs="Arial"/>
        </w:rPr>
        <w:t>d</w:t>
      </w:r>
      <w:r w:rsidR="009A430B">
        <w:rPr>
          <w:rFonts w:ascii="Arial" w:hAnsi="Arial" w:cs="Arial"/>
        </w:rPr>
        <w:t xml:space="preserve"> praise, reinforcing the self-regulation. Development of self-regulation via external cues </w:t>
      </w:r>
      <w:r w:rsidR="007D32BF">
        <w:rPr>
          <w:rFonts w:ascii="Arial" w:hAnsi="Arial" w:cs="Arial"/>
        </w:rPr>
        <w:t>can</w:t>
      </w:r>
      <w:r w:rsidR="009A430B">
        <w:rPr>
          <w:rFonts w:ascii="Arial" w:hAnsi="Arial" w:cs="Arial"/>
        </w:rPr>
        <w:t xml:space="preserve"> improve internal processes for children and encourage them to self-regulate in new situations. </w:t>
      </w:r>
    </w:p>
    <w:p w14:paraId="7B9107C5" w14:textId="457BDD17" w:rsidR="009A430B" w:rsidRDefault="009A430B" w:rsidP="00914308">
      <w:pPr>
        <w:spacing w:line="480" w:lineRule="auto"/>
        <w:rPr>
          <w:rFonts w:ascii="Arial" w:hAnsi="Arial" w:cs="Arial"/>
        </w:rPr>
      </w:pPr>
      <w:r>
        <w:rPr>
          <w:rFonts w:ascii="Arial" w:hAnsi="Arial" w:cs="Arial"/>
        </w:rPr>
        <w:tab/>
        <w:t>Attribution Theory claims that people make attributions and explanations for the behaviour of themselves and others</w:t>
      </w:r>
      <w:r w:rsidR="006E6A35">
        <w:rPr>
          <w:rFonts w:ascii="Arial" w:hAnsi="Arial" w:cs="Arial"/>
        </w:rPr>
        <w:t xml:space="preserve"> (</w:t>
      </w:r>
      <w:proofErr w:type="spellStart"/>
      <w:r w:rsidR="006E6A35">
        <w:rPr>
          <w:rFonts w:ascii="Arial" w:hAnsi="Arial" w:cs="Arial"/>
        </w:rPr>
        <w:t>Yough</w:t>
      </w:r>
      <w:proofErr w:type="spellEnd"/>
      <w:r w:rsidR="006E6A35">
        <w:rPr>
          <w:rFonts w:ascii="Arial" w:hAnsi="Arial" w:cs="Arial"/>
        </w:rPr>
        <w:t xml:space="preserve"> and Cho, 2014</w:t>
      </w:r>
      <w:r w:rsidR="008D7F87">
        <w:rPr>
          <w:rFonts w:ascii="Arial" w:hAnsi="Arial" w:cs="Arial"/>
        </w:rPr>
        <w:t>. p. 73</w:t>
      </w:r>
      <w:r w:rsidR="006E6A35">
        <w:rPr>
          <w:rFonts w:ascii="Arial" w:hAnsi="Arial" w:cs="Arial"/>
        </w:rPr>
        <w:t>)</w:t>
      </w:r>
      <w:r>
        <w:rPr>
          <w:rFonts w:ascii="Arial" w:hAnsi="Arial" w:cs="Arial"/>
        </w:rPr>
        <w:t xml:space="preserve">. </w:t>
      </w:r>
      <w:r w:rsidR="00047A38">
        <w:rPr>
          <w:rFonts w:ascii="Arial" w:hAnsi="Arial" w:cs="Arial"/>
        </w:rPr>
        <w:t xml:space="preserve">Here, a correlation can be identified between </w:t>
      </w:r>
      <w:r>
        <w:rPr>
          <w:rFonts w:ascii="Arial" w:hAnsi="Arial" w:cs="Arial"/>
        </w:rPr>
        <w:t>the teacher</w:t>
      </w:r>
      <w:r w:rsidR="00760D6F">
        <w:rPr>
          <w:rFonts w:ascii="Arial" w:hAnsi="Arial" w:cs="Arial"/>
        </w:rPr>
        <w:t xml:space="preserve">’s </w:t>
      </w:r>
      <w:r>
        <w:rPr>
          <w:rFonts w:ascii="Arial" w:hAnsi="Arial" w:cs="Arial"/>
        </w:rPr>
        <w:t xml:space="preserve">reinforcement </w:t>
      </w:r>
      <w:r w:rsidR="00047A38">
        <w:rPr>
          <w:rFonts w:ascii="Arial" w:hAnsi="Arial" w:cs="Arial"/>
        </w:rPr>
        <w:t>and the higher levels of engagement among the students</w:t>
      </w:r>
      <w:r w:rsidR="008D7F87">
        <w:rPr>
          <w:rFonts w:ascii="Arial" w:hAnsi="Arial" w:cs="Arial"/>
        </w:rPr>
        <w:t xml:space="preserve">. This suggests </w:t>
      </w:r>
      <w:r w:rsidR="00047A38">
        <w:rPr>
          <w:rFonts w:ascii="Arial" w:hAnsi="Arial" w:cs="Arial"/>
        </w:rPr>
        <w:t xml:space="preserve">that </w:t>
      </w:r>
      <w:r w:rsidR="00760D6F">
        <w:rPr>
          <w:rFonts w:ascii="Arial" w:hAnsi="Arial" w:cs="Arial"/>
        </w:rPr>
        <w:t>the students’ engagement can be attributed to the teacher’s reinforcement</w:t>
      </w:r>
      <w:r w:rsidR="00051DF5">
        <w:rPr>
          <w:rFonts w:ascii="Arial" w:hAnsi="Arial" w:cs="Arial"/>
        </w:rPr>
        <w:t>. Repetition of this scenario</w:t>
      </w:r>
      <w:r w:rsidR="00047A38">
        <w:rPr>
          <w:rFonts w:ascii="Arial" w:hAnsi="Arial" w:cs="Arial"/>
        </w:rPr>
        <w:t xml:space="preserve"> would be necessary to validate this correlation</w:t>
      </w:r>
      <w:r w:rsidR="00760D6F">
        <w:rPr>
          <w:rFonts w:ascii="Arial" w:hAnsi="Arial" w:cs="Arial"/>
        </w:rPr>
        <w:t xml:space="preserve">. </w:t>
      </w:r>
      <w:r w:rsidR="00523182">
        <w:rPr>
          <w:rFonts w:ascii="Arial" w:hAnsi="Arial" w:cs="Arial"/>
        </w:rPr>
        <w:t>The students</w:t>
      </w:r>
      <w:r w:rsidR="00760D6F">
        <w:rPr>
          <w:rFonts w:ascii="Arial" w:hAnsi="Arial" w:cs="Arial"/>
        </w:rPr>
        <w:t xml:space="preserve"> </w:t>
      </w:r>
      <w:r w:rsidR="00523182">
        <w:rPr>
          <w:rFonts w:ascii="Arial" w:hAnsi="Arial" w:cs="Arial"/>
        </w:rPr>
        <w:t>likely attribute</w:t>
      </w:r>
      <w:r w:rsidR="00760D6F">
        <w:rPr>
          <w:rFonts w:ascii="Arial" w:hAnsi="Arial" w:cs="Arial"/>
        </w:rPr>
        <w:t>d</w:t>
      </w:r>
      <w:r w:rsidR="00523182">
        <w:rPr>
          <w:rFonts w:ascii="Arial" w:hAnsi="Arial" w:cs="Arial"/>
        </w:rPr>
        <w:t xml:space="preserve"> a lower level of effort from them to the teacher’s </w:t>
      </w:r>
      <w:r w:rsidR="00760D6F">
        <w:rPr>
          <w:rFonts w:ascii="Arial" w:hAnsi="Arial" w:cs="Arial"/>
        </w:rPr>
        <w:t>response</w:t>
      </w:r>
      <w:r w:rsidR="00523182">
        <w:rPr>
          <w:rFonts w:ascii="Arial" w:hAnsi="Arial" w:cs="Arial"/>
        </w:rPr>
        <w:t xml:space="preserve">. </w:t>
      </w:r>
      <w:proofErr w:type="spellStart"/>
      <w:r w:rsidR="008D7F87">
        <w:rPr>
          <w:rFonts w:ascii="Arial" w:hAnsi="Arial" w:cs="Arial"/>
        </w:rPr>
        <w:t>Yough</w:t>
      </w:r>
      <w:proofErr w:type="spellEnd"/>
      <w:r w:rsidR="008D7F87">
        <w:rPr>
          <w:rFonts w:ascii="Arial" w:hAnsi="Arial" w:cs="Arial"/>
        </w:rPr>
        <w:t xml:space="preserve"> and Cho (2014, p. 73) claim that when students attribute their behaviour to internal, controllable factors</w:t>
      </w:r>
      <w:r w:rsidR="00051DF5">
        <w:rPr>
          <w:rFonts w:ascii="Arial" w:hAnsi="Arial" w:cs="Arial"/>
        </w:rPr>
        <w:t>,</w:t>
      </w:r>
      <w:r w:rsidR="008D7F87">
        <w:rPr>
          <w:rFonts w:ascii="Arial" w:hAnsi="Arial" w:cs="Arial"/>
        </w:rPr>
        <w:t xml:space="preserve"> such as their effort, they are more likely to engage and motivate themselves. </w:t>
      </w:r>
    </w:p>
    <w:p w14:paraId="01A19BA5" w14:textId="6CC73F67" w:rsidR="005E51B8" w:rsidRPr="00655901" w:rsidRDefault="00760D6F" w:rsidP="005E51B8">
      <w:pPr>
        <w:spacing w:line="480" w:lineRule="auto"/>
        <w:ind w:firstLine="720"/>
        <w:rPr>
          <w:rFonts w:ascii="Arial" w:hAnsi="Arial" w:cs="Arial"/>
          <w:color w:val="000000" w:themeColor="text1"/>
        </w:rPr>
      </w:pPr>
      <w:r w:rsidRPr="00655901">
        <w:rPr>
          <w:rFonts w:ascii="Arial" w:hAnsi="Arial" w:cs="Arial"/>
          <w:color w:val="000000" w:themeColor="text1"/>
        </w:rPr>
        <w:lastRenderedPageBreak/>
        <w:t xml:space="preserve">After Child B’s response, </w:t>
      </w:r>
      <w:r w:rsidR="005E51B8" w:rsidRPr="00655901">
        <w:rPr>
          <w:rFonts w:ascii="Arial" w:hAnsi="Arial" w:cs="Arial"/>
          <w:color w:val="000000" w:themeColor="text1"/>
        </w:rPr>
        <w:t>the teacher congratulated the students and told the</w:t>
      </w:r>
      <w:r w:rsidRPr="00655901">
        <w:rPr>
          <w:rFonts w:ascii="Arial" w:hAnsi="Arial" w:cs="Arial"/>
          <w:color w:val="000000" w:themeColor="text1"/>
        </w:rPr>
        <w:t xml:space="preserve">m </w:t>
      </w:r>
      <w:r w:rsidR="005E51B8" w:rsidRPr="00655901">
        <w:rPr>
          <w:rFonts w:ascii="Arial" w:hAnsi="Arial" w:cs="Arial"/>
          <w:color w:val="000000" w:themeColor="text1"/>
        </w:rPr>
        <w:t>that at the beginning of the year, the</w:t>
      </w:r>
      <w:r w:rsidRPr="00655901">
        <w:rPr>
          <w:rFonts w:ascii="Arial" w:hAnsi="Arial" w:cs="Arial"/>
          <w:color w:val="000000" w:themeColor="text1"/>
        </w:rPr>
        <w:t xml:space="preserve"> teacher would </w:t>
      </w:r>
      <w:r w:rsidR="005E51B8" w:rsidRPr="00655901">
        <w:rPr>
          <w:rFonts w:ascii="Arial" w:hAnsi="Arial" w:cs="Arial"/>
          <w:color w:val="000000" w:themeColor="text1"/>
        </w:rPr>
        <w:t>win</w:t>
      </w:r>
      <w:r w:rsidRPr="00655901">
        <w:rPr>
          <w:rFonts w:ascii="Arial" w:hAnsi="Arial" w:cs="Arial"/>
          <w:color w:val="000000" w:themeColor="text1"/>
        </w:rPr>
        <w:t xml:space="preserve">, </w:t>
      </w:r>
      <w:r w:rsidR="005E51B8" w:rsidRPr="00655901">
        <w:rPr>
          <w:rFonts w:ascii="Arial" w:hAnsi="Arial" w:cs="Arial"/>
          <w:color w:val="000000" w:themeColor="text1"/>
        </w:rPr>
        <w:t>but now the students</w:t>
      </w:r>
      <w:r w:rsidR="00051DF5">
        <w:rPr>
          <w:rFonts w:ascii="Arial" w:hAnsi="Arial" w:cs="Arial"/>
          <w:color w:val="000000" w:themeColor="text1"/>
        </w:rPr>
        <w:t>’ score</w:t>
      </w:r>
      <w:r w:rsidR="007F15CC">
        <w:rPr>
          <w:rFonts w:ascii="Arial" w:hAnsi="Arial" w:cs="Arial"/>
          <w:color w:val="000000" w:themeColor="text1"/>
        </w:rPr>
        <w:t xml:space="preserve"> </w:t>
      </w:r>
      <w:r w:rsidRPr="00655901">
        <w:rPr>
          <w:rFonts w:ascii="Arial" w:hAnsi="Arial" w:cs="Arial"/>
          <w:color w:val="000000" w:themeColor="text1"/>
        </w:rPr>
        <w:t>was 3-0</w:t>
      </w:r>
      <w:r w:rsidR="005E51B8" w:rsidRPr="00655901">
        <w:rPr>
          <w:rFonts w:ascii="Arial" w:hAnsi="Arial" w:cs="Arial"/>
          <w:color w:val="000000" w:themeColor="text1"/>
        </w:rPr>
        <w:t>.</w:t>
      </w:r>
    </w:p>
    <w:p w14:paraId="36CAB687" w14:textId="346EA44C" w:rsidR="00A87B2D" w:rsidRPr="00A87B2D" w:rsidRDefault="007F15CC" w:rsidP="00A87B2D">
      <w:pPr>
        <w:spacing w:line="480" w:lineRule="auto"/>
        <w:ind w:firstLine="720"/>
        <w:rPr>
          <w:rFonts w:ascii="Arial" w:hAnsi="Arial" w:cs="Arial"/>
        </w:rPr>
      </w:pPr>
      <w:r>
        <w:rPr>
          <w:rFonts w:ascii="Arial" w:hAnsi="Arial" w:cs="Arial"/>
        </w:rPr>
        <w:t>K</w:t>
      </w:r>
      <w:r w:rsidR="00523182">
        <w:rPr>
          <w:rFonts w:ascii="Arial" w:hAnsi="Arial" w:cs="Arial"/>
        </w:rPr>
        <w:t>ey elements of Bandura’s Social Learning Theory become relevant</w:t>
      </w:r>
      <w:r w:rsidR="00760D6F">
        <w:rPr>
          <w:rFonts w:ascii="Arial" w:hAnsi="Arial" w:cs="Arial"/>
        </w:rPr>
        <w:t xml:space="preserve"> here</w:t>
      </w:r>
      <w:r w:rsidR="00523182">
        <w:rPr>
          <w:rFonts w:ascii="Arial" w:hAnsi="Arial" w:cs="Arial"/>
        </w:rPr>
        <w:t>: observational learning and imitation</w:t>
      </w:r>
      <w:r w:rsidR="0099761E">
        <w:rPr>
          <w:rFonts w:ascii="Arial" w:hAnsi="Arial" w:cs="Arial"/>
        </w:rPr>
        <w:t xml:space="preserve"> </w:t>
      </w:r>
      <w:r w:rsidR="00763990">
        <w:rPr>
          <w:rFonts w:ascii="Arial" w:hAnsi="Arial" w:cs="Arial"/>
        </w:rPr>
        <w:t>(Berkeley, 2023)</w:t>
      </w:r>
      <w:r w:rsidR="00523182">
        <w:rPr>
          <w:rFonts w:ascii="Arial" w:hAnsi="Arial" w:cs="Arial"/>
        </w:rPr>
        <w:t xml:space="preserve">. Students learn through </w:t>
      </w:r>
      <w:r>
        <w:rPr>
          <w:rFonts w:ascii="Arial" w:hAnsi="Arial" w:cs="Arial"/>
        </w:rPr>
        <w:t>observation</w:t>
      </w:r>
      <w:r w:rsidR="00523182">
        <w:rPr>
          <w:rFonts w:ascii="Arial" w:hAnsi="Arial" w:cs="Arial"/>
        </w:rPr>
        <w:t xml:space="preserve"> that engagement is valued and rewarded, and they see positive consequences </w:t>
      </w:r>
      <w:r>
        <w:rPr>
          <w:rFonts w:ascii="Arial" w:hAnsi="Arial" w:cs="Arial"/>
        </w:rPr>
        <w:t>to</w:t>
      </w:r>
      <w:r w:rsidR="00523182">
        <w:rPr>
          <w:rFonts w:ascii="Arial" w:hAnsi="Arial" w:cs="Arial"/>
        </w:rPr>
        <w:t xml:space="preserve"> their engagement. </w:t>
      </w:r>
      <w:r w:rsidR="00F02681">
        <w:rPr>
          <w:rFonts w:ascii="Arial" w:hAnsi="Arial" w:cs="Arial"/>
        </w:rPr>
        <w:t xml:space="preserve">Students are then likely to imitate </w:t>
      </w:r>
      <w:r>
        <w:rPr>
          <w:rFonts w:ascii="Arial" w:hAnsi="Arial" w:cs="Arial"/>
        </w:rPr>
        <w:t>this</w:t>
      </w:r>
      <w:r w:rsidR="00F02681">
        <w:rPr>
          <w:rFonts w:ascii="Arial" w:hAnsi="Arial" w:cs="Arial"/>
        </w:rPr>
        <w:t xml:space="preserve"> behaviour, creating a cycle of improved engagement and praise</w:t>
      </w:r>
      <w:r w:rsidR="00047A38">
        <w:rPr>
          <w:rFonts w:ascii="Arial" w:hAnsi="Arial" w:cs="Arial"/>
        </w:rPr>
        <w:t>,</w:t>
      </w:r>
      <w:r>
        <w:rPr>
          <w:rFonts w:ascii="Arial" w:hAnsi="Arial" w:cs="Arial"/>
        </w:rPr>
        <w:t xml:space="preserve"> linking</w:t>
      </w:r>
      <w:r w:rsidR="00047A38">
        <w:rPr>
          <w:rFonts w:ascii="Arial" w:hAnsi="Arial" w:cs="Arial"/>
        </w:rPr>
        <w:t xml:space="preserve"> back to the conditioning</w:t>
      </w:r>
      <w:r>
        <w:rPr>
          <w:rFonts w:ascii="Arial" w:hAnsi="Arial" w:cs="Arial"/>
        </w:rPr>
        <w:t xml:space="preserve"> theories</w:t>
      </w:r>
      <w:r w:rsidR="00F02681">
        <w:rPr>
          <w:rFonts w:ascii="Arial" w:hAnsi="Arial" w:cs="Arial"/>
        </w:rPr>
        <w:t xml:space="preserve">. </w:t>
      </w:r>
      <w:r w:rsidR="00A231A4">
        <w:rPr>
          <w:rFonts w:ascii="Arial" w:hAnsi="Arial" w:cs="Arial"/>
        </w:rPr>
        <w:t xml:space="preserve">Despite links between his theories and behaviourism, </w:t>
      </w:r>
      <w:r>
        <w:rPr>
          <w:rFonts w:ascii="Arial" w:hAnsi="Arial" w:cs="Arial"/>
        </w:rPr>
        <w:t xml:space="preserve">Bandura </w:t>
      </w:r>
      <w:r w:rsidR="00A231A4">
        <w:rPr>
          <w:rFonts w:ascii="Arial" w:hAnsi="Arial" w:cs="Arial"/>
        </w:rPr>
        <w:t>resented being compared to behaviourists, viewing his theory as cognitive rather than behaviouralist (</w:t>
      </w:r>
      <w:proofErr w:type="spellStart"/>
      <w:r w:rsidR="00A231A4">
        <w:rPr>
          <w:rFonts w:ascii="Arial" w:hAnsi="Arial" w:cs="Arial"/>
        </w:rPr>
        <w:t>Nabavi</w:t>
      </w:r>
      <w:proofErr w:type="spellEnd"/>
      <w:r w:rsidR="00A231A4">
        <w:rPr>
          <w:rFonts w:ascii="Arial" w:hAnsi="Arial" w:cs="Arial"/>
        </w:rPr>
        <w:t xml:space="preserve">, 2012, p. 11). </w:t>
      </w:r>
    </w:p>
    <w:p w14:paraId="05BCFEAE" w14:textId="2535B397" w:rsidR="00A87B2D" w:rsidRDefault="00F02681" w:rsidP="00914308">
      <w:pPr>
        <w:spacing w:line="480" w:lineRule="auto"/>
        <w:rPr>
          <w:rFonts w:ascii="Arial" w:hAnsi="Arial" w:cs="Arial"/>
        </w:rPr>
      </w:pPr>
      <w:r>
        <w:rPr>
          <w:rFonts w:ascii="Arial" w:hAnsi="Arial" w:cs="Arial"/>
        </w:rPr>
        <w:tab/>
      </w:r>
      <w:r w:rsidR="00357C08">
        <w:rPr>
          <w:rFonts w:ascii="Arial" w:hAnsi="Arial" w:cs="Arial"/>
        </w:rPr>
        <w:t>The gamified language and praise used here met the students’ need for recognition and goal achievement</w:t>
      </w:r>
      <w:r w:rsidR="00047A38">
        <w:rPr>
          <w:rFonts w:ascii="Arial" w:hAnsi="Arial" w:cs="Arial"/>
        </w:rPr>
        <w:t xml:space="preserve"> as </w:t>
      </w:r>
      <w:r w:rsidR="007F15CC">
        <w:rPr>
          <w:rFonts w:ascii="Arial" w:hAnsi="Arial" w:cs="Arial"/>
        </w:rPr>
        <w:t>seen</w:t>
      </w:r>
      <w:r w:rsidR="00047A38">
        <w:rPr>
          <w:rFonts w:ascii="Arial" w:hAnsi="Arial" w:cs="Arial"/>
        </w:rPr>
        <w:t xml:space="preserve"> in Locke’s Motivational Model (see Fig</w:t>
      </w:r>
      <w:r w:rsidR="00A87B2D">
        <w:rPr>
          <w:rFonts w:ascii="Arial" w:hAnsi="Arial" w:cs="Arial"/>
        </w:rPr>
        <w:t>ure 1</w:t>
      </w:r>
      <w:r w:rsidR="00047A38">
        <w:rPr>
          <w:rFonts w:ascii="Arial" w:hAnsi="Arial" w:cs="Arial"/>
        </w:rPr>
        <w:t>)</w:t>
      </w:r>
      <w:r w:rsidR="00357C08">
        <w:rPr>
          <w:rFonts w:ascii="Arial" w:hAnsi="Arial" w:cs="Arial"/>
        </w:rPr>
        <w:t xml:space="preserve">. </w:t>
      </w:r>
    </w:p>
    <w:p w14:paraId="430F1EAE" w14:textId="428F075A" w:rsidR="00A87B2D" w:rsidRDefault="00A87B2D" w:rsidP="00914308">
      <w:pPr>
        <w:spacing w:line="480" w:lineRule="auto"/>
        <w:rPr>
          <w:rFonts w:ascii="Arial" w:hAnsi="Arial" w:cs="Arial"/>
        </w:rPr>
      </w:pPr>
      <w:r w:rsidRPr="00A87B2D">
        <w:rPr>
          <w:rFonts w:ascii="Arial" w:hAnsi="Arial" w:cs="Arial"/>
        </w:rPr>
        <w:drawing>
          <wp:inline distT="0" distB="0" distL="0" distR="0" wp14:anchorId="0419DF97" wp14:editId="04808ED4">
            <wp:extent cx="5727700" cy="762000"/>
            <wp:effectExtent l="12700" t="12700" r="12700" b="12700"/>
            <wp:docPr id="1288844484" name="Picture 1" descr="A black arrow pointing to a whit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844484" name="Picture 1" descr="A black arrow pointing to a white square&#10;&#10;Description automatically generated"/>
                    <pic:cNvPicPr/>
                  </pic:nvPicPr>
                  <pic:blipFill>
                    <a:blip r:embed="rId8"/>
                    <a:stretch>
                      <a:fillRect/>
                    </a:stretch>
                  </pic:blipFill>
                  <pic:spPr>
                    <a:xfrm>
                      <a:off x="0" y="0"/>
                      <a:ext cx="5727700" cy="762000"/>
                    </a:xfrm>
                    <a:prstGeom prst="rect">
                      <a:avLst/>
                    </a:prstGeom>
                    <a:ln>
                      <a:solidFill>
                        <a:schemeClr val="tx1"/>
                      </a:solidFill>
                    </a:ln>
                  </pic:spPr>
                </pic:pic>
              </a:graphicData>
            </a:graphic>
          </wp:inline>
        </w:drawing>
      </w:r>
    </w:p>
    <w:p w14:paraId="3F35EB30" w14:textId="5278A380" w:rsidR="00A87B2D" w:rsidRDefault="00A87B2D" w:rsidP="00A87B2D">
      <w:pPr>
        <w:pStyle w:val="Caption"/>
        <w:rPr>
          <w:rFonts w:ascii="Arial" w:hAnsi="Arial" w:cs="Arial"/>
          <w:color w:val="000000" w:themeColor="text1"/>
        </w:rPr>
      </w:pPr>
      <w:r w:rsidRPr="00A87B2D">
        <w:rPr>
          <w:rFonts w:ascii="Arial" w:hAnsi="Arial" w:cs="Arial"/>
          <w:color w:val="000000" w:themeColor="text1"/>
        </w:rPr>
        <w:t xml:space="preserve">Figure </w:t>
      </w:r>
      <w:r w:rsidRPr="00A87B2D">
        <w:rPr>
          <w:rFonts w:ascii="Arial" w:hAnsi="Arial" w:cs="Arial"/>
          <w:color w:val="000000" w:themeColor="text1"/>
        </w:rPr>
        <w:fldChar w:fldCharType="begin"/>
      </w:r>
      <w:r w:rsidRPr="00A87B2D">
        <w:rPr>
          <w:rFonts w:ascii="Arial" w:hAnsi="Arial" w:cs="Arial"/>
          <w:color w:val="000000" w:themeColor="text1"/>
        </w:rPr>
        <w:instrText xml:space="preserve"> SEQ Figure \* ARABIC </w:instrText>
      </w:r>
      <w:r w:rsidRPr="00A87B2D">
        <w:rPr>
          <w:rFonts w:ascii="Arial" w:hAnsi="Arial" w:cs="Arial"/>
          <w:color w:val="000000" w:themeColor="text1"/>
        </w:rPr>
        <w:fldChar w:fldCharType="separate"/>
      </w:r>
      <w:r w:rsidRPr="00A87B2D">
        <w:rPr>
          <w:rFonts w:ascii="Arial" w:hAnsi="Arial" w:cs="Arial"/>
          <w:noProof/>
          <w:color w:val="000000" w:themeColor="text1"/>
        </w:rPr>
        <w:t>1</w:t>
      </w:r>
      <w:r w:rsidRPr="00A87B2D">
        <w:rPr>
          <w:rFonts w:ascii="Arial" w:hAnsi="Arial" w:cs="Arial"/>
          <w:color w:val="000000" w:themeColor="text1"/>
        </w:rPr>
        <w:fldChar w:fldCharType="end"/>
      </w:r>
      <w:r w:rsidRPr="00A87B2D">
        <w:rPr>
          <w:rFonts w:ascii="Arial" w:hAnsi="Arial" w:cs="Arial"/>
          <w:color w:val="000000" w:themeColor="text1"/>
        </w:rPr>
        <w:t>: Locke's Motivational Model (Locke, 2023, p. 20)</w:t>
      </w:r>
    </w:p>
    <w:p w14:paraId="725CA045" w14:textId="77777777" w:rsidR="00A87B2D" w:rsidRDefault="00A87B2D" w:rsidP="00914308">
      <w:pPr>
        <w:spacing w:line="480" w:lineRule="auto"/>
        <w:rPr>
          <w:rFonts w:ascii="Arial" w:hAnsi="Arial" w:cs="Arial"/>
        </w:rPr>
      </w:pPr>
    </w:p>
    <w:p w14:paraId="6899BB60" w14:textId="524CFBB8" w:rsidR="00951867" w:rsidRDefault="00357C08" w:rsidP="00914308">
      <w:pPr>
        <w:spacing w:line="480" w:lineRule="auto"/>
        <w:rPr>
          <w:rFonts w:ascii="Arial" w:hAnsi="Arial" w:cs="Arial"/>
        </w:rPr>
      </w:pPr>
      <w:r>
        <w:rPr>
          <w:rFonts w:ascii="Arial" w:hAnsi="Arial" w:cs="Arial"/>
        </w:rPr>
        <w:t>Application of this model</w:t>
      </w:r>
      <w:r w:rsidR="007F15CC">
        <w:rPr>
          <w:rFonts w:ascii="Arial" w:hAnsi="Arial" w:cs="Arial"/>
        </w:rPr>
        <w:t xml:space="preserve"> alludes to </w:t>
      </w:r>
      <w:r>
        <w:rPr>
          <w:rFonts w:ascii="Arial" w:hAnsi="Arial" w:cs="Arial"/>
        </w:rPr>
        <w:t>the teacher’s recognition of goal achievement,</w:t>
      </w:r>
      <w:r w:rsidR="00E21BE4">
        <w:rPr>
          <w:rFonts w:ascii="Arial" w:hAnsi="Arial" w:cs="Arial"/>
        </w:rPr>
        <w:t xml:space="preserve"> </w:t>
      </w:r>
      <w:r>
        <w:rPr>
          <w:rFonts w:ascii="Arial" w:hAnsi="Arial" w:cs="Arial"/>
        </w:rPr>
        <w:t>reinforc</w:t>
      </w:r>
      <w:r w:rsidR="00E21BE4">
        <w:rPr>
          <w:rFonts w:ascii="Arial" w:hAnsi="Arial" w:cs="Arial"/>
        </w:rPr>
        <w:t>ing</w:t>
      </w:r>
      <w:r>
        <w:rPr>
          <w:rFonts w:ascii="Arial" w:hAnsi="Arial" w:cs="Arial"/>
        </w:rPr>
        <w:t xml:space="preserve"> the value placed on effort and achievement in the classroom. </w:t>
      </w:r>
    </w:p>
    <w:p w14:paraId="10D68DE8" w14:textId="044B4993" w:rsidR="00233A15" w:rsidRDefault="002E797A" w:rsidP="00233A15">
      <w:pPr>
        <w:spacing w:line="480" w:lineRule="auto"/>
        <w:rPr>
          <w:rFonts w:ascii="Arial" w:hAnsi="Arial" w:cs="Arial"/>
        </w:rPr>
      </w:pPr>
      <w:r>
        <w:rPr>
          <w:rFonts w:ascii="Arial" w:hAnsi="Arial" w:cs="Arial"/>
        </w:rPr>
        <w:tab/>
        <w:t>Th</w:t>
      </w:r>
      <w:r w:rsidR="00E21BE4">
        <w:rPr>
          <w:rFonts w:ascii="Arial" w:hAnsi="Arial" w:cs="Arial"/>
        </w:rPr>
        <w:t xml:space="preserve">is section also links to </w:t>
      </w:r>
      <w:r>
        <w:rPr>
          <w:rFonts w:ascii="Arial" w:hAnsi="Arial" w:cs="Arial"/>
        </w:rPr>
        <w:t xml:space="preserve">Self-Determination Theory (SDT). SDT </w:t>
      </w:r>
      <w:r w:rsidR="00E21BE4">
        <w:rPr>
          <w:rFonts w:ascii="Arial" w:hAnsi="Arial" w:cs="Arial"/>
        </w:rPr>
        <w:t>emphasises</w:t>
      </w:r>
      <w:r>
        <w:rPr>
          <w:rFonts w:ascii="Arial" w:hAnsi="Arial" w:cs="Arial"/>
        </w:rPr>
        <w:t xml:space="preserve"> autonomy and competence as crucial to motivation</w:t>
      </w:r>
      <w:r w:rsidR="00A87B2D">
        <w:rPr>
          <w:rFonts w:ascii="Arial" w:hAnsi="Arial" w:cs="Arial"/>
        </w:rPr>
        <w:t xml:space="preserve"> (Ryan and Deci, 2000, p. 68)</w:t>
      </w:r>
      <w:r>
        <w:rPr>
          <w:rFonts w:ascii="Arial" w:hAnsi="Arial" w:cs="Arial"/>
        </w:rPr>
        <w:t xml:space="preserve">. </w:t>
      </w:r>
      <w:r w:rsidR="00047A38">
        <w:rPr>
          <w:rFonts w:ascii="Arial" w:hAnsi="Arial" w:cs="Arial"/>
        </w:rPr>
        <w:t xml:space="preserve">As the teacher highlighted the desired behaviour, the students were presented with the opportunity to choose </w:t>
      </w:r>
      <w:r w:rsidR="007F15CC">
        <w:rPr>
          <w:rFonts w:ascii="Arial" w:hAnsi="Arial" w:cs="Arial"/>
        </w:rPr>
        <w:t xml:space="preserve">this </w:t>
      </w:r>
      <w:r w:rsidR="00047A38">
        <w:rPr>
          <w:rFonts w:ascii="Arial" w:hAnsi="Arial" w:cs="Arial"/>
        </w:rPr>
        <w:t xml:space="preserve">behaviour, </w:t>
      </w:r>
      <w:r w:rsidR="007F15CC">
        <w:rPr>
          <w:rFonts w:ascii="Arial" w:hAnsi="Arial" w:cs="Arial"/>
        </w:rPr>
        <w:t xml:space="preserve">representing an autonomous choice. This </w:t>
      </w:r>
      <w:r w:rsidR="00047A38">
        <w:rPr>
          <w:rFonts w:ascii="Arial" w:hAnsi="Arial" w:cs="Arial"/>
        </w:rPr>
        <w:t xml:space="preserve">could </w:t>
      </w:r>
      <w:r w:rsidR="007F15CC">
        <w:rPr>
          <w:rFonts w:ascii="Arial" w:hAnsi="Arial" w:cs="Arial"/>
        </w:rPr>
        <w:t>however</w:t>
      </w:r>
      <w:r w:rsidR="00047A38">
        <w:rPr>
          <w:rFonts w:ascii="Arial" w:hAnsi="Arial" w:cs="Arial"/>
        </w:rPr>
        <w:t xml:space="preserve"> be interpreted as </w:t>
      </w:r>
      <w:r w:rsidR="007F15CC">
        <w:rPr>
          <w:rFonts w:ascii="Arial" w:hAnsi="Arial" w:cs="Arial"/>
        </w:rPr>
        <w:t>conditioning</w:t>
      </w:r>
      <w:r w:rsidR="00047A38">
        <w:rPr>
          <w:rFonts w:ascii="Arial" w:hAnsi="Arial" w:cs="Arial"/>
        </w:rPr>
        <w:t xml:space="preserve">, as rewards are given when students follow </w:t>
      </w:r>
      <w:r w:rsidR="00047A38">
        <w:rPr>
          <w:rFonts w:ascii="Arial" w:hAnsi="Arial" w:cs="Arial"/>
        </w:rPr>
        <w:lastRenderedPageBreak/>
        <w:t>desired behaviour</w:t>
      </w:r>
      <w:r w:rsidR="007F15CC">
        <w:rPr>
          <w:rFonts w:ascii="Arial" w:hAnsi="Arial" w:cs="Arial"/>
        </w:rPr>
        <w:t>s</w:t>
      </w:r>
      <w:r w:rsidR="00047A38">
        <w:rPr>
          <w:rFonts w:ascii="Arial" w:hAnsi="Arial" w:cs="Arial"/>
        </w:rPr>
        <w:t xml:space="preserve">. </w:t>
      </w:r>
      <w:r w:rsidR="00E21BE4">
        <w:rPr>
          <w:rFonts w:ascii="Arial" w:hAnsi="Arial" w:cs="Arial"/>
        </w:rPr>
        <w:t>Competence was addressed through</w:t>
      </w:r>
      <w:r w:rsidR="00997668">
        <w:rPr>
          <w:rFonts w:ascii="Arial" w:hAnsi="Arial" w:cs="Arial"/>
        </w:rPr>
        <w:t xml:space="preserve"> </w:t>
      </w:r>
      <w:r w:rsidR="00E21BE4">
        <w:rPr>
          <w:rFonts w:ascii="Arial" w:hAnsi="Arial" w:cs="Arial"/>
        </w:rPr>
        <w:t xml:space="preserve">the praise of their </w:t>
      </w:r>
      <w:r w:rsidR="00997668">
        <w:rPr>
          <w:rFonts w:ascii="Arial" w:hAnsi="Arial" w:cs="Arial"/>
        </w:rPr>
        <w:t>goal completio</w:t>
      </w:r>
      <w:r w:rsidR="007F15CC">
        <w:rPr>
          <w:rFonts w:ascii="Arial" w:hAnsi="Arial" w:cs="Arial"/>
        </w:rPr>
        <w:t>n</w:t>
      </w:r>
      <w:r w:rsidR="00E21BE4">
        <w:rPr>
          <w:rFonts w:ascii="Arial" w:hAnsi="Arial" w:cs="Arial"/>
        </w:rPr>
        <w:t xml:space="preserve">. </w:t>
      </w:r>
      <w:r w:rsidR="00997668">
        <w:rPr>
          <w:rFonts w:ascii="Arial" w:hAnsi="Arial" w:cs="Arial"/>
        </w:rPr>
        <w:t>Finally, the gamifi</w:t>
      </w:r>
      <w:r w:rsidR="00E21BE4">
        <w:rPr>
          <w:rFonts w:ascii="Arial" w:hAnsi="Arial" w:cs="Arial"/>
        </w:rPr>
        <w:t>ed</w:t>
      </w:r>
      <w:r w:rsidR="00997668">
        <w:rPr>
          <w:rFonts w:ascii="Arial" w:hAnsi="Arial" w:cs="Arial"/>
        </w:rPr>
        <w:t xml:space="preserve"> language </w:t>
      </w:r>
      <w:r w:rsidR="00E21BE4">
        <w:rPr>
          <w:rFonts w:ascii="Arial" w:hAnsi="Arial" w:cs="Arial"/>
        </w:rPr>
        <w:t xml:space="preserve">here </w:t>
      </w:r>
      <w:r w:rsidR="00997668">
        <w:rPr>
          <w:rFonts w:ascii="Arial" w:hAnsi="Arial" w:cs="Arial"/>
        </w:rPr>
        <w:t xml:space="preserve">is reminiscent of a Token Economy. For example, the scoring system resembles tokens and rewards the desired behaviour among the students. </w:t>
      </w:r>
      <w:r w:rsidR="0061402E">
        <w:rPr>
          <w:rFonts w:ascii="Arial" w:hAnsi="Arial" w:cs="Arial"/>
        </w:rPr>
        <w:t>Furthermore, a 2015 study showed a positive correlation between competition and participant attention (</w:t>
      </w:r>
      <w:proofErr w:type="spellStart"/>
      <w:r w:rsidR="0061402E">
        <w:rPr>
          <w:rFonts w:ascii="Arial" w:hAnsi="Arial" w:cs="Arial"/>
        </w:rPr>
        <w:t>DiMenichi</w:t>
      </w:r>
      <w:proofErr w:type="spellEnd"/>
      <w:r w:rsidR="0061402E">
        <w:rPr>
          <w:rFonts w:ascii="Arial" w:hAnsi="Arial" w:cs="Arial"/>
        </w:rPr>
        <w:t xml:space="preserve"> and </w:t>
      </w:r>
      <w:proofErr w:type="spellStart"/>
      <w:r w:rsidR="0061402E">
        <w:rPr>
          <w:rFonts w:ascii="Arial" w:hAnsi="Arial" w:cs="Arial"/>
        </w:rPr>
        <w:t>Tricome</w:t>
      </w:r>
      <w:proofErr w:type="spellEnd"/>
      <w:r w:rsidR="0061402E">
        <w:rPr>
          <w:rFonts w:ascii="Arial" w:hAnsi="Arial" w:cs="Arial"/>
        </w:rPr>
        <w:t>, 2015).</w:t>
      </w:r>
    </w:p>
    <w:p w14:paraId="76807B43" w14:textId="266FBBC6" w:rsidR="00047A38" w:rsidRDefault="00047A38" w:rsidP="0061402E">
      <w:pPr>
        <w:spacing w:line="480" w:lineRule="auto"/>
        <w:ind w:firstLine="720"/>
        <w:rPr>
          <w:rFonts w:ascii="Arial" w:hAnsi="Arial" w:cs="Arial"/>
        </w:rPr>
      </w:pPr>
      <w:r>
        <w:rPr>
          <w:rFonts w:ascii="Arial" w:hAnsi="Arial" w:cs="Arial"/>
        </w:rPr>
        <w:t>Having</w:t>
      </w:r>
      <w:r>
        <w:rPr>
          <w:rFonts w:ascii="Arial" w:hAnsi="Arial" w:cs="Arial"/>
        </w:rPr>
        <w:t xml:space="preserve"> evaluated</w:t>
      </w:r>
      <w:r>
        <w:rPr>
          <w:rFonts w:ascii="Arial" w:hAnsi="Arial" w:cs="Arial"/>
        </w:rPr>
        <w:t xml:space="preserve"> the incident </w:t>
      </w:r>
      <w:r w:rsidR="0061402E">
        <w:rPr>
          <w:rFonts w:ascii="Arial" w:hAnsi="Arial" w:cs="Arial"/>
        </w:rPr>
        <w:t>through the lenses of</w:t>
      </w:r>
      <w:r>
        <w:rPr>
          <w:rFonts w:ascii="Arial" w:hAnsi="Arial" w:cs="Arial"/>
        </w:rPr>
        <w:t xml:space="preserve"> </w:t>
      </w:r>
      <w:r>
        <w:rPr>
          <w:rFonts w:ascii="Arial" w:hAnsi="Arial" w:cs="Arial"/>
        </w:rPr>
        <w:t xml:space="preserve">behaviourism, motivation and Positive Behaviour Management, </w:t>
      </w:r>
      <w:r>
        <w:rPr>
          <w:rFonts w:ascii="Arial" w:hAnsi="Arial" w:cs="Arial"/>
        </w:rPr>
        <w:t xml:space="preserve">a unifying concern </w:t>
      </w:r>
      <w:r>
        <w:rPr>
          <w:rFonts w:ascii="Arial" w:hAnsi="Arial" w:cs="Arial"/>
        </w:rPr>
        <w:t xml:space="preserve">has </w:t>
      </w:r>
      <w:r>
        <w:rPr>
          <w:rFonts w:ascii="Arial" w:hAnsi="Arial" w:cs="Arial"/>
        </w:rPr>
        <w:t>arise</w:t>
      </w:r>
      <w:r>
        <w:rPr>
          <w:rFonts w:ascii="Arial" w:hAnsi="Arial" w:cs="Arial"/>
        </w:rPr>
        <w:t xml:space="preserve">n. </w:t>
      </w:r>
      <w:r w:rsidR="007F15CC">
        <w:rPr>
          <w:rFonts w:ascii="Arial" w:hAnsi="Arial" w:cs="Arial"/>
        </w:rPr>
        <w:t xml:space="preserve">Essentially, </w:t>
      </w:r>
      <w:proofErr w:type="gramStart"/>
      <w:r>
        <w:rPr>
          <w:rFonts w:ascii="Arial" w:hAnsi="Arial" w:cs="Arial"/>
        </w:rPr>
        <w:t>N</w:t>
      </w:r>
      <w:r>
        <w:rPr>
          <w:rFonts w:ascii="Arial" w:hAnsi="Arial" w:cs="Arial"/>
        </w:rPr>
        <w:t>amely</w:t>
      </w:r>
      <w:proofErr w:type="gramEnd"/>
      <w:r>
        <w:rPr>
          <w:rFonts w:ascii="Arial" w:hAnsi="Arial" w:cs="Arial"/>
        </w:rPr>
        <w:t xml:space="preserve"> overreliance on</w:t>
      </w:r>
      <w:r w:rsidR="007F15CC">
        <w:rPr>
          <w:rFonts w:ascii="Arial" w:hAnsi="Arial" w:cs="Arial"/>
        </w:rPr>
        <w:t xml:space="preserve"> many of these models could </w:t>
      </w:r>
      <w:r>
        <w:rPr>
          <w:rFonts w:ascii="Arial" w:hAnsi="Arial" w:cs="Arial"/>
        </w:rPr>
        <w:t xml:space="preserve">promote unhealthy levels of competitiveness and might encourage students to behave well only when they believe they will </w:t>
      </w:r>
      <w:r w:rsidR="007F15CC">
        <w:rPr>
          <w:rFonts w:ascii="Arial" w:hAnsi="Arial" w:cs="Arial"/>
        </w:rPr>
        <w:t>be rewarded</w:t>
      </w:r>
      <w:r w:rsidR="0061402E">
        <w:rPr>
          <w:rFonts w:ascii="Arial" w:hAnsi="Arial" w:cs="Arial"/>
        </w:rPr>
        <w:t xml:space="preserve">. </w:t>
      </w:r>
      <w:r w:rsidR="007F15CC">
        <w:rPr>
          <w:rFonts w:ascii="Arial" w:hAnsi="Arial" w:cs="Arial"/>
        </w:rPr>
        <w:t xml:space="preserve">De </w:t>
      </w:r>
      <w:proofErr w:type="spellStart"/>
      <w:r w:rsidR="007F15CC">
        <w:rPr>
          <w:rFonts w:ascii="Arial" w:hAnsi="Arial" w:cs="Arial"/>
        </w:rPr>
        <w:t>Fraja</w:t>
      </w:r>
      <w:proofErr w:type="spellEnd"/>
      <w:r w:rsidR="007F15CC">
        <w:rPr>
          <w:rFonts w:ascii="Arial" w:hAnsi="Arial" w:cs="Arial"/>
        </w:rPr>
        <w:t xml:space="preserve"> and </w:t>
      </w:r>
      <w:proofErr w:type="spellStart"/>
      <w:r w:rsidR="007F15CC">
        <w:rPr>
          <w:rFonts w:ascii="Arial" w:hAnsi="Arial" w:cs="Arial"/>
        </w:rPr>
        <w:t>Landeras</w:t>
      </w:r>
      <w:proofErr w:type="spellEnd"/>
      <w:r w:rsidR="007F15CC">
        <w:rPr>
          <w:rFonts w:ascii="Arial" w:hAnsi="Arial" w:cs="Arial"/>
        </w:rPr>
        <w:t xml:space="preserve">’ </w:t>
      </w:r>
      <w:r w:rsidR="0061402E">
        <w:rPr>
          <w:rFonts w:ascii="Arial" w:hAnsi="Arial" w:cs="Arial"/>
        </w:rPr>
        <w:t>study supported this, showing that competition had negative effects on the students (2005, p. 210)</w:t>
      </w:r>
      <w:r>
        <w:rPr>
          <w:rFonts w:ascii="Arial" w:hAnsi="Arial" w:cs="Arial"/>
        </w:rPr>
        <w:t xml:space="preserve">. </w:t>
      </w:r>
      <w:r w:rsidR="007F15CC">
        <w:rPr>
          <w:rFonts w:ascii="Arial" w:hAnsi="Arial" w:cs="Arial"/>
        </w:rPr>
        <w:t>Moreover, t</w:t>
      </w:r>
      <w:r w:rsidR="00A65FBB">
        <w:rPr>
          <w:rFonts w:ascii="Arial" w:hAnsi="Arial" w:cs="Arial"/>
        </w:rPr>
        <w:t>his concern undermines the validity of students’ motivations</w:t>
      </w:r>
      <w:r w:rsidR="007F15CC">
        <w:rPr>
          <w:rFonts w:ascii="Arial" w:hAnsi="Arial" w:cs="Arial"/>
        </w:rPr>
        <w:t>.</w:t>
      </w:r>
      <w:r w:rsidR="00A65FBB">
        <w:rPr>
          <w:rFonts w:ascii="Arial" w:hAnsi="Arial" w:cs="Arial"/>
        </w:rPr>
        <w:t xml:space="preserve"> It is important to recognise that while this evaluation provides explanations and suggestions for many of the behaviours and strategies observed in this incident, no combination of research will be able to account for every behaviour exactly. Nevertheless, the choice of approach in this study is appropriate and provides many insights </w:t>
      </w:r>
      <w:r w:rsidR="007F15CC">
        <w:rPr>
          <w:rFonts w:ascii="Arial" w:hAnsi="Arial" w:cs="Arial"/>
        </w:rPr>
        <w:t>into</w:t>
      </w:r>
      <w:r w:rsidR="00A65FBB">
        <w:rPr>
          <w:rFonts w:ascii="Arial" w:hAnsi="Arial" w:cs="Arial"/>
        </w:rPr>
        <w:t xml:space="preserve"> the observed incident.</w:t>
      </w:r>
    </w:p>
    <w:p w14:paraId="1CBCB77E" w14:textId="77777777" w:rsidR="00E21BE4" w:rsidRDefault="00E21BE4" w:rsidP="00233A15">
      <w:pPr>
        <w:spacing w:line="480" w:lineRule="auto"/>
        <w:rPr>
          <w:rFonts w:ascii="Arial" w:hAnsi="Arial" w:cs="Arial"/>
        </w:rPr>
      </w:pPr>
    </w:p>
    <w:p w14:paraId="69DA4021" w14:textId="3A1978D4" w:rsidR="00E21BE4" w:rsidRPr="00436223" w:rsidRDefault="00E21BE4" w:rsidP="00436223">
      <w:pPr>
        <w:spacing w:line="480" w:lineRule="auto"/>
        <w:jc w:val="center"/>
        <w:rPr>
          <w:rFonts w:ascii="Arial" w:hAnsi="Arial" w:cs="Arial"/>
          <w:b/>
          <w:bCs/>
          <w:u w:val="single"/>
        </w:rPr>
      </w:pPr>
      <w:r w:rsidRPr="00436223">
        <w:rPr>
          <w:rFonts w:ascii="Arial" w:hAnsi="Arial" w:cs="Arial"/>
          <w:b/>
          <w:bCs/>
          <w:u w:val="single"/>
        </w:rPr>
        <w:t>Discussion</w:t>
      </w:r>
    </w:p>
    <w:p w14:paraId="04409D8E" w14:textId="77CFEB97" w:rsidR="00233A15" w:rsidRDefault="0022680E" w:rsidP="00436223">
      <w:pPr>
        <w:spacing w:line="480" w:lineRule="auto"/>
        <w:ind w:firstLine="720"/>
        <w:rPr>
          <w:rFonts w:ascii="Arial" w:hAnsi="Arial" w:cs="Arial"/>
        </w:rPr>
      </w:pPr>
      <w:r>
        <w:rPr>
          <w:rFonts w:ascii="Arial" w:hAnsi="Arial" w:cs="Arial"/>
        </w:rPr>
        <w:t xml:space="preserve">Of the many themes explored in this case study, several points of interest arose that are worth discussion in this analysis. </w:t>
      </w:r>
    </w:p>
    <w:p w14:paraId="71F1E510" w14:textId="0312B99C" w:rsidR="004077D8" w:rsidRDefault="004077D8" w:rsidP="004077D8">
      <w:pPr>
        <w:spacing w:line="480" w:lineRule="auto"/>
        <w:ind w:firstLine="720"/>
        <w:rPr>
          <w:rFonts w:ascii="Arial" w:hAnsi="Arial" w:cs="Arial"/>
        </w:rPr>
      </w:pPr>
      <w:r>
        <w:rPr>
          <w:rFonts w:ascii="Arial" w:hAnsi="Arial" w:cs="Arial"/>
        </w:rPr>
        <w:t xml:space="preserve">The teacher’s word choice in their feedback </w:t>
      </w:r>
      <w:r>
        <w:rPr>
          <w:rFonts w:ascii="Arial" w:hAnsi="Arial" w:cs="Arial"/>
        </w:rPr>
        <w:t>suggest</w:t>
      </w:r>
      <w:r>
        <w:rPr>
          <w:rFonts w:ascii="Arial" w:hAnsi="Arial" w:cs="Arial"/>
        </w:rPr>
        <w:t>ed</w:t>
      </w:r>
      <w:r>
        <w:rPr>
          <w:rFonts w:ascii="Arial" w:hAnsi="Arial" w:cs="Arial"/>
        </w:rPr>
        <w:t xml:space="preserve"> that they expressed their expectations clearly to the students when they were not met, without appearing to berate the students. The lack of response to the first attention grabber could have been met with scolding from the teacher, however the teacher’s use of motivational </w:t>
      </w:r>
      <w:r>
        <w:rPr>
          <w:rFonts w:ascii="Arial" w:hAnsi="Arial" w:cs="Arial"/>
        </w:rPr>
        <w:lastRenderedPageBreak/>
        <w:t>reinforcement set those clear expectations and was received well by the students. Williams’ positive behaviour management guide</w:t>
      </w:r>
      <w:r w:rsidR="00655901">
        <w:rPr>
          <w:rFonts w:ascii="Arial" w:hAnsi="Arial" w:cs="Arial"/>
        </w:rPr>
        <w:t xml:space="preserve"> (2018, p. 21)</w:t>
      </w:r>
      <w:r w:rsidR="0099761E">
        <w:rPr>
          <w:rFonts w:ascii="Arial" w:hAnsi="Arial" w:cs="Arial"/>
        </w:rPr>
        <w:t xml:space="preserve"> </w:t>
      </w:r>
      <w:r>
        <w:rPr>
          <w:rFonts w:ascii="Arial" w:hAnsi="Arial" w:cs="Arial"/>
        </w:rPr>
        <w:t>supports this, praising positive classroom management systems over punitive systems. The teacher also utilised gamified language effectively in this instance. This alludes to the teacher’s experience and their consideration of classroom management strategies.</w:t>
      </w:r>
    </w:p>
    <w:p w14:paraId="1068E185" w14:textId="006753CB" w:rsidR="00C109D6" w:rsidRDefault="00C109D6" w:rsidP="004077D8">
      <w:pPr>
        <w:spacing w:line="480" w:lineRule="auto"/>
        <w:ind w:firstLine="720"/>
        <w:rPr>
          <w:rFonts w:ascii="Arial" w:hAnsi="Arial" w:cs="Arial"/>
        </w:rPr>
      </w:pPr>
      <w:r w:rsidRPr="00C109D6">
        <w:rPr>
          <w:rFonts w:ascii="Arial" w:hAnsi="Arial" w:cs="Arial"/>
        </w:rPr>
        <w:t>The incorporation of competitiveness in the praise was also carefully worded and worked well within this classroom. Too much emphas</w:t>
      </w:r>
      <w:r w:rsidR="00873E7D">
        <w:rPr>
          <w:rFonts w:ascii="Arial" w:hAnsi="Arial" w:cs="Arial"/>
        </w:rPr>
        <w:t>i</w:t>
      </w:r>
      <w:r w:rsidRPr="00C109D6">
        <w:rPr>
          <w:rFonts w:ascii="Arial" w:hAnsi="Arial" w:cs="Arial"/>
        </w:rPr>
        <w:t xml:space="preserve">s on competitiveness would have been disruptive and had the opposite effect of an attention grabber. </w:t>
      </w:r>
      <w:r w:rsidR="00AC055C">
        <w:rPr>
          <w:rFonts w:ascii="Arial" w:hAnsi="Arial" w:cs="Arial"/>
        </w:rPr>
        <w:t>When considering competitiveness it is crucial to find a balance between short-term benefits and the potential for long-term detrimental effects (</w:t>
      </w:r>
      <w:proofErr w:type="spellStart"/>
      <w:r w:rsidR="00AC055C">
        <w:rPr>
          <w:rFonts w:ascii="Arial" w:hAnsi="Arial" w:cs="Arial"/>
        </w:rPr>
        <w:t>Shindler</w:t>
      </w:r>
      <w:proofErr w:type="spellEnd"/>
      <w:r w:rsidR="00AC055C">
        <w:rPr>
          <w:rFonts w:ascii="Arial" w:hAnsi="Arial" w:cs="Arial"/>
        </w:rPr>
        <w:t>, 2010</w:t>
      </w:r>
      <w:proofErr w:type="gramStart"/>
      <w:r w:rsidR="00AC055C">
        <w:rPr>
          <w:rFonts w:ascii="Arial" w:hAnsi="Arial" w:cs="Arial"/>
        </w:rPr>
        <w:t>).</w:t>
      </w:r>
      <w:r w:rsidR="00A65FBB">
        <w:rPr>
          <w:rFonts w:ascii="Arial" w:hAnsi="Arial" w:cs="Arial"/>
        </w:rPr>
        <w:t>T</w:t>
      </w:r>
      <w:r w:rsidRPr="00C109D6">
        <w:rPr>
          <w:rFonts w:ascii="Arial" w:hAnsi="Arial" w:cs="Arial"/>
        </w:rPr>
        <w:t>oo</w:t>
      </w:r>
      <w:proofErr w:type="gramEnd"/>
      <w:r w:rsidRPr="00C109D6">
        <w:rPr>
          <w:rFonts w:ascii="Arial" w:hAnsi="Arial" w:cs="Arial"/>
        </w:rPr>
        <w:t xml:space="preserve"> little and the children might not have responded to and engaged with it. </w:t>
      </w:r>
      <w:r w:rsidRPr="00C109D6">
        <w:rPr>
          <w:rFonts w:ascii="Arial" w:hAnsi="Arial" w:cs="Arial"/>
        </w:rPr>
        <w:t xml:space="preserve">Competitiveness may </w:t>
      </w:r>
      <w:r w:rsidR="004077D8">
        <w:rPr>
          <w:rFonts w:ascii="Arial" w:hAnsi="Arial" w:cs="Arial"/>
        </w:rPr>
        <w:t>not be appropriate for every student</w:t>
      </w:r>
      <w:r w:rsidRPr="00C109D6">
        <w:rPr>
          <w:rFonts w:ascii="Arial" w:hAnsi="Arial" w:cs="Arial"/>
        </w:rPr>
        <w:t xml:space="preserve">. </w:t>
      </w:r>
      <w:r>
        <w:rPr>
          <w:rFonts w:ascii="Arial" w:hAnsi="Arial" w:cs="Arial"/>
        </w:rPr>
        <w:t>There could be a situation in which Child</w:t>
      </w:r>
      <w:r w:rsidRPr="00C109D6">
        <w:rPr>
          <w:rFonts w:ascii="Arial" w:hAnsi="Arial" w:cs="Arial"/>
        </w:rPr>
        <w:t xml:space="preserve"> A g</w:t>
      </w:r>
      <w:r>
        <w:rPr>
          <w:rFonts w:ascii="Arial" w:hAnsi="Arial" w:cs="Arial"/>
        </w:rPr>
        <w:t>ot</w:t>
      </w:r>
      <w:r w:rsidRPr="00C109D6">
        <w:rPr>
          <w:rFonts w:ascii="Arial" w:hAnsi="Arial" w:cs="Arial"/>
        </w:rPr>
        <w:t xml:space="preserve"> angry at Child B for not clapping as they d</w:t>
      </w:r>
      <w:r>
        <w:rPr>
          <w:rFonts w:ascii="Arial" w:hAnsi="Arial" w:cs="Arial"/>
        </w:rPr>
        <w:t xml:space="preserve">id not </w:t>
      </w:r>
      <w:r w:rsidRPr="00C109D6">
        <w:rPr>
          <w:rFonts w:ascii="Arial" w:hAnsi="Arial" w:cs="Arial"/>
        </w:rPr>
        <w:t>want the class to lose a point</w:t>
      </w:r>
      <w:r>
        <w:rPr>
          <w:rFonts w:ascii="Arial" w:hAnsi="Arial" w:cs="Arial"/>
        </w:rPr>
        <w:t xml:space="preserve">. This </w:t>
      </w:r>
      <w:r w:rsidR="004077D8">
        <w:rPr>
          <w:rFonts w:ascii="Arial" w:hAnsi="Arial" w:cs="Arial"/>
        </w:rPr>
        <w:t>c</w:t>
      </w:r>
      <w:r>
        <w:rPr>
          <w:rFonts w:ascii="Arial" w:hAnsi="Arial" w:cs="Arial"/>
        </w:rPr>
        <w:t>ould have had a negative impact o</w:t>
      </w:r>
      <w:r w:rsidR="00A65FBB">
        <w:rPr>
          <w:rFonts w:ascii="Arial" w:hAnsi="Arial" w:cs="Arial"/>
        </w:rPr>
        <w:t>n</w:t>
      </w:r>
      <w:r>
        <w:rPr>
          <w:rFonts w:ascii="Arial" w:hAnsi="Arial" w:cs="Arial"/>
        </w:rPr>
        <w:t xml:space="preserve"> class well-being, classroom relationships and </w:t>
      </w:r>
      <w:r w:rsidR="00873E7D">
        <w:rPr>
          <w:rFonts w:ascii="Arial" w:hAnsi="Arial" w:cs="Arial"/>
        </w:rPr>
        <w:t xml:space="preserve">could have caused a situation between the students. </w:t>
      </w:r>
    </w:p>
    <w:p w14:paraId="54E27432" w14:textId="6456DD2E" w:rsidR="004077D8" w:rsidRDefault="004077D8" w:rsidP="004077D8">
      <w:pPr>
        <w:spacing w:line="480" w:lineRule="auto"/>
        <w:ind w:firstLine="720"/>
        <w:rPr>
          <w:rFonts w:ascii="Arial" w:hAnsi="Arial" w:cs="Arial"/>
        </w:rPr>
      </w:pPr>
      <w:r>
        <w:rPr>
          <w:rFonts w:ascii="Arial" w:hAnsi="Arial" w:cs="Arial"/>
        </w:rPr>
        <w:t>The use of the attention grabber create</w:t>
      </w:r>
      <w:r>
        <w:rPr>
          <w:rFonts w:ascii="Arial" w:hAnsi="Arial" w:cs="Arial"/>
        </w:rPr>
        <w:t>d</w:t>
      </w:r>
      <w:r>
        <w:rPr>
          <w:rFonts w:ascii="Arial" w:hAnsi="Arial" w:cs="Arial"/>
        </w:rPr>
        <w:t xml:space="preserve"> a smooth transition between two phases of a lesson</w:t>
      </w:r>
      <w:r>
        <w:rPr>
          <w:rFonts w:ascii="Arial" w:hAnsi="Arial" w:cs="Arial"/>
        </w:rPr>
        <w:t xml:space="preserve"> for Child A</w:t>
      </w:r>
      <w:r>
        <w:rPr>
          <w:rFonts w:ascii="Arial" w:hAnsi="Arial" w:cs="Arial"/>
        </w:rPr>
        <w:t xml:space="preserve"> and helped the</w:t>
      </w:r>
      <w:r>
        <w:rPr>
          <w:rFonts w:ascii="Arial" w:hAnsi="Arial" w:cs="Arial"/>
        </w:rPr>
        <w:t>m</w:t>
      </w:r>
      <w:r>
        <w:rPr>
          <w:rFonts w:ascii="Arial" w:hAnsi="Arial" w:cs="Arial"/>
        </w:rPr>
        <w:t xml:space="preserve"> to move between the activities quickly and clearly. Had the teacher told the students to put their pens down and stop writing, it is far less likely that the children would have been able to immediately switch tasks. </w:t>
      </w:r>
      <w:r w:rsidR="00D275E3">
        <w:rPr>
          <w:rFonts w:ascii="Arial" w:hAnsi="Arial" w:cs="Arial"/>
        </w:rPr>
        <w:t xml:space="preserve">Banerjee strongly advocates for careful planning of transitions in classrooms to benefit both students and teaching staff (Banerjee, 2013, p. 4). </w:t>
      </w:r>
      <w:r>
        <w:rPr>
          <w:rFonts w:ascii="Arial" w:hAnsi="Arial" w:cs="Arial"/>
        </w:rPr>
        <w:t xml:space="preserve">The students benefitted from the clear transitional cue, had time to finish processing the first task and moved in a known routine to the next task. In addition, this was also a transition from an individual writing task to a group discussion task, so having the smooth transition likely helped the students to get the most out of both activities. The </w:t>
      </w:r>
      <w:r>
        <w:rPr>
          <w:rFonts w:ascii="Arial" w:hAnsi="Arial" w:cs="Arial"/>
        </w:rPr>
        <w:lastRenderedPageBreak/>
        <w:t>teacher’s feedback and praise also helped to facilitate a behavioural transition, from non-engagement to active participation. The effectiveness of this method in the transition suggests that effective classroom management can support students through behavioural transitions</w:t>
      </w:r>
      <w:r w:rsidR="00D275E3">
        <w:rPr>
          <w:rFonts w:ascii="Arial" w:hAnsi="Arial" w:cs="Arial"/>
        </w:rPr>
        <w:t>, a conclusion also supported by Banerjee (2013).</w:t>
      </w:r>
    </w:p>
    <w:p w14:paraId="2DC9EC1A" w14:textId="5F146BDB" w:rsidR="00126FB1" w:rsidRDefault="004077D8" w:rsidP="004077D8">
      <w:pPr>
        <w:spacing w:line="480" w:lineRule="auto"/>
        <w:rPr>
          <w:rFonts w:ascii="Arial" w:hAnsi="Arial" w:cs="Arial"/>
        </w:rPr>
      </w:pPr>
      <w:r>
        <w:rPr>
          <w:rFonts w:ascii="Arial" w:hAnsi="Arial" w:cs="Arial"/>
        </w:rPr>
        <w:tab/>
        <w:t xml:space="preserve">The auditory cue and clapping response in the attention grabber chosen here seems to have been accessible for all the students. There are many variables to consider when choosing an appropriate attention grabber. For example, there was a child in the class with visual impairments, so an attention grabber with a visual cue would not have been appropriate. Students with hearing impairments or physical disabilities may struggle to respond to auditory cues or to clap in response, so consideration of accessibility in attention grabbers can impact the class significantly. Furthermore, some students may have sensory issues and sudden noises like a guitar playing while they were engrossed in writing might upset them and be inappropriate. The teacher’s choice of attention grabber therefore shows clear attention to detail and deliberate choice to include all students in the class. </w:t>
      </w:r>
      <w:r w:rsidR="00126FB1">
        <w:rPr>
          <w:rFonts w:ascii="Arial" w:hAnsi="Arial" w:cs="Arial"/>
        </w:rPr>
        <w:t xml:space="preserve">A paper from </w:t>
      </w:r>
      <w:proofErr w:type="spellStart"/>
      <w:r w:rsidR="00126FB1">
        <w:rPr>
          <w:rFonts w:ascii="Arial" w:hAnsi="Arial" w:cs="Arial"/>
        </w:rPr>
        <w:t>Arifadah</w:t>
      </w:r>
      <w:proofErr w:type="spellEnd"/>
      <w:r w:rsidR="00126FB1">
        <w:rPr>
          <w:rFonts w:ascii="Arial" w:hAnsi="Arial" w:cs="Arial"/>
        </w:rPr>
        <w:t xml:space="preserve"> et al. </w:t>
      </w:r>
      <w:r w:rsidR="0099761E">
        <w:rPr>
          <w:rFonts w:ascii="Arial" w:hAnsi="Arial" w:cs="Arial"/>
        </w:rPr>
        <w:t>(2019, p. 284)</w:t>
      </w:r>
      <w:r w:rsidR="0099761E">
        <w:rPr>
          <w:rFonts w:ascii="Arial" w:hAnsi="Arial" w:cs="Arial"/>
        </w:rPr>
        <w:t xml:space="preserve"> </w:t>
      </w:r>
      <w:r w:rsidR="00126FB1">
        <w:rPr>
          <w:rFonts w:ascii="Arial" w:hAnsi="Arial" w:cs="Arial"/>
        </w:rPr>
        <w:t xml:space="preserve">supports the significance of attention grabbers in the classroom, going so far as to suggest that teachers have a responsibility to use attention grabbers to keep their students’ attention and keep the learning process effective. </w:t>
      </w:r>
    </w:p>
    <w:p w14:paraId="16375DD1" w14:textId="1AB1EB9A" w:rsidR="00EF2F2B" w:rsidRDefault="00EF2F2B" w:rsidP="004077D8">
      <w:pPr>
        <w:spacing w:line="480" w:lineRule="auto"/>
        <w:rPr>
          <w:rFonts w:ascii="Arial" w:hAnsi="Arial" w:cs="Arial"/>
        </w:rPr>
      </w:pPr>
      <w:r>
        <w:rPr>
          <w:rFonts w:ascii="Arial" w:hAnsi="Arial" w:cs="Arial"/>
        </w:rPr>
        <w:tab/>
        <w:t xml:space="preserve">Whilst it is important to recognise the effectiveness of the attention grabber for Child A, it did not work in the desired way for Child B, requiring an adaptive approach from the teacher to incorporate reinforcement and praise. The initial action here strongly links to behaviourism, but Child B’s lack of response illustrates that the conditioning has not been fully effective. The teacher then adapted their approach, resulting in both Child A and B’s engagement. Therefore, behaviourism alone was </w:t>
      </w:r>
      <w:r>
        <w:rPr>
          <w:rFonts w:ascii="Arial" w:hAnsi="Arial" w:cs="Arial"/>
        </w:rPr>
        <w:lastRenderedPageBreak/>
        <w:t xml:space="preserve">not effective and worked better </w:t>
      </w:r>
      <w:r w:rsidR="00126FB1">
        <w:rPr>
          <w:rFonts w:ascii="Arial" w:hAnsi="Arial" w:cs="Arial"/>
        </w:rPr>
        <w:t xml:space="preserve">in this situation </w:t>
      </w:r>
      <w:r>
        <w:rPr>
          <w:rFonts w:ascii="Arial" w:hAnsi="Arial" w:cs="Arial"/>
        </w:rPr>
        <w:t xml:space="preserve">when incorporated with principles of motivation and positive behaviour management. Interestingly though, the teacher looped back to behaviourism with their positive reinforcement through rewards, reincorporating elements of conditioning. </w:t>
      </w:r>
    </w:p>
    <w:p w14:paraId="5E359F86" w14:textId="06C2D5C5" w:rsidR="00EF2F2B" w:rsidRDefault="00EF2F2B" w:rsidP="004077D8">
      <w:pPr>
        <w:spacing w:line="480" w:lineRule="auto"/>
        <w:rPr>
          <w:rFonts w:ascii="Arial" w:hAnsi="Arial" w:cs="Arial"/>
        </w:rPr>
      </w:pPr>
      <w:r>
        <w:rPr>
          <w:rFonts w:ascii="Arial" w:hAnsi="Arial" w:cs="Arial"/>
        </w:rPr>
        <w:tab/>
      </w:r>
      <w:r w:rsidR="00126FB1">
        <w:rPr>
          <w:rFonts w:ascii="Arial" w:hAnsi="Arial" w:cs="Arial"/>
        </w:rPr>
        <w:t>L</w:t>
      </w:r>
      <w:r>
        <w:rPr>
          <w:rFonts w:ascii="Arial" w:hAnsi="Arial" w:cs="Arial"/>
        </w:rPr>
        <w:t>iterature-based research and analysis aid in understanding this incident</w:t>
      </w:r>
      <w:r w:rsidR="00126FB1">
        <w:rPr>
          <w:rFonts w:ascii="Arial" w:hAnsi="Arial" w:cs="Arial"/>
        </w:rPr>
        <w:t>. To</w:t>
      </w:r>
      <w:r>
        <w:rPr>
          <w:rFonts w:ascii="Arial" w:hAnsi="Arial" w:cs="Arial"/>
        </w:rPr>
        <w:t xml:space="preserve"> fully understand it</w:t>
      </w:r>
      <w:r w:rsidR="00126FB1">
        <w:rPr>
          <w:rFonts w:ascii="Arial" w:hAnsi="Arial" w:cs="Arial"/>
        </w:rPr>
        <w:t xml:space="preserve"> however,</w:t>
      </w:r>
      <w:r>
        <w:rPr>
          <w:rFonts w:ascii="Arial" w:hAnsi="Arial" w:cs="Arial"/>
        </w:rPr>
        <w:t xml:space="preserve"> the behaviours and strategies would need to be replicated in experimental stud</w:t>
      </w:r>
      <w:r w:rsidR="00126FB1">
        <w:rPr>
          <w:rFonts w:ascii="Arial" w:hAnsi="Arial" w:cs="Arial"/>
        </w:rPr>
        <w:t>ies</w:t>
      </w:r>
      <w:r>
        <w:rPr>
          <w:rFonts w:ascii="Arial" w:hAnsi="Arial" w:cs="Arial"/>
        </w:rPr>
        <w:t>. Full conclusions cannot be drawn from an isolated incident, instead a larger sample size would be needed with repeated studies and control groups.</w:t>
      </w:r>
    </w:p>
    <w:p w14:paraId="6158C58E" w14:textId="77777777" w:rsidR="00436223" w:rsidRDefault="00436223" w:rsidP="00436223">
      <w:pPr>
        <w:spacing w:line="480" w:lineRule="auto"/>
        <w:rPr>
          <w:rFonts w:ascii="Arial" w:hAnsi="Arial" w:cs="Arial"/>
        </w:rPr>
      </w:pPr>
    </w:p>
    <w:p w14:paraId="4F9CB473" w14:textId="5F5CCBC2" w:rsidR="009840FE" w:rsidRPr="00436223" w:rsidRDefault="009840FE" w:rsidP="00436223">
      <w:pPr>
        <w:spacing w:line="480" w:lineRule="auto"/>
        <w:jc w:val="center"/>
        <w:rPr>
          <w:rFonts w:ascii="Arial" w:hAnsi="Arial" w:cs="Arial"/>
          <w:b/>
          <w:bCs/>
          <w:u w:val="single"/>
        </w:rPr>
      </w:pPr>
      <w:r w:rsidRPr="00436223">
        <w:rPr>
          <w:rFonts w:ascii="Arial" w:hAnsi="Arial" w:cs="Arial"/>
          <w:b/>
          <w:bCs/>
          <w:u w:val="single"/>
        </w:rPr>
        <w:t xml:space="preserve">Teaching </w:t>
      </w:r>
      <w:r w:rsidR="0099761E">
        <w:rPr>
          <w:rFonts w:ascii="Arial" w:hAnsi="Arial" w:cs="Arial"/>
          <w:b/>
          <w:bCs/>
          <w:u w:val="single"/>
        </w:rPr>
        <w:t xml:space="preserve">and Learning </w:t>
      </w:r>
      <w:r w:rsidRPr="00436223">
        <w:rPr>
          <w:rFonts w:ascii="Arial" w:hAnsi="Arial" w:cs="Arial"/>
          <w:b/>
          <w:bCs/>
          <w:u w:val="single"/>
        </w:rPr>
        <w:t>Methods</w:t>
      </w:r>
    </w:p>
    <w:p w14:paraId="6700E95E" w14:textId="2D7A9FFA" w:rsidR="009840FE" w:rsidRDefault="00E055D2" w:rsidP="007E45A0">
      <w:pPr>
        <w:spacing w:line="480" w:lineRule="auto"/>
        <w:rPr>
          <w:rFonts w:ascii="Arial" w:hAnsi="Arial" w:cs="Arial"/>
        </w:rPr>
      </w:pPr>
      <w:r>
        <w:rPr>
          <w:rFonts w:ascii="Arial" w:hAnsi="Arial" w:cs="Arial"/>
        </w:rPr>
        <w:tab/>
        <w:t>A critical analysis of this incident would not be complete without consideration of the teaching methods used by the teacher, their merits</w:t>
      </w:r>
      <w:r w:rsidR="0099761E">
        <w:rPr>
          <w:rFonts w:ascii="Arial" w:hAnsi="Arial" w:cs="Arial"/>
        </w:rPr>
        <w:t>,</w:t>
      </w:r>
      <w:r>
        <w:rPr>
          <w:rFonts w:ascii="Arial" w:hAnsi="Arial" w:cs="Arial"/>
        </w:rPr>
        <w:t xml:space="preserve"> and their possible alternatives.</w:t>
      </w:r>
    </w:p>
    <w:p w14:paraId="6FF11B1D" w14:textId="57686B75" w:rsidR="00E055D2" w:rsidRDefault="00E055D2" w:rsidP="007E45A0">
      <w:pPr>
        <w:spacing w:line="480" w:lineRule="auto"/>
        <w:rPr>
          <w:rFonts w:ascii="Arial" w:hAnsi="Arial" w:cs="Arial"/>
        </w:rPr>
      </w:pPr>
      <w:r>
        <w:rPr>
          <w:rFonts w:ascii="Arial" w:hAnsi="Arial" w:cs="Arial"/>
        </w:rPr>
        <w:tab/>
        <w:t xml:space="preserve">The use of the attention grabber in this instance is very effective in the class and a strong behaviour management choice, as seen in Child A’s immediate response. When using attention grabbers in the classroom, there is an argument for varying the use of attention grabbers and an argument for keeping it consistent. Varying the use of attention grabbers does cater to diverse learning and can keep students engaged. Conversely, </w:t>
      </w:r>
      <w:r w:rsidR="00F62C83">
        <w:rPr>
          <w:rFonts w:ascii="Arial" w:hAnsi="Arial" w:cs="Arial"/>
        </w:rPr>
        <w:t>consistent,</w:t>
      </w:r>
      <w:r>
        <w:rPr>
          <w:rFonts w:ascii="Arial" w:hAnsi="Arial" w:cs="Arial"/>
        </w:rPr>
        <w:t xml:space="preserve"> regular use of attention grabbers can help students to build routines and can help to keep expectations clear, in that children are not confused trying to remember which way they are supposed to respond from the repertoire of attention grabbers they are trying to remember. </w:t>
      </w:r>
    </w:p>
    <w:p w14:paraId="5FA4B4AA" w14:textId="1DE9BCDC" w:rsidR="00E055D2" w:rsidRDefault="00E055D2" w:rsidP="007E45A0">
      <w:pPr>
        <w:spacing w:line="480" w:lineRule="auto"/>
        <w:rPr>
          <w:rFonts w:ascii="Arial" w:hAnsi="Arial" w:cs="Arial"/>
        </w:rPr>
      </w:pPr>
      <w:r>
        <w:rPr>
          <w:rFonts w:ascii="Arial" w:hAnsi="Arial" w:cs="Arial"/>
        </w:rPr>
        <w:tab/>
        <w:t xml:space="preserve">The use of guitar in this attention grabber is creative and provides an interesting </w:t>
      </w:r>
      <w:r w:rsidR="00F62C83">
        <w:rPr>
          <w:rFonts w:ascii="Arial" w:hAnsi="Arial" w:cs="Arial"/>
        </w:rPr>
        <w:t xml:space="preserve">and engaging </w:t>
      </w:r>
      <w:r>
        <w:rPr>
          <w:rFonts w:ascii="Arial" w:hAnsi="Arial" w:cs="Arial"/>
        </w:rPr>
        <w:t>stimulus for the students</w:t>
      </w:r>
      <w:r w:rsidR="00F62C83">
        <w:rPr>
          <w:rFonts w:ascii="Arial" w:hAnsi="Arial" w:cs="Arial"/>
        </w:rPr>
        <w:t xml:space="preserve">. Furthermore, the teacher’s </w:t>
      </w:r>
      <w:r w:rsidR="00F62C83">
        <w:rPr>
          <w:rFonts w:ascii="Arial" w:hAnsi="Arial" w:cs="Arial"/>
        </w:rPr>
        <w:lastRenderedPageBreak/>
        <w:t xml:space="preserve">choice of a clapping response was especially effective here as it engaged their hands. The children had to stop writing if they were to respond to the teacher, which led them into the transition from writing to class discussion smoothly. </w:t>
      </w:r>
    </w:p>
    <w:p w14:paraId="121B1918" w14:textId="5289A578" w:rsidR="00F62C83" w:rsidRDefault="00F62C83" w:rsidP="007E45A0">
      <w:pPr>
        <w:spacing w:line="480" w:lineRule="auto"/>
        <w:rPr>
          <w:rFonts w:ascii="Arial" w:hAnsi="Arial" w:cs="Arial"/>
        </w:rPr>
      </w:pPr>
      <w:r>
        <w:rPr>
          <w:rFonts w:ascii="Arial" w:hAnsi="Arial" w:cs="Arial"/>
        </w:rPr>
        <w:tab/>
        <w:t>There are many alternative attention grabbers that can be used in the classroom, suited to different classes, teachers, styles of learning and accessibility requirements. For example, an alternative well suited to a class of young children would not have complex verbal responses for them to learn. A</w:t>
      </w:r>
      <w:r w:rsidR="00F4742E">
        <w:rPr>
          <w:rFonts w:ascii="Arial" w:hAnsi="Arial" w:cs="Arial"/>
        </w:rPr>
        <w:t>n</w:t>
      </w:r>
      <w:r>
        <w:rPr>
          <w:rFonts w:ascii="Arial" w:hAnsi="Arial" w:cs="Arial"/>
        </w:rPr>
        <w:t xml:space="preserve"> imitation based attention grabber with a visual cue would be effective here, such as a teacher encouraging the students to them while they switch between putting their hands on their head, on their shoulders, on their ears etc. The children would inevitably have to give the teacher eye contact, face them, and stop talking to follow the actions and join the game.</w:t>
      </w:r>
    </w:p>
    <w:p w14:paraId="74C6B822" w14:textId="63ED41E1" w:rsidR="00F62C83" w:rsidRDefault="00F62C83" w:rsidP="007E45A0">
      <w:pPr>
        <w:spacing w:line="480" w:lineRule="auto"/>
        <w:rPr>
          <w:rFonts w:ascii="Arial" w:hAnsi="Arial" w:cs="Arial"/>
        </w:rPr>
      </w:pPr>
      <w:r>
        <w:rPr>
          <w:rFonts w:ascii="Arial" w:hAnsi="Arial" w:cs="Arial"/>
        </w:rPr>
        <w:tab/>
        <w:t xml:space="preserve">An alternative that might be more well-suited to older children could include more complex verbal call and response patterns, perhaps rhyming. </w:t>
      </w:r>
      <w:r w:rsidR="00EF2F2B">
        <w:rPr>
          <w:rFonts w:ascii="Arial" w:hAnsi="Arial" w:cs="Arial"/>
        </w:rPr>
        <w:t>T</w:t>
      </w:r>
      <w:r>
        <w:rPr>
          <w:rFonts w:ascii="Arial" w:hAnsi="Arial" w:cs="Arial"/>
        </w:rPr>
        <w:t>he teacher could come up with call and response patterns based on song lyrics or film quotes suggested by the children</w:t>
      </w:r>
      <w:r w:rsidR="0008076E">
        <w:rPr>
          <w:rFonts w:ascii="Arial" w:hAnsi="Arial" w:cs="Arial"/>
        </w:rPr>
        <w:t xml:space="preserve">, such as “Who you </w:t>
      </w:r>
      <w:proofErr w:type="spellStart"/>
      <w:r w:rsidR="0008076E">
        <w:rPr>
          <w:rFonts w:ascii="Arial" w:hAnsi="Arial" w:cs="Arial"/>
        </w:rPr>
        <w:t>gonna</w:t>
      </w:r>
      <w:proofErr w:type="spellEnd"/>
      <w:r w:rsidR="0008076E">
        <w:rPr>
          <w:rFonts w:ascii="Arial" w:hAnsi="Arial" w:cs="Arial"/>
        </w:rPr>
        <w:t xml:space="preserve"> call?” “Ghostbusters!”</w:t>
      </w:r>
      <w:r>
        <w:rPr>
          <w:rFonts w:ascii="Arial" w:hAnsi="Arial" w:cs="Arial"/>
        </w:rPr>
        <w:t>; this collaborative</w:t>
      </w:r>
      <w:r w:rsidR="0008076E">
        <w:rPr>
          <w:rFonts w:ascii="Arial" w:hAnsi="Arial" w:cs="Arial"/>
        </w:rPr>
        <w:t xml:space="preserve"> creativity can</w:t>
      </w:r>
      <w:r>
        <w:rPr>
          <w:rFonts w:ascii="Arial" w:hAnsi="Arial" w:cs="Arial"/>
        </w:rPr>
        <w:t xml:space="preserve"> </w:t>
      </w:r>
      <w:r w:rsidR="0008076E">
        <w:rPr>
          <w:rFonts w:ascii="Arial" w:hAnsi="Arial" w:cs="Arial"/>
        </w:rPr>
        <w:t>i</w:t>
      </w:r>
      <w:r>
        <w:rPr>
          <w:rFonts w:ascii="Arial" w:hAnsi="Arial" w:cs="Arial"/>
        </w:rPr>
        <w:t>ncrease the</w:t>
      </w:r>
      <w:r w:rsidR="0008076E">
        <w:rPr>
          <w:rFonts w:ascii="Arial" w:hAnsi="Arial" w:cs="Arial"/>
        </w:rPr>
        <w:t xml:space="preserve"> student</w:t>
      </w:r>
      <w:r>
        <w:rPr>
          <w:rFonts w:ascii="Arial" w:hAnsi="Arial" w:cs="Arial"/>
        </w:rPr>
        <w:t>s</w:t>
      </w:r>
      <w:r w:rsidR="0008076E">
        <w:rPr>
          <w:rFonts w:ascii="Arial" w:hAnsi="Arial" w:cs="Arial"/>
        </w:rPr>
        <w:t>’</w:t>
      </w:r>
      <w:r>
        <w:rPr>
          <w:rFonts w:ascii="Arial" w:hAnsi="Arial" w:cs="Arial"/>
        </w:rPr>
        <w:t xml:space="preserve"> engagement and motivation to respond. </w:t>
      </w:r>
    </w:p>
    <w:p w14:paraId="29786D6C" w14:textId="291A622C" w:rsidR="0008076E" w:rsidRDefault="0008076E" w:rsidP="007E45A0">
      <w:pPr>
        <w:spacing w:line="480" w:lineRule="auto"/>
        <w:rPr>
          <w:rFonts w:ascii="Arial" w:hAnsi="Arial" w:cs="Arial"/>
        </w:rPr>
      </w:pPr>
      <w:r>
        <w:rPr>
          <w:rFonts w:ascii="Arial" w:hAnsi="Arial" w:cs="Arial"/>
        </w:rPr>
        <w:tab/>
        <w:t xml:space="preserve">It is also important to bear in mind the activity that the students are doing when initiating the attention grabber. If students are finger painting or cooking, then a clapping response is likely to create avoidable mess. Furthermore, if students are distracted and struggling to focus (perhaps in the last lesson of the week), then a whimsical, silly attention grabber might derail the lesson. </w:t>
      </w:r>
    </w:p>
    <w:p w14:paraId="31D9F1E9" w14:textId="24D98B5A" w:rsidR="0008076E" w:rsidRDefault="0008076E" w:rsidP="007E45A0">
      <w:pPr>
        <w:spacing w:line="480" w:lineRule="auto"/>
        <w:rPr>
          <w:rFonts w:ascii="Arial" w:hAnsi="Arial" w:cs="Arial"/>
        </w:rPr>
      </w:pPr>
      <w:r>
        <w:rPr>
          <w:rFonts w:ascii="Arial" w:hAnsi="Arial" w:cs="Arial"/>
        </w:rPr>
        <w:tab/>
        <w:t xml:space="preserve">The teacher’s use of reinforcement in this incident was framed positively while still setting clear expectations for students. It was effective in the class and set them </w:t>
      </w:r>
      <w:r>
        <w:rPr>
          <w:rFonts w:ascii="Arial" w:hAnsi="Arial" w:cs="Arial"/>
        </w:rPr>
        <w:lastRenderedPageBreak/>
        <w:t>a challenge of responding with more effort, improving motivation. However, other techniques could also have been effective at this moment.</w:t>
      </w:r>
    </w:p>
    <w:p w14:paraId="186002EC" w14:textId="059DD9FE" w:rsidR="0008076E" w:rsidRDefault="0008076E" w:rsidP="007E45A0">
      <w:pPr>
        <w:spacing w:line="480" w:lineRule="auto"/>
        <w:rPr>
          <w:rFonts w:ascii="Arial" w:hAnsi="Arial" w:cs="Arial"/>
        </w:rPr>
      </w:pPr>
      <w:r>
        <w:rPr>
          <w:rFonts w:ascii="Arial" w:hAnsi="Arial" w:cs="Arial"/>
        </w:rPr>
        <w:tab/>
      </w:r>
      <w:r w:rsidR="00EF2F2B">
        <w:rPr>
          <w:rFonts w:ascii="Arial" w:hAnsi="Arial" w:cs="Arial"/>
        </w:rPr>
        <w:t xml:space="preserve">Specifically, </w:t>
      </w:r>
      <w:r>
        <w:rPr>
          <w:rFonts w:ascii="Arial" w:hAnsi="Arial" w:cs="Arial"/>
        </w:rPr>
        <w:t>Positive Behaviour Management strategies often promote individual praise</w:t>
      </w:r>
      <w:r w:rsidR="00611CB7">
        <w:rPr>
          <w:rFonts w:ascii="Arial" w:hAnsi="Arial" w:cs="Arial"/>
        </w:rPr>
        <w:t xml:space="preserve"> (Williams, 2018, p. 21)</w:t>
      </w:r>
      <w:r>
        <w:rPr>
          <w:rFonts w:ascii="Arial" w:hAnsi="Arial" w:cs="Arial"/>
        </w:rPr>
        <w:t xml:space="preserve">. By offering individual praise to students who responded to the attention grabber immediately, the desired behaviour is highlighted </w:t>
      </w:r>
      <w:r w:rsidR="00F4742E">
        <w:rPr>
          <w:rFonts w:ascii="Arial" w:hAnsi="Arial" w:cs="Arial"/>
        </w:rPr>
        <w:t>clearly,</w:t>
      </w:r>
      <w:r>
        <w:rPr>
          <w:rFonts w:ascii="Arial" w:hAnsi="Arial" w:cs="Arial"/>
        </w:rPr>
        <w:t xml:space="preserve"> and others are motivated through a desire for similar praise. For example, “Well done Sioned, you were showing fantastic listening” or “Excellent effort there Musa, you were trying your best </w:t>
      </w:r>
      <w:r w:rsidR="00EF2F2B">
        <w:rPr>
          <w:rFonts w:ascii="Arial" w:hAnsi="Arial" w:cs="Arial"/>
        </w:rPr>
        <w:t xml:space="preserve">and </w:t>
      </w:r>
      <w:r>
        <w:rPr>
          <w:rFonts w:ascii="Arial" w:hAnsi="Arial" w:cs="Arial"/>
        </w:rPr>
        <w:t xml:space="preserve">we love to see that in our class.” </w:t>
      </w:r>
      <w:r w:rsidR="008719A0">
        <w:rPr>
          <w:rFonts w:ascii="Arial" w:hAnsi="Arial" w:cs="Arial"/>
        </w:rPr>
        <w:t>A merit of this approach is that it provides a chance for students who reliably follow instructions to be praised. Behaviour management can often unintentionally focus attention on children who are not following the instructions, and children who frequently listen and follow instructions may receive less attention and praise as a result. However, a drawback of this approach is that it may create an expectation among the students that every child who follows the instructions will receive individual praise which, unless in a small group, is not feasible and would derail the lesson. There is a risk of disappointment among students who may internalise the message that it is not worth following the instructions as they are not guaranteed to be praised and recognised for their effort.</w:t>
      </w:r>
    </w:p>
    <w:p w14:paraId="260C3553" w14:textId="5FD0427D" w:rsidR="008719A0" w:rsidRDefault="008719A0" w:rsidP="007E45A0">
      <w:pPr>
        <w:spacing w:line="480" w:lineRule="auto"/>
        <w:rPr>
          <w:rFonts w:ascii="Arial" w:hAnsi="Arial" w:cs="Arial"/>
        </w:rPr>
      </w:pPr>
      <w:r>
        <w:rPr>
          <w:rFonts w:ascii="Arial" w:hAnsi="Arial" w:cs="Arial"/>
        </w:rPr>
        <w:tab/>
        <w:t>An alternative approach here follows a similar line of individual praise but instead of recognising this verbally, teachers could recognise this through a points system, such as ClassDojo. As evidenced in the literature review,</w:t>
      </w:r>
      <w:r w:rsidR="00611CB7">
        <w:rPr>
          <w:rFonts w:ascii="Arial" w:hAnsi="Arial" w:cs="Arial"/>
        </w:rPr>
        <w:t xml:space="preserve"> some studies have shown a positive correlation between the use of token economies and student learning behaviour (</w:t>
      </w:r>
      <w:proofErr w:type="spellStart"/>
      <w:r w:rsidR="00611CB7">
        <w:rPr>
          <w:rFonts w:ascii="Arial" w:hAnsi="Arial" w:cs="Arial"/>
        </w:rPr>
        <w:t>Siochrú</w:t>
      </w:r>
      <w:proofErr w:type="spellEnd"/>
      <w:r w:rsidR="00611CB7">
        <w:rPr>
          <w:rFonts w:ascii="Arial" w:hAnsi="Arial" w:cs="Arial"/>
        </w:rPr>
        <w:t>, 2018, p. 151).</w:t>
      </w:r>
      <w:r>
        <w:rPr>
          <w:rFonts w:ascii="Arial" w:hAnsi="Arial" w:cs="Arial"/>
        </w:rPr>
        <w:t xml:space="preserve"> Additionally, the use of incentives can increase motivation and engagement, while encouraging healthy attitudes towards competition</w:t>
      </w:r>
      <w:r w:rsidR="00611CB7">
        <w:rPr>
          <w:rFonts w:ascii="Arial" w:hAnsi="Arial" w:cs="Arial"/>
        </w:rPr>
        <w:t xml:space="preserve"> (</w:t>
      </w:r>
      <w:proofErr w:type="spellStart"/>
      <w:r w:rsidR="00611CB7">
        <w:rPr>
          <w:rFonts w:ascii="Arial" w:hAnsi="Arial" w:cs="Arial"/>
        </w:rPr>
        <w:t>Shindler</w:t>
      </w:r>
      <w:proofErr w:type="spellEnd"/>
      <w:r w:rsidR="00611CB7">
        <w:rPr>
          <w:rFonts w:ascii="Arial" w:hAnsi="Arial" w:cs="Arial"/>
        </w:rPr>
        <w:t>, J.</w:t>
      </w:r>
      <w:r w:rsidR="00611CB7">
        <w:rPr>
          <w:rFonts w:ascii="Arial" w:hAnsi="Arial" w:cs="Arial"/>
        </w:rPr>
        <w:t xml:space="preserve">, </w:t>
      </w:r>
      <w:r w:rsidR="00611CB7">
        <w:rPr>
          <w:rFonts w:ascii="Arial" w:hAnsi="Arial" w:cs="Arial"/>
        </w:rPr>
        <w:t>2010)</w:t>
      </w:r>
      <w:r>
        <w:rPr>
          <w:rFonts w:ascii="Arial" w:hAnsi="Arial" w:cs="Arial"/>
        </w:rPr>
        <w:t xml:space="preserve">. However, there is a risk of creating a classroom </w:t>
      </w:r>
      <w:r>
        <w:rPr>
          <w:rFonts w:ascii="Arial" w:hAnsi="Arial" w:cs="Arial"/>
        </w:rPr>
        <w:lastRenderedPageBreak/>
        <w:t xml:space="preserve">culture where students only display desired behaviour if they believe that they will receive a reward. </w:t>
      </w:r>
    </w:p>
    <w:p w14:paraId="1485EFD2" w14:textId="77777777" w:rsidR="00C80880" w:rsidRDefault="008719A0" w:rsidP="007E45A0">
      <w:pPr>
        <w:spacing w:line="480" w:lineRule="auto"/>
        <w:rPr>
          <w:rFonts w:ascii="Arial" w:hAnsi="Arial" w:cs="Arial"/>
        </w:rPr>
      </w:pPr>
      <w:r>
        <w:rPr>
          <w:rFonts w:ascii="Arial" w:hAnsi="Arial" w:cs="Arial"/>
        </w:rPr>
        <w:tab/>
        <w:t>These two approaches both have their advantages and disadvantages, but on reflection, verbal reinforcement would be more appropriate for a situation such as the one observed in the lesson. It still praises the individual, clearly shows the teacher’s expectations of desired behaviour, and motivates other students to imitate the praised behaviour. Moreover, tracking an individualised points system in a classroom can be time-consuming and the purpose of the attention grabber here is to create a smooth transition between the writing activity and the group discussion. Pausing to consult a points chart could distract</w:t>
      </w:r>
      <w:r w:rsidR="00C80880">
        <w:rPr>
          <w:rFonts w:ascii="Arial" w:hAnsi="Arial" w:cs="Arial"/>
        </w:rPr>
        <w:t xml:space="preserve"> the students and counteract the effect of the attention grabber. </w:t>
      </w:r>
    </w:p>
    <w:p w14:paraId="556932C2" w14:textId="1286DE86" w:rsidR="00C80880" w:rsidRDefault="00C80880" w:rsidP="007E45A0">
      <w:pPr>
        <w:spacing w:line="480" w:lineRule="auto"/>
        <w:rPr>
          <w:rFonts w:ascii="Arial" w:hAnsi="Arial" w:cs="Arial"/>
        </w:rPr>
      </w:pPr>
      <w:r>
        <w:rPr>
          <w:rFonts w:ascii="Arial" w:hAnsi="Arial" w:cs="Arial"/>
        </w:rPr>
        <w:tab/>
        <w:t xml:space="preserve">The teacher’s use of praise and competitiveness worked well in this instance, but practitioners should exercise caution when bringing competitiveness into the classroom. Too much or too little would be ineffective, and it is important to consider the </w:t>
      </w:r>
      <w:r w:rsidR="00B24E5B">
        <w:rPr>
          <w:rFonts w:ascii="Arial" w:hAnsi="Arial" w:cs="Arial"/>
        </w:rPr>
        <w:t>group</w:t>
      </w:r>
      <w:r>
        <w:rPr>
          <w:rFonts w:ascii="Arial" w:hAnsi="Arial" w:cs="Arial"/>
        </w:rPr>
        <w:t xml:space="preserve"> of students in the class and whether they would respond well to the use of competitiveness in lessons. </w:t>
      </w:r>
    </w:p>
    <w:p w14:paraId="13098FA5" w14:textId="15197353" w:rsidR="00C80880" w:rsidRDefault="00C80880" w:rsidP="007E45A0">
      <w:pPr>
        <w:spacing w:line="480" w:lineRule="auto"/>
        <w:rPr>
          <w:rFonts w:ascii="Arial" w:hAnsi="Arial" w:cs="Arial"/>
        </w:rPr>
      </w:pPr>
      <w:r>
        <w:rPr>
          <w:rFonts w:ascii="Arial" w:hAnsi="Arial" w:cs="Arial"/>
        </w:rPr>
        <w:tab/>
        <w:t xml:space="preserve">If, as in this example, a teacher </w:t>
      </w:r>
      <w:r w:rsidR="00B24E5B">
        <w:rPr>
          <w:rFonts w:ascii="Arial" w:hAnsi="Arial" w:cs="Arial"/>
        </w:rPr>
        <w:t>can</w:t>
      </w:r>
      <w:r>
        <w:rPr>
          <w:rFonts w:ascii="Arial" w:hAnsi="Arial" w:cs="Arial"/>
        </w:rPr>
        <w:t xml:space="preserve"> use competitiveness and the students respond well, the teacher could consider furthering the approach by adding a target to incentivise the students. For example, the students currently have a 3-0 score, but if they can reach 5 points, they will receive a class reward. Rewards could include stickers for the class or golden time. However, if a particular student is not in the class on the day of the organised reward, they could feel upset and alienated from the group, resenting being unfairly punished. </w:t>
      </w:r>
    </w:p>
    <w:p w14:paraId="1BE5D75E" w14:textId="77777777" w:rsidR="00D20B98" w:rsidRDefault="00C80880" w:rsidP="0044593E">
      <w:pPr>
        <w:spacing w:line="480" w:lineRule="auto"/>
        <w:rPr>
          <w:rFonts w:ascii="Arial" w:hAnsi="Arial" w:cs="Arial"/>
        </w:rPr>
      </w:pPr>
      <w:r>
        <w:rPr>
          <w:rFonts w:ascii="Arial" w:hAnsi="Arial" w:cs="Arial"/>
        </w:rPr>
        <w:tab/>
        <w:t xml:space="preserve">If this incident occurred in a class in which the teacher finds that competitiveness does not work well, then verbal praise could be used here to </w:t>
      </w:r>
      <w:r>
        <w:rPr>
          <w:rFonts w:ascii="Arial" w:hAnsi="Arial" w:cs="Arial"/>
        </w:rPr>
        <w:lastRenderedPageBreak/>
        <w:t>reinforce the desired behaviour following the response to the attention grabber. This could include telling the students that they have made the teacher happy or proud with their behaviour, or that the teacher is going to tell another member of staff how well the class is doing. As in the original example, pupil progress can also be shown verbally, ensuring that the children are told that they have improved in the desired behaviour. Specific examples to illustrate this would help with giving clear</w:t>
      </w:r>
      <w:r w:rsidR="00D20B98">
        <w:rPr>
          <w:rFonts w:ascii="Arial" w:hAnsi="Arial" w:cs="Arial"/>
        </w:rPr>
        <w:t xml:space="preserve"> praise of their improvement. An advantage of this approach is that it can be quickly and easily incorporated into the lesson without disrupting the focus or flow of learning. It also provides an opportunity to reinforce desired behaviours through praise. Nevertheless, there is no concrete record of verbal praise as in point scoring systems, so students may not remember the interaction or retain the knowledge of the desired behaviour. </w:t>
      </w:r>
    </w:p>
    <w:p w14:paraId="7F3661A0" w14:textId="18661DE7" w:rsidR="009840FE" w:rsidRDefault="00D20B98" w:rsidP="0044593E">
      <w:pPr>
        <w:spacing w:line="480" w:lineRule="auto"/>
        <w:rPr>
          <w:rFonts w:ascii="Arial" w:hAnsi="Arial" w:cs="Arial"/>
        </w:rPr>
      </w:pPr>
      <w:r>
        <w:rPr>
          <w:rFonts w:ascii="Arial" w:hAnsi="Arial" w:cs="Arial"/>
        </w:rPr>
        <w:t xml:space="preserve"> </w:t>
      </w:r>
    </w:p>
    <w:p w14:paraId="1729A2AF" w14:textId="3FDAFD56" w:rsidR="00D902D3" w:rsidRPr="00436223" w:rsidRDefault="00D902D3" w:rsidP="0044593E">
      <w:pPr>
        <w:spacing w:line="480" w:lineRule="auto"/>
        <w:jc w:val="center"/>
        <w:rPr>
          <w:rFonts w:ascii="Arial" w:hAnsi="Arial" w:cs="Arial"/>
          <w:b/>
          <w:bCs/>
          <w:u w:val="single"/>
        </w:rPr>
      </w:pPr>
      <w:r w:rsidRPr="00436223">
        <w:rPr>
          <w:rFonts w:ascii="Arial" w:hAnsi="Arial" w:cs="Arial"/>
          <w:b/>
          <w:bCs/>
          <w:u w:val="single"/>
        </w:rPr>
        <w:t>Conclusion</w:t>
      </w:r>
    </w:p>
    <w:p w14:paraId="30014D4F" w14:textId="60CF8BD1" w:rsidR="0044593E" w:rsidRDefault="00436223" w:rsidP="0044593E">
      <w:pPr>
        <w:spacing w:line="480" w:lineRule="auto"/>
        <w:rPr>
          <w:rFonts w:ascii="Arial" w:hAnsi="Arial" w:cs="Arial"/>
        </w:rPr>
      </w:pPr>
      <w:r w:rsidRPr="00436223">
        <w:rPr>
          <w:rFonts w:ascii="Arial" w:hAnsi="Arial" w:cs="Arial"/>
        </w:rPr>
        <w:tab/>
      </w:r>
      <w:r w:rsidR="0099761E">
        <w:rPr>
          <w:rFonts w:ascii="Arial" w:hAnsi="Arial" w:cs="Arial"/>
        </w:rPr>
        <w:t>This analysis has</w:t>
      </w:r>
      <w:r w:rsidR="0044593E">
        <w:rPr>
          <w:rFonts w:ascii="Arial" w:hAnsi="Arial" w:cs="Arial"/>
        </w:rPr>
        <w:t xml:space="preserve"> attempted to address the observed event, to reflect and analyse, and to create a critical incident. Research has been compiled from the fields of behaviourism, motivation, and positive behaviour management. The observed incident has been evaluated with awareness of learning methods and theories and was then discussed and analysed. </w:t>
      </w:r>
    </w:p>
    <w:p w14:paraId="3D889ABA" w14:textId="54DB8BB6" w:rsidR="00765E62" w:rsidRDefault="0044593E" w:rsidP="0044593E">
      <w:pPr>
        <w:spacing w:line="480" w:lineRule="auto"/>
        <w:rPr>
          <w:rFonts w:ascii="Arial" w:hAnsi="Arial" w:cs="Arial"/>
        </w:rPr>
      </w:pPr>
      <w:r>
        <w:rPr>
          <w:rFonts w:ascii="Arial" w:hAnsi="Arial" w:cs="Arial"/>
        </w:rPr>
        <w:tab/>
        <w:t xml:space="preserve">The observed teacher’s practice showed strong correlation to educational theories and research, and their actions appeared to have a positive effect on the focus and motivation of the class. Reflection on this incident has raised many explanations of behaviour and many possible teacher responses. The process has raised more questions than initially comprehended and has created a strong opportunity for critical development and professional growth. </w:t>
      </w:r>
    </w:p>
    <w:p w14:paraId="1569D132" w14:textId="5FA07B5E" w:rsidR="00765E62" w:rsidRPr="00436223" w:rsidRDefault="00765E62" w:rsidP="00765E62">
      <w:pPr>
        <w:spacing w:line="480" w:lineRule="auto"/>
        <w:jc w:val="center"/>
        <w:rPr>
          <w:rFonts w:ascii="Arial" w:hAnsi="Arial" w:cs="Arial"/>
          <w:b/>
          <w:bCs/>
          <w:u w:val="single"/>
        </w:rPr>
      </w:pPr>
      <w:r>
        <w:rPr>
          <w:rFonts w:ascii="Arial" w:hAnsi="Arial" w:cs="Arial"/>
          <w:b/>
          <w:bCs/>
          <w:u w:val="single"/>
        </w:rPr>
        <w:lastRenderedPageBreak/>
        <w:t>Bibliography</w:t>
      </w:r>
    </w:p>
    <w:p w14:paraId="14F1A594" w14:textId="52E7CF21" w:rsidR="00765E62" w:rsidRDefault="00765E62" w:rsidP="00765E62">
      <w:pPr>
        <w:spacing w:line="480" w:lineRule="auto"/>
        <w:rPr>
          <w:rFonts w:ascii="Arial" w:hAnsi="Arial" w:cs="Arial"/>
        </w:rPr>
      </w:pPr>
      <w:r>
        <w:rPr>
          <w:rFonts w:ascii="Arial" w:hAnsi="Arial" w:cs="Arial"/>
        </w:rPr>
        <w:t xml:space="preserve">Pavlov, I. (1997) ‘Excerpts from </w:t>
      </w:r>
      <w:r>
        <w:rPr>
          <w:rFonts w:ascii="Arial" w:hAnsi="Arial" w:cs="Arial"/>
          <w:i/>
          <w:iCs/>
        </w:rPr>
        <w:t xml:space="preserve">The Work of the Digestive Glands’ </w:t>
      </w:r>
      <w:r w:rsidRPr="008D2AB0">
        <w:rPr>
          <w:rFonts w:ascii="Arial" w:hAnsi="Arial" w:cs="Arial"/>
        </w:rPr>
        <w:t>(W.</w:t>
      </w:r>
      <w:r>
        <w:rPr>
          <w:rFonts w:ascii="Arial" w:hAnsi="Arial" w:cs="Arial"/>
        </w:rPr>
        <w:t xml:space="preserve"> </w:t>
      </w:r>
      <w:r w:rsidRPr="008D2AB0">
        <w:rPr>
          <w:rFonts w:ascii="Arial" w:hAnsi="Arial" w:cs="Arial"/>
        </w:rPr>
        <w:t>Thompson, Trans.)</w:t>
      </w:r>
      <w:r>
        <w:rPr>
          <w:rFonts w:ascii="Arial" w:hAnsi="Arial" w:cs="Arial"/>
          <w:i/>
          <w:iCs/>
        </w:rPr>
        <w:t xml:space="preserve"> American Psychologist</w:t>
      </w:r>
      <w:r>
        <w:rPr>
          <w:rFonts w:ascii="Arial" w:hAnsi="Arial" w:cs="Arial"/>
        </w:rPr>
        <w:t>, 52(9), 936-940</w:t>
      </w:r>
    </w:p>
    <w:p w14:paraId="35D18C27" w14:textId="77777777" w:rsidR="00722906" w:rsidRDefault="00722906" w:rsidP="00765E62">
      <w:pPr>
        <w:spacing w:line="480" w:lineRule="auto"/>
        <w:rPr>
          <w:rFonts w:ascii="Arial" w:hAnsi="Arial" w:cs="Arial"/>
        </w:rPr>
      </w:pPr>
    </w:p>
    <w:p w14:paraId="3F8E88BB" w14:textId="719C4BA3" w:rsidR="00765E62" w:rsidRDefault="00722906" w:rsidP="00765E62">
      <w:pPr>
        <w:spacing w:line="480" w:lineRule="auto"/>
        <w:rPr>
          <w:rFonts w:ascii="Arial" w:hAnsi="Arial" w:cs="Arial"/>
        </w:rPr>
      </w:pPr>
      <w:r>
        <w:rPr>
          <w:rFonts w:ascii="Arial" w:hAnsi="Arial" w:cs="Arial"/>
        </w:rPr>
        <w:t xml:space="preserve">Adams, M. (2020) ‘The kingdom of dogs: Understanding Pavlov’s experiments as human-animal relationships’, </w:t>
      </w:r>
      <w:r>
        <w:rPr>
          <w:rFonts w:ascii="Arial" w:hAnsi="Arial" w:cs="Arial"/>
          <w:i/>
          <w:iCs/>
        </w:rPr>
        <w:t>Theory &amp; Psychology</w:t>
      </w:r>
      <w:r>
        <w:rPr>
          <w:rFonts w:ascii="Arial" w:hAnsi="Arial" w:cs="Arial"/>
        </w:rPr>
        <w:t>, 30(1), pp. 121-141</w:t>
      </w:r>
    </w:p>
    <w:p w14:paraId="7DDA0CFA" w14:textId="77777777" w:rsidR="00722906" w:rsidRDefault="00722906" w:rsidP="00765E62">
      <w:pPr>
        <w:spacing w:line="480" w:lineRule="auto"/>
        <w:rPr>
          <w:rFonts w:ascii="Arial" w:hAnsi="Arial" w:cs="Arial"/>
        </w:rPr>
      </w:pPr>
    </w:p>
    <w:p w14:paraId="37B50F2B" w14:textId="2BE777E1" w:rsidR="00722906" w:rsidRDefault="00722906" w:rsidP="00765E62">
      <w:pPr>
        <w:spacing w:line="480" w:lineRule="auto"/>
        <w:rPr>
          <w:rFonts w:ascii="Arial" w:hAnsi="Arial" w:cs="Arial"/>
        </w:rPr>
      </w:pPr>
      <w:r>
        <w:rPr>
          <w:rFonts w:ascii="Arial" w:hAnsi="Arial" w:cs="Arial"/>
        </w:rPr>
        <w:t xml:space="preserve">Clark, R. (2004) ‘The classical origins of Pavlov’s conditioning’ </w:t>
      </w:r>
      <w:r>
        <w:rPr>
          <w:rFonts w:ascii="Arial" w:hAnsi="Arial" w:cs="Arial"/>
          <w:i/>
          <w:iCs/>
        </w:rPr>
        <w:t>Integrative Physiological &amp; Behavioural Science</w:t>
      </w:r>
      <w:r>
        <w:rPr>
          <w:rFonts w:ascii="Arial" w:hAnsi="Arial" w:cs="Arial"/>
        </w:rPr>
        <w:t>, 39(4), pp. 279-294</w:t>
      </w:r>
    </w:p>
    <w:p w14:paraId="4E2BF77C" w14:textId="77777777" w:rsidR="00722906" w:rsidRDefault="00722906" w:rsidP="00765E62">
      <w:pPr>
        <w:spacing w:line="480" w:lineRule="auto"/>
        <w:rPr>
          <w:rFonts w:ascii="Arial" w:hAnsi="Arial" w:cs="Arial"/>
        </w:rPr>
      </w:pPr>
    </w:p>
    <w:p w14:paraId="3E15C36A" w14:textId="625CFE68" w:rsidR="00722906" w:rsidRDefault="00722906" w:rsidP="00765E62">
      <w:pPr>
        <w:spacing w:line="480" w:lineRule="auto"/>
        <w:rPr>
          <w:rFonts w:ascii="Arial" w:hAnsi="Arial" w:cs="Arial"/>
        </w:rPr>
      </w:pPr>
      <w:proofErr w:type="spellStart"/>
      <w:r>
        <w:rPr>
          <w:rFonts w:ascii="Arial" w:hAnsi="Arial" w:cs="Arial"/>
        </w:rPr>
        <w:t>Shimp</w:t>
      </w:r>
      <w:proofErr w:type="spellEnd"/>
      <w:r>
        <w:rPr>
          <w:rFonts w:ascii="Arial" w:hAnsi="Arial" w:cs="Arial"/>
        </w:rPr>
        <w:t xml:space="preserve">, T., Stuart, E., &amp; Engle, R. (1991) ‘A program of classical conditioning experiments testing variations in the conditioned stimulus and context’, </w:t>
      </w:r>
      <w:r>
        <w:rPr>
          <w:rFonts w:ascii="Arial" w:hAnsi="Arial" w:cs="Arial"/>
          <w:i/>
          <w:iCs/>
        </w:rPr>
        <w:t>The Journal of consumer research</w:t>
      </w:r>
      <w:r>
        <w:rPr>
          <w:rFonts w:ascii="Arial" w:hAnsi="Arial" w:cs="Arial"/>
        </w:rPr>
        <w:t>, 18(1), pp. 1-12</w:t>
      </w:r>
    </w:p>
    <w:p w14:paraId="6D832135" w14:textId="77777777" w:rsidR="00722906" w:rsidRDefault="00722906" w:rsidP="00765E62">
      <w:pPr>
        <w:spacing w:line="480" w:lineRule="auto"/>
        <w:rPr>
          <w:rFonts w:ascii="Arial" w:hAnsi="Arial" w:cs="Arial"/>
        </w:rPr>
      </w:pPr>
    </w:p>
    <w:p w14:paraId="74B873F1" w14:textId="141F3CD9" w:rsidR="00722906" w:rsidRDefault="00722906" w:rsidP="00765E62">
      <w:pPr>
        <w:spacing w:line="480" w:lineRule="auto"/>
        <w:rPr>
          <w:rFonts w:ascii="Arial" w:hAnsi="Arial" w:cs="Arial"/>
        </w:rPr>
      </w:pPr>
      <w:r w:rsidRPr="0025486D">
        <w:rPr>
          <w:rFonts w:ascii="Arial" w:hAnsi="Arial" w:cs="Arial"/>
        </w:rPr>
        <w:t>Skinner, B. F. (1938). The behaviour of organisms: an experimental analysis. New York: Appleton-Century</w:t>
      </w:r>
    </w:p>
    <w:p w14:paraId="3B96155A" w14:textId="77777777" w:rsidR="00722906" w:rsidRDefault="00722906" w:rsidP="00765E62">
      <w:pPr>
        <w:spacing w:line="480" w:lineRule="auto"/>
        <w:rPr>
          <w:rFonts w:ascii="Arial" w:hAnsi="Arial" w:cs="Arial"/>
        </w:rPr>
      </w:pPr>
    </w:p>
    <w:p w14:paraId="1F3B2405" w14:textId="67DAC3BA" w:rsidR="00722906" w:rsidRDefault="00722906" w:rsidP="00765E62">
      <w:pPr>
        <w:spacing w:line="480" w:lineRule="auto"/>
        <w:rPr>
          <w:rFonts w:ascii="Arial" w:hAnsi="Arial" w:cs="Arial"/>
        </w:rPr>
      </w:pPr>
      <w:r>
        <w:rPr>
          <w:rFonts w:ascii="Arial" w:hAnsi="Arial" w:cs="Arial"/>
        </w:rPr>
        <w:t xml:space="preserve">Aubrey, K and Riley, A (2016) </w:t>
      </w:r>
      <w:r>
        <w:rPr>
          <w:rFonts w:ascii="Arial" w:hAnsi="Arial" w:cs="Arial"/>
          <w:i/>
          <w:iCs/>
        </w:rPr>
        <w:t>Understanding &amp; Using Educational Theories</w:t>
      </w:r>
      <w:r>
        <w:rPr>
          <w:rFonts w:ascii="Arial" w:hAnsi="Arial" w:cs="Arial"/>
        </w:rPr>
        <w:t xml:space="preserve"> London: Sage Publications Ltd.</w:t>
      </w:r>
    </w:p>
    <w:p w14:paraId="47F881FA" w14:textId="77777777" w:rsidR="00722906" w:rsidRDefault="00722906" w:rsidP="00765E62">
      <w:pPr>
        <w:spacing w:line="480" w:lineRule="auto"/>
        <w:rPr>
          <w:rFonts w:ascii="Arial" w:hAnsi="Arial" w:cs="Arial"/>
        </w:rPr>
      </w:pPr>
    </w:p>
    <w:p w14:paraId="2D9BD313" w14:textId="6694919F" w:rsidR="00722906" w:rsidRDefault="00654F8F" w:rsidP="00765E62">
      <w:pPr>
        <w:spacing w:line="480" w:lineRule="auto"/>
        <w:rPr>
          <w:rFonts w:ascii="Arial" w:hAnsi="Arial" w:cs="Arial"/>
        </w:rPr>
      </w:pPr>
      <w:proofErr w:type="spellStart"/>
      <w:r w:rsidRPr="0025486D">
        <w:rPr>
          <w:rFonts w:ascii="Arial" w:hAnsi="Arial" w:cs="Arial"/>
        </w:rPr>
        <w:t>Ayllon</w:t>
      </w:r>
      <w:proofErr w:type="spellEnd"/>
      <w:r w:rsidRPr="0025486D">
        <w:rPr>
          <w:rFonts w:ascii="Arial" w:hAnsi="Arial" w:cs="Arial"/>
        </w:rPr>
        <w:t xml:space="preserve">, T., &amp; </w:t>
      </w:r>
      <w:proofErr w:type="spellStart"/>
      <w:r w:rsidRPr="0025486D">
        <w:rPr>
          <w:rFonts w:ascii="Arial" w:hAnsi="Arial" w:cs="Arial"/>
        </w:rPr>
        <w:t>Azrin</w:t>
      </w:r>
      <w:proofErr w:type="spellEnd"/>
      <w:r w:rsidRPr="0025486D">
        <w:rPr>
          <w:rFonts w:ascii="Arial" w:hAnsi="Arial" w:cs="Arial"/>
        </w:rPr>
        <w:t>, N. (1968) </w:t>
      </w:r>
      <w:r w:rsidRPr="0025486D">
        <w:rPr>
          <w:rFonts w:ascii="Arial" w:hAnsi="Arial" w:cs="Arial"/>
          <w:i/>
          <w:iCs/>
        </w:rPr>
        <w:t>The token economy: A motivational system for therapy and rehabilitation</w:t>
      </w:r>
      <w:r w:rsidRPr="0025486D">
        <w:rPr>
          <w:rFonts w:ascii="Arial" w:hAnsi="Arial" w:cs="Arial"/>
        </w:rPr>
        <w:t>. </w:t>
      </w:r>
      <w:r>
        <w:rPr>
          <w:rFonts w:ascii="Arial" w:hAnsi="Arial" w:cs="Arial"/>
        </w:rPr>
        <w:t xml:space="preserve">New York: </w:t>
      </w:r>
      <w:r w:rsidRPr="0025486D">
        <w:rPr>
          <w:rFonts w:ascii="Arial" w:hAnsi="Arial" w:cs="Arial"/>
        </w:rPr>
        <w:t>Appleton-Century</w:t>
      </w:r>
      <w:r>
        <w:rPr>
          <w:rFonts w:ascii="Arial" w:hAnsi="Arial" w:cs="Arial"/>
        </w:rPr>
        <w:t>.</w:t>
      </w:r>
    </w:p>
    <w:p w14:paraId="094E42C6" w14:textId="77777777" w:rsidR="00654F8F" w:rsidRDefault="00654F8F" w:rsidP="00765E62">
      <w:pPr>
        <w:spacing w:line="480" w:lineRule="auto"/>
        <w:rPr>
          <w:rFonts w:ascii="Arial" w:hAnsi="Arial" w:cs="Arial"/>
        </w:rPr>
      </w:pPr>
    </w:p>
    <w:p w14:paraId="1958FED7" w14:textId="1003C1F1" w:rsidR="00654F8F" w:rsidRDefault="00654F8F" w:rsidP="00765E62">
      <w:pPr>
        <w:spacing w:line="480" w:lineRule="auto"/>
        <w:rPr>
          <w:rFonts w:ascii="Arial" w:hAnsi="Arial" w:cs="Arial"/>
        </w:rPr>
      </w:pPr>
      <w:r w:rsidRPr="00F16D29">
        <w:rPr>
          <w:rFonts w:ascii="Arial" w:hAnsi="Arial" w:cs="Arial"/>
        </w:rPr>
        <w:lastRenderedPageBreak/>
        <w:t xml:space="preserve">Lawrence, L. O. and </w:t>
      </w:r>
      <w:proofErr w:type="spellStart"/>
      <w:r w:rsidRPr="00F16D29">
        <w:rPr>
          <w:rFonts w:ascii="Arial" w:hAnsi="Arial" w:cs="Arial"/>
        </w:rPr>
        <w:t>Muathe</w:t>
      </w:r>
      <w:proofErr w:type="spellEnd"/>
      <w:r w:rsidRPr="00F16D29">
        <w:rPr>
          <w:rFonts w:ascii="Arial" w:hAnsi="Arial" w:cs="Arial"/>
        </w:rPr>
        <w:t>, S. M. (2022) “Do customer loyalty programs enhance customers buying behaviour in supermarkets in Kenya?”,</w:t>
      </w:r>
      <w:r w:rsidRPr="00F16D29">
        <w:rPr>
          <w:rStyle w:val="apple-converted-space"/>
          <w:rFonts w:ascii="Arial" w:hAnsi="Arial" w:cs="Arial"/>
        </w:rPr>
        <w:t> </w:t>
      </w:r>
      <w:r w:rsidRPr="00F16D29">
        <w:rPr>
          <w:rFonts w:ascii="Arial" w:hAnsi="Arial" w:cs="Arial"/>
          <w:i/>
          <w:iCs/>
        </w:rPr>
        <w:t>International Journal of Research in Business and Social Science (2147- 4478)</w:t>
      </w:r>
      <w:r w:rsidRPr="00F16D29">
        <w:rPr>
          <w:rFonts w:ascii="Arial" w:hAnsi="Arial" w:cs="Arial"/>
        </w:rPr>
        <w:t>, 11(3), pp. 01–15.</w:t>
      </w:r>
    </w:p>
    <w:p w14:paraId="3F6A2F10" w14:textId="77777777" w:rsidR="00654F8F" w:rsidRDefault="00654F8F" w:rsidP="00765E62">
      <w:pPr>
        <w:spacing w:line="480" w:lineRule="auto"/>
        <w:rPr>
          <w:rFonts w:ascii="Arial" w:hAnsi="Arial" w:cs="Arial"/>
        </w:rPr>
      </w:pPr>
    </w:p>
    <w:p w14:paraId="73CAFA73" w14:textId="4CF6F853" w:rsidR="00654F8F" w:rsidRDefault="00654F8F" w:rsidP="00765E62">
      <w:pPr>
        <w:spacing w:line="480" w:lineRule="auto"/>
        <w:rPr>
          <w:rFonts w:ascii="Arial" w:hAnsi="Arial" w:cs="Arial"/>
        </w:rPr>
      </w:pPr>
      <w:r w:rsidRPr="0025486D">
        <w:rPr>
          <w:rFonts w:ascii="Arial" w:hAnsi="Arial" w:cs="Arial"/>
        </w:rPr>
        <w:t>Bronfenbrenner, U. </w:t>
      </w:r>
      <w:r>
        <w:rPr>
          <w:rFonts w:ascii="Arial" w:hAnsi="Arial" w:cs="Arial"/>
        </w:rPr>
        <w:t xml:space="preserve">(1979) </w:t>
      </w:r>
      <w:r w:rsidRPr="0025486D">
        <w:rPr>
          <w:rFonts w:ascii="Arial" w:hAnsi="Arial" w:cs="Arial"/>
          <w:i/>
          <w:iCs/>
        </w:rPr>
        <w:t>The Ecology of Human Development: Experiments by Nature and Design</w:t>
      </w:r>
      <w:r w:rsidRPr="0025486D">
        <w:rPr>
          <w:rFonts w:ascii="Arial" w:hAnsi="Arial" w:cs="Arial"/>
        </w:rPr>
        <w:t xml:space="preserve"> </w:t>
      </w:r>
      <w:r>
        <w:rPr>
          <w:rFonts w:ascii="Arial" w:hAnsi="Arial" w:cs="Arial"/>
        </w:rPr>
        <w:t xml:space="preserve">Cambridge, MA: </w:t>
      </w:r>
      <w:r w:rsidRPr="0025486D">
        <w:rPr>
          <w:rFonts w:ascii="Arial" w:hAnsi="Arial" w:cs="Arial"/>
        </w:rPr>
        <w:t>Harvard University Press</w:t>
      </w:r>
    </w:p>
    <w:p w14:paraId="6923FD8E" w14:textId="77777777" w:rsidR="00AD5374" w:rsidRDefault="00AD5374" w:rsidP="00765E62">
      <w:pPr>
        <w:spacing w:line="480" w:lineRule="auto"/>
        <w:rPr>
          <w:rFonts w:ascii="Arial" w:hAnsi="Arial" w:cs="Arial"/>
        </w:rPr>
      </w:pPr>
    </w:p>
    <w:p w14:paraId="6DEBD5CC" w14:textId="0B75D5F1" w:rsidR="00AD5374" w:rsidRDefault="00AD5374" w:rsidP="00765E62">
      <w:pPr>
        <w:spacing w:line="480" w:lineRule="auto"/>
        <w:rPr>
          <w:rFonts w:ascii="Arial" w:hAnsi="Arial" w:cs="Arial"/>
        </w:rPr>
      </w:pPr>
      <w:r w:rsidRPr="00645FDE">
        <w:rPr>
          <w:rFonts w:ascii="Arial" w:hAnsi="Arial" w:cs="Arial"/>
          <w:color w:val="000000" w:themeColor="text1"/>
          <w:shd w:val="clear" w:color="auto" w:fill="FFFFFF"/>
        </w:rPr>
        <w:t xml:space="preserve">Bandura, A. (1962). </w:t>
      </w:r>
      <w:r>
        <w:rPr>
          <w:rFonts w:ascii="Arial" w:hAnsi="Arial" w:cs="Arial"/>
          <w:color w:val="000000" w:themeColor="text1"/>
          <w:shd w:val="clear" w:color="auto" w:fill="FFFFFF"/>
        </w:rPr>
        <w:t>‘</w:t>
      </w:r>
      <w:r w:rsidRPr="00645FDE">
        <w:rPr>
          <w:rFonts w:ascii="Arial" w:hAnsi="Arial" w:cs="Arial"/>
          <w:color w:val="000000" w:themeColor="text1"/>
          <w:shd w:val="clear" w:color="auto" w:fill="FFFFFF"/>
        </w:rPr>
        <w:t>Social learning through imitation</w:t>
      </w:r>
      <w:r>
        <w:rPr>
          <w:rFonts w:ascii="Arial" w:hAnsi="Arial" w:cs="Arial"/>
          <w:color w:val="000000" w:themeColor="text1"/>
          <w:shd w:val="clear" w:color="auto" w:fill="FFFFFF"/>
        </w:rPr>
        <w:t>’ i</w:t>
      </w:r>
      <w:r w:rsidRPr="00645FDE">
        <w:rPr>
          <w:rFonts w:ascii="Arial" w:hAnsi="Arial" w:cs="Arial"/>
          <w:color w:val="000000" w:themeColor="text1"/>
          <w:shd w:val="clear" w:color="auto" w:fill="FFFFFF"/>
        </w:rPr>
        <w:t>n Jones</w:t>
      </w:r>
      <w:r>
        <w:rPr>
          <w:rFonts w:ascii="Arial" w:hAnsi="Arial" w:cs="Arial"/>
          <w:color w:val="000000" w:themeColor="text1"/>
          <w:shd w:val="clear" w:color="auto" w:fill="FFFFFF"/>
        </w:rPr>
        <w:t xml:space="preserve">, M. </w:t>
      </w:r>
      <w:r w:rsidRPr="00645FDE">
        <w:rPr>
          <w:rFonts w:ascii="Arial" w:hAnsi="Arial" w:cs="Arial"/>
          <w:color w:val="000000" w:themeColor="text1"/>
          <w:shd w:val="clear" w:color="auto" w:fill="FFFFFF"/>
        </w:rPr>
        <w:t>(Ed.),</w:t>
      </w:r>
      <w:r w:rsidRPr="00645FDE">
        <w:rPr>
          <w:rStyle w:val="apple-converted-space"/>
          <w:rFonts w:ascii="Arial" w:hAnsi="Arial" w:cs="Arial"/>
          <w:color w:val="000000" w:themeColor="text1"/>
          <w:shd w:val="clear" w:color="auto" w:fill="FFFFFF"/>
        </w:rPr>
        <w:t> </w:t>
      </w:r>
      <w:r w:rsidRPr="00645FDE">
        <w:rPr>
          <w:rStyle w:val="Emphasis"/>
          <w:rFonts w:ascii="Arial" w:hAnsi="Arial" w:cs="Arial"/>
          <w:color w:val="000000" w:themeColor="text1"/>
        </w:rPr>
        <w:t>Nebraska Symposium on Motivation</w:t>
      </w:r>
      <w:r w:rsidRPr="00645FDE">
        <w:rPr>
          <w:rStyle w:val="apple-converted-space"/>
          <w:rFonts w:ascii="Arial" w:hAnsi="Arial" w:cs="Arial"/>
          <w:color w:val="000000" w:themeColor="text1"/>
          <w:shd w:val="clear" w:color="auto" w:fill="FFFFFF"/>
        </w:rPr>
        <w:t> </w:t>
      </w:r>
      <w:r w:rsidRPr="00645FDE">
        <w:rPr>
          <w:rFonts w:ascii="Arial" w:hAnsi="Arial" w:cs="Arial"/>
          <w:color w:val="000000" w:themeColor="text1"/>
          <w:shd w:val="clear" w:color="auto" w:fill="FFFFFF"/>
        </w:rPr>
        <w:t>(pp. 211–2</w:t>
      </w:r>
      <w:r>
        <w:rPr>
          <w:rFonts w:ascii="Arial" w:hAnsi="Arial" w:cs="Arial"/>
          <w:color w:val="000000" w:themeColor="text1"/>
          <w:shd w:val="clear" w:color="auto" w:fill="FFFFFF"/>
        </w:rPr>
        <w:t>69</w:t>
      </w:r>
      <w:r w:rsidRPr="00645FDE">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Lincoln, NE: University of Nebraska Press</w:t>
      </w:r>
    </w:p>
    <w:p w14:paraId="20240E7F" w14:textId="77777777" w:rsidR="00765E62" w:rsidRDefault="00765E62" w:rsidP="00765E62">
      <w:pPr>
        <w:spacing w:line="480" w:lineRule="auto"/>
        <w:rPr>
          <w:rFonts w:ascii="Arial" w:hAnsi="Arial" w:cs="Arial"/>
        </w:rPr>
      </w:pPr>
    </w:p>
    <w:p w14:paraId="53D68527" w14:textId="67BEFDC3" w:rsidR="00AD5374" w:rsidRDefault="00AD5374" w:rsidP="00765E62">
      <w:pPr>
        <w:spacing w:line="480" w:lineRule="auto"/>
        <w:rPr>
          <w:rFonts w:ascii="Arial" w:hAnsi="Arial" w:cs="Arial"/>
        </w:rPr>
      </w:pPr>
      <w:r>
        <w:rPr>
          <w:rFonts w:ascii="Arial" w:hAnsi="Arial" w:cs="Arial"/>
        </w:rPr>
        <w:t xml:space="preserve">Bandura, A., Ross, D. &amp; Ross, S. (1961) ‘Transmission of aggression through imitation of aggressive models’ </w:t>
      </w:r>
      <w:r>
        <w:rPr>
          <w:rFonts w:ascii="Arial" w:hAnsi="Arial" w:cs="Arial"/>
          <w:i/>
          <w:iCs/>
        </w:rPr>
        <w:t>Journal of Abnormal and Social Psychology</w:t>
      </w:r>
      <w:r>
        <w:rPr>
          <w:rFonts w:ascii="Arial" w:hAnsi="Arial" w:cs="Arial"/>
        </w:rPr>
        <w:t>, 63(3), pp. 575-582</w:t>
      </w:r>
    </w:p>
    <w:p w14:paraId="5EE8488B" w14:textId="77777777" w:rsidR="00AD5374" w:rsidRDefault="00AD5374" w:rsidP="00765E62">
      <w:pPr>
        <w:spacing w:line="480" w:lineRule="auto"/>
        <w:rPr>
          <w:rFonts w:ascii="Arial" w:hAnsi="Arial" w:cs="Arial"/>
        </w:rPr>
      </w:pPr>
    </w:p>
    <w:p w14:paraId="33784776" w14:textId="380828AA" w:rsidR="00AD5374" w:rsidRDefault="00AD5374" w:rsidP="00765E62">
      <w:pPr>
        <w:spacing w:line="480" w:lineRule="auto"/>
        <w:rPr>
          <w:rFonts w:ascii="Arial" w:hAnsi="Arial" w:cs="Arial"/>
        </w:rPr>
      </w:pPr>
      <w:r>
        <w:rPr>
          <w:rFonts w:ascii="Arial" w:hAnsi="Arial" w:cs="Arial"/>
        </w:rPr>
        <w:t xml:space="preserve">Maltby, J. et al. (2017) </w:t>
      </w:r>
      <w:r>
        <w:rPr>
          <w:rFonts w:ascii="Arial" w:hAnsi="Arial" w:cs="Arial"/>
          <w:i/>
          <w:iCs/>
        </w:rPr>
        <w:t xml:space="preserve">Personality, Individual </w:t>
      </w:r>
      <w:proofErr w:type="gramStart"/>
      <w:r>
        <w:rPr>
          <w:rFonts w:ascii="Arial" w:hAnsi="Arial" w:cs="Arial"/>
          <w:i/>
          <w:iCs/>
        </w:rPr>
        <w:t>Differences</w:t>
      </w:r>
      <w:proofErr w:type="gramEnd"/>
      <w:r>
        <w:rPr>
          <w:rFonts w:ascii="Arial" w:hAnsi="Arial" w:cs="Arial"/>
          <w:i/>
          <w:iCs/>
        </w:rPr>
        <w:t xml:space="preserve"> and Intelligence</w:t>
      </w:r>
      <w:r>
        <w:rPr>
          <w:rFonts w:ascii="Arial" w:hAnsi="Arial" w:cs="Arial"/>
        </w:rPr>
        <w:t xml:space="preserve"> Harlow: Pearson Education Ltd.</w:t>
      </w:r>
    </w:p>
    <w:p w14:paraId="62894808" w14:textId="77777777" w:rsidR="00AD5374" w:rsidRDefault="00AD5374" w:rsidP="00765E62">
      <w:pPr>
        <w:spacing w:line="480" w:lineRule="auto"/>
        <w:rPr>
          <w:rFonts w:ascii="Arial" w:hAnsi="Arial" w:cs="Arial"/>
        </w:rPr>
      </w:pPr>
    </w:p>
    <w:p w14:paraId="7A6116FB" w14:textId="08994854" w:rsidR="00AD5374" w:rsidRDefault="00AD5374" w:rsidP="00765E62">
      <w:pPr>
        <w:spacing w:line="480" w:lineRule="auto"/>
        <w:rPr>
          <w:rFonts w:ascii="Arial" w:hAnsi="Arial" w:cs="Arial"/>
        </w:rPr>
      </w:pPr>
      <w:proofErr w:type="spellStart"/>
      <w:r>
        <w:rPr>
          <w:rFonts w:ascii="Arial" w:hAnsi="Arial" w:cs="Arial"/>
        </w:rPr>
        <w:t>Dignath</w:t>
      </w:r>
      <w:proofErr w:type="spellEnd"/>
      <w:r>
        <w:rPr>
          <w:rFonts w:ascii="Arial" w:hAnsi="Arial" w:cs="Arial"/>
        </w:rPr>
        <w:t xml:space="preserve">, C., Buettner, G. and </w:t>
      </w:r>
      <w:proofErr w:type="spellStart"/>
      <w:r>
        <w:rPr>
          <w:rFonts w:ascii="Arial" w:hAnsi="Arial" w:cs="Arial"/>
        </w:rPr>
        <w:t>Langfeldt</w:t>
      </w:r>
      <w:proofErr w:type="spellEnd"/>
      <w:r>
        <w:rPr>
          <w:rFonts w:ascii="Arial" w:hAnsi="Arial" w:cs="Arial"/>
        </w:rPr>
        <w:t>, H. (2008) ‘</w:t>
      </w:r>
      <w:r w:rsidRPr="00DC6C3D">
        <w:rPr>
          <w:rFonts w:ascii="Arial" w:hAnsi="Arial" w:cs="Arial"/>
        </w:rPr>
        <w:t>How can primary school students learn self-regulated learning strategies most effectively? A meta-analysis on self-regulation training programmes</w:t>
      </w:r>
      <w:r>
        <w:rPr>
          <w:rFonts w:ascii="Arial" w:hAnsi="Arial" w:cs="Arial"/>
        </w:rPr>
        <w:t xml:space="preserve">’, </w:t>
      </w:r>
      <w:proofErr w:type="gramStart"/>
      <w:r>
        <w:rPr>
          <w:rFonts w:ascii="Arial" w:hAnsi="Arial" w:cs="Arial"/>
          <w:i/>
          <w:iCs/>
        </w:rPr>
        <w:t>Educational</w:t>
      </w:r>
      <w:proofErr w:type="gramEnd"/>
      <w:r>
        <w:rPr>
          <w:rFonts w:ascii="Arial" w:hAnsi="Arial" w:cs="Arial"/>
          <w:i/>
          <w:iCs/>
        </w:rPr>
        <w:t xml:space="preserve"> research review</w:t>
      </w:r>
      <w:r>
        <w:rPr>
          <w:rFonts w:ascii="Arial" w:hAnsi="Arial" w:cs="Arial"/>
        </w:rPr>
        <w:t>, 3(2), pp. 101-129</w:t>
      </w:r>
    </w:p>
    <w:p w14:paraId="28C4CFEF" w14:textId="77777777" w:rsidR="00AD5374" w:rsidRDefault="00AD5374" w:rsidP="00765E62">
      <w:pPr>
        <w:spacing w:line="480" w:lineRule="auto"/>
        <w:rPr>
          <w:rFonts w:ascii="Arial" w:hAnsi="Arial" w:cs="Arial"/>
        </w:rPr>
      </w:pPr>
    </w:p>
    <w:p w14:paraId="729DD4A1" w14:textId="014AB05C" w:rsidR="00AD5374" w:rsidRDefault="00AD5374" w:rsidP="00765E62">
      <w:pPr>
        <w:spacing w:line="480" w:lineRule="auto"/>
        <w:rPr>
          <w:rFonts w:ascii="Arial" w:hAnsi="Arial" w:cs="Arial"/>
        </w:rPr>
      </w:pPr>
      <w:r>
        <w:rPr>
          <w:rFonts w:ascii="Arial" w:hAnsi="Arial" w:cs="Arial"/>
        </w:rPr>
        <w:t xml:space="preserve">Raver, C. &amp; </w:t>
      </w:r>
      <w:proofErr w:type="spellStart"/>
      <w:r>
        <w:rPr>
          <w:rFonts w:ascii="Arial" w:hAnsi="Arial" w:cs="Arial"/>
        </w:rPr>
        <w:t>Knitzer</w:t>
      </w:r>
      <w:proofErr w:type="spellEnd"/>
      <w:r>
        <w:rPr>
          <w:rFonts w:ascii="Arial" w:hAnsi="Arial" w:cs="Arial"/>
        </w:rPr>
        <w:t xml:space="preserve">, J. (2002) </w:t>
      </w:r>
      <w:r w:rsidRPr="0090625D">
        <w:rPr>
          <w:rFonts w:ascii="Arial" w:hAnsi="Arial" w:cs="Arial"/>
          <w:i/>
          <w:iCs/>
        </w:rPr>
        <w:t>Ready to Enter: What Research Tells Policymakers About Strategies to Promote Social and Emotional School Readiness Among Three- and Four- Year- Olds</w:t>
      </w:r>
      <w:r>
        <w:rPr>
          <w:rFonts w:ascii="Arial" w:hAnsi="Arial" w:cs="Arial"/>
        </w:rPr>
        <w:t xml:space="preserve"> Washington DC: National Centre for Children in Poverty</w:t>
      </w:r>
    </w:p>
    <w:p w14:paraId="580DFAE5" w14:textId="77777777" w:rsidR="00AD5374" w:rsidRDefault="00AD5374" w:rsidP="00765E62">
      <w:pPr>
        <w:spacing w:line="480" w:lineRule="auto"/>
        <w:rPr>
          <w:rFonts w:ascii="Arial" w:hAnsi="Arial" w:cs="Arial"/>
        </w:rPr>
      </w:pPr>
    </w:p>
    <w:p w14:paraId="793749E2" w14:textId="5F27CD7D" w:rsidR="00AD5374" w:rsidRDefault="00AD5374" w:rsidP="00765E62">
      <w:pPr>
        <w:spacing w:line="480" w:lineRule="auto"/>
        <w:rPr>
          <w:rFonts w:ascii="Arial" w:hAnsi="Arial" w:cs="Arial"/>
        </w:rPr>
      </w:pPr>
      <w:r>
        <w:rPr>
          <w:rFonts w:ascii="Arial" w:hAnsi="Arial" w:cs="Arial"/>
        </w:rPr>
        <w:lastRenderedPageBreak/>
        <w:t xml:space="preserve">Zimmerman, B. (2001) ‘Achieving </w:t>
      </w:r>
      <w:proofErr w:type="spellStart"/>
      <w:r>
        <w:rPr>
          <w:rFonts w:ascii="Arial" w:hAnsi="Arial" w:cs="Arial"/>
        </w:rPr>
        <w:t>Academin</w:t>
      </w:r>
      <w:proofErr w:type="spellEnd"/>
      <w:r>
        <w:rPr>
          <w:rFonts w:ascii="Arial" w:hAnsi="Arial" w:cs="Arial"/>
        </w:rPr>
        <w:t xml:space="preserve"> Excellence: A Self-Regulatory Perspective’ in </w:t>
      </w:r>
      <w:r>
        <w:rPr>
          <w:rFonts w:ascii="Arial" w:hAnsi="Arial" w:cs="Arial"/>
          <w:i/>
          <w:iCs/>
        </w:rPr>
        <w:t>The Pursuit of Excellence Through Education</w:t>
      </w:r>
      <w:r>
        <w:rPr>
          <w:rFonts w:ascii="Arial" w:hAnsi="Arial" w:cs="Arial"/>
        </w:rPr>
        <w:t xml:space="preserve"> London: Routledge</w:t>
      </w:r>
    </w:p>
    <w:p w14:paraId="46687567" w14:textId="77777777" w:rsidR="00AD5374" w:rsidRDefault="00AD5374" w:rsidP="00765E62">
      <w:pPr>
        <w:spacing w:line="480" w:lineRule="auto"/>
        <w:rPr>
          <w:rFonts w:ascii="Arial" w:hAnsi="Arial" w:cs="Arial"/>
        </w:rPr>
      </w:pPr>
    </w:p>
    <w:p w14:paraId="56C0ACDB" w14:textId="37C51836" w:rsidR="00AD5374" w:rsidRDefault="00AD5374" w:rsidP="00765E62">
      <w:pPr>
        <w:spacing w:line="480" w:lineRule="auto"/>
        <w:rPr>
          <w:rFonts w:ascii="Arial" w:hAnsi="Arial" w:cs="Arial"/>
        </w:rPr>
      </w:pPr>
      <w:r>
        <w:rPr>
          <w:rFonts w:ascii="Arial" w:hAnsi="Arial" w:cs="Arial"/>
        </w:rPr>
        <w:t xml:space="preserve">Heider, F. (1958) </w:t>
      </w:r>
      <w:r>
        <w:rPr>
          <w:rFonts w:ascii="Arial" w:hAnsi="Arial" w:cs="Arial"/>
          <w:i/>
          <w:iCs/>
        </w:rPr>
        <w:t>The psychology of interpersonal relations</w:t>
      </w:r>
      <w:r>
        <w:rPr>
          <w:rFonts w:ascii="Arial" w:hAnsi="Arial" w:cs="Arial"/>
        </w:rPr>
        <w:t xml:space="preserve"> New York: John Wiley &amp; Sons.</w:t>
      </w:r>
    </w:p>
    <w:p w14:paraId="7CE0A3C0" w14:textId="77777777" w:rsidR="00AD5374" w:rsidRDefault="00AD5374" w:rsidP="00765E62">
      <w:pPr>
        <w:spacing w:line="480" w:lineRule="auto"/>
        <w:rPr>
          <w:rFonts w:ascii="Arial" w:hAnsi="Arial" w:cs="Arial"/>
        </w:rPr>
      </w:pPr>
    </w:p>
    <w:p w14:paraId="2DEB730B" w14:textId="40E0FAB0" w:rsidR="00AD5374" w:rsidRDefault="00AD5374" w:rsidP="00765E62">
      <w:pPr>
        <w:spacing w:line="480" w:lineRule="auto"/>
        <w:rPr>
          <w:rFonts w:ascii="Arial" w:hAnsi="Arial" w:cs="Arial"/>
        </w:rPr>
      </w:pPr>
      <w:r>
        <w:rPr>
          <w:rFonts w:ascii="Arial" w:hAnsi="Arial" w:cs="Arial"/>
        </w:rPr>
        <w:t xml:space="preserve">Fishman, E., &amp; </w:t>
      </w:r>
      <w:proofErr w:type="spellStart"/>
      <w:r>
        <w:rPr>
          <w:rFonts w:ascii="Arial" w:hAnsi="Arial" w:cs="Arial"/>
        </w:rPr>
        <w:t>Husman</w:t>
      </w:r>
      <w:proofErr w:type="spellEnd"/>
      <w:r>
        <w:rPr>
          <w:rFonts w:ascii="Arial" w:hAnsi="Arial" w:cs="Arial"/>
        </w:rPr>
        <w:t xml:space="preserve">, J. (2017) ‘Extending Attribution Theory: Considering Students’ Perceived Control of the Attribution Process’ </w:t>
      </w:r>
      <w:r>
        <w:rPr>
          <w:rFonts w:ascii="Arial" w:hAnsi="Arial" w:cs="Arial"/>
          <w:i/>
          <w:iCs/>
        </w:rPr>
        <w:t>Journal of Educational Psychology</w:t>
      </w:r>
      <w:r>
        <w:rPr>
          <w:rFonts w:ascii="Arial" w:hAnsi="Arial" w:cs="Arial"/>
        </w:rPr>
        <w:t>, 109(4), pp. 559-573</w:t>
      </w:r>
    </w:p>
    <w:p w14:paraId="41A51B8F" w14:textId="77777777" w:rsidR="00B67A3E" w:rsidRDefault="00B67A3E" w:rsidP="00765E62">
      <w:pPr>
        <w:spacing w:line="480" w:lineRule="auto"/>
        <w:rPr>
          <w:rFonts w:ascii="Arial" w:hAnsi="Arial" w:cs="Arial"/>
        </w:rPr>
      </w:pPr>
    </w:p>
    <w:p w14:paraId="6701229E" w14:textId="013BAF68" w:rsidR="00B67A3E" w:rsidRDefault="00B67A3E" w:rsidP="00B67A3E">
      <w:pPr>
        <w:spacing w:line="480" w:lineRule="auto"/>
        <w:rPr>
          <w:rFonts w:ascii="Arial" w:hAnsi="Arial" w:cs="Arial"/>
        </w:rPr>
      </w:pPr>
      <w:r>
        <w:rPr>
          <w:rFonts w:ascii="Arial" w:hAnsi="Arial" w:cs="Arial"/>
        </w:rPr>
        <w:t xml:space="preserve">Ryan, R. &amp; Deci, E. (2000) ‘Self-Determination Theory and the Facilitation of Intrinsic Motivation, Social Development, and Well-Being’, </w:t>
      </w:r>
      <w:r>
        <w:rPr>
          <w:rFonts w:ascii="Arial" w:hAnsi="Arial" w:cs="Arial"/>
          <w:i/>
          <w:iCs/>
        </w:rPr>
        <w:t>The American psychologist</w:t>
      </w:r>
      <w:r>
        <w:rPr>
          <w:rFonts w:ascii="Arial" w:hAnsi="Arial" w:cs="Arial"/>
        </w:rPr>
        <w:t>, 55(1), pp. 68-78</w:t>
      </w:r>
    </w:p>
    <w:p w14:paraId="4095FDE6" w14:textId="77777777" w:rsidR="00B67A3E" w:rsidRDefault="00B67A3E" w:rsidP="00B67A3E">
      <w:pPr>
        <w:spacing w:line="480" w:lineRule="auto"/>
        <w:rPr>
          <w:rFonts w:ascii="Arial" w:hAnsi="Arial" w:cs="Arial"/>
        </w:rPr>
      </w:pPr>
    </w:p>
    <w:p w14:paraId="115B93A4" w14:textId="008C087B" w:rsidR="00B67A3E" w:rsidRDefault="00B67A3E" w:rsidP="00B67A3E">
      <w:pPr>
        <w:spacing w:line="480" w:lineRule="auto"/>
        <w:rPr>
          <w:rFonts w:ascii="Arial" w:hAnsi="Arial" w:cs="Arial"/>
        </w:rPr>
      </w:pPr>
      <w:proofErr w:type="spellStart"/>
      <w:r>
        <w:rPr>
          <w:rFonts w:ascii="Arial" w:hAnsi="Arial" w:cs="Arial"/>
        </w:rPr>
        <w:t>Gagné</w:t>
      </w:r>
      <w:proofErr w:type="spellEnd"/>
      <w:r>
        <w:rPr>
          <w:rFonts w:ascii="Arial" w:hAnsi="Arial" w:cs="Arial"/>
        </w:rPr>
        <w:t>, M. &amp; Deci, E. (2005) ‘</w:t>
      </w:r>
      <w:r w:rsidRPr="00DC6C3D">
        <w:rPr>
          <w:rFonts w:ascii="Arial" w:hAnsi="Arial" w:cs="Arial"/>
        </w:rPr>
        <w:t>Self-determination theory and work motivation</w:t>
      </w:r>
      <w:r>
        <w:rPr>
          <w:rFonts w:ascii="Arial" w:hAnsi="Arial" w:cs="Arial"/>
        </w:rPr>
        <w:t xml:space="preserve">’, </w:t>
      </w:r>
      <w:r>
        <w:rPr>
          <w:rFonts w:ascii="Arial" w:hAnsi="Arial" w:cs="Arial"/>
          <w:i/>
          <w:iCs/>
        </w:rPr>
        <w:t>Journal of organisational behaviour</w:t>
      </w:r>
      <w:r>
        <w:rPr>
          <w:rFonts w:ascii="Arial" w:hAnsi="Arial" w:cs="Arial"/>
        </w:rPr>
        <w:t>, 26(4), pp. 331-362</w:t>
      </w:r>
    </w:p>
    <w:p w14:paraId="5A31F09F" w14:textId="77777777" w:rsidR="00B67A3E" w:rsidRDefault="00B67A3E" w:rsidP="00B67A3E">
      <w:pPr>
        <w:spacing w:line="480" w:lineRule="auto"/>
        <w:rPr>
          <w:rFonts w:ascii="Arial" w:hAnsi="Arial" w:cs="Arial"/>
        </w:rPr>
      </w:pPr>
    </w:p>
    <w:p w14:paraId="2A156CE0" w14:textId="12FE8CB1" w:rsidR="00B67A3E" w:rsidRDefault="00B67A3E" w:rsidP="00B67A3E">
      <w:pPr>
        <w:spacing w:line="480" w:lineRule="auto"/>
        <w:rPr>
          <w:rFonts w:ascii="Arial" w:hAnsi="Arial" w:cs="Arial"/>
        </w:rPr>
      </w:pPr>
      <w:proofErr w:type="spellStart"/>
      <w:r>
        <w:rPr>
          <w:rFonts w:ascii="Arial" w:hAnsi="Arial" w:cs="Arial"/>
        </w:rPr>
        <w:t>Perera</w:t>
      </w:r>
      <w:proofErr w:type="spellEnd"/>
      <w:r>
        <w:rPr>
          <w:rFonts w:ascii="Arial" w:hAnsi="Arial" w:cs="Arial"/>
        </w:rPr>
        <w:t xml:space="preserve">, K. (2020) ‘Alternatives and Limitations of </w:t>
      </w:r>
      <w:r w:rsidRPr="00DC6C3D">
        <w:rPr>
          <w:rFonts w:ascii="Arial" w:hAnsi="Arial" w:cs="Arial"/>
        </w:rPr>
        <w:t>Self-Determination Theory: Perspectives of Different Literature</w:t>
      </w:r>
      <w:r>
        <w:rPr>
          <w:rFonts w:ascii="Arial" w:hAnsi="Arial" w:cs="Arial"/>
        </w:rPr>
        <w:t xml:space="preserve">’, in </w:t>
      </w:r>
      <w:r>
        <w:rPr>
          <w:rFonts w:ascii="Arial" w:hAnsi="Arial" w:cs="Arial"/>
          <w:i/>
          <w:iCs/>
        </w:rPr>
        <w:t>Proceedings of the Open University Research Sessions (OURS 2020)</w:t>
      </w:r>
      <w:r w:rsidRPr="000620E7">
        <w:rPr>
          <w:rFonts w:ascii="Arial" w:hAnsi="Arial" w:cs="Arial"/>
        </w:rPr>
        <w:t>, pp. 1-6</w:t>
      </w:r>
    </w:p>
    <w:p w14:paraId="0E7BA2E4" w14:textId="77777777" w:rsidR="00B67A3E" w:rsidRDefault="00B67A3E" w:rsidP="00B67A3E">
      <w:pPr>
        <w:spacing w:line="480" w:lineRule="auto"/>
        <w:rPr>
          <w:rFonts w:ascii="Arial" w:hAnsi="Arial" w:cs="Arial"/>
        </w:rPr>
      </w:pPr>
    </w:p>
    <w:p w14:paraId="72524A6E" w14:textId="59FE5000" w:rsidR="00B67A3E" w:rsidRDefault="00B67A3E" w:rsidP="00B67A3E">
      <w:pPr>
        <w:spacing w:line="480" w:lineRule="auto"/>
        <w:rPr>
          <w:rFonts w:ascii="Arial" w:hAnsi="Arial" w:cs="Arial"/>
        </w:rPr>
      </w:pPr>
      <w:r>
        <w:rPr>
          <w:rFonts w:ascii="Arial" w:hAnsi="Arial" w:cs="Arial"/>
        </w:rPr>
        <w:t xml:space="preserve">Locke, E. (2023) ‘What is Motivation?’ in Bong, M., Reeve, J. &amp; Kim, S. (eds) </w:t>
      </w:r>
      <w:r>
        <w:rPr>
          <w:rFonts w:ascii="Arial" w:hAnsi="Arial" w:cs="Arial"/>
          <w:i/>
          <w:iCs/>
        </w:rPr>
        <w:t xml:space="preserve">Motivation Science: Controversies and Insights </w:t>
      </w:r>
      <w:r>
        <w:rPr>
          <w:rFonts w:ascii="Arial" w:hAnsi="Arial" w:cs="Arial"/>
        </w:rPr>
        <w:t>New York: Oxford University Press</w:t>
      </w:r>
    </w:p>
    <w:p w14:paraId="11A38DE9" w14:textId="77777777" w:rsidR="00B67A3E" w:rsidRDefault="00B67A3E" w:rsidP="00B67A3E">
      <w:pPr>
        <w:spacing w:line="480" w:lineRule="auto"/>
        <w:rPr>
          <w:rFonts w:ascii="Arial" w:hAnsi="Arial" w:cs="Arial"/>
        </w:rPr>
      </w:pPr>
    </w:p>
    <w:p w14:paraId="568E665E" w14:textId="169DED19" w:rsidR="00B67A3E" w:rsidRDefault="00B67A3E" w:rsidP="00B67A3E">
      <w:pPr>
        <w:spacing w:line="480" w:lineRule="auto"/>
        <w:rPr>
          <w:rFonts w:ascii="Arial" w:hAnsi="Arial" w:cs="Arial"/>
        </w:rPr>
      </w:pPr>
      <w:r>
        <w:rPr>
          <w:rFonts w:ascii="Arial" w:hAnsi="Arial" w:cs="Arial"/>
        </w:rPr>
        <w:lastRenderedPageBreak/>
        <w:t xml:space="preserve">Estyn. (2023). </w:t>
      </w:r>
      <w:r w:rsidRPr="00655901">
        <w:rPr>
          <w:rFonts w:ascii="Arial" w:hAnsi="Arial" w:cs="Arial"/>
          <w:i/>
          <w:iCs/>
        </w:rPr>
        <w:t>Inspection report: St Thomas Community Primary School 2023</w:t>
      </w:r>
      <w:r>
        <w:rPr>
          <w:rFonts w:ascii="Arial" w:hAnsi="Arial" w:cs="Arial"/>
        </w:rPr>
        <w:t>. Estyn</w:t>
      </w:r>
      <w:r w:rsidR="00655901">
        <w:rPr>
          <w:rFonts w:ascii="Arial" w:hAnsi="Arial" w:cs="Arial"/>
        </w:rPr>
        <w:t xml:space="preserve"> </w:t>
      </w:r>
      <w:r w:rsidR="00763990">
        <w:rPr>
          <w:rFonts w:ascii="Arial" w:hAnsi="Arial" w:cs="Arial"/>
        </w:rPr>
        <w:t>&lt;</w:t>
      </w:r>
      <w:hyperlink r:id="rId9" w:history="1">
        <w:r w:rsidR="00763990" w:rsidRPr="00DA2543">
          <w:rPr>
            <w:rStyle w:val="Hyperlink"/>
            <w:rFonts w:ascii="Arial" w:hAnsi="Arial" w:cs="Arial"/>
          </w:rPr>
          <w:t>https://www.estyn.gov.wales/system/files/2023-04/Inspection%20report%20St%20Thomas%20Community%20Primary%20School%202023.pdf</w:t>
        </w:r>
      </w:hyperlink>
      <w:r w:rsidR="00763990">
        <w:rPr>
          <w:rFonts w:ascii="Arial" w:hAnsi="Arial" w:cs="Arial"/>
        </w:rPr>
        <w:t>&gt; Accessed 5 November 2023</w:t>
      </w:r>
    </w:p>
    <w:p w14:paraId="3968C20D" w14:textId="77777777" w:rsidR="00655901" w:rsidRDefault="00655901" w:rsidP="00B67A3E">
      <w:pPr>
        <w:spacing w:line="480" w:lineRule="auto"/>
        <w:rPr>
          <w:rFonts w:ascii="Arial" w:hAnsi="Arial" w:cs="Arial"/>
        </w:rPr>
      </w:pPr>
    </w:p>
    <w:p w14:paraId="454D77BE" w14:textId="58767CC6" w:rsidR="00655901" w:rsidRDefault="00655901" w:rsidP="00B67A3E">
      <w:pPr>
        <w:spacing w:line="480" w:lineRule="auto"/>
        <w:rPr>
          <w:rFonts w:ascii="Arial" w:hAnsi="Arial" w:cs="Arial"/>
        </w:rPr>
      </w:pPr>
      <w:r>
        <w:rPr>
          <w:rFonts w:ascii="Arial" w:hAnsi="Arial" w:cs="Arial"/>
        </w:rPr>
        <w:t>Immersive Learning Space of Primary Classroom Video, 3 November 2023</w:t>
      </w:r>
    </w:p>
    <w:p w14:paraId="0B94DB88" w14:textId="77777777" w:rsidR="00655901" w:rsidRDefault="00655901" w:rsidP="00B67A3E">
      <w:pPr>
        <w:spacing w:line="480" w:lineRule="auto"/>
        <w:rPr>
          <w:rFonts w:ascii="Arial" w:hAnsi="Arial" w:cs="Arial"/>
        </w:rPr>
      </w:pPr>
    </w:p>
    <w:p w14:paraId="43915190" w14:textId="50924AC0" w:rsidR="00655901" w:rsidRDefault="00655901" w:rsidP="00B67A3E">
      <w:pPr>
        <w:spacing w:line="480" w:lineRule="auto"/>
        <w:rPr>
          <w:rFonts w:ascii="Arial" w:hAnsi="Arial" w:cs="Arial"/>
        </w:rPr>
      </w:pPr>
      <w:r>
        <w:rPr>
          <w:rFonts w:ascii="Arial" w:hAnsi="Arial" w:cs="Arial"/>
        </w:rPr>
        <w:t xml:space="preserve">Williams, L. (2018) </w:t>
      </w:r>
      <w:r w:rsidR="00F4742E">
        <w:rPr>
          <w:rFonts w:ascii="Arial" w:hAnsi="Arial" w:cs="Arial"/>
          <w:i/>
          <w:iCs/>
        </w:rPr>
        <w:t xml:space="preserve">Positive Behaviour Management in Primary Schools: An Essential Guide </w:t>
      </w:r>
      <w:r w:rsidR="00F4742E">
        <w:rPr>
          <w:rFonts w:ascii="Arial" w:hAnsi="Arial" w:cs="Arial"/>
        </w:rPr>
        <w:t>London: Jessica Kingsley Publishers</w:t>
      </w:r>
    </w:p>
    <w:p w14:paraId="198D0293" w14:textId="77777777" w:rsidR="006E6A35" w:rsidRDefault="006E6A35" w:rsidP="00B67A3E">
      <w:pPr>
        <w:spacing w:line="480" w:lineRule="auto"/>
        <w:rPr>
          <w:rFonts w:ascii="Arial" w:hAnsi="Arial" w:cs="Arial"/>
        </w:rPr>
      </w:pPr>
    </w:p>
    <w:p w14:paraId="48E8D2C5" w14:textId="2492D3EB" w:rsidR="006E6A35" w:rsidRDefault="006E6A35" w:rsidP="00B67A3E">
      <w:pPr>
        <w:spacing w:line="480" w:lineRule="auto"/>
        <w:rPr>
          <w:rFonts w:ascii="Arial" w:hAnsi="Arial" w:cs="Arial"/>
        </w:rPr>
      </w:pPr>
      <w:proofErr w:type="spellStart"/>
      <w:r>
        <w:rPr>
          <w:rFonts w:ascii="Arial" w:hAnsi="Arial" w:cs="Arial"/>
        </w:rPr>
        <w:t>Yough</w:t>
      </w:r>
      <w:proofErr w:type="spellEnd"/>
      <w:r>
        <w:rPr>
          <w:rFonts w:ascii="Arial" w:hAnsi="Arial" w:cs="Arial"/>
        </w:rPr>
        <w:t xml:space="preserve">, M. &amp; </w:t>
      </w:r>
      <w:proofErr w:type="gramStart"/>
      <w:r>
        <w:rPr>
          <w:rFonts w:ascii="Arial" w:hAnsi="Arial" w:cs="Arial"/>
        </w:rPr>
        <w:t>Cho ,</w:t>
      </w:r>
      <w:proofErr w:type="gramEnd"/>
      <w:r>
        <w:rPr>
          <w:rFonts w:ascii="Arial" w:hAnsi="Arial" w:cs="Arial"/>
        </w:rPr>
        <w:t xml:space="preserve"> H. 2014 ‘Attribution Theory’ in </w:t>
      </w:r>
      <w:r>
        <w:rPr>
          <w:rFonts w:ascii="Arial" w:hAnsi="Arial" w:cs="Arial"/>
          <w:i/>
          <w:iCs/>
        </w:rPr>
        <w:t xml:space="preserve">The SAGE Encyclopaedia of Classroom Management </w:t>
      </w:r>
      <w:proofErr w:type="spellStart"/>
      <w:r>
        <w:rPr>
          <w:rFonts w:ascii="Arial" w:hAnsi="Arial" w:cs="Arial"/>
        </w:rPr>
        <w:t>Yough</w:t>
      </w:r>
      <w:proofErr w:type="spellEnd"/>
      <w:r>
        <w:rPr>
          <w:rFonts w:ascii="Arial" w:hAnsi="Arial" w:cs="Arial"/>
        </w:rPr>
        <w:t>, M. &amp; Cho, H. (eds) California: SAGE Publications Inc., pp. 72-74</w:t>
      </w:r>
    </w:p>
    <w:p w14:paraId="43906BC0" w14:textId="77777777" w:rsidR="00763990" w:rsidRDefault="00763990" w:rsidP="00B67A3E">
      <w:pPr>
        <w:spacing w:line="480" w:lineRule="auto"/>
        <w:rPr>
          <w:rFonts w:ascii="Arial" w:hAnsi="Arial" w:cs="Arial"/>
        </w:rPr>
      </w:pPr>
    </w:p>
    <w:p w14:paraId="16497E77" w14:textId="687C22C5" w:rsidR="00763990" w:rsidRDefault="00763990" w:rsidP="00B67A3E">
      <w:pPr>
        <w:spacing w:line="480" w:lineRule="auto"/>
        <w:rPr>
          <w:rFonts w:ascii="Arial" w:hAnsi="Arial" w:cs="Arial"/>
        </w:rPr>
      </w:pPr>
      <w:r>
        <w:rPr>
          <w:rFonts w:ascii="Arial" w:hAnsi="Arial" w:cs="Arial"/>
        </w:rPr>
        <w:t>Berkeley People and Culture, ‘How Social Learning Theory Works’, University of California, Berkeley, &lt;</w:t>
      </w:r>
      <w:r w:rsidRPr="00763990">
        <w:t xml:space="preserve"> </w:t>
      </w:r>
      <w:hyperlink r:id="rId10" w:history="1">
        <w:r w:rsidRPr="00DA2543">
          <w:rPr>
            <w:rStyle w:val="Hyperlink"/>
            <w:rFonts w:ascii="Arial" w:hAnsi="Arial" w:cs="Arial"/>
          </w:rPr>
          <w:t>https://hr.berkeley.edu/how-social-learning-theory-works</w:t>
        </w:r>
      </w:hyperlink>
      <w:r>
        <w:rPr>
          <w:rFonts w:ascii="Arial" w:hAnsi="Arial" w:cs="Arial"/>
        </w:rPr>
        <w:t>&gt; Accessed 5 November 2023</w:t>
      </w:r>
    </w:p>
    <w:p w14:paraId="2F0581AA" w14:textId="77777777" w:rsidR="00A231A4" w:rsidRDefault="00A231A4" w:rsidP="00B67A3E">
      <w:pPr>
        <w:spacing w:line="480" w:lineRule="auto"/>
        <w:rPr>
          <w:rFonts w:ascii="Arial" w:hAnsi="Arial" w:cs="Arial"/>
        </w:rPr>
      </w:pPr>
    </w:p>
    <w:p w14:paraId="20208BAC" w14:textId="2FE532DC" w:rsidR="00A231A4" w:rsidRDefault="00A231A4" w:rsidP="00B67A3E">
      <w:pPr>
        <w:spacing w:line="480" w:lineRule="auto"/>
        <w:rPr>
          <w:rFonts w:ascii="Arial" w:hAnsi="Arial" w:cs="Arial"/>
        </w:rPr>
      </w:pPr>
      <w:proofErr w:type="spellStart"/>
      <w:r>
        <w:rPr>
          <w:rFonts w:ascii="Arial" w:hAnsi="Arial" w:cs="Arial"/>
        </w:rPr>
        <w:t>Nabavi</w:t>
      </w:r>
      <w:proofErr w:type="spellEnd"/>
      <w:r>
        <w:rPr>
          <w:rFonts w:ascii="Arial" w:hAnsi="Arial" w:cs="Arial"/>
        </w:rPr>
        <w:t xml:space="preserve">, R. (2012) ‘Bandura’s Social Learning Theory &amp; Social Cognitive Learning Theory’, </w:t>
      </w:r>
      <w:r>
        <w:rPr>
          <w:rFonts w:ascii="Arial" w:hAnsi="Arial" w:cs="Arial"/>
          <w:i/>
          <w:iCs/>
        </w:rPr>
        <w:t>Journal of Personality and Social Psychology</w:t>
      </w:r>
      <w:r>
        <w:rPr>
          <w:rFonts w:ascii="Arial" w:hAnsi="Arial" w:cs="Arial"/>
        </w:rPr>
        <w:t>, p. 1-23</w:t>
      </w:r>
    </w:p>
    <w:p w14:paraId="4B096472" w14:textId="77777777" w:rsidR="0061402E" w:rsidRDefault="0061402E" w:rsidP="00B67A3E">
      <w:pPr>
        <w:spacing w:line="480" w:lineRule="auto"/>
        <w:rPr>
          <w:rFonts w:ascii="Arial" w:hAnsi="Arial" w:cs="Arial"/>
        </w:rPr>
      </w:pPr>
    </w:p>
    <w:p w14:paraId="5ED7216D" w14:textId="698A06B0" w:rsidR="0061402E" w:rsidRDefault="0061402E" w:rsidP="00B67A3E">
      <w:pPr>
        <w:spacing w:line="480" w:lineRule="auto"/>
        <w:rPr>
          <w:rFonts w:ascii="Arial" w:hAnsi="Arial" w:cs="Arial"/>
        </w:rPr>
      </w:pPr>
      <w:proofErr w:type="spellStart"/>
      <w:r>
        <w:rPr>
          <w:rFonts w:ascii="Arial" w:hAnsi="Arial" w:cs="Arial"/>
        </w:rPr>
        <w:t>DiMenichi</w:t>
      </w:r>
      <w:proofErr w:type="spellEnd"/>
      <w:r>
        <w:rPr>
          <w:rFonts w:ascii="Arial" w:hAnsi="Arial" w:cs="Arial"/>
        </w:rPr>
        <w:t xml:space="preserve">, B. &amp; </w:t>
      </w:r>
      <w:proofErr w:type="spellStart"/>
      <w:r>
        <w:rPr>
          <w:rFonts w:ascii="Arial" w:hAnsi="Arial" w:cs="Arial"/>
        </w:rPr>
        <w:t>Tricomi</w:t>
      </w:r>
      <w:proofErr w:type="spellEnd"/>
      <w:r>
        <w:rPr>
          <w:rFonts w:ascii="Arial" w:hAnsi="Arial" w:cs="Arial"/>
        </w:rPr>
        <w:t xml:space="preserve">, E. (2015) ‘The power of competition: Effects of social motivation on attention, sustained physical effort, and learning’ </w:t>
      </w:r>
      <w:r>
        <w:rPr>
          <w:rFonts w:ascii="Arial" w:hAnsi="Arial" w:cs="Arial"/>
          <w:i/>
          <w:iCs/>
        </w:rPr>
        <w:t>Frontiers in psychology</w:t>
      </w:r>
      <w:r>
        <w:rPr>
          <w:rFonts w:ascii="Arial" w:hAnsi="Arial" w:cs="Arial"/>
        </w:rPr>
        <w:t>, Vol.6</w:t>
      </w:r>
    </w:p>
    <w:p w14:paraId="3ADA9364" w14:textId="77777777" w:rsidR="0061402E" w:rsidRDefault="0061402E" w:rsidP="00B67A3E">
      <w:pPr>
        <w:spacing w:line="480" w:lineRule="auto"/>
        <w:rPr>
          <w:rFonts w:ascii="Arial" w:hAnsi="Arial" w:cs="Arial"/>
        </w:rPr>
      </w:pPr>
    </w:p>
    <w:p w14:paraId="552162ED" w14:textId="6D0C9D19" w:rsidR="0061402E" w:rsidRDefault="0061402E" w:rsidP="00B67A3E">
      <w:pPr>
        <w:spacing w:line="480" w:lineRule="auto"/>
        <w:rPr>
          <w:rFonts w:ascii="Arial" w:hAnsi="Arial" w:cs="Arial"/>
        </w:rPr>
      </w:pPr>
      <w:r>
        <w:rPr>
          <w:rFonts w:ascii="Arial" w:hAnsi="Arial" w:cs="Arial"/>
        </w:rPr>
        <w:lastRenderedPageBreak/>
        <w:t xml:space="preserve">De </w:t>
      </w:r>
      <w:proofErr w:type="spellStart"/>
      <w:r>
        <w:rPr>
          <w:rFonts w:ascii="Arial" w:hAnsi="Arial" w:cs="Arial"/>
        </w:rPr>
        <w:t>Fraja</w:t>
      </w:r>
      <w:proofErr w:type="spellEnd"/>
      <w:r>
        <w:rPr>
          <w:rFonts w:ascii="Arial" w:hAnsi="Arial" w:cs="Arial"/>
        </w:rPr>
        <w:t xml:space="preserve">, G. &amp; </w:t>
      </w:r>
      <w:proofErr w:type="spellStart"/>
      <w:r>
        <w:rPr>
          <w:rFonts w:ascii="Arial" w:hAnsi="Arial" w:cs="Arial"/>
        </w:rPr>
        <w:t>Landeras</w:t>
      </w:r>
      <w:proofErr w:type="spellEnd"/>
      <w:r>
        <w:rPr>
          <w:rFonts w:ascii="Arial" w:hAnsi="Arial" w:cs="Arial"/>
        </w:rPr>
        <w:t xml:space="preserve">, P. (2005) ‘Could do better: The effectiveness of incentives and competition in schools’, </w:t>
      </w:r>
      <w:r>
        <w:rPr>
          <w:rFonts w:ascii="Arial" w:hAnsi="Arial" w:cs="Arial"/>
          <w:i/>
          <w:iCs/>
        </w:rPr>
        <w:t>Journal of Public Economics,</w:t>
      </w:r>
      <w:r>
        <w:rPr>
          <w:rFonts w:ascii="Arial" w:hAnsi="Arial" w:cs="Arial"/>
        </w:rPr>
        <w:t xml:space="preserve"> 90, pp. 189-213</w:t>
      </w:r>
    </w:p>
    <w:p w14:paraId="5990488E" w14:textId="77777777" w:rsidR="00AC055C" w:rsidRDefault="00AC055C" w:rsidP="00B67A3E">
      <w:pPr>
        <w:spacing w:line="480" w:lineRule="auto"/>
        <w:rPr>
          <w:rFonts w:ascii="Arial" w:hAnsi="Arial" w:cs="Arial"/>
        </w:rPr>
      </w:pPr>
    </w:p>
    <w:p w14:paraId="1ADEBDF9" w14:textId="72838E6E" w:rsidR="00AC055C" w:rsidRDefault="00AC055C" w:rsidP="00B67A3E">
      <w:pPr>
        <w:spacing w:line="480" w:lineRule="auto"/>
        <w:rPr>
          <w:rFonts w:ascii="Arial" w:hAnsi="Arial" w:cs="Arial"/>
        </w:rPr>
      </w:pPr>
      <w:proofErr w:type="spellStart"/>
      <w:r>
        <w:rPr>
          <w:rFonts w:ascii="Arial" w:hAnsi="Arial" w:cs="Arial"/>
        </w:rPr>
        <w:t>Shindler</w:t>
      </w:r>
      <w:proofErr w:type="spellEnd"/>
      <w:r>
        <w:rPr>
          <w:rFonts w:ascii="Arial" w:hAnsi="Arial" w:cs="Arial"/>
        </w:rPr>
        <w:t xml:space="preserve">, J. (2010) </w:t>
      </w:r>
      <w:r>
        <w:rPr>
          <w:rFonts w:ascii="Arial" w:hAnsi="Arial" w:cs="Arial"/>
          <w:i/>
          <w:iCs/>
        </w:rPr>
        <w:t xml:space="preserve">Transformative Classroom Management </w:t>
      </w:r>
      <w:r>
        <w:rPr>
          <w:rFonts w:ascii="Arial" w:hAnsi="Arial" w:cs="Arial"/>
        </w:rPr>
        <w:t>California: Jossey-Bass</w:t>
      </w:r>
    </w:p>
    <w:p w14:paraId="29C7113B" w14:textId="77777777" w:rsidR="00D275E3" w:rsidRDefault="00D275E3" w:rsidP="00B67A3E">
      <w:pPr>
        <w:spacing w:line="480" w:lineRule="auto"/>
        <w:rPr>
          <w:rFonts w:ascii="Arial" w:hAnsi="Arial" w:cs="Arial"/>
        </w:rPr>
      </w:pPr>
    </w:p>
    <w:p w14:paraId="3EEABF81" w14:textId="38397615" w:rsidR="0061402E" w:rsidRDefault="00D275E3" w:rsidP="00B67A3E">
      <w:pPr>
        <w:spacing w:line="480" w:lineRule="auto"/>
        <w:rPr>
          <w:rFonts w:ascii="Arial" w:hAnsi="Arial" w:cs="Arial"/>
        </w:rPr>
      </w:pPr>
      <w:r>
        <w:rPr>
          <w:rFonts w:ascii="Arial" w:hAnsi="Arial" w:cs="Arial"/>
        </w:rPr>
        <w:t xml:space="preserve">Banerjee, R. &amp; Horn, E. (2013) ‘Supporting Classroom Transitions Between Daily Routines: Strategies and Tips’ </w:t>
      </w:r>
      <w:r>
        <w:rPr>
          <w:rFonts w:ascii="Arial" w:hAnsi="Arial" w:cs="Arial"/>
          <w:i/>
          <w:iCs/>
        </w:rPr>
        <w:t>Young Exceptional Children</w:t>
      </w:r>
      <w:r>
        <w:rPr>
          <w:rFonts w:ascii="Arial" w:hAnsi="Arial" w:cs="Arial"/>
        </w:rPr>
        <w:t>, 16(2), pp. 3-14</w:t>
      </w:r>
    </w:p>
    <w:p w14:paraId="1ABE6DC5" w14:textId="77777777" w:rsidR="00126FB1" w:rsidRDefault="00126FB1" w:rsidP="00B67A3E">
      <w:pPr>
        <w:spacing w:line="480" w:lineRule="auto"/>
        <w:rPr>
          <w:rFonts w:ascii="Arial" w:hAnsi="Arial" w:cs="Arial"/>
        </w:rPr>
      </w:pPr>
    </w:p>
    <w:p w14:paraId="29D45F45" w14:textId="2AB5CAEB" w:rsidR="00126FB1" w:rsidRPr="00126FB1" w:rsidRDefault="00126FB1" w:rsidP="00B67A3E">
      <w:pPr>
        <w:spacing w:line="480" w:lineRule="auto"/>
        <w:rPr>
          <w:rFonts w:ascii="Arial" w:hAnsi="Arial" w:cs="Arial"/>
        </w:rPr>
      </w:pPr>
      <w:proofErr w:type="spellStart"/>
      <w:r>
        <w:rPr>
          <w:rFonts w:ascii="Arial" w:hAnsi="Arial" w:cs="Arial"/>
        </w:rPr>
        <w:t>Arifadah</w:t>
      </w:r>
      <w:proofErr w:type="spellEnd"/>
      <w:r>
        <w:rPr>
          <w:rFonts w:ascii="Arial" w:hAnsi="Arial" w:cs="Arial"/>
        </w:rPr>
        <w:t xml:space="preserve"> et al. (2019) ‘Teachers’ creativity in using attention grabber in EFL class’, ‘</w:t>
      </w:r>
      <w:r w:rsidRPr="00126FB1">
        <w:rPr>
          <w:rFonts w:ascii="Arial" w:hAnsi="Arial" w:cs="Arial"/>
        </w:rPr>
        <w:t xml:space="preserve">Proceedings of ICONELT 2019’ </w:t>
      </w:r>
      <w:r>
        <w:rPr>
          <w:rFonts w:ascii="Arial" w:hAnsi="Arial" w:cs="Arial"/>
        </w:rPr>
        <w:t xml:space="preserve">in </w:t>
      </w:r>
      <w:r>
        <w:rPr>
          <w:rFonts w:ascii="Arial" w:hAnsi="Arial" w:cs="Arial"/>
          <w:i/>
          <w:iCs/>
        </w:rPr>
        <w:t xml:space="preserve">Advances in Social Science, Education and Humanities Research, </w:t>
      </w:r>
      <w:r>
        <w:rPr>
          <w:rFonts w:ascii="Arial" w:hAnsi="Arial" w:cs="Arial"/>
        </w:rPr>
        <w:t>434, pp. 283-287</w:t>
      </w:r>
    </w:p>
    <w:p w14:paraId="74687245" w14:textId="77777777" w:rsidR="00126FB1" w:rsidRDefault="00126FB1" w:rsidP="00B67A3E">
      <w:pPr>
        <w:spacing w:line="480" w:lineRule="auto"/>
        <w:rPr>
          <w:rFonts w:ascii="Arial" w:hAnsi="Arial" w:cs="Arial"/>
        </w:rPr>
      </w:pPr>
    </w:p>
    <w:p w14:paraId="16D8CB40" w14:textId="3C575301" w:rsidR="005C057A" w:rsidRDefault="005C057A" w:rsidP="00B67A3E">
      <w:pPr>
        <w:spacing w:line="480" w:lineRule="auto"/>
        <w:rPr>
          <w:rFonts w:ascii="Arial" w:hAnsi="Arial" w:cs="Arial"/>
        </w:rPr>
      </w:pPr>
      <w:proofErr w:type="spellStart"/>
      <w:r>
        <w:rPr>
          <w:rFonts w:ascii="Arial" w:hAnsi="Arial" w:cs="Arial"/>
        </w:rPr>
        <w:t>Zwozdiak</w:t>
      </w:r>
      <w:proofErr w:type="spellEnd"/>
      <w:r>
        <w:rPr>
          <w:rFonts w:ascii="Arial" w:hAnsi="Arial" w:cs="Arial"/>
        </w:rPr>
        <w:t xml:space="preserve">-Myers, P. (2012) </w:t>
      </w:r>
      <w:r>
        <w:rPr>
          <w:rFonts w:ascii="Arial" w:hAnsi="Arial" w:cs="Arial"/>
          <w:i/>
          <w:iCs/>
        </w:rPr>
        <w:t>The teacher’s reflective practice handbook: becoming an extended professional through capturing evidence-informed practice</w:t>
      </w:r>
      <w:r w:rsidR="00016030">
        <w:rPr>
          <w:rFonts w:ascii="Arial" w:hAnsi="Arial" w:cs="Arial"/>
        </w:rPr>
        <w:t>, London: Routledge</w:t>
      </w:r>
    </w:p>
    <w:p w14:paraId="1EEF4C7E" w14:textId="77777777" w:rsidR="00E271C0" w:rsidRDefault="00E271C0" w:rsidP="00B67A3E">
      <w:pPr>
        <w:spacing w:line="480" w:lineRule="auto"/>
        <w:rPr>
          <w:rFonts w:ascii="Arial" w:hAnsi="Arial" w:cs="Arial"/>
        </w:rPr>
      </w:pPr>
    </w:p>
    <w:p w14:paraId="53140D68" w14:textId="6F665FB7" w:rsidR="00E271C0" w:rsidRDefault="00E271C0" w:rsidP="00B67A3E">
      <w:pPr>
        <w:spacing w:line="480" w:lineRule="auto"/>
        <w:rPr>
          <w:rFonts w:ascii="Arial" w:hAnsi="Arial" w:cs="Arial"/>
        </w:rPr>
      </w:pPr>
      <w:r>
        <w:rPr>
          <w:rFonts w:ascii="Arial" w:hAnsi="Arial" w:cs="Arial"/>
        </w:rPr>
        <w:t xml:space="preserve">Donaldson, G. (2015) </w:t>
      </w:r>
      <w:r>
        <w:rPr>
          <w:rFonts w:ascii="Arial" w:hAnsi="Arial" w:cs="Arial"/>
          <w:i/>
          <w:iCs/>
        </w:rPr>
        <w:t>Successful Futures</w:t>
      </w:r>
      <w:r>
        <w:rPr>
          <w:rFonts w:ascii="Arial" w:hAnsi="Arial" w:cs="Arial"/>
        </w:rPr>
        <w:t>, Cardiff: Welsh Government</w:t>
      </w:r>
    </w:p>
    <w:p w14:paraId="023771B6" w14:textId="77777777" w:rsidR="00E271C0" w:rsidRDefault="00E271C0" w:rsidP="00B67A3E">
      <w:pPr>
        <w:spacing w:line="480" w:lineRule="auto"/>
        <w:rPr>
          <w:rFonts w:ascii="Arial" w:hAnsi="Arial" w:cs="Arial"/>
        </w:rPr>
      </w:pPr>
    </w:p>
    <w:p w14:paraId="60BD8294" w14:textId="5D23B4C3" w:rsidR="00E271C0" w:rsidRDefault="00E271C0" w:rsidP="00B67A3E">
      <w:pPr>
        <w:spacing w:line="480" w:lineRule="auto"/>
        <w:rPr>
          <w:rFonts w:ascii="Arial" w:hAnsi="Arial" w:cs="Arial"/>
        </w:rPr>
      </w:pPr>
      <w:r>
        <w:rPr>
          <w:rFonts w:ascii="Arial" w:hAnsi="Arial" w:cs="Arial"/>
        </w:rPr>
        <w:t xml:space="preserve">Welsh Government (2020), ‘Designing Your Curriculum: Developing a Vision for Curriculum Design’, </w:t>
      </w:r>
      <w:r>
        <w:rPr>
          <w:rFonts w:ascii="Arial" w:hAnsi="Arial" w:cs="Arial"/>
          <w:i/>
          <w:iCs/>
        </w:rPr>
        <w:t>Curriculum for Wales</w:t>
      </w:r>
      <w:r>
        <w:rPr>
          <w:rFonts w:ascii="Arial" w:hAnsi="Arial" w:cs="Arial"/>
        </w:rPr>
        <w:t xml:space="preserve"> &lt;</w:t>
      </w:r>
      <w:r w:rsidRPr="00E271C0">
        <w:t xml:space="preserve"> </w:t>
      </w:r>
      <w:hyperlink r:id="rId11" w:history="1">
        <w:r w:rsidRPr="00DA2543">
          <w:rPr>
            <w:rStyle w:val="Hyperlink"/>
            <w:rFonts w:ascii="Arial" w:hAnsi="Arial" w:cs="Arial"/>
          </w:rPr>
          <w:t>https://hwb.gov.wales/curriculum-for-wales/designing-your-curriculum/developing-a-vision-for-curriculum-design/#curriculum-design-and-the-four-purposes</w:t>
        </w:r>
      </w:hyperlink>
      <w:r>
        <w:rPr>
          <w:rFonts w:ascii="Arial" w:hAnsi="Arial" w:cs="Arial"/>
        </w:rPr>
        <w:t>&gt; Accessed 5 November 2023</w:t>
      </w:r>
    </w:p>
    <w:p w14:paraId="208618F5" w14:textId="77777777" w:rsidR="00C05F23" w:rsidRDefault="00C05F23" w:rsidP="00B67A3E">
      <w:pPr>
        <w:spacing w:line="480" w:lineRule="auto"/>
        <w:rPr>
          <w:rFonts w:ascii="Arial" w:hAnsi="Arial" w:cs="Arial"/>
        </w:rPr>
      </w:pPr>
    </w:p>
    <w:p w14:paraId="6B28E413" w14:textId="12C7E8DB" w:rsidR="00C05F23" w:rsidRPr="00F4742E" w:rsidRDefault="00C05F23" w:rsidP="00B67A3E">
      <w:pPr>
        <w:spacing w:line="480" w:lineRule="auto"/>
        <w:rPr>
          <w:rFonts w:ascii="Arial" w:hAnsi="Arial" w:cs="Arial"/>
        </w:rPr>
      </w:pPr>
      <w:r>
        <w:rPr>
          <w:rFonts w:ascii="Arial" w:hAnsi="Arial" w:cs="Arial"/>
        </w:rPr>
        <w:t xml:space="preserve">Tripp, D. (2012) </w:t>
      </w:r>
      <w:r>
        <w:rPr>
          <w:rFonts w:ascii="Arial" w:hAnsi="Arial" w:cs="Arial"/>
          <w:i/>
          <w:iCs/>
        </w:rPr>
        <w:t xml:space="preserve">Critical incidents in teaching: developing professional judgement, </w:t>
      </w:r>
      <w:r w:rsidRPr="00C05F23">
        <w:rPr>
          <w:rFonts w:ascii="Arial" w:hAnsi="Arial" w:cs="Arial"/>
        </w:rPr>
        <w:t xml:space="preserve">Classic </w:t>
      </w:r>
      <w:proofErr w:type="spellStart"/>
      <w:r w:rsidRPr="00C05F23">
        <w:rPr>
          <w:rFonts w:ascii="Arial" w:hAnsi="Arial" w:cs="Arial"/>
        </w:rPr>
        <w:t>ed.,</w:t>
      </w:r>
      <w:r>
        <w:rPr>
          <w:rFonts w:ascii="Arial" w:hAnsi="Arial" w:cs="Arial"/>
          <w:i/>
          <w:iCs/>
        </w:rPr>
        <w:t xml:space="preserve"> </w:t>
      </w:r>
      <w:r>
        <w:rPr>
          <w:rFonts w:ascii="Arial" w:hAnsi="Arial" w:cs="Arial"/>
        </w:rPr>
        <w:t>Lond</w:t>
      </w:r>
      <w:proofErr w:type="spellEnd"/>
      <w:r>
        <w:rPr>
          <w:rFonts w:ascii="Arial" w:hAnsi="Arial" w:cs="Arial"/>
        </w:rPr>
        <w:t>on: Routledge</w:t>
      </w:r>
    </w:p>
    <w:sectPr w:rsidR="00C05F23" w:rsidRPr="00F4742E" w:rsidSect="007F21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2C9B2" w14:textId="77777777" w:rsidR="00C62A1D" w:rsidRDefault="00C62A1D" w:rsidP="00381B78">
      <w:r>
        <w:separator/>
      </w:r>
    </w:p>
  </w:endnote>
  <w:endnote w:type="continuationSeparator" w:id="0">
    <w:p w14:paraId="5BB5A3BD" w14:textId="77777777" w:rsidR="00C62A1D" w:rsidRDefault="00C62A1D" w:rsidP="00381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63A18" w14:textId="77777777" w:rsidR="00C62A1D" w:rsidRDefault="00C62A1D" w:rsidP="00381B78">
      <w:r>
        <w:separator/>
      </w:r>
    </w:p>
  </w:footnote>
  <w:footnote w:type="continuationSeparator" w:id="0">
    <w:p w14:paraId="02E436D8" w14:textId="77777777" w:rsidR="00C62A1D" w:rsidRDefault="00C62A1D" w:rsidP="00381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6582C"/>
    <w:multiLevelType w:val="hybridMultilevel"/>
    <w:tmpl w:val="EAD8E8F0"/>
    <w:lvl w:ilvl="0" w:tplc="1BA6FC20">
      <w:start w:val="6007"/>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74BA9"/>
    <w:multiLevelType w:val="hybridMultilevel"/>
    <w:tmpl w:val="8C5E9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D0CF4"/>
    <w:multiLevelType w:val="hybridMultilevel"/>
    <w:tmpl w:val="9A0AD6CA"/>
    <w:lvl w:ilvl="0" w:tplc="F168EAEA">
      <w:start w:val="1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41D11"/>
    <w:multiLevelType w:val="hybridMultilevel"/>
    <w:tmpl w:val="98CEB126"/>
    <w:lvl w:ilvl="0" w:tplc="F9B42BF4">
      <w:start w:val="400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454D99"/>
    <w:multiLevelType w:val="multilevel"/>
    <w:tmpl w:val="52FA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B82F76"/>
    <w:multiLevelType w:val="hybridMultilevel"/>
    <w:tmpl w:val="04FA6A34"/>
    <w:lvl w:ilvl="0" w:tplc="85D6D1BE">
      <w:start w:val="4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4420684">
    <w:abstractNumId w:val="1"/>
  </w:num>
  <w:num w:numId="2" w16cid:durableId="1790314152">
    <w:abstractNumId w:val="3"/>
  </w:num>
  <w:num w:numId="3" w16cid:durableId="1437362427">
    <w:abstractNumId w:val="5"/>
  </w:num>
  <w:num w:numId="4" w16cid:durableId="875507985">
    <w:abstractNumId w:val="4"/>
  </w:num>
  <w:num w:numId="5" w16cid:durableId="565460952">
    <w:abstractNumId w:val="0"/>
  </w:num>
  <w:num w:numId="6" w16cid:durableId="18500225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D4E"/>
    <w:rsid w:val="0000269C"/>
    <w:rsid w:val="00016030"/>
    <w:rsid w:val="00033990"/>
    <w:rsid w:val="00047A38"/>
    <w:rsid w:val="00051DF5"/>
    <w:rsid w:val="0008076E"/>
    <w:rsid w:val="000B3B77"/>
    <w:rsid w:val="000C5630"/>
    <w:rsid w:val="000D206E"/>
    <w:rsid w:val="00126FB1"/>
    <w:rsid w:val="00177BFE"/>
    <w:rsid w:val="001917E6"/>
    <w:rsid w:val="00193604"/>
    <w:rsid w:val="001A37CD"/>
    <w:rsid w:val="001C73CE"/>
    <w:rsid w:val="001F54DA"/>
    <w:rsid w:val="0020078B"/>
    <w:rsid w:val="0022326E"/>
    <w:rsid w:val="00223509"/>
    <w:rsid w:val="0022680E"/>
    <w:rsid w:val="00233A15"/>
    <w:rsid w:val="00262762"/>
    <w:rsid w:val="002C1C60"/>
    <w:rsid w:val="002E797A"/>
    <w:rsid w:val="0034740A"/>
    <w:rsid w:val="00354BDA"/>
    <w:rsid w:val="00357C08"/>
    <w:rsid w:val="003642B2"/>
    <w:rsid w:val="00381B78"/>
    <w:rsid w:val="003947DE"/>
    <w:rsid w:val="003962DD"/>
    <w:rsid w:val="003B2EF5"/>
    <w:rsid w:val="003C6E01"/>
    <w:rsid w:val="00401DD2"/>
    <w:rsid w:val="004077D8"/>
    <w:rsid w:val="00436223"/>
    <w:rsid w:val="0044593E"/>
    <w:rsid w:val="00456DEA"/>
    <w:rsid w:val="00461AEB"/>
    <w:rsid w:val="0048063E"/>
    <w:rsid w:val="004906F4"/>
    <w:rsid w:val="004A122D"/>
    <w:rsid w:val="004D3114"/>
    <w:rsid w:val="00515FD3"/>
    <w:rsid w:val="00523182"/>
    <w:rsid w:val="005C057A"/>
    <w:rsid w:val="005E3AEC"/>
    <w:rsid w:val="005E51B8"/>
    <w:rsid w:val="00611CB7"/>
    <w:rsid w:val="0061402E"/>
    <w:rsid w:val="00654F8F"/>
    <w:rsid w:val="00655901"/>
    <w:rsid w:val="006C51D4"/>
    <w:rsid w:val="006E32A1"/>
    <w:rsid w:val="006E6A35"/>
    <w:rsid w:val="00722906"/>
    <w:rsid w:val="00760D6F"/>
    <w:rsid w:val="00763990"/>
    <w:rsid w:val="00765E62"/>
    <w:rsid w:val="00792752"/>
    <w:rsid w:val="007D32BF"/>
    <w:rsid w:val="007E45A0"/>
    <w:rsid w:val="007F15CC"/>
    <w:rsid w:val="007F2111"/>
    <w:rsid w:val="008719A0"/>
    <w:rsid w:val="00873E7D"/>
    <w:rsid w:val="008D7F87"/>
    <w:rsid w:val="00914308"/>
    <w:rsid w:val="00936C14"/>
    <w:rsid w:val="00951867"/>
    <w:rsid w:val="00971290"/>
    <w:rsid w:val="009840FE"/>
    <w:rsid w:val="0099761E"/>
    <w:rsid w:val="00997668"/>
    <w:rsid w:val="009A430B"/>
    <w:rsid w:val="009D5D4E"/>
    <w:rsid w:val="00A231A4"/>
    <w:rsid w:val="00A26376"/>
    <w:rsid w:val="00A3149E"/>
    <w:rsid w:val="00A54E47"/>
    <w:rsid w:val="00A65FBB"/>
    <w:rsid w:val="00A86ADE"/>
    <w:rsid w:val="00A87B2D"/>
    <w:rsid w:val="00AC055C"/>
    <w:rsid w:val="00AD5374"/>
    <w:rsid w:val="00B24E5B"/>
    <w:rsid w:val="00B67A3E"/>
    <w:rsid w:val="00BA77CF"/>
    <w:rsid w:val="00BF7A92"/>
    <w:rsid w:val="00C05F23"/>
    <w:rsid w:val="00C109D6"/>
    <w:rsid w:val="00C23B04"/>
    <w:rsid w:val="00C41D07"/>
    <w:rsid w:val="00C62A1D"/>
    <w:rsid w:val="00C80880"/>
    <w:rsid w:val="00CA4953"/>
    <w:rsid w:val="00CB3D90"/>
    <w:rsid w:val="00CD09AB"/>
    <w:rsid w:val="00CD5148"/>
    <w:rsid w:val="00D16FB7"/>
    <w:rsid w:val="00D20B98"/>
    <w:rsid w:val="00D275E3"/>
    <w:rsid w:val="00D36AA4"/>
    <w:rsid w:val="00D42EBB"/>
    <w:rsid w:val="00D83707"/>
    <w:rsid w:val="00D902D3"/>
    <w:rsid w:val="00D9277A"/>
    <w:rsid w:val="00DC4083"/>
    <w:rsid w:val="00E055D2"/>
    <w:rsid w:val="00E21BE4"/>
    <w:rsid w:val="00E271C0"/>
    <w:rsid w:val="00EF2F2B"/>
    <w:rsid w:val="00F02681"/>
    <w:rsid w:val="00F44B15"/>
    <w:rsid w:val="00F4742E"/>
    <w:rsid w:val="00F62C83"/>
    <w:rsid w:val="00FC5D89"/>
    <w:rsid w:val="00FF0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6BF7A"/>
  <w14:defaultImageDpi w14:val="32767"/>
  <w15:chartTrackingRefBased/>
  <w15:docId w15:val="{A174FE4F-B54B-5A4F-B7E9-8A245DF7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308"/>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IE"/>
    </w:rPr>
  </w:style>
  <w:style w:type="paragraph" w:styleId="Heading2">
    <w:name w:val="heading 2"/>
    <w:basedOn w:val="Normal"/>
    <w:next w:val="Normal"/>
    <w:link w:val="Heading2Char"/>
    <w:uiPriority w:val="9"/>
    <w:unhideWhenUsed/>
    <w:qFormat/>
    <w:rsid w:val="00914308"/>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IE"/>
    </w:rPr>
  </w:style>
  <w:style w:type="paragraph" w:styleId="Heading3">
    <w:name w:val="heading 3"/>
    <w:basedOn w:val="Normal"/>
    <w:link w:val="Heading3Char"/>
    <w:uiPriority w:val="9"/>
    <w:qFormat/>
    <w:rsid w:val="00CD09A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81B78"/>
    <w:rPr>
      <w:sz w:val="20"/>
      <w:szCs w:val="20"/>
    </w:rPr>
  </w:style>
  <w:style w:type="character" w:customStyle="1" w:styleId="FootnoteTextChar">
    <w:name w:val="Footnote Text Char"/>
    <w:basedOn w:val="DefaultParagraphFont"/>
    <w:link w:val="FootnoteText"/>
    <w:uiPriority w:val="99"/>
    <w:semiHidden/>
    <w:rsid w:val="00381B78"/>
    <w:rPr>
      <w:sz w:val="20"/>
      <w:szCs w:val="20"/>
    </w:rPr>
  </w:style>
  <w:style w:type="character" w:styleId="FootnoteReference">
    <w:name w:val="footnote reference"/>
    <w:basedOn w:val="DefaultParagraphFont"/>
    <w:uiPriority w:val="99"/>
    <w:semiHidden/>
    <w:unhideWhenUsed/>
    <w:rsid w:val="00381B78"/>
    <w:rPr>
      <w:vertAlign w:val="superscript"/>
    </w:rPr>
  </w:style>
  <w:style w:type="character" w:customStyle="1" w:styleId="apple-converted-space">
    <w:name w:val="apple-converted-space"/>
    <w:basedOn w:val="DefaultParagraphFont"/>
    <w:rsid w:val="00FF06C7"/>
  </w:style>
  <w:style w:type="character" w:customStyle="1" w:styleId="Heading3Char">
    <w:name w:val="Heading 3 Char"/>
    <w:basedOn w:val="DefaultParagraphFont"/>
    <w:link w:val="Heading3"/>
    <w:uiPriority w:val="9"/>
    <w:rsid w:val="00CD09AB"/>
    <w:rPr>
      <w:rFonts w:ascii="Times New Roman" w:eastAsia="Times New Roman" w:hAnsi="Times New Roman" w:cs="Times New Roman"/>
      <w:b/>
      <w:bCs/>
      <w:kern w:val="0"/>
      <w:sz w:val="27"/>
      <w:szCs w:val="27"/>
      <w:lang w:eastAsia="en-GB"/>
      <w14:ligatures w14:val="none"/>
    </w:rPr>
  </w:style>
  <w:style w:type="paragraph" w:styleId="ListParagraph">
    <w:name w:val="List Paragraph"/>
    <w:basedOn w:val="Normal"/>
    <w:uiPriority w:val="34"/>
    <w:qFormat/>
    <w:rsid w:val="00233A15"/>
    <w:pPr>
      <w:ind w:left="720"/>
      <w:contextualSpacing/>
    </w:pPr>
  </w:style>
  <w:style w:type="character" w:customStyle="1" w:styleId="Heading1Char">
    <w:name w:val="Heading 1 Char"/>
    <w:basedOn w:val="DefaultParagraphFont"/>
    <w:link w:val="Heading1"/>
    <w:uiPriority w:val="9"/>
    <w:rsid w:val="00914308"/>
    <w:rPr>
      <w:rFonts w:asciiTheme="majorHAnsi" w:eastAsiaTheme="majorEastAsia" w:hAnsiTheme="majorHAnsi" w:cstheme="majorBidi"/>
      <w:color w:val="2F5496" w:themeColor="accent1" w:themeShade="BF"/>
      <w:sz w:val="32"/>
      <w:szCs w:val="32"/>
      <w:lang w:val="en-IE"/>
    </w:rPr>
  </w:style>
  <w:style w:type="character" w:customStyle="1" w:styleId="Heading2Char">
    <w:name w:val="Heading 2 Char"/>
    <w:basedOn w:val="DefaultParagraphFont"/>
    <w:link w:val="Heading2"/>
    <w:uiPriority w:val="9"/>
    <w:rsid w:val="00914308"/>
    <w:rPr>
      <w:rFonts w:asciiTheme="majorHAnsi" w:eastAsiaTheme="majorEastAsia" w:hAnsiTheme="majorHAnsi" w:cstheme="majorBidi"/>
      <w:color w:val="2F5496" w:themeColor="accent1" w:themeShade="BF"/>
      <w:sz w:val="26"/>
      <w:szCs w:val="26"/>
      <w:lang w:val="en-IE"/>
    </w:rPr>
  </w:style>
  <w:style w:type="character" w:customStyle="1" w:styleId="normaltextrun">
    <w:name w:val="normaltextrun"/>
    <w:basedOn w:val="DefaultParagraphFont"/>
    <w:rsid w:val="00EF2F2B"/>
  </w:style>
  <w:style w:type="character" w:styleId="Emphasis">
    <w:name w:val="Emphasis"/>
    <w:basedOn w:val="DefaultParagraphFont"/>
    <w:uiPriority w:val="20"/>
    <w:qFormat/>
    <w:rsid w:val="00AD5374"/>
    <w:rPr>
      <w:i/>
      <w:iCs/>
    </w:rPr>
  </w:style>
  <w:style w:type="character" w:styleId="Hyperlink">
    <w:name w:val="Hyperlink"/>
    <w:basedOn w:val="DefaultParagraphFont"/>
    <w:uiPriority w:val="99"/>
    <w:unhideWhenUsed/>
    <w:rsid w:val="00B67A3E"/>
    <w:rPr>
      <w:color w:val="0000FF"/>
      <w:u w:val="single"/>
    </w:rPr>
  </w:style>
  <w:style w:type="character" w:styleId="UnresolvedMention">
    <w:name w:val="Unresolved Mention"/>
    <w:basedOn w:val="DefaultParagraphFont"/>
    <w:uiPriority w:val="99"/>
    <w:rsid w:val="00655901"/>
    <w:rPr>
      <w:color w:val="605E5C"/>
      <w:shd w:val="clear" w:color="auto" w:fill="E1DFDD"/>
    </w:rPr>
  </w:style>
  <w:style w:type="paragraph" w:styleId="Caption">
    <w:name w:val="caption"/>
    <w:basedOn w:val="Normal"/>
    <w:next w:val="Normal"/>
    <w:uiPriority w:val="35"/>
    <w:unhideWhenUsed/>
    <w:qFormat/>
    <w:rsid w:val="00A87B2D"/>
    <w:pPr>
      <w:spacing w:after="200"/>
    </w:pPr>
    <w:rPr>
      <w:i/>
      <w:iCs/>
      <w:color w:val="44546A" w:themeColor="text2"/>
      <w:sz w:val="18"/>
      <w:szCs w:val="18"/>
    </w:rPr>
  </w:style>
  <w:style w:type="paragraph" w:styleId="NormalWeb">
    <w:name w:val="Normal (Web)"/>
    <w:basedOn w:val="Normal"/>
    <w:uiPriority w:val="99"/>
    <w:semiHidden/>
    <w:unhideWhenUsed/>
    <w:rsid w:val="0061402E"/>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49283">
      <w:bodyDiv w:val="1"/>
      <w:marLeft w:val="0"/>
      <w:marRight w:val="0"/>
      <w:marTop w:val="0"/>
      <w:marBottom w:val="0"/>
      <w:divBdr>
        <w:top w:val="none" w:sz="0" w:space="0" w:color="auto"/>
        <w:left w:val="none" w:sz="0" w:space="0" w:color="auto"/>
        <w:bottom w:val="none" w:sz="0" w:space="0" w:color="auto"/>
        <w:right w:val="none" w:sz="0" w:space="0" w:color="auto"/>
      </w:divBdr>
      <w:divsChild>
        <w:div w:id="799343893">
          <w:marLeft w:val="0"/>
          <w:marRight w:val="0"/>
          <w:marTop w:val="0"/>
          <w:marBottom w:val="0"/>
          <w:divBdr>
            <w:top w:val="none" w:sz="0" w:space="0" w:color="auto"/>
            <w:left w:val="none" w:sz="0" w:space="0" w:color="auto"/>
            <w:bottom w:val="none" w:sz="0" w:space="0" w:color="auto"/>
            <w:right w:val="none" w:sz="0" w:space="0" w:color="auto"/>
          </w:divBdr>
          <w:divsChild>
            <w:div w:id="1606418893">
              <w:marLeft w:val="0"/>
              <w:marRight w:val="0"/>
              <w:marTop w:val="0"/>
              <w:marBottom w:val="0"/>
              <w:divBdr>
                <w:top w:val="none" w:sz="0" w:space="0" w:color="auto"/>
                <w:left w:val="none" w:sz="0" w:space="0" w:color="auto"/>
                <w:bottom w:val="none" w:sz="0" w:space="0" w:color="auto"/>
                <w:right w:val="none" w:sz="0" w:space="0" w:color="auto"/>
              </w:divBdr>
              <w:divsChild>
                <w:div w:id="2955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422476">
      <w:bodyDiv w:val="1"/>
      <w:marLeft w:val="0"/>
      <w:marRight w:val="0"/>
      <w:marTop w:val="0"/>
      <w:marBottom w:val="0"/>
      <w:divBdr>
        <w:top w:val="none" w:sz="0" w:space="0" w:color="auto"/>
        <w:left w:val="none" w:sz="0" w:space="0" w:color="auto"/>
        <w:bottom w:val="none" w:sz="0" w:space="0" w:color="auto"/>
        <w:right w:val="none" w:sz="0" w:space="0" w:color="auto"/>
      </w:divBdr>
      <w:divsChild>
        <w:div w:id="1567063836">
          <w:marLeft w:val="0"/>
          <w:marRight w:val="0"/>
          <w:marTop w:val="0"/>
          <w:marBottom w:val="0"/>
          <w:divBdr>
            <w:top w:val="none" w:sz="0" w:space="0" w:color="auto"/>
            <w:left w:val="none" w:sz="0" w:space="0" w:color="auto"/>
            <w:bottom w:val="none" w:sz="0" w:space="0" w:color="auto"/>
            <w:right w:val="none" w:sz="0" w:space="0" w:color="auto"/>
          </w:divBdr>
          <w:divsChild>
            <w:div w:id="1514109779">
              <w:marLeft w:val="0"/>
              <w:marRight w:val="0"/>
              <w:marTop w:val="0"/>
              <w:marBottom w:val="0"/>
              <w:divBdr>
                <w:top w:val="none" w:sz="0" w:space="0" w:color="auto"/>
                <w:left w:val="none" w:sz="0" w:space="0" w:color="auto"/>
                <w:bottom w:val="none" w:sz="0" w:space="0" w:color="auto"/>
                <w:right w:val="none" w:sz="0" w:space="0" w:color="auto"/>
              </w:divBdr>
              <w:divsChild>
                <w:div w:id="2002806146">
                  <w:marLeft w:val="0"/>
                  <w:marRight w:val="0"/>
                  <w:marTop w:val="0"/>
                  <w:marBottom w:val="0"/>
                  <w:divBdr>
                    <w:top w:val="none" w:sz="0" w:space="0" w:color="auto"/>
                    <w:left w:val="none" w:sz="0" w:space="0" w:color="auto"/>
                    <w:bottom w:val="none" w:sz="0" w:space="0" w:color="auto"/>
                    <w:right w:val="none" w:sz="0" w:space="0" w:color="auto"/>
                  </w:divBdr>
                  <w:divsChild>
                    <w:div w:id="506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600783">
      <w:bodyDiv w:val="1"/>
      <w:marLeft w:val="0"/>
      <w:marRight w:val="0"/>
      <w:marTop w:val="0"/>
      <w:marBottom w:val="0"/>
      <w:divBdr>
        <w:top w:val="none" w:sz="0" w:space="0" w:color="auto"/>
        <w:left w:val="none" w:sz="0" w:space="0" w:color="auto"/>
        <w:bottom w:val="none" w:sz="0" w:space="0" w:color="auto"/>
        <w:right w:val="none" w:sz="0" w:space="0" w:color="auto"/>
      </w:divBdr>
    </w:div>
    <w:div w:id="1882012696">
      <w:bodyDiv w:val="1"/>
      <w:marLeft w:val="0"/>
      <w:marRight w:val="0"/>
      <w:marTop w:val="0"/>
      <w:marBottom w:val="0"/>
      <w:divBdr>
        <w:top w:val="none" w:sz="0" w:space="0" w:color="auto"/>
        <w:left w:val="none" w:sz="0" w:space="0" w:color="auto"/>
        <w:bottom w:val="none" w:sz="0" w:space="0" w:color="auto"/>
        <w:right w:val="none" w:sz="0" w:space="0" w:color="auto"/>
      </w:divBdr>
      <w:divsChild>
        <w:div w:id="192495947">
          <w:marLeft w:val="0"/>
          <w:marRight w:val="0"/>
          <w:marTop w:val="0"/>
          <w:marBottom w:val="0"/>
          <w:divBdr>
            <w:top w:val="none" w:sz="0" w:space="0" w:color="auto"/>
            <w:left w:val="none" w:sz="0" w:space="0" w:color="auto"/>
            <w:bottom w:val="none" w:sz="0" w:space="0" w:color="auto"/>
            <w:right w:val="none" w:sz="0" w:space="0" w:color="auto"/>
          </w:divBdr>
          <w:divsChild>
            <w:div w:id="1591498652">
              <w:marLeft w:val="0"/>
              <w:marRight w:val="0"/>
              <w:marTop w:val="0"/>
              <w:marBottom w:val="0"/>
              <w:divBdr>
                <w:top w:val="none" w:sz="0" w:space="0" w:color="auto"/>
                <w:left w:val="none" w:sz="0" w:space="0" w:color="auto"/>
                <w:bottom w:val="none" w:sz="0" w:space="0" w:color="auto"/>
                <w:right w:val="none" w:sz="0" w:space="0" w:color="auto"/>
              </w:divBdr>
              <w:divsChild>
                <w:div w:id="1044020899">
                  <w:marLeft w:val="0"/>
                  <w:marRight w:val="0"/>
                  <w:marTop w:val="0"/>
                  <w:marBottom w:val="0"/>
                  <w:divBdr>
                    <w:top w:val="none" w:sz="0" w:space="0" w:color="auto"/>
                    <w:left w:val="none" w:sz="0" w:space="0" w:color="auto"/>
                    <w:bottom w:val="none" w:sz="0" w:space="0" w:color="auto"/>
                    <w:right w:val="none" w:sz="0" w:space="0" w:color="auto"/>
                  </w:divBdr>
                  <w:divsChild>
                    <w:div w:id="44014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541087">
      <w:bodyDiv w:val="1"/>
      <w:marLeft w:val="0"/>
      <w:marRight w:val="0"/>
      <w:marTop w:val="0"/>
      <w:marBottom w:val="0"/>
      <w:divBdr>
        <w:top w:val="none" w:sz="0" w:space="0" w:color="auto"/>
        <w:left w:val="none" w:sz="0" w:space="0" w:color="auto"/>
        <w:bottom w:val="none" w:sz="0" w:space="0" w:color="auto"/>
        <w:right w:val="none" w:sz="0" w:space="0" w:color="auto"/>
      </w:divBdr>
      <w:divsChild>
        <w:div w:id="1339968283">
          <w:marLeft w:val="0"/>
          <w:marRight w:val="0"/>
          <w:marTop w:val="0"/>
          <w:marBottom w:val="0"/>
          <w:divBdr>
            <w:top w:val="none" w:sz="0" w:space="0" w:color="auto"/>
            <w:left w:val="none" w:sz="0" w:space="0" w:color="auto"/>
            <w:bottom w:val="none" w:sz="0" w:space="0" w:color="auto"/>
            <w:right w:val="none" w:sz="0" w:space="0" w:color="auto"/>
          </w:divBdr>
          <w:divsChild>
            <w:div w:id="1865554574">
              <w:marLeft w:val="0"/>
              <w:marRight w:val="0"/>
              <w:marTop w:val="0"/>
              <w:marBottom w:val="0"/>
              <w:divBdr>
                <w:top w:val="none" w:sz="0" w:space="0" w:color="auto"/>
                <w:left w:val="none" w:sz="0" w:space="0" w:color="auto"/>
                <w:bottom w:val="none" w:sz="0" w:space="0" w:color="auto"/>
                <w:right w:val="none" w:sz="0" w:space="0" w:color="auto"/>
              </w:divBdr>
              <w:divsChild>
                <w:div w:id="1706902239">
                  <w:marLeft w:val="0"/>
                  <w:marRight w:val="0"/>
                  <w:marTop w:val="0"/>
                  <w:marBottom w:val="0"/>
                  <w:divBdr>
                    <w:top w:val="none" w:sz="0" w:space="0" w:color="auto"/>
                    <w:left w:val="none" w:sz="0" w:space="0" w:color="auto"/>
                    <w:bottom w:val="none" w:sz="0" w:space="0" w:color="auto"/>
                    <w:right w:val="none" w:sz="0" w:space="0" w:color="auto"/>
                  </w:divBdr>
                  <w:divsChild>
                    <w:div w:id="207901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developing-a-vision-for-curriculum-design/#curriculum-design-and-the-four-purposes" TargetMode="External"/><Relationship Id="rId5" Type="http://schemas.openxmlformats.org/officeDocument/2006/relationships/webSettings" Target="webSettings.xml"/><Relationship Id="rId10" Type="http://schemas.openxmlformats.org/officeDocument/2006/relationships/hyperlink" Target="https://hr.berkeley.edu/how-social-learning-theory-works" TargetMode="External"/><Relationship Id="rId4" Type="http://schemas.openxmlformats.org/officeDocument/2006/relationships/settings" Target="settings.xml"/><Relationship Id="rId9" Type="http://schemas.openxmlformats.org/officeDocument/2006/relationships/hyperlink" Target="https://www.estyn.gov.wales/system/files/2023-04/Inspection%20report%20St%20Thomas%20Community%20Primary%20School%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6BCEA-EC6C-8E46-8A94-F4C233331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22</Pages>
  <Words>5291</Words>
  <Characters>30164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Auld</dc:creator>
  <cp:keywords/>
  <dc:description/>
  <cp:lastModifiedBy>Megan Auld</cp:lastModifiedBy>
  <cp:revision>20</cp:revision>
  <dcterms:created xsi:type="dcterms:W3CDTF">2023-10-30T11:36:00Z</dcterms:created>
  <dcterms:modified xsi:type="dcterms:W3CDTF">2023-11-06T18:45:00Z</dcterms:modified>
</cp:coreProperties>
</file>