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1C552D" w14:textId="77777777" w:rsidR="001613B2" w:rsidRDefault="001613B2" w:rsidP="001613B2">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Segoe UI"/>
          <w:lang w:eastAsia="en-GB"/>
        </w:rPr>
        <w:t>  </w:t>
      </w:r>
    </w:p>
    <w:p w14:paraId="38FC7DFC" w14:textId="77777777" w:rsidR="001613B2" w:rsidRDefault="001613B2" w:rsidP="001613B2">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Segoe UI"/>
          <w:lang w:eastAsia="en-GB"/>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5"/>
        <w:gridCol w:w="1620"/>
        <w:gridCol w:w="285"/>
        <w:gridCol w:w="1695"/>
      </w:tblGrid>
      <w:tr w:rsidR="001613B2" w14:paraId="36E8F7D3" w14:textId="77777777" w:rsidTr="001613B2">
        <w:trPr>
          <w:trHeight w:val="840"/>
        </w:trPr>
        <w:tc>
          <w:tcPr>
            <w:tcW w:w="8745" w:type="dxa"/>
            <w:gridSpan w:val="4"/>
            <w:tcBorders>
              <w:top w:val="single" w:sz="6" w:space="0" w:color="auto"/>
              <w:left w:val="single" w:sz="6" w:space="0" w:color="auto"/>
              <w:bottom w:val="single" w:sz="6" w:space="0" w:color="auto"/>
              <w:right w:val="single" w:sz="6" w:space="0" w:color="auto"/>
            </w:tcBorders>
            <w:hideMark/>
          </w:tcPr>
          <w:p w14:paraId="4979EFE8"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p w14:paraId="65F57C6F" w14:textId="77777777" w:rsidR="001613B2" w:rsidRDefault="001613B2">
            <w:pPr>
              <w:spacing w:after="0" w:line="240" w:lineRule="auto"/>
              <w:ind w:right="30"/>
              <w:jc w:val="center"/>
              <w:textAlignment w:val="baseline"/>
              <w:rPr>
                <w:rFonts w:ascii="Times New Roman" w:eastAsia="Times New Roman" w:hAnsi="Times New Roman" w:cs="Times New Roman"/>
                <w:sz w:val="24"/>
                <w:szCs w:val="24"/>
                <w:lang w:eastAsia="en-GB"/>
              </w:rPr>
            </w:pPr>
            <w:r>
              <w:rPr>
                <w:rFonts w:ascii="Calibri" w:eastAsia="Times New Roman" w:hAnsi="Calibri" w:cs="Times New Roman"/>
                <w:b/>
                <w:bCs/>
                <w:color w:val="000000"/>
                <w:sz w:val="24"/>
                <w:szCs w:val="24"/>
                <w:lang w:val="cy-GB" w:eastAsia="en-GB"/>
              </w:rPr>
              <w:t>Assignment feedback </w:t>
            </w:r>
            <w:r>
              <w:rPr>
                <w:rFonts w:ascii="Calibri" w:eastAsia="Times New Roman" w:hAnsi="Calibri" w:cs="Times New Roman"/>
                <w:sz w:val="24"/>
                <w:szCs w:val="24"/>
                <w:lang w:eastAsia="en-GB"/>
              </w:rPr>
              <w:t> </w:t>
            </w:r>
          </w:p>
          <w:p w14:paraId="15B39069" w14:textId="77777777" w:rsidR="001613B2" w:rsidRDefault="001613B2">
            <w:pPr>
              <w:spacing w:after="0" w:line="240" w:lineRule="auto"/>
              <w:ind w:right="30"/>
              <w:jc w:val="center"/>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p w14:paraId="24B7B6B5" w14:textId="77777777" w:rsidR="001613B2" w:rsidRDefault="001613B2">
            <w:pPr>
              <w:spacing w:after="0" w:line="240" w:lineRule="auto"/>
              <w:ind w:right="30"/>
              <w:jc w:val="center"/>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tc>
      </w:tr>
      <w:tr w:rsidR="001613B2" w14:paraId="770BE993" w14:textId="77777777" w:rsidTr="001613B2">
        <w:trPr>
          <w:trHeight w:val="360"/>
        </w:trPr>
        <w:tc>
          <w:tcPr>
            <w:tcW w:w="8745" w:type="dxa"/>
            <w:gridSpan w:val="4"/>
            <w:tcBorders>
              <w:top w:val="nil"/>
              <w:left w:val="single" w:sz="6" w:space="0" w:color="auto"/>
              <w:bottom w:val="single" w:sz="6" w:space="0" w:color="auto"/>
              <w:right w:val="single" w:sz="6" w:space="0" w:color="auto"/>
            </w:tcBorders>
            <w:hideMark/>
          </w:tcPr>
          <w:p w14:paraId="22782ABA"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tc>
      </w:tr>
      <w:tr w:rsidR="001613B2" w14:paraId="186B9C65" w14:textId="77777777" w:rsidTr="001613B2">
        <w:trPr>
          <w:trHeight w:val="360"/>
        </w:trPr>
        <w:tc>
          <w:tcPr>
            <w:tcW w:w="8745" w:type="dxa"/>
            <w:gridSpan w:val="4"/>
            <w:tcBorders>
              <w:top w:val="nil"/>
              <w:left w:val="single" w:sz="6" w:space="0" w:color="auto"/>
              <w:bottom w:val="single" w:sz="6" w:space="0" w:color="auto"/>
              <w:right w:val="single" w:sz="6" w:space="0" w:color="auto"/>
            </w:tcBorders>
            <w:hideMark/>
          </w:tcPr>
          <w:p w14:paraId="1F0C9B99"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Student Name: </w:t>
            </w:r>
            <w:r>
              <w:rPr>
                <w:rFonts w:ascii="Calibri" w:eastAsia="Times New Roman" w:hAnsi="Calibri" w:cs="Times New Roman"/>
                <w:color w:val="0070C0"/>
                <w:sz w:val="24"/>
                <w:szCs w:val="24"/>
                <w:lang w:eastAsia="en-GB"/>
              </w:rPr>
              <w:t>Kirsty Parkes</w:t>
            </w:r>
            <w:r>
              <w:rPr>
                <w:rFonts w:ascii="Calibri" w:eastAsia="Times New Roman" w:hAnsi="Calibri" w:cs="Times New Roman"/>
                <w:sz w:val="24"/>
                <w:szCs w:val="24"/>
                <w:lang w:eastAsia="en-GB"/>
              </w:rPr>
              <w:t> </w:t>
            </w:r>
          </w:p>
          <w:p w14:paraId="41BA0556"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Student University Email: </w:t>
            </w:r>
            <w:r>
              <w:rPr>
                <w:rFonts w:ascii="Calibri" w:eastAsia="Times New Roman" w:hAnsi="Calibri" w:cs="Times New Roman"/>
                <w:color w:val="0070C0"/>
                <w:sz w:val="24"/>
                <w:szCs w:val="24"/>
                <w:lang w:eastAsia="en-GB"/>
              </w:rPr>
              <w:t>1600408</w:t>
            </w:r>
            <w:r>
              <w:rPr>
                <w:rFonts w:ascii="Calibri" w:eastAsia="Times New Roman" w:hAnsi="Calibri" w:cs="Times New Roman"/>
                <w:sz w:val="24"/>
                <w:szCs w:val="24"/>
                <w:lang w:eastAsia="en-GB"/>
              </w:rPr>
              <w:t> </w:t>
            </w:r>
          </w:p>
        </w:tc>
      </w:tr>
      <w:tr w:rsidR="001613B2" w14:paraId="0FA3BBE3" w14:textId="77777777" w:rsidTr="001613B2">
        <w:trPr>
          <w:trHeight w:val="840"/>
        </w:trPr>
        <w:tc>
          <w:tcPr>
            <w:tcW w:w="5145" w:type="dxa"/>
            <w:tcBorders>
              <w:top w:val="nil"/>
              <w:left w:val="single" w:sz="6" w:space="0" w:color="auto"/>
              <w:bottom w:val="single" w:sz="6" w:space="0" w:color="auto"/>
              <w:right w:val="single" w:sz="6" w:space="0" w:color="auto"/>
            </w:tcBorders>
            <w:hideMark/>
          </w:tcPr>
          <w:p w14:paraId="735B9499"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Module code: </w:t>
            </w:r>
            <w:r>
              <w:rPr>
                <w:rFonts w:ascii="Calibri" w:eastAsia="Times New Roman" w:hAnsi="Calibri" w:cs="Times New Roman"/>
                <w:color w:val="0070C0"/>
                <w:sz w:val="24"/>
                <w:szCs w:val="24"/>
                <w:lang w:eastAsia="en-GB"/>
              </w:rPr>
              <w:t>HPHI5004</w:t>
            </w:r>
            <w:r>
              <w:rPr>
                <w:rFonts w:ascii="Calibri" w:eastAsia="Times New Roman" w:hAnsi="Calibri" w:cs="Times New Roman"/>
                <w:sz w:val="24"/>
                <w:szCs w:val="24"/>
                <w:lang w:eastAsia="en-GB"/>
              </w:rPr>
              <w:t> </w:t>
            </w:r>
          </w:p>
          <w:p w14:paraId="1B609D7B"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p w14:paraId="648640BD"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Module title: </w:t>
            </w:r>
            <w:r>
              <w:rPr>
                <w:rFonts w:ascii="Calibri" w:eastAsia="Times New Roman" w:hAnsi="Calibri" w:cs="Times New Roman"/>
                <w:color w:val="0070C0"/>
                <w:sz w:val="24"/>
                <w:szCs w:val="24"/>
                <w:lang w:eastAsia="en-GB"/>
              </w:rPr>
              <w:t>Britain and the Great War</w:t>
            </w:r>
            <w:r>
              <w:rPr>
                <w:rFonts w:ascii="Calibri" w:eastAsia="Times New Roman" w:hAnsi="Calibri" w:cs="Times New Roman"/>
                <w:sz w:val="24"/>
                <w:szCs w:val="24"/>
                <w:lang w:eastAsia="en-GB"/>
              </w:rPr>
              <w:t> </w:t>
            </w:r>
          </w:p>
        </w:tc>
        <w:tc>
          <w:tcPr>
            <w:tcW w:w="1905" w:type="dxa"/>
            <w:gridSpan w:val="2"/>
            <w:tcBorders>
              <w:top w:val="nil"/>
              <w:left w:val="nil"/>
              <w:bottom w:val="single" w:sz="6" w:space="0" w:color="auto"/>
              <w:right w:val="single" w:sz="6" w:space="0" w:color="auto"/>
            </w:tcBorders>
            <w:hideMark/>
          </w:tcPr>
          <w:p w14:paraId="0D6E7053"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Student ID number:</w:t>
            </w:r>
            <w:r>
              <w:rPr>
                <w:rFonts w:ascii="Calibri" w:eastAsia="Times New Roman" w:hAnsi="Calibri" w:cs="Times New Roman"/>
                <w:sz w:val="24"/>
                <w:szCs w:val="24"/>
                <w:lang w:eastAsia="en-GB"/>
              </w:rPr>
              <w:t> </w:t>
            </w:r>
          </w:p>
          <w:p w14:paraId="60D7D593"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color w:val="0070C0"/>
                <w:sz w:val="24"/>
                <w:szCs w:val="24"/>
                <w:lang w:eastAsia="en-GB"/>
              </w:rPr>
              <w:t>1600408</w:t>
            </w:r>
            <w:r>
              <w:rPr>
                <w:rFonts w:ascii="Calibri" w:eastAsia="Times New Roman" w:hAnsi="Calibri" w:cs="Times New Roman"/>
                <w:sz w:val="24"/>
                <w:szCs w:val="24"/>
                <w:lang w:eastAsia="en-GB"/>
              </w:rPr>
              <w:t> </w:t>
            </w:r>
          </w:p>
        </w:tc>
        <w:tc>
          <w:tcPr>
            <w:tcW w:w="1695" w:type="dxa"/>
            <w:tcBorders>
              <w:top w:val="nil"/>
              <w:left w:val="nil"/>
              <w:bottom w:val="single" w:sz="6" w:space="0" w:color="auto"/>
              <w:right w:val="single" w:sz="6" w:space="0" w:color="auto"/>
            </w:tcBorders>
            <w:hideMark/>
          </w:tcPr>
          <w:p w14:paraId="532955CC"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Educational support needs:</w:t>
            </w:r>
            <w:r>
              <w:rPr>
                <w:rFonts w:ascii="Calibri" w:eastAsia="Times New Roman" w:hAnsi="Calibri" w:cs="Times New Roman"/>
                <w:sz w:val="24"/>
                <w:szCs w:val="24"/>
                <w:lang w:eastAsia="en-GB"/>
              </w:rPr>
              <w:t> </w:t>
            </w:r>
          </w:p>
          <w:p w14:paraId="73CD5470"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color w:val="0070C0"/>
                <w:sz w:val="24"/>
                <w:szCs w:val="24"/>
                <w:lang w:eastAsia="en-GB"/>
              </w:rPr>
              <w:t>Yes</w:t>
            </w:r>
            <w:r>
              <w:rPr>
                <w:rFonts w:ascii="Calibri" w:eastAsia="Times New Roman" w:hAnsi="Calibri" w:cs="Times New Roman"/>
                <w:sz w:val="24"/>
                <w:szCs w:val="24"/>
                <w:lang w:eastAsia="en-GB"/>
              </w:rPr>
              <w:t> </w:t>
            </w:r>
          </w:p>
          <w:p w14:paraId="272D4B05"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tc>
      </w:tr>
      <w:tr w:rsidR="001613B2" w14:paraId="0900BA2A" w14:textId="77777777" w:rsidTr="001613B2">
        <w:trPr>
          <w:trHeight w:val="840"/>
        </w:trPr>
        <w:tc>
          <w:tcPr>
            <w:tcW w:w="8745" w:type="dxa"/>
            <w:gridSpan w:val="4"/>
            <w:tcBorders>
              <w:top w:val="nil"/>
              <w:left w:val="single" w:sz="6" w:space="0" w:color="auto"/>
              <w:bottom w:val="single" w:sz="6" w:space="0" w:color="auto"/>
              <w:right w:val="single" w:sz="6" w:space="0" w:color="auto"/>
            </w:tcBorders>
            <w:hideMark/>
          </w:tcPr>
          <w:p w14:paraId="176BA85E"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Assignment title: </w:t>
            </w:r>
            <w:r>
              <w:rPr>
                <w:rFonts w:ascii="Calibri" w:eastAsia="Times New Roman" w:hAnsi="Calibri" w:cs="Times New Roman"/>
                <w:color w:val="0070C0"/>
                <w:sz w:val="24"/>
                <w:szCs w:val="24"/>
                <w:lang w:eastAsia="en-GB"/>
              </w:rPr>
              <w:t>Essay</w:t>
            </w:r>
            <w:r>
              <w:rPr>
                <w:rFonts w:ascii="Calibri" w:eastAsia="Times New Roman" w:hAnsi="Calibri" w:cs="Times New Roman"/>
                <w:sz w:val="24"/>
                <w:szCs w:val="24"/>
                <w:lang w:eastAsia="en-GB"/>
              </w:rPr>
              <w:t> </w:t>
            </w:r>
          </w:p>
          <w:p w14:paraId="1826DAC5"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p w14:paraId="25A36905"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Assignment due date: </w:t>
            </w:r>
            <w:r>
              <w:rPr>
                <w:rFonts w:ascii="Calibri" w:eastAsia="Times New Roman" w:hAnsi="Calibri" w:cs="Times New Roman"/>
                <w:color w:val="0070C0"/>
                <w:sz w:val="24"/>
                <w:szCs w:val="24"/>
                <w:lang w:eastAsia="en-GB"/>
              </w:rPr>
              <w:t>22/11/19.</w:t>
            </w:r>
          </w:p>
        </w:tc>
      </w:tr>
      <w:tr w:rsidR="001613B2" w14:paraId="56B968CA" w14:textId="77777777" w:rsidTr="001613B2">
        <w:trPr>
          <w:trHeight w:val="495"/>
        </w:trPr>
        <w:tc>
          <w:tcPr>
            <w:tcW w:w="8745" w:type="dxa"/>
            <w:gridSpan w:val="4"/>
            <w:tcBorders>
              <w:top w:val="nil"/>
              <w:left w:val="single" w:sz="6" w:space="0" w:color="auto"/>
              <w:bottom w:val="single" w:sz="6" w:space="0" w:color="auto"/>
              <w:right w:val="single" w:sz="6" w:space="0" w:color="auto"/>
            </w:tcBorders>
            <w:hideMark/>
          </w:tcPr>
          <w:p w14:paraId="7BF28C76"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Assignment Number: </w:t>
            </w:r>
            <w:r>
              <w:rPr>
                <w:rFonts w:ascii="Calibri" w:eastAsia="Times New Roman" w:hAnsi="Calibri" w:cs="Times New Roman"/>
                <w:color w:val="0070C0"/>
                <w:sz w:val="24"/>
                <w:szCs w:val="24"/>
                <w:lang w:eastAsia="en-GB"/>
              </w:rPr>
              <w:t>2</w:t>
            </w:r>
            <w:r>
              <w:rPr>
                <w:rFonts w:ascii="Calibri" w:eastAsia="Times New Roman" w:hAnsi="Calibri" w:cs="Times New Roman"/>
                <w:sz w:val="24"/>
                <w:szCs w:val="24"/>
                <w:lang w:eastAsia="en-GB"/>
              </w:rPr>
              <w:t> </w:t>
            </w:r>
          </w:p>
          <w:p w14:paraId="23037558" w14:textId="77777777" w:rsidR="001613B2" w:rsidRDefault="001613B2">
            <w:pPr>
              <w:spacing w:after="0" w:line="240" w:lineRule="auto"/>
              <w:ind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(i.e. 1,2,3)</w:t>
            </w:r>
            <w:r>
              <w:rPr>
                <w:rFonts w:ascii="Calibri" w:eastAsia="Times New Roman" w:hAnsi="Calibri" w:cs="Times New Roman"/>
                <w:sz w:val="24"/>
                <w:szCs w:val="24"/>
                <w:lang w:eastAsia="en-GB"/>
              </w:rPr>
              <w:t> </w:t>
            </w:r>
          </w:p>
        </w:tc>
      </w:tr>
      <w:tr w:rsidR="001613B2" w14:paraId="3F856D96" w14:textId="77777777" w:rsidTr="001613B2">
        <w:trPr>
          <w:trHeight w:val="6165"/>
        </w:trPr>
        <w:tc>
          <w:tcPr>
            <w:tcW w:w="8745" w:type="dxa"/>
            <w:gridSpan w:val="4"/>
            <w:tcBorders>
              <w:top w:val="nil"/>
              <w:left w:val="single" w:sz="6" w:space="0" w:color="auto"/>
              <w:bottom w:val="single" w:sz="6" w:space="0" w:color="auto"/>
              <w:right w:val="single" w:sz="6" w:space="0" w:color="auto"/>
            </w:tcBorders>
            <w:hideMark/>
          </w:tcPr>
          <w:p w14:paraId="21F5F396" w14:textId="77777777" w:rsidR="001613B2" w:rsidRDefault="001613B2">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p w14:paraId="738E920A" w14:textId="77777777" w:rsidR="001613B2" w:rsidRDefault="001613B2">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tc>
      </w:tr>
      <w:tr w:rsidR="001613B2" w14:paraId="0DE292C9" w14:textId="77777777" w:rsidTr="001613B2">
        <w:tc>
          <w:tcPr>
            <w:tcW w:w="6765" w:type="dxa"/>
            <w:gridSpan w:val="2"/>
            <w:tcBorders>
              <w:top w:val="nil"/>
              <w:left w:val="single" w:sz="6" w:space="0" w:color="auto"/>
              <w:bottom w:val="single" w:sz="6" w:space="0" w:color="auto"/>
              <w:right w:val="single" w:sz="6" w:space="0" w:color="auto"/>
            </w:tcBorders>
            <w:hideMark/>
          </w:tcPr>
          <w:p w14:paraId="7CC9F951" w14:textId="77777777" w:rsidR="001613B2" w:rsidRDefault="001613B2">
            <w:pPr>
              <w:spacing w:after="0" w:line="240" w:lineRule="auto"/>
              <w:ind w:left="135" w:right="30"/>
              <w:textAlignment w:val="baseline"/>
              <w:rPr>
                <w:rFonts w:ascii="Times New Roman" w:eastAsia="Times New Roman" w:hAnsi="Times New Roman" w:cs="Times New Roman"/>
                <w:sz w:val="24"/>
                <w:szCs w:val="24"/>
                <w:lang w:eastAsia="en-GB"/>
              </w:rPr>
            </w:pPr>
            <w:proofErr w:type="gramStart"/>
            <w:r>
              <w:rPr>
                <w:rFonts w:ascii="Calibri" w:eastAsia="Times New Roman" w:hAnsi="Calibri" w:cs="Times New Roman"/>
                <w:i/>
                <w:iCs/>
                <w:color w:val="000000"/>
                <w:sz w:val="24"/>
                <w:szCs w:val="24"/>
                <w:lang w:eastAsia="en-GB"/>
              </w:rPr>
              <w:t>Marker’s  signature</w:t>
            </w:r>
            <w:proofErr w:type="gramEnd"/>
            <w:r>
              <w:rPr>
                <w:rFonts w:ascii="Calibri" w:eastAsia="Times New Roman" w:hAnsi="Calibri" w:cs="Times New Roman"/>
                <w:i/>
                <w:iCs/>
                <w:color w:val="000000"/>
                <w:sz w:val="24"/>
                <w:szCs w:val="24"/>
                <w:lang w:eastAsia="en-GB"/>
              </w:rPr>
              <w:t>: </w:t>
            </w:r>
            <w:r>
              <w:rPr>
                <w:rFonts w:ascii="Calibri" w:eastAsia="Times New Roman" w:hAnsi="Calibri" w:cs="Times New Roman"/>
                <w:sz w:val="24"/>
                <w:szCs w:val="24"/>
                <w:lang w:eastAsia="en-GB"/>
              </w:rPr>
              <w:t> </w:t>
            </w:r>
          </w:p>
          <w:p w14:paraId="6B6E92DB" w14:textId="77777777" w:rsidR="001613B2" w:rsidRDefault="001613B2">
            <w:pPr>
              <w:spacing w:after="0" w:line="240" w:lineRule="auto"/>
              <w:ind w:left="135"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tc>
        <w:tc>
          <w:tcPr>
            <w:tcW w:w="1980" w:type="dxa"/>
            <w:gridSpan w:val="2"/>
            <w:tcBorders>
              <w:top w:val="nil"/>
              <w:left w:val="nil"/>
              <w:bottom w:val="single" w:sz="6" w:space="0" w:color="auto"/>
              <w:right w:val="single" w:sz="6" w:space="0" w:color="auto"/>
            </w:tcBorders>
            <w:hideMark/>
          </w:tcPr>
          <w:p w14:paraId="0C04D446" w14:textId="77777777" w:rsidR="001613B2" w:rsidRDefault="001613B2">
            <w:pPr>
              <w:spacing w:after="0" w:line="240" w:lineRule="auto"/>
              <w:ind w:left="135"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Date:</w:t>
            </w:r>
            <w:r>
              <w:rPr>
                <w:rFonts w:ascii="Calibri" w:eastAsia="Times New Roman" w:hAnsi="Calibri" w:cs="Times New Roman"/>
                <w:sz w:val="24"/>
                <w:szCs w:val="24"/>
                <w:lang w:eastAsia="en-GB"/>
              </w:rPr>
              <w:t> </w:t>
            </w:r>
          </w:p>
          <w:p w14:paraId="30502685" w14:textId="77777777" w:rsidR="001613B2" w:rsidRDefault="001613B2">
            <w:pPr>
              <w:spacing w:after="0" w:line="240" w:lineRule="auto"/>
              <w:ind w:left="135"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tc>
      </w:tr>
      <w:tr w:rsidR="001613B2" w14:paraId="0F7521D4" w14:textId="77777777" w:rsidTr="001613B2">
        <w:tc>
          <w:tcPr>
            <w:tcW w:w="8745" w:type="dxa"/>
            <w:gridSpan w:val="4"/>
            <w:tcBorders>
              <w:top w:val="nil"/>
              <w:left w:val="single" w:sz="6" w:space="0" w:color="auto"/>
              <w:bottom w:val="single" w:sz="6" w:space="0" w:color="auto"/>
              <w:right w:val="single" w:sz="6" w:space="0" w:color="auto"/>
            </w:tcBorders>
            <w:hideMark/>
          </w:tcPr>
          <w:p w14:paraId="4825F406" w14:textId="77777777" w:rsidR="001613B2" w:rsidRDefault="001613B2">
            <w:pPr>
              <w:spacing w:after="0" w:line="240" w:lineRule="auto"/>
              <w:ind w:left="135"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i/>
                <w:iCs/>
                <w:color w:val="000000"/>
                <w:sz w:val="24"/>
                <w:szCs w:val="24"/>
                <w:lang w:eastAsia="en-GB"/>
              </w:rPr>
              <w:t>Provisional.</w:t>
            </w:r>
            <w:r>
              <w:rPr>
                <w:rFonts w:ascii="Calibri" w:eastAsia="Times New Roman" w:hAnsi="Calibri" w:cs="Times New Roman"/>
                <w:sz w:val="24"/>
                <w:szCs w:val="24"/>
                <w:lang w:eastAsia="en-GB"/>
              </w:rPr>
              <w:t> </w:t>
            </w:r>
          </w:p>
          <w:p w14:paraId="730F5D33" w14:textId="77777777" w:rsidR="001613B2" w:rsidRDefault="001613B2">
            <w:pPr>
              <w:spacing w:after="0" w:line="240" w:lineRule="auto"/>
              <w:ind w:left="135"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b/>
                <w:bCs/>
                <w:i/>
                <w:iCs/>
                <w:color w:val="000000"/>
                <w:sz w:val="24"/>
                <w:szCs w:val="24"/>
                <w:lang w:eastAsia="en-GB"/>
              </w:rPr>
              <w:t>NB.</w:t>
            </w:r>
            <w:r>
              <w:rPr>
                <w:rFonts w:ascii="Calibri" w:eastAsia="Times New Roman" w:hAnsi="Calibri" w:cs="Times New Roman"/>
                <w:i/>
                <w:iCs/>
                <w:color w:val="000000"/>
                <w:sz w:val="24"/>
                <w:szCs w:val="24"/>
                <w:lang w:eastAsia="en-GB"/>
              </w:rPr>
              <w:t>  All marks are provisional until confirmed by the final examination board. </w:t>
            </w:r>
            <w:r>
              <w:rPr>
                <w:rFonts w:ascii="Calibri" w:eastAsia="Times New Roman" w:hAnsi="Calibri" w:cs="Times New Roman"/>
                <w:sz w:val="24"/>
                <w:szCs w:val="24"/>
                <w:lang w:eastAsia="en-GB"/>
              </w:rPr>
              <w:t> </w:t>
            </w:r>
          </w:p>
          <w:p w14:paraId="2F775142" w14:textId="77777777" w:rsidR="001613B2" w:rsidRDefault="001613B2">
            <w:pPr>
              <w:spacing w:after="0" w:line="240" w:lineRule="auto"/>
              <w:ind w:left="135" w:right="30"/>
              <w:textAlignment w:val="baseline"/>
              <w:rPr>
                <w:rFonts w:ascii="Times New Roman" w:eastAsia="Times New Roman" w:hAnsi="Times New Roman" w:cs="Times New Roman"/>
                <w:sz w:val="24"/>
                <w:szCs w:val="24"/>
                <w:lang w:eastAsia="en-GB"/>
              </w:rPr>
            </w:pPr>
            <w:r>
              <w:rPr>
                <w:rFonts w:ascii="Calibri" w:eastAsia="Times New Roman" w:hAnsi="Calibri" w:cs="Times New Roman"/>
                <w:sz w:val="24"/>
                <w:szCs w:val="24"/>
                <w:lang w:eastAsia="en-GB"/>
              </w:rPr>
              <w:t> </w:t>
            </w:r>
          </w:p>
        </w:tc>
      </w:tr>
    </w:tbl>
    <w:p w14:paraId="1B9F751F" w14:textId="77777777" w:rsidR="001613B2" w:rsidRDefault="001613B2" w:rsidP="001613B2">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23"/>
          <w:szCs w:val="23"/>
          <w:lang w:eastAsia="en-GB"/>
        </w:rPr>
        <w:t> </w:t>
      </w:r>
    </w:p>
    <w:p w14:paraId="4F5CD517" w14:textId="77777777" w:rsidR="001613B2" w:rsidRDefault="001613B2" w:rsidP="00D057E8">
      <w:pPr>
        <w:pStyle w:val="Heading1"/>
        <w:rPr>
          <w:rFonts w:eastAsia="Times New Roman"/>
          <w:color w:val="auto"/>
          <w:lang w:eastAsia="en-GB"/>
        </w:rPr>
      </w:pPr>
      <w:r w:rsidRPr="00D057E8">
        <w:rPr>
          <w:rFonts w:eastAsia="Times New Roman"/>
          <w:color w:val="auto"/>
          <w:lang w:eastAsia="en-GB"/>
        </w:rPr>
        <w:lastRenderedPageBreak/>
        <w:t>Far from being persecuted and the subject of hostility, Conscientious Objectors in Britain were given a sympathetic hearing by the civil authorities during World War One. How accurate is this statement?</w:t>
      </w:r>
    </w:p>
    <w:p w14:paraId="3767C15A" w14:textId="77777777" w:rsidR="00D057E8" w:rsidRDefault="00D057E8" w:rsidP="00D057E8">
      <w:pPr>
        <w:rPr>
          <w:lang w:eastAsia="en-GB"/>
        </w:rPr>
      </w:pPr>
    </w:p>
    <w:p w14:paraId="7AB5154B" w14:textId="1AB24649" w:rsidR="00C46A84" w:rsidRDefault="00D057E8" w:rsidP="00D057E8">
      <w:pPr>
        <w:rPr>
          <w:lang w:eastAsia="en-GB"/>
        </w:rPr>
      </w:pPr>
      <w:r>
        <w:rPr>
          <w:lang w:eastAsia="en-GB"/>
        </w:rPr>
        <w:t xml:space="preserve">The wording </w:t>
      </w:r>
      <w:r w:rsidR="00C46A84">
        <w:rPr>
          <w:lang w:eastAsia="en-GB"/>
        </w:rPr>
        <w:t xml:space="preserve">of this statement </w:t>
      </w:r>
      <w:r>
        <w:rPr>
          <w:lang w:eastAsia="en-GB"/>
        </w:rPr>
        <w:t xml:space="preserve">implies we ought to see the Conscientious Objectors as a whole, and the war as one point in time, but in </w:t>
      </w:r>
      <w:proofErr w:type="gramStart"/>
      <w:r>
        <w:rPr>
          <w:lang w:eastAsia="en-GB"/>
        </w:rPr>
        <w:t>reality</w:t>
      </w:r>
      <w:proofErr w:type="gramEnd"/>
      <w:r>
        <w:rPr>
          <w:lang w:eastAsia="en-GB"/>
        </w:rPr>
        <w:t xml:space="preserve"> </w:t>
      </w:r>
      <w:r w:rsidR="0055194A">
        <w:rPr>
          <w:lang w:eastAsia="en-GB"/>
        </w:rPr>
        <w:t>the Conscientious Objectors</w:t>
      </w:r>
      <w:r>
        <w:rPr>
          <w:lang w:eastAsia="en-GB"/>
        </w:rPr>
        <w:t xml:space="preserve"> involved </w:t>
      </w:r>
      <w:r w:rsidR="0055194A">
        <w:rPr>
          <w:lang w:eastAsia="en-GB"/>
        </w:rPr>
        <w:t>people with</w:t>
      </w:r>
      <w:r>
        <w:rPr>
          <w:lang w:eastAsia="en-GB"/>
        </w:rPr>
        <w:t xml:space="preserve"> a wide range of values </w:t>
      </w:r>
      <w:r w:rsidR="0055194A">
        <w:rPr>
          <w:lang w:eastAsia="en-GB"/>
        </w:rPr>
        <w:t>who</w:t>
      </w:r>
      <w:r>
        <w:rPr>
          <w:lang w:eastAsia="en-GB"/>
        </w:rPr>
        <w:t xml:space="preserve"> were treated drastically differently depending on their beliefs</w:t>
      </w:r>
      <w:r w:rsidR="0055194A">
        <w:rPr>
          <w:lang w:eastAsia="en-GB"/>
        </w:rPr>
        <w:t>. Treatment also changed depending on what</w:t>
      </w:r>
      <w:r>
        <w:rPr>
          <w:lang w:eastAsia="en-GB"/>
        </w:rPr>
        <w:t xml:space="preserve"> point in the war</w:t>
      </w:r>
      <w:r w:rsidR="0055194A">
        <w:rPr>
          <w:lang w:eastAsia="en-GB"/>
        </w:rPr>
        <w:t xml:space="preserve"> we are referring to and even varied on an individual basis.</w:t>
      </w:r>
      <w:r>
        <w:rPr>
          <w:lang w:eastAsia="en-GB"/>
        </w:rPr>
        <w:t xml:space="preserve"> </w:t>
      </w:r>
      <w:r w:rsidR="0055194A">
        <w:rPr>
          <w:lang w:eastAsia="en-GB"/>
        </w:rPr>
        <w:t>T</w:t>
      </w:r>
      <w:r>
        <w:rPr>
          <w:lang w:eastAsia="en-GB"/>
        </w:rPr>
        <w:t xml:space="preserve">he </w:t>
      </w:r>
      <w:r w:rsidR="00944DC1">
        <w:rPr>
          <w:lang w:eastAsia="en-GB"/>
        </w:rPr>
        <w:t>subject matter</w:t>
      </w:r>
      <w:r>
        <w:rPr>
          <w:lang w:eastAsia="en-GB"/>
        </w:rPr>
        <w:t xml:space="preserve"> is much more complex</w:t>
      </w:r>
      <w:r w:rsidR="0055194A">
        <w:rPr>
          <w:lang w:eastAsia="en-GB"/>
        </w:rPr>
        <w:t xml:space="preserve"> and nuanced than the statement </w:t>
      </w:r>
      <w:r w:rsidR="00944DC1">
        <w:rPr>
          <w:lang w:eastAsia="en-GB"/>
        </w:rPr>
        <w:t>suggests</w:t>
      </w:r>
      <w:r>
        <w:rPr>
          <w:lang w:eastAsia="en-GB"/>
        </w:rPr>
        <w:t xml:space="preserve">. To answer this </w:t>
      </w:r>
      <w:proofErr w:type="gramStart"/>
      <w:r>
        <w:rPr>
          <w:lang w:eastAsia="en-GB"/>
        </w:rPr>
        <w:t>question</w:t>
      </w:r>
      <w:proofErr w:type="gramEnd"/>
      <w:r>
        <w:rPr>
          <w:lang w:eastAsia="en-GB"/>
        </w:rPr>
        <w:t xml:space="preserve"> we have to consider from what perspective we are judging this by, the individual’s </w:t>
      </w:r>
      <w:r w:rsidR="00593CC8">
        <w:rPr>
          <w:lang w:eastAsia="en-GB"/>
        </w:rPr>
        <w:t>personal beliefs</w:t>
      </w:r>
      <w:r>
        <w:rPr>
          <w:lang w:eastAsia="en-GB"/>
        </w:rPr>
        <w:t>,</w:t>
      </w:r>
      <w:r w:rsidR="00593CC8">
        <w:rPr>
          <w:lang w:eastAsia="en-GB"/>
        </w:rPr>
        <w:t xml:space="preserve"> what aspect of their treatment we are referring to,</w:t>
      </w:r>
      <w:r>
        <w:rPr>
          <w:lang w:eastAsia="en-GB"/>
        </w:rPr>
        <w:t xml:space="preserve"> and at what point in the war we are looking at.</w:t>
      </w:r>
    </w:p>
    <w:p w14:paraId="7364B7B8" w14:textId="47D7A2B9" w:rsidR="00D057E8" w:rsidRDefault="006E4092" w:rsidP="00B1312C">
      <w:pPr>
        <w:spacing w:before="240"/>
        <w:rPr>
          <w:lang w:eastAsia="en-GB"/>
        </w:rPr>
      </w:pPr>
      <w:r>
        <w:rPr>
          <w:noProof/>
          <w:lang w:eastAsia="en-GB"/>
        </w:rPr>
        <mc:AlternateContent>
          <mc:Choice Requires="wpg">
            <w:drawing>
              <wp:anchor distT="45720" distB="45720" distL="182880" distR="182880" simplePos="0" relativeHeight="251660288" behindDoc="0" locked="0" layoutInCell="1" allowOverlap="1" wp14:anchorId="099583B5" wp14:editId="4B06543E">
                <wp:simplePos x="0" y="0"/>
                <wp:positionH relativeFrom="margin">
                  <wp:posOffset>-76200</wp:posOffset>
                </wp:positionH>
                <wp:positionV relativeFrom="margin">
                  <wp:posOffset>6172200</wp:posOffset>
                </wp:positionV>
                <wp:extent cx="2066925" cy="428625"/>
                <wp:effectExtent l="0" t="0" r="9525" b="9525"/>
                <wp:wrapSquare wrapText="bothSides"/>
                <wp:docPr id="198" name="Group 198"/>
                <wp:cNvGraphicFramePr/>
                <a:graphic xmlns:a="http://schemas.openxmlformats.org/drawingml/2006/main">
                  <a:graphicData uri="http://schemas.microsoft.com/office/word/2010/wordprocessingGroup">
                    <wpg:wgp>
                      <wpg:cNvGrpSpPr/>
                      <wpg:grpSpPr>
                        <a:xfrm>
                          <a:off x="0" y="0"/>
                          <a:ext cx="2066925" cy="428625"/>
                          <a:chOff x="-85756" y="-61579"/>
                          <a:chExt cx="2172484" cy="759300"/>
                        </a:xfrm>
                      </wpg:grpSpPr>
                      <wps:wsp>
                        <wps:cNvPr id="199" name="Rectangle 199"/>
                        <wps:cNvSpPr/>
                        <wps:spPr>
                          <a:xfrm>
                            <a:off x="0" y="-1"/>
                            <a:ext cx="2086728" cy="4570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FA2DBD" w14:textId="77777777" w:rsidR="00124AD6" w:rsidRDefault="00124AD6">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85756" y="-61579"/>
                            <a:ext cx="1932209" cy="75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B9692D" w14:textId="3423E24F" w:rsidR="00124AD6" w:rsidRPr="006E4092" w:rsidRDefault="00124AD6">
                              <w:pPr>
                                <w:rPr>
                                  <w:rFonts w:cstheme="minorHAnsi"/>
                                  <w:i/>
                                  <w:caps/>
                                  <w:sz w:val="18"/>
                                </w:rPr>
                              </w:pPr>
                              <w:r w:rsidRPr="006E4092">
                                <w:rPr>
                                  <w:rFonts w:cstheme="minorHAnsi"/>
                                  <w:i/>
                                  <w:sz w:val="18"/>
                                </w:rPr>
                                <w:t xml:space="preserve">Fig. 1: </w:t>
                              </w:r>
                              <w:r>
                                <w:rPr>
                                  <w:rFonts w:cstheme="minorHAnsi"/>
                                  <w:i/>
                                  <w:sz w:val="18"/>
                                </w:rPr>
                                <w:t>‘</w:t>
                              </w:r>
                              <w:r w:rsidRPr="006E4092">
                                <w:rPr>
                                  <w:rFonts w:cstheme="minorHAnsi"/>
                                  <w:sz w:val="18"/>
                                </w:rPr>
                                <w:t>Red Cross or Iron Cross</w:t>
                              </w:r>
                              <w:r>
                                <w:rPr>
                                  <w:rFonts w:cstheme="minorHAnsi"/>
                                  <w:sz w:val="18"/>
                                </w:rPr>
                                <w:t>?’</w:t>
                              </w:r>
                              <w:r w:rsidRPr="006E4092">
                                <w:rPr>
                                  <w:rFonts w:cstheme="minorHAnsi"/>
                                  <w:sz w:val="18"/>
                                </w:rPr>
                                <w:t xml:space="preserve"> poster. </w:t>
                              </w:r>
                              <w:r w:rsidRPr="006E4092">
                                <w:rPr>
                                  <w:rFonts w:cstheme="minorHAnsi"/>
                                  <w:i/>
                                  <w:sz w:val="18"/>
                                </w:rPr>
                                <w:t>(Wilson, D. &amp; WFB, c.1915).</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9583B5" id="Group 198" o:spid="_x0000_s1026" style="position:absolute;margin-left:-6pt;margin-top:486pt;width:162.75pt;height:33.75pt;z-index:251660288;mso-wrap-distance-left:14.4pt;mso-wrap-distance-top:3.6pt;mso-wrap-distance-right:14.4pt;mso-wrap-distance-bottom:3.6pt;mso-position-horizontal-relative:margin;mso-position-vertical-relative:margin;mso-width-relative:margin;mso-height-relative:margin" coordorigin="-857,-615" coordsize="21724,75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">
                <v:rect id="Rectangle 199" o:spid="_x0000_s1027" style="position:absolute;width:2086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1CFA2DBD" w14:textId="77777777" w:rsidR="00124AD6" w:rsidRDefault="00124AD6">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left:-857;top:-615;width:19321;height:75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4B9692D" w14:textId="3423E24F" w:rsidR="00124AD6" w:rsidRPr="006E4092" w:rsidRDefault="00124AD6">
                        <w:pPr>
                          <w:rPr>
                            <w:rFonts w:cstheme="minorHAnsi"/>
                            <w:i/>
                            <w:caps/>
                            <w:sz w:val="18"/>
                          </w:rPr>
                        </w:pPr>
                        <w:r w:rsidRPr="006E4092">
                          <w:rPr>
                            <w:rFonts w:cstheme="minorHAnsi"/>
                            <w:i/>
                            <w:sz w:val="18"/>
                          </w:rPr>
                          <w:t xml:space="preserve">Fig. 1: </w:t>
                        </w:r>
                        <w:r>
                          <w:rPr>
                            <w:rFonts w:cstheme="minorHAnsi"/>
                            <w:i/>
                            <w:sz w:val="18"/>
                          </w:rPr>
                          <w:t>‘</w:t>
                        </w:r>
                        <w:r w:rsidRPr="006E4092">
                          <w:rPr>
                            <w:rFonts w:cstheme="minorHAnsi"/>
                            <w:sz w:val="18"/>
                          </w:rPr>
                          <w:t>Red Cross or Iron Cross</w:t>
                        </w:r>
                        <w:r>
                          <w:rPr>
                            <w:rFonts w:cstheme="minorHAnsi"/>
                            <w:sz w:val="18"/>
                          </w:rPr>
                          <w:t>?’</w:t>
                        </w:r>
                        <w:r w:rsidRPr="006E4092">
                          <w:rPr>
                            <w:rFonts w:cstheme="minorHAnsi"/>
                            <w:sz w:val="18"/>
                          </w:rPr>
                          <w:t xml:space="preserve"> poster. </w:t>
                        </w:r>
                        <w:r w:rsidRPr="006E4092">
                          <w:rPr>
                            <w:rFonts w:cstheme="minorHAnsi"/>
                            <w:i/>
                            <w:sz w:val="18"/>
                          </w:rPr>
                          <w:t>(Wilson, D. &amp; WFB, c.1915).</w:t>
                        </w:r>
                      </w:p>
                    </w:txbxContent>
                  </v:textbox>
                </v:shape>
                <w10:wrap type="square" anchorx="margin" anchory="margin"/>
              </v:group>
            </w:pict>
          </mc:Fallback>
        </mc:AlternateContent>
      </w:r>
      <w:r w:rsidR="001E6A03">
        <w:rPr>
          <w:rFonts w:ascii="Verdana" w:hAnsi="Verdana"/>
          <w:noProof/>
          <w:color w:val="000000"/>
          <w:sz w:val="20"/>
          <w:szCs w:val="20"/>
          <w:lang w:val="en-US"/>
        </w:rPr>
        <w:drawing>
          <wp:anchor distT="0" distB="0" distL="114300" distR="114300" simplePos="0" relativeHeight="251658240" behindDoc="0" locked="0" layoutInCell="1" allowOverlap="1" wp14:anchorId="4F7821DF" wp14:editId="7FB108FD">
            <wp:simplePos x="0" y="0"/>
            <wp:positionH relativeFrom="margin">
              <wp:align>left</wp:align>
            </wp:positionH>
            <wp:positionV relativeFrom="paragraph">
              <wp:posOffset>250825</wp:posOffset>
            </wp:positionV>
            <wp:extent cx="2066925" cy="3058795"/>
            <wp:effectExtent l="0" t="0" r="0" b="8255"/>
            <wp:wrapSquare wrapText="bothSides"/>
            <wp:docPr id="1" name="Picture 1" descr="http://ww1lit.nsms.ox.ac.uk/ww1lit/files/original/dd5eae8a5fffc00ab88251a5262ac1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1lit.nsms.ox.ac.uk/ww1lit/files/original/dd5eae8a5fffc00ab88251a5262ac17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77477" cy="3074665"/>
                    </a:xfrm>
                    <a:prstGeom prst="rect">
                      <a:avLst/>
                    </a:prstGeom>
                    <a:noFill/>
                    <a:ln>
                      <a:noFill/>
                    </a:ln>
                  </pic:spPr>
                </pic:pic>
              </a:graphicData>
            </a:graphic>
            <wp14:sizeRelH relativeFrom="page">
              <wp14:pctWidth>0</wp14:pctWidth>
            </wp14:sizeRelH>
            <wp14:sizeRelV relativeFrom="page">
              <wp14:pctHeight>0</wp14:pctHeight>
            </wp14:sizeRelV>
          </wp:anchor>
        </w:drawing>
      </w:r>
      <w:r w:rsidR="009A37FF">
        <w:rPr>
          <w:lang w:eastAsia="en-GB"/>
        </w:rPr>
        <w:t xml:space="preserve">The majority of this essay will be assessing their treatment from a humanitarian point of view, </w:t>
      </w:r>
      <w:r w:rsidR="005A7536">
        <w:rPr>
          <w:lang w:eastAsia="en-GB"/>
        </w:rPr>
        <w:t xml:space="preserve">but I wanted to briefly touch on this from a </w:t>
      </w:r>
      <w:r w:rsidR="00C46E50">
        <w:rPr>
          <w:lang w:eastAsia="en-GB"/>
        </w:rPr>
        <w:t xml:space="preserve">contemporary, </w:t>
      </w:r>
      <w:r w:rsidR="005A7536">
        <w:rPr>
          <w:lang w:eastAsia="en-GB"/>
        </w:rPr>
        <w:t>jingoistic perspective. At the beginning of the war, there was a large amount of propaganda</w:t>
      </w:r>
      <w:r w:rsidR="00C46E50">
        <w:rPr>
          <w:lang w:eastAsia="en-GB"/>
        </w:rPr>
        <w:t xml:space="preserve"> demonising Germany and lionizing Britain. For example, ‘Red Cross or Iron Cross?’ </w:t>
      </w:r>
      <w:r w:rsidR="00C46E50">
        <w:rPr>
          <w:i/>
          <w:lang w:eastAsia="en-GB"/>
        </w:rPr>
        <w:t xml:space="preserve">(see Fig. 1) </w:t>
      </w:r>
      <w:r w:rsidR="00C46E50">
        <w:rPr>
          <w:lang w:eastAsia="en-GB"/>
        </w:rPr>
        <w:t>is an overt example of propaganda which depicts a German nun pouring water on the floor in front of a thirsty British soldier and stating no British woman would ever do that. Propaganda which inspired hatred towards the Germans</w:t>
      </w:r>
      <w:r w:rsidR="005A7536">
        <w:rPr>
          <w:lang w:eastAsia="en-GB"/>
        </w:rPr>
        <w:t xml:space="preserve"> created a</w:t>
      </w:r>
      <w:r w:rsidR="00C46E50">
        <w:rPr>
          <w:lang w:eastAsia="en-GB"/>
        </w:rPr>
        <w:t xml:space="preserve"> jingoistic</w:t>
      </w:r>
      <w:r w:rsidR="005A7536">
        <w:rPr>
          <w:lang w:eastAsia="en-GB"/>
        </w:rPr>
        <w:t xml:space="preserve"> </w:t>
      </w:r>
      <w:r w:rsidR="00F758B3">
        <w:rPr>
          <w:lang w:eastAsia="en-GB"/>
        </w:rPr>
        <w:t>enthusiasm for war and sympathy for the troops,</w:t>
      </w:r>
      <w:r w:rsidR="00C46E50">
        <w:rPr>
          <w:lang w:eastAsia="en-GB"/>
        </w:rPr>
        <w:t xml:space="preserve"> which made the idea of someone actively choosing not </w:t>
      </w:r>
      <w:r w:rsidR="00F758B3">
        <w:rPr>
          <w:lang w:eastAsia="en-GB"/>
        </w:rPr>
        <w:t>t</w:t>
      </w:r>
      <w:r w:rsidR="00C46E50">
        <w:rPr>
          <w:lang w:eastAsia="en-GB"/>
        </w:rPr>
        <w:t xml:space="preserve">o participate completely incomprehensible, and even </w:t>
      </w:r>
      <w:r w:rsidR="00F758B3">
        <w:rPr>
          <w:lang w:eastAsia="en-GB"/>
        </w:rPr>
        <w:t>traitorous</w:t>
      </w:r>
      <w:r w:rsidR="005A7536">
        <w:rPr>
          <w:lang w:eastAsia="en-GB"/>
        </w:rPr>
        <w:t xml:space="preserve">. If we </w:t>
      </w:r>
      <w:r w:rsidR="00F758B3">
        <w:rPr>
          <w:lang w:eastAsia="en-GB"/>
        </w:rPr>
        <w:t>consider the</w:t>
      </w:r>
      <w:r w:rsidR="005A7536">
        <w:rPr>
          <w:lang w:eastAsia="en-GB"/>
        </w:rPr>
        <w:t xml:space="preserve"> treatment of the Conscientious Objectors</w:t>
      </w:r>
      <w:r w:rsidR="00F758B3">
        <w:rPr>
          <w:lang w:eastAsia="en-GB"/>
        </w:rPr>
        <w:t xml:space="preserve"> from this perspective- which was the core of the British mood</w:t>
      </w:r>
      <w:r w:rsidR="005A7536">
        <w:rPr>
          <w:lang w:eastAsia="en-GB"/>
        </w:rPr>
        <w:t xml:space="preserve"> at the </w:t>
      </w:r>
      <w:r w:rsidR="00C46A84">
        <w:rPr>
          <w:lang w:eastAsia="en-GB"/>
        </w:rPr>
        <w:t>beginning of</w:t>
      </w:r>
      <w:r w:rsidR="005A7536">
        <w:rPr>
          <w:lang w:eastAsia="en-GB"/>
        </w:rPr>
        <w:t xml:space="preserve"> the war</w:t>
      </w:r>
      <w:r w:rsidR="00F758B3">
        <w:rPr>
          <w:lang w:eastAsia="en-GB"/>
        </w:rPr>
        <w:t>-</w:t>
      </w:r>
      <w:r w:rsidR="005A7536">
        <w:rPr>
          <w:lang w:eastAsia="en-GB"/>
        </w:rPr>
        <w:t xml:space="preserve"> could be considered sympathetic and fair. As the war went on and the death tolls went up, this mood changed. Vera Brittain is a</w:t>
      </w:r>
      <w:r w:rsidR="00F758B3">
        <w:rPr>
          <w:lang w:eastAsia="en-GB"/>
        </w:rPr>
        <w:t xml:space="preserve"> </w:t>
      </w:r>
      <w:r w:rsidR="00C46A84">
        <w:rPr>
          <w:lang w:eastAsia="en-GB"/>
        </w:rPr>
        <w:t>prolific</w:t>
      </w:r>
      <w:r w:rsidR="005A7536">
        <w:rPr>
          <w:lang w:eastAsia="en-GB"/>
        </w:rPr>
        <w:t xml:space="preserve"> example of this.</w:t>
      </w:r>
      <w:r w:rsidR="00AE3A49">
        <w:rPr>
          <w:lang w:eastAsia="en-GB"/>
        </w:rPr>
        <w:t xml:space="preserve"> </w:t>
      </w:r>
      <w:r w:rsidR="00F758B3">
        <w:rPr>
          <w:lang w:eastAsia="en-GB"/>
        </w:rPr>
        <w:t>Early on i</w:t>
      </w:r>
      <w:r w:rsidR="00AE3A49">
        <w:rPr>
          <w:lang w:eastAsia="en-GB"/>
        </w:rPr>
        <w:t xml:space="preserve">n her </w:t>
      </w:r>
      <w:r w:rsidR="00AE3A49">
        <w:rPr>
          <w:i/>
          <w:lang w:eastAsia="en-GB"/>
        </w:rPr>
        <w:t xml:space="preserve">Testament of Youth, </w:t>
      </w:r>
      <w:r w:rsidR="00AE3A49">
        <w:rPr>
          <w:lang w:eastAsia="en-GB"/>
        </w:rPr>
        <w:t xml:space="preserve">she </w:t>
      </w:r>
      <w:r w:rsidR="00F758B3">
        <w:rPr>
          <w:lang w:eastAsia="en-GB"/>
        </w:rPr>
        <w:t>quoted an early diary entry</w:t>
      </w:r>
      <w:r w:rsidR="00422F16">
        <w:rPr>
          <w:lang w:eastAsia="en-GB"/>
        </w:rPr>
        <w:t xml:space="preserve"> “If we at this critical juncture refuse to help our friend France, we should be guilty of the grossest treachery.” </w:t>
      </w:r>
      <w:r w:rsidR="00E25989">
        <w:rPr>
          <w:i/>
          <w:lang w:eastAsia="en-GB"/>
        </w:rPr>
        <w:t>(Brittain, V., 1933</w:t>
      </w:r>
      <w:r w:rsidR="00DF3714">
        <w:rPr>
          <w:i/>
          <w:lang w:eastAsia="en-GB"/>
        </w:rPr>
        <w:t>, p. 97</w:t>
      </w:r>
      <w:r w:rsidR="00E25989">
        <w:rPr>
          <w:i/>
          <w:lang w:eastAsia="en-GB"/>
        </w:rPr>
        <w:t>)</w:t>
      </w:r>
      <w:r w:rsidR="00F758B3">
        <w:rPr>
          <w:lang w:eastAsia="en-GB"/>
        </w:rPr>
        <w:t>. This shows a sense of obligation and exemplifies the traitor label which was put on non-participants. However, after losing loved ones her perspective changed dramatically</w:t>
      </w:r>
      <w:r w:rsidR="00536DE8">
        <w:rPr>
          <w:lang w:eastAsia="en-GB"/>
        </w:rPr>
        <w:t xml:space="preserve"> and she became a </w:t>
      </w:r>
      <w:r w:rsidR="00B1312C">
        <w:rPr>
          <w:lang w:eastAsia="en-GB"/>
        </w:rPr>
        <w:t xml:space="preserve">politically active pacifist in the 1920s </w:t>
      </w:r>
      <w:r w:rsidR="00B1312C">
        <w:rPr>
          <w:i/>
          <w:lang w:eastAsia="en-GB"/>
        </w:rPr>
        <w:t>(Brittain, V., 1933, pp. 525-605).</w:t>
      </w:r>
      <w:r w:rsidR="00CB1FC1">
        <w:rPr>
          <w:i/>
          <w:lang w:eastAsia="en-GB"/>
        </w:rPr>
        <w:t xml:space="preserve"> </w:t>
      </w:r>
      <w:r w:rsidR="00CB1FC1">
        <w:rPr>
          <w:lang w:eastAsia="en-GB"/>
        </w:rPr>
        <w:t xml:space="preserve">The changing mood was reflected in legislation. </w:t>
      </w:r>
      <w:r w:rsidR="00245A3D">
        <w:rPr>
          <w:lang w:eastAsia="en-GB"/>
        </w:rPr>
        <w:t xml:space="preserve">In 1915, the Derby Scheme was put in place where men had to enlist and either go to war or attest with an obligation which would allow them to defer service. Under this, the Conscientious Objectors had no rights </w:t>
      </w:r>
      <w:r w:rsidR="00245A3D">
        <w:rPr>
          <w:i/>
          <w:lang w:eastAsia="en-GB"/>
        </w:rPr>
        <w:t>(</w:t>
      </w:r>
      <w:proofErr w:type="spellStart"/>
      <w:r w:rsidR="00245A3D">
        <w:rPr>
          <w:i/>
          <w:lang w:eastAsia="en-GB"/>
        </w:rPr>
        <w:t>Hoschild</w:t>
      </w:r>
      <w:proofErr w:type="spellEnd"/>
      <w:r w:rsidR="00245A3D">
        <w:rPr>
          <w:i/>
          <w:lang w:eastAsia="en-GB"/>
        </w:rPr>
        <w:t>, A., 2011)</w:t>
      </w:r>
      <w:r w:rsidR="00245A3D">
        <w:rPr>
          <w:lang w:eastAsia="en-GB"/>
        </w:rPr>
        <w:t xml:space="preserve">. </w:t>
      </w:r>
      <w:r w:rsidR="00CB1FC1">
        <w:rPr>
          <w:lang w:eastAsia="en-GB"/>
        </w:rPr>
        <w:t>In the Military Service Act of January 1916</w:t>
      </w:r>
      <w:r w:rsidR="001C2C0F">
        <w:rPr>
          <w:i/>
          <w:lang w:eastAsia="en-GB"/>
        </w:rPr>
        <w:t xml:space="preserve">, </w:t>
      </w:r>
      <w:r w:rsidR="001C2C0F">
        <w:rPr>
          <w:lang w:eastAsia="en-GB"/>
        </w:rPr>
        <w:t>the rights of Conscientious Objectors were recognised</w:t>
      </w:r>
      <w:r w:rsidR="00245A3D">
        <w:rPr>
          <w:lang w:eastAsia="en-GB"/>
        </w:rPr>
        <w:t xml:space="preserve"> along with conscription</w:t>
      </w:r>
      <w:r w:rsidR="00C46A84">
        <w:rPr>
          <w:lang w:eastAsia="en-GB"/>
        </w:rPr>
        <w:t xml:space="preserve"> </w:t>
      </w:r>
      <w:r w:rsidR="00C46A84">
        <w:rPr>
          <w:i/>
          <w:lang w:eastAsia="en-GB"/>
        </w:rPr>
        <w:t>(OGL, 2015)</w:t>
      </w:r>
      <w:r w:rsidR="001C2C0F">
        <w:rPr>
          <w:lang w:eastAsia="en-GB"/>
        </w:rPr>
        <w:t xml:space="preserve"> and</w:t>
      </w:r>
      <w:r w:rsidR="00C46A84">
        <w:rPr>
          <w:lang w:eastAsia="en-GB"/>
        </w:rPr>
        <w:t xml:space="preserve"> from that point onwards, 80% of all Conscientious Objection exemptions were granted</w:t>
      </w:r>
      <w:r w:rsidR="001C2C0F">
        <w:rPr>
          <w:lang w:eastAsia="en-GB"/>
        </w:rPr>
        <w:t xml:space="preserve"> </w:t>
      </w:r>
      <w:r w:rsidR="00524336" w:rsidRPr="00524336">
        <w:rPr>
          <w:i/>
          <w:lang w:eastAsia="en-GB"/>
        </w:rPr>
        <w:t>(</w:t>
      </w:r>
      <w:r w:rsidR="001C2C0F">
        <w:rPr>
          <w:i/>
          <w:lang w:eastAsia="en-GB"/>
        </w:rPr>
        <w:t>Van Emden</w:t>
      </w:r>
      <w:r w:rsidR="00524336">
        <w:rPr>
          <w:i/>
          <w:lang w:eastAsia="en-GB"/>
        </w:rPr>
        <w:t>, R.</w:t>
      </w:r>
      <w:r w:rsidR="001C2C0F">
        <w:rPr>
          <w:i/>
          <w:lang w:eastAsia="en-GB"/>
        </w:rPr>
        <w:t xml:space="preserve"> &amp; Humphries</w:t>
      </w:r>
      <w:r w:rsidR="00524336">
        <w:rPr>
          <w:i/>
          <w:lang w:eastAsia="en-GB"/>
        </w:rPr>
        <w:t>, S., 2017)</w:t>
      </w:r>
      <w:r w:rsidR="00C46A84">
        <w:rPr>
          <w:i/>
          <w:lang w:eastAsia="en-GB"/>
        </w:rPr>
        <w:t xml:space="preserve">. </w:t>
      </w:r>
      <w:r w:rsidR="00C46A84">
        <w:rPr>
          <w:lang w:eastAsia="en-GB"/>
        </w:rPr>
        <w:t xml:space="preserve">If we consider the contemporary </w:t>
      </w:r>
      <w:r w:rsidR="00C46A84">
        <w:rPr>
          <w:lang w:eastAsia="en-GB"/>
        </w:rPr>
        <w:lastRenderedPageBreak/>
        <w:t>mood to be what dictates fairness, then this perspective would grant the correctness of the statement in question.</w:t>
      </w:r>
    </w:p>
    <w:p w14:paraId="358FDD09" w14:textId="55981E08" w:rsidR="00EB3A97" w:rsidRDefault="009D2AC2" w:rsidP="00B1312C">
      <w:pPr>
        <w:spacing w:before="240"/>
        <w:rPr>
          <w:lang w:eastAsia="en-GB"/>
        </w:rPr>
      </w:pPr>
      <w:r>
        <w:rPr>
          <w:lang w:eastAsia="en-GB"/>
        </w:rPr>
        <w:t xml:space="preserve">However, the mood is arguably less of a justification and more of a reason behind why their treatment can be considered so unfair. The </w:t>
      </w:r>
      <w:r w:rsidR="00487486">
        <w:rPr>
          <w:lang w:eastAsia="en-GB"/>
        </w:rPr>
        <w:t xml:space="preserve">trials </w:t>
      </w:r>
      <w:r>
        <w:rPr>
          <w:lang w:eastAsia="en-GB"/>
        </w:rPr>
        <w:t>themselves could not be classified as fair</w:t>
      </w:r>
      <w:r w:rsidR="00487486">
        <w:rPr>
          <w:lang w:eastAsia="en-GB"/>
        </w:rPr>
        <w:t xml:space="preserve"> </w:t>
      </w:r>
      <w:r>
        <w:rPr>
          <w:lang w:eastAsia="en-GB"/>
        </w:rPr>
        <w:t xml:space="preserve">- a fair trial </w:t>
      </w:r>
      <w:r w:rsidR="00487486">
        <w:rPr>
          <w:lang w:eastAsia="en-GB"/>
        </w:rPr>
        <w:t>means you are</w:t>
      </w:r>
      <w:r w:rsidR="001F7F5F">
        <w:rPr>
          <w:lang w:eastAsia="en-GB"/>
        </w:rPr>
        <w:t xml:space="preserve"> judged</w:t>
      </w:r>
      <w:r>
        <w:rPr>
          <w:lang w:eastAsia="en-GB"/>
        </w:rPr>
        <w:t xml:space="preserve"> </w:t>
      </w:r>
      <w:r w:rsidR="00487486">
        <w:rPr>
          <w:lang w:eastAsia="en-GB"/>
        </w:rPr>
        <w:t xml:space="preserve">by </w:t>
      </w:r>
      <w:r>
        <w:rPr>
          <w:lang w:eastAsia="en-GB"/>
        </w:rPr>
        <w:t>a tribunal of peers</w:t>
      </w:r>
      <w:r w:rsidR="00487486">
        <w:rPr>
          <w:lang w:eastAsia="en-GB"/>
        </w:rPr>
        <w:t xml:space="preserve"> and an impartial judge</w:t>
      </w:r>
      <w:r>
        <w:rPr>
          <w:lang w:eastAsia="en-GB"/>
        </w:rPr>
        <w:t>, whereas the aforementioned trials had tribunals which consisted of mainly middle-class men with vested interests in the military</w:t>
      </w:r>
      <w:r w:rsidR="00487486">
        <w:rPr>
          <w:lang w:eastAsia="en-GB"/>
        </w:rPr>
        <w:t xml:space="preserve"> and/or the local council</w:t>
      </w:r>
      <w:r>
        <w:rPr>
          <w:lang w:eastAsia="en-GB"/>
        </w:rPr>
        <w:t xml:space="preserve"> and often actively expressed derogatory sentiments to th</w:t>
      </w:r>
      <w:r w:rsidR="001F7F5F">
        <w:rPr>
          <w:lang w:eastAsia="en-GB"/>
        </w:rPr>
        <w:t xml:space="preserve">e defendants </w:t>
      </w:r>
      <w:r w:rsidR="001F7F5F">
        <w:rPr>
          <w:i/>
          <w:lang w:eastAsia="en-GB"/>
        </w:rPr>
        <w:t>(Richards, A., 2014).</w:t>
      </w:r>
      <w:r w:rsidR="00005A9F">
        <w:rPr>
          <w:i/>
          <w:lang w:eastAsia="en-GB"/>
        </w:rPr>
        <w:t xml:space="preserve"> </w:t>
      </w:r>
      <w:r w:rsidR="00005A9F">
        <w:rPr>
          <w:lang w:eastAsia="en-GB"/>
        </w:rPr>
        <w:t>An example of this was, in one tribunal, the defendant was asked his age. When he responded that he was 18, the tribunal chairman said “</w:t>
      </w:r>
      <w:r w:rsidR="00005A9F" w:rsidRPr="00005A9F">
        <w:rPr>
          <w:lang w:eastAsia="en-GB"/>
        </w:rPr>
        <w:t>Oh in that case you're not old enough to have a conscience. Case dismissed</w:t>
      </w:r>
      <w:r w:rsidR="00005A9F">
        <w:rPr>
          <w:lang w:eastAsia="en-GB"/>
        </w:rPr>
        <w:t xml:space="preserve">” and the defendant was sent straight to prison </w:t>
      </w:r>
      <w:r w:rsidR="00005A9F">
        <w:rPr>
          <w:i/>
          <w:lang w:eastAsia="en-GB"/>
        </w:rPr>
        <w:t>(Brooks, M., 2018)</w:t>
      </w:r>
      <w:r w:rsidR="00005A9F">
        <w:rPr>
          <w:lang w:eastAsia="en-GB"/>
        </w:rPr>
        <w:t>.</w:t>
      </w:r>
      <w:r w:rsidR="00491F19">
        <w:rPr>
          <w:lang w:eastAsia="en-GB"/>
        </w:rPr>
        <w:t xml:space="preserve"> </w:t>
      </w:r>
      <w:r w:rsidR="00487486">
        <w:rPr>
          <w:lang w:eastAsia="en-GB"/>
        </w:rPr>
        <w:t xml:space="preserve">Before the Military Service Act, if a trial was dismissed, the defendant would be sent to war, and if they refused they would be Court Martialled and usually imprisoned. Afterwards, they would be allocated alternative service such as the Non-Combatant Corps or the Royal Army Medical Corps, and would again be Court Martialled and usually imprisoned if they refused </w:t>
      </w:r>
      <w:r w:rsidR="00487486">
        <w:rPr>
          <w:i/>
          <w:lang w:eastAsia="en-GB"/>
        </w:rPr>
        <w:t>(Richards, A., 2014).</w:t>
      </w:r>
      <w:r w:rsidR="004B5598">
        <w:rPr>
          <w:i/>
          <w:lang w:eastAsia="en-GB"/>
        </w:rPr>
        <w:t xml:space="preserve"> </w:t>
      </w:r>
      <w:r w:rsidR="004B5598">
        <w:rPr>
          <w:lang w:eastAsia="en-GB"/>
        </w:rPr>
        <w:t xml:space="preserve">While the latter was objectively fairer and more sympathetic than the former, whether a man would follow that would depend entirely on whether he was an absolutist or an alternativist. </w:t>
      </w:r>
    </w:p>
    <w:p w14:paraId="015B8599" w14:textId="19384281" w:rsidR="0057269A" w:rsidRDefault="00EB3A97" w:rsidP="00B1312C">
      <w:pPr>
        <w:spacing w:before="240"/>
        <w:rPr>
          <w:i/>
          <w:lang w:eastAsia="en-GB"/>
        </w:rPr>
      </w:pPr>
      <w:r>
        <w:rPr>
          <w:lang w:eastAsia="en-GB"/>
        </w:rPr>
        <w:t>Alternativists were opposed to fighting</w:t>
      </w:r>
      <w:r w:rsidR="00005A9F">
        <w:rPr>
          <w:lang w:eastAsia="en-GB"/>
        </w:rPr>
        <w:t>, usually due to religious reasons,</w:t>
      </w:r>
      <w:r>
        <w:rPr>
          <w:lang w:eastAsia="en-GB"/>
        </w:rPr>
        <w:t xml:space="preserve"> but willing to help the effort in non-combatant ways, such as providing manual labour or medical aid. Absolutis</w:t>
      </w:r>
      <w:r w:rsidR="00005A9F">
        <w:rPr>
          <w:lang w:eastAsia="en-GB"/>
        </w:rPr>
        <w:t>ts were opposed to being in any way involved with the war, mostly for political reasons, and bore the worst treatment out of the two</w:t>
      </w:r>
      <w:r w:rsidR="00720ECF">
        <w:rPr>
          <w:lang w:eastAsia="en-GB"/>
        </w:rPr>
        <w:t xml:space="preserve">, especially following the </w:t>
      </w:r>
      <w:r w:rsidR="00D90A32">
        <w:rPr>
          <w:lang w:eastAsia="en-GB"/>
        </w:rPr>
        <w:t>Military Service Act where Alternativists were fully recognised and allowed alternative service</w:t>
      </w:r>
      <w:r w:rsidR="00005A9F">
        <w:rPr>
          <w:lang w:eastAsia="en-GB"/>
        </w:rPr>
        <w:t xml:space="preserve"> </w:t>
      </w:r>
      <w:r w:rsidR="00005A9F">
        <w:rPr>
          <w:i/>
          <w:lang w:eastAsia="en-GB"/>
        </w:rPr>
        <w:t>(Brooks, M., 2018)</w:t>
      </w:r>
      <w:r w:rsidR="00005A9F">
        <w:rPr>
          <w:lang w:eastAsia="en-GB"/>
        </w:rPr>
        <w:t>.</w:t>
      </w:r>
      <w:r w:rsidR="005A4941">
        <w:rPr>
          <w:lang w:eastAsia="en-GB"/>
        </w:rPr>
        <w:t xml:space="preserve"> </w:t>
      </w:r>
      <w:r w:rsidR="00F72A50">
        <w:rPr>
          <w:lang w:eastAsia="en-GB"/>
        </w:rPr>
        <w:t>Despite the legal change, Conscientious Objectors were still thought of as synonymous with deserters, and Taylor-</w:t>
      </w:r>
      <w:proofErr w:type="spellStart"/>
      <w:r w:rsidR="00F72A50">
        <w:rPr>
          <w:lang w:eastAsia="en-GB"/>
        </w:rPr>
        <w:t>Whiffen</w:t>
      </w:r>
      <w:proofErr w:type="spellEnd"/>
      <w:r w:rsidR="00F72A50">
        <w:rPr>
          <w:lang w:eastAsia="en-GB"/>
        </w:rPr>
        <w:t xml:space="preserve"> points out that, even if a medical exemption was valid, doctors often shied away from defending deserting soldiers due to their prejudices. He cites a quote from an anonymous doctor “</w:t>
      </w:r>
      <w:r w:rsidR="00F72A50" w:rsidRPr="00491F19">
        <w:rPr>
          <w:lang w:eastAsia="en-GB"/>
        </w:rPr>
        <w:t>I went to the trial determined to give him no help, for I detest his type - I really hoped he would be shot</w:t>
      </w:r>
      <w:r w:rsidR="00F72A50">
        <w:rPr>
          <w:lang w:eastAsia="en-GB"/>
        </w:rPr>
        <w:t xml:space="preserve">” </w:t>
      </w:r>
      <w:r w:rsidR="00F72A50">
        <w:rPr>
          <w:i/>
          <w:lang w:eastAsia="en-GB"/>
        </w:rPr>
        <w:t>(Taylor-</w:t>
      </w:r>
      <w:proofErr w:type="spellStart"/>
      <w:r w:rsidR="00F72A50">
        <w:rPr>
          <w:i/>
          <w:lang w:eastAsia="en-GB"/>
        </w:rPr>
        <w:t>Whiffen</w:t>
      </w:r>
      <w:proofErr w:type="spellEnd"/>
      <w:r w:rsidR="00F72A50">
        <w:rPr>
          <w:i/>
          <w:lang w:eastAsia="en-GB"/>
        </w:rPr>
        <w:t xml:space="preserve">, P., 2011). </w:t>
      </w:r>
      <w:r w:rsidR="00F72A50">
        <w:rPr>
          <w:lang w:eastAsia="en-GB"/>
        </w:rPr>
        <w:t xml:space="preserve">This shows that even doctors would disregard their Hippocratic Oath in order to bias trials, showing that there was no sympathy nor fairness for the Objectors. </w:t>
      </w:r>
      <w:r w:rsidR="00D90A32">
        <w:rPr>
          <w:lang w:eastAsia="en-GB"/>
        </w:rPr>
        <w:t xml:space="preserve"> </w:t>
      </w:r>
      <w:r w:rsidR="005A4941">
        <w:rPr>
          <w:lang w:eastAsia="en-GB"/>
        </w:rPr>
        <w:t>The trials were objectively neither fair nor sympathetic for the aforementioned reasons, and a</w:t>
      </w:r>
      <w:r w:rsidR="00D90A32">
        <w:rPr>
          <w:lang w:eastAsia="en-GB"/>
        </w:rPr>
        <w:t xml:space="preserve">s a result of this, out of the 16,100 registered Conscientious objectors, 6261 were imprisoned </w:t>
      </w:r>
      <w:r w:rsidR="00D90A32" w:rsidRPr="00524336">
        <w:rPr>
          <w:i/>
          <w:lang w:eastAsia="en-GB"/>
        </w:rPr>
        <w:t>(</w:t>
      </w:r>
      <w:r w:rsidR="00D90A32">
        <w:rPr>
          <w:i/>
          <w:lang w:eastAsia="en-GB"/>
        </w:rPr>
        <w:t>Van Emden, R. &amp; Humphries, S., 2017).</w:t>
      </w:r>
    </w:p>
    <w:p w14:paraId="1E5C0B68" w14:textId="76F1D136" w:rsidR="00880659" w:rsidRPr="00880659" w:rsidRDefault="00880659" w:rsidP="00B1312C">
      <w:pPr>
        <w:spacing w:before="240"/>
        <w:rPr>
          <w:lang w:eastAsia="en-GB"/>
        </w:rPr>
      </w:pPr>
      <w:r>
        <w:rPr>
          <w:lang w:eastAsia="en-GB"/>
        </w:rPr>
        <w:t xml:space="preserve">In prison, there were some aspects which makes it arguable that Conscientious Objectors were treated more fairly and sympathetically than other prisoners. A change in prison food options- the introduction of vegetarian options- occurred due to the high quantity of vegetarian Conscientious Objectors </w:t>
      </w:r>
      <w:r>
        <w:rPr>
          <w:i/>
          <w:lang w:eastAsia="en-GB"/>
        </w:rPr>
        <w:t>(Brooks, M., 2018)</w:t>
      </w:r>
      <w:r>
        <w:rPr>
          <w:lang w:eastAsia="en-GB"/>
        </w:rPr>
        <w:t xml:space="preserve">. Little luxuries were also granted to Conscientious Objectors, such as books. The prisons allowed them to receive and read whatever books took their fancy on the condition that they would be donated to the prison library after they had finished reading them </w:t>
      </w:r>
      <w:r>
        <w:rPr>
          <w:i/>
          <w:lang w:eastAsia="en-GB"/>
        </w:rPr>
        <w:t xml:space="preserve">(Brooks, M., 2018). </w:t>
      </w:r>
      <w:r>
        <w:rPr>
          <w:lang w:eastAsia="en-GB"/>
        </w:rPr>
        <w:t>However, beyond little luxuries, there is very little evidence that they were treated well in prison</w:t>
      </w:r>
      <w:r w:rsidR="004472E6">
        <w:rPr>
          <w:lang w:eastAsia="en-GB"/>
        </w:rPr>
        <w:t xml:space="preserve">, and the aspects which appear to be </w:t>
      </w:r>
      <w:proofErr w:type="gramStart"/>
      <w:r w:rsidR="004472E6">
        <w:rPr>
          <w:lang w:eastAsia="en-GB"/>
        </w:rPr>
        <w:t>more fair</w:t>
      </w:r>
      <w:proofErr w:type="gramEnd"/>
      <w:r w:rsidR="004472E6">
        <w:rPr>
          <w:lang w:eastAsia="en-GB"/>
        </w:rPr>
        <w:t xml:space="preserve"> seem to be far from universal</w:t>
      </w:r>
      <w:r>
        <w:rPr>
          <w:lang w:eastAsia="en-GB"/>
        </w:rPr>
        <w:t>.</w:t>
      </w:r>
    </w:p>
    <w:p w14:paraId="30E38D90" w14:textId="7E5C0AAD" w:rsidR="00D90A32" w:rsidRPr="00880659" w:rsidRDefault="00880659" w:rsidP="00B1312C">
      <w:pPr>
        <w:spacing w:before="240"/>
        <w:rPr>
          <w:lang w:eastAsia="en-GB"/>
        </w:rPr>
      </w:pPr>
      <w:r>
        <w:rPr>
          <w:lang w:eastAsia="en-GB"/>
        </w:rPr>
        <w:t>Far from fair, t</w:t>
      </w:r>
      <w:r w:rsidR="00D90A32">
        <w:rPr>
          <w:lang w:eastAsia="en-GB"/>
        </w:rPr>
        <w:t>reatment in prisons was reportedly</w:t>
      </w:r>
      <w:r w:rsidR="003C19D0">
        <w:rPr>
          <w:lang w:eastAsia="en-GB"/>
        </w:rPr>
        <w:t xml:space="preserve"> </w:t>
      </w:r>
      <w:r>
        <w:rPr>
          <w:lang w:eastAsia="en-GB"/>
        </w:rPr>
        <w:t>very violent</w:t>
      </w:r>
      <w:r w:rsidR="003C19D0">
        <w:rPr>
          <w:lang w:eastAsia="en-GB"/>
        </w:rPr>
        <w:t xml:space="preserve">. 71 Conscientious Objectors died in prison due to </w:t>
      </w:r>
      <w:r>
        <w:rPr>
          <w:lang w:eastAsia="en-GB"/>
        </w:rPr>
        <w:t>prison</w:t>
      </w:r>
      <w:r w:rsidR="003C19D0">
        <w:rPr>
          <w:lang w:eastAsia="en-GB"/>
        </w:rPr>
        <w:t xml:space="preserve"> brutality </w:t>
      </w:r>
      <w:r w:rsidR="003C19D0" w:rsidRPr="00524336">
        <w:rPr>
          <w:i/>
          <w:lang w:eastAsia="en-GB"/>
        </w:rPr>
        <w:t>(</w:t>
      </w:r>
      <w:r w:rsidR="003C19D0">
        <w:rPr>
          <w:i/>
          <w:lang w:eastAsia="en-GB"/>
        </w:rPr>
        <w:t>Van Emden, R. &amp; Humphries, S., 2017).</w:t>
      </w:r>
      <w:r w:rsidR="004C404C">
        <w:rPr>
          <w:i/>
          <w:lang w:eastAsia="en-GB"/>
        </w:rPr>
        <w:t xml:space="preserve"> </w:t>
      </w:r>
      <w:r w:rsidR="004C404C">
        <w:rPr>
          <w:lang w:eastAsia="en-GB"/>
        </w:rPr>
        <w:t>I. Miller produced an in-depth study on the brutality in prisons</w:t>
      </w:r>
      <w:r w:rsidR="00D72CE4">
        <w:rPr>
          <w:lang w:eastAsia="en-GB"/>
        </w:rPr>
        <w:t>, especially relating to force feeding</w:t>
      </w:r>
      <w:r w:rsidR="004C404C">
        <w:rPr>
          <w:lang w:eastAsia="en-GB"/>
        </w:rPr>
        <w:t>.</w:t>
      </w:r>
      <w:r w:rsidR="00D72CE4">
        <w:rPr>
          <w:lang w:eastAsia="en-GB"/>
        </w:rPr>
        <w:t xml:space="preserve"> He describes the feedings as </w:t>
      </w:r>
      <w:r w:rsidR="00D72CE4">
        <w:rPr>
          <w:lang w:eastAsia="en-GB"/>
        </w:rPr>
        <w:lastRenderedPageBreak/>
        <w:t xml:space="preserve">violent and unnecessary. They were also kept very quiet and their letters were censored and even destroyed under the reason that </w:t>
      </w:r>
      <w:r w:rsidR="00D72CE4" w:rsidRPr="00D72CE4">
        <w:rPr>
          <w:lang w:eastAsia="en-GB"/>
        </w:rPr>
        <w:t>“letters were not allowed to leave the prison that might alarm relatives and friends”</w:t>
      </w:r>
      <w:r w:rsidR="00D72CE4">
        <w:rPr>
          <w:lang w:eastAsia="en-GB"/>
        </w:rPr>
        <w:t xml:space="preserve"> </w:t>
      </w:r>
      <w:r w:rsidR="00D72CE4">
        <w:rPr>
          <w:i/>
          <w:color w:val="000000"/>
          <w:shd w:val="clear" w:color="auto" w:fill="FFFFFF"/>
        </w:rPr>
        <w:t xml:space="preserve">(Miller, I., 2016). </w:t>
      </w:r>
      <w:r w:rsidR="00D72CE4">
        <w:rPr>
          <w:color w:val="000000"/>
          <w:shd w:val="clear" w:color="auto" w:fill="FFFFFF"/>
        </w:rPr>
        <w:t>This suggests that prisons did not want the treatment to be public as they did not want to be held accountable.</w:t>
      </w:r>
      <w:r w:rsidR="00D72CE4">
        <w:rPr>
          <w:lang w:eastAsia="en-GB"/>
        </w:rPr>
        <w:t xml:space="preserve"> One Conscientious Objector, Clarence Henry Norman, sued for assault, claiming he had been put in a straight jacket and spat on, and during the force feeding he had been verbally abused, being called “</w:t>
      </w:r>
      <w:r w:rsidR="00D72CE4" w:rsidRPr="00D72CE4">
        <w:rPr>
          <w:lang w:eastAsia="en-GB"/>
        </w:rPr>
        <w:t>‘coward’, ‘swine’, ‘beast’, and ‘sham conscientious objector’</w:t>
      </w:r>
      <w:r w:rsidR="00D72CE4">
        <w:rPr>
          <w:lang w:eastAsia="en-GB"/>
        </w:rPr>
        <w:t xml:space="preserve">” </w:t>
      </w:r>
      <w:r w:rsidR="00D72CE4">
        <w:rPr>
          <w:i/>
          <w:color w:val="000000"/>
          <w:shd w:val="clear" w:color="auto" w:fill="FFFFFF"/>
        </w:rPr>
        <w:t xml:space="preserve">(Miller, I., 2016). </w:t>
      </w:r>
      <w:r w:rsidR="00D72CE4">
        <w:rPr>
          <w:color w:val="000000"/>
          <w:shd w:val="clear" w:color="auto" w:fill="FFFFFF"/>
        </w:rPr>
        <w:t xml:space="preserve">This clearly shows the contempt prison officers had for the Conscientious Objectors. Miller cited another chilling account from an anonymous soldier who </w:t>
      </w:r>
      <w:r w:rsidR="00FB3D4B">
        <w:rPr>
          <w:color w:val="000000"/>
          <w:shd w:val="clear" w:color="auto" w:fill="FFFFFF"/>
        </w:rPr>
        <w:t>was allegedly “</w:t>
      </w:r>
      <w:r w:rsidR="00FB3D4B" w:rsidRPr="00FB3D4B">
        <w:rPr>
          <w:color w:val="000000"/>
          <w:shd w:val="clear" w:color="auto" w:fill="FFFFFF"/>
        </w:rPr>
        <w:t>forced to his cell floor and held down by several officers to have a feeding tube forced through his nose so violently that it caused intense bleeding. The prison doctor sat laughing at the prisoner, taunting him by imitating his moans and cries</w:t>
      </w:r>
      <w:r w:rsidR="00FB3D4B">
        <w:rPr>
          <w:color w:val="000000"/>
          <w:shd w:val="clear" w:color="auto" w:fill="FFFFFF"/>
        </w:rPr>
        <w:t>”</w:t>
      </w:r>
      <w:r w:rsidR="00D72CE4">
        <w:rPr>
          <w:color w:val="000000"/>
          <w:shd w:val="clear" w:color="auto" w:fill="FFFFFF"/>
        </w:rPr>
        <w:t xml:space="preserve"> </w:t>
      </w:r>
      <w:r w:rsidR="00FB3D4B">
        <w:rPr>
          <w:i/>
          <w:color w:val="000000"/>
          <w:shd w:val="clear" w:color="auto" w:fill="FFFFFF"/>
        </w:rPr>
        <w:t xml:space="preserve">(Miller, I., 2016). </w:t>
      </w:r>
      <w:r w:rsidR="00FB3D4B">
        <w:rPr>
          <w:color w:val="000000"/>
          <w:shd w:val="clear" w:color="auto" w:fill="FFFFFF"/>
        </w:rPr>
        <w:t xml:space="preserve">The described treatment is dystopian and, far from sympathetic. Miller also described the case of </w:t>
      </w:r>
      <w:r w:rsidR="004C404C">
        <w:rPr>
          <w:color w:val="000000"/>
          <w:shd w:val="clear" w:color="auto" w:fill="FFFFFF"/>
        </w:rPr>
        <w:t>William Edward Burns</w:t>
      </w:r>
      <w:r w:rsidR="00FB3D4B">
        <w:rPr>
          <w:color w:val="000000"/>
          <w:shd w:val="clear" w:color="auto" w:fill="FFFFFF"/>
        </w:rPr>
        <w:t>, who died as a result of his treatment. Burns was very ill and refused medical treatment, and went on hunger strike “as a last resort”, and died from pneumonia worsened by food being trapped in his lungs after a doctor force fed him. This case was brought to parliament, but the blame was never placed on the doctor nor the prison</w:t>
      </w:r>
      <w:r w:rsidR="00245FE6">
        <w:rPr>
          <w:color w:val="000000"/>
          <w:shd w:val="clear" w:color="auto" w:fill="FFFFFF"/>
        </w:rPr>
        <w:t xml:space="preserve"> </w:t>
      </w:r>
      <w:r w:rsidR="00245FE6">
        <w:rPr>
          <w:i/>
          <w:color w:val="000000"/>
          <w:shd w:val="clear" w:color="auto" w:fill="FFFFFF"/>
        </w:rPr>
        <w:t>(Miller, I., 2016).</w:t>
      </w:r>
      <w:r w:rsidR="00FB3D4B">
        <w:rPr>
          <w:i/>
          <w:color w:val="000000"/>
          <w:shd w:val="clear" w:color="auto" w:fill="FFFFFF"/>
        </w:rPr>
        <w:t xml:space="preserve"> </w:t>
      </w:r>
      <w:r w:rsidR="00FB3D4B">
        <w:rPr>
          <w:color w:val="000000"/>
          <w:shd w:val="clear" w:color="auto" w:fill="FFFFFF"/>
        </w:rPr>
        <w:t>These cases suggest that, far worse than a subject of hostility and persecution, these men were the subject of inhumane acts of violence and torture, and their plights were almost entirely ignored- if not endorsed- by the civil authorities.</w:t>
      </w:r>
      <w:r w:rsidR="004472E6">
        <w:rPr>
          <w:color w:val="000000"/>
          <w:shd w:val="clear" w:color="auto" w:fill="FFFFFF"/>
        </w:rPr>
        <w:t xml:space="preserve"> </w:t>
      </w:r>
      <w:r w:rsidR="00066F8C">
        <w:rPr>
          <w:lang w:eastAsia="en-GB"/>
        </w:rPr>
        <w:t xml:space="preserve">Prison conditions were </w:t>
      </w:r>
      <w:r w:rsidR="00245FE6">
        <w:rPr>
          <w:lang w:eastAsia="en-GB"/>
        </w:rPr>
        <w:t xml:space="preserve">also </w:t>
      </w:r>
      <w:r w:rsidR="00066F8C">
        <w:rPr>
          <w:lang w:eastAsia="en-GB"/>
        </w:rPr>
        <w:t xml:space="preserve">psychologically </w:t>
      </w:r>
      <w:r w:rsidR="005A4941">
        <w:rPr>
          <w:lang w:eastAsia="en-GB"/>
        </w:rPr>
        <w:t>destructive.</w:t>
      </w:r>
      <w:r w:rsidR="00066F8C">
        <w:rPr>
          <w:lang w:eastAsia="en-GB"/>
        </w:rPr>
        <w:t xml:space="preserve"> </w:t>
      </w:r>
      <w:r w:rsidR="008012C3">
        <w:rPr>
          <w:lang w:eastAsia="en-GB"/>
        </w:rPr>
        <w:t xml:space="preserve">Before 1916, all Conscientious Objectors were imprisoned as deserting soldiers, afterwards this only applied to lost trials. Alternativists would usually be imprisoned for around 3 months and absolutists for more or less the duration of the war, however as soon as a Conscientious Objector was released, they were once again considered a deserter and could be arrested, court martialled and returned to prison immediately </w:t>
      </w:r>
      <w:r w:rsidR="008012C3">
        <w:rPr>
          <w:i/>
          <w:lang w:eastAsia="en-GB"/>
        </w:rPr>
        <w:t>(Burnham, K., 2014).</w:t>
      </w:r>
      <w:r w:rsidR="008012C3">
        <w:rPr>
          <w:lang w:eastAsia="en-GB"/>
        </w:rPr>
        <w:t xml:space="preserve"> This treatment caused inevitable psychological damage by the Conscientious Objectors were essentially being taunted with the possibility of freedom just for it to be snatched away. As for the prison sentence itself, </w:t>
      </w:r>
      <w:r w:rsidR="005A4941">
        <w:rPr>
          <w:lang w:eastAsia="en-GB"/>
        </w:rPr>
        <w:t xml:space="preserve">Brooks states that </w:t>
      </w:r>
      <w:r w:rsidR="00253E8E">
        <w:rPr>
          <w:lang w:eastAsia="en-GB"/>
        </w:rPr>
        <w:t>“</w:t>
      </w:r>
      <w:r w:rsidR="00253E8E" w:rsidRPr="00253E8E">
        <w:rPr>
          <w:lang w:eastAsia="en-GB"/>
        </w:rPr>
        <w:t>The initial standard sentence was 112 days third division hard labour - the most severe level of prison sentence under English law at that time. This began with one month in solitary confinement on bread and water, performing arduous and boring manual jobs like breaking stone, hand-sewing mailbags and picking oakum</w:t>
      </w:r>
      <w:r w:rsidR="00253E8E">
        <w:rPr>
          <w:lang w:eastAsia="en-GB"/>
        </w:rPr>
        <w:t xml:space="preserve">” </w:t>
      </w:r>
      <w:r w:rsidR="00253E8E">
        <w:rPr>
          <w:i/>
          <w:lang w:eastAsia="en-GB"/>
        </w:rPr>
        <w:t>(Brooks, M., 2018)</w:t>
      </w:r>
      <w:r w:rsidR="00253E8E">
        <w:rPr>
          <w:lang w:eastAsia="en-GB"/>
        </w:rPr>
        <w:t>.</w:t>
      </w:r>
      <w:r w:rsidR="008012C3">
        <w:rPr>
          <w:lang w:eastAsia="en-GB"/>
        </w:rPr>
        <w:t xml:space="preserve"> As well as backbreaking and mundane physical labour which wears down your mind, an entire month of solitary confinement- or several depending on how many times a man had been released and recaptured- is often a large cause of psychological damage, and is used to this day as a form of psychological torture </w:t>
      </w:r>
      <w:r w:rsidR="008012C3">
        <w:rPr>
          <w:i/>
          <w:lang w:eastAsia="en-GB"/>
        </w:rPr>
        <w:t>(</w:t>
      </w:r>
      <w:r w:rsidR="00655D31">
        <w:rPr>
          <w:i/>
          <w:lang w:eastAsia="en-GB"/>
        </w:rPr>
        <w:t>Miles, T., 2017</w:t>
      </w:r>
      <w:r w:rsidR="008012C3">
        <w:rPr>
          <w:i/>
          <w:lang w:eastAsia="en-GB"/>
        </w:rPr>
        <w:t>)</w:t>
      </w:r>
      <w:r w:rsidR="001D4BFB">
        <w:rPr>
          <w:lang w:eastAsia="en-GB"/>
        </w:rPr>
        <w:t xml:space="preserve">. Furthermore, if they refused to keep to the rule of silence, you could spend the entire sentence in solitary confinement. One such individual was Stephen Hobhouse, a Quaker pacifist who was placed in solitary confinement for </w:t>
      </w:r>
      <w:r>
        <w:rPr>
          <w:lang w:eastAsia="en-GB"/>
        </w:rPr>
        <w:t>the duration as he believed that “</w:t>
      </w:r>
      <w:r w:rsidRPr="00880659">
        <w:rPr>
          <w:lang w:eastAsia="en-GB"/>
        </w:rPr>
        <w:t>The spirit of love requires that I should speak to my fellow-prisoners, the spirit of truth that I should speak to them openly</w:t>
      </w:r>
      <w:r>
        <w:rPr>
          <w:lang w:eastAsia="en-GB"/>
        </w:rPr>
        <w:t xml:space="preserve">” </w:t>
      </w:r>
      <w:r>
        <w:rPr>
          <w:i/>
          <w:lang w:eastAsia="en-GB"/>
        </w:rPr>
        <w:t>(</w:t>
      </w:r>
      <w:proofErr w:type="spellStart"/>
      <w:r w:rsidR="00C91F9F">
        <w:rPr>
          <w:i/>
          <w:lang w:eastAsia="en-GB"/>
        </w:rPr>
        <w:t>Hoschild</w:t>
      </w:r>
      <w:proofErr w:type="spellEnd"/>
      <w:r w:rsidR="00C91F9F">
        <w:rPr>
          <w:i/>
          <w:lang w:eastAsia="en-GB"/>
        </w:rPr>
        <w:t>, A., 2011</w:t>
      </w:r>
      <w:r>
        <w:rPr>
          <w:i/>
          <w:lang w:eastAsia="en-GB"/>
        </w:rPr>
        <w:t xml:space="preserve">). </w:t>
      </w:r>
      <w:r>
        <w:rPr>
          <w:lang w:eastAsia="en-GB"/>
        </w:rPr>
        <w:t>During his sentence, his mental and physical health declined to a point from which they never recovered. When the treatment in prisons could so easily be argued to be neglect and torture, it is hard to consider their treatment fair or just.</w:t>
      </w:r>
      <w:r w:rsidR="004472E6">
        <w:rPr>
          <w:lang w:eastAsia="en-GB"/>
        </w:rPr>
        <w:t xml:space="preserve"> </w:t>
      </w:r>
      <w:r w:rsidR="004472E6">
        <w:rPr>
          <w:color w:val="000000"/>
          <w:shd w:val="clear" w:color="auto" w:fill="FFFFFF"/>
        </w:rPr>
        <w:t xml:space="preserve">It is </w:t>
      </w:r>
      <w:r w:rsidR="004472E6">
        <w:rPr>
          <w:color w:val="000000"/>
          <w:shd w:val="clear" w:color="auto" w:fill="FFFFFF"/>
        </w:rPr>
        <w:t>difficult to assess</w:t>
      </w:r>
      <w:r w:rsidR="004472E6">
        <w:rPr>
          <w:color w:val="000000"/>
          <w:shd w:val="clear" w:color="auto" w:fill="FFFFFF"/>
        </w:rPr>
        <w:t xml:space="preserve"> how many prisons allowed</w:t>
      </w:r>
      <w:r w:rsidR="004472E6">
        <w:rPr>
          <w:color w:val="000000"/>
          <w:shd w:val="clear" w:color="auto" w:fill="FFFFFF"/>
        </w:rPr>
        <w:t xml:space="preserve"> physical and psychological tortures,</w:t>
      </w:r>
      <w:r w:rsidR="004472E6">
        <w:rPr>
          <w:color w:val="000000"/>
          <w:shd w:val="clear" w:color="auto" w:fill="FFFFFF"/>
        </w:rPr>
        <w:t xml:space="preserve"> and how many added the aforementioned comforts,</w:t>
      </w:r>
      <w:r w:rsidR="004472E6">
        <w:rPr>
          <w:color w:val="000000"/>
          <w:shd w:val="clear" w:color="auto" w:fill="FFFFFF"/>
        </w:rPr>
        <w:t xml:space="preserve"> however it is clear that both existed</w:t>
      </w:r>
      <w:r w:rsidR="004472E6">
        <w:rPr>
          <w:color w:val="000000"/>
          <w:shd w:val="clear" w:color="auto" w:fill="FFFFFF"/>
        </w:rPr>
        <w:t>.</w:t>
      </w:r>
    </w:p>
    <w:p w14:paraId="1A4F8AE9" w14:textId="2ADC789F" w:rsidR="00793862" w:rsidRPr="00C65EB3" w:rsidRDefault="00793862" w:rsidP="00B1312C">
      <w:pPr>
        <w:spacing w:before="240"/>
        <w:rPr>
          <w:lang w:eastAsia="en-GB"/>
        </w:rPr>
      </w:pPr>
      <w:r>
        <w:rPr>
          <w:lang w:eastAsia="en-GB"/>
        </w:rPr>
        <w:t xml:space="preserve">Prison was not the only fate conscientious objectors could face. Some men were sent to war against their will, and a grand total of 306 men were documented as killed by firing squad during the Great War </w:t>
      </w:r>
      <w:r>
        <w:rPr>
          <w:i/>
          <w:lang w:eastAsia="en-GB"/>
        </w:rPr>
        <w:t>(</w:t>
      </w:r>
      <w:r w:rsidR="00E47A53">
        <w:rPr>
          <w:i/>
          <w:lang w:eastAsia="en-GB"/>
        </w:rPr>
        <w:t>Taylor-</w:t>
      </w:r>
      <w:proofErr w:type="spellStart"/>
      <w:r w:rsidR="00E47A53">
        <w:rPr>
          <w:i/>
          <w:lang w:eastAsia="en-GB"/>
        </w:rPr>
        <w:t>Whiffen</w:t>
      </w:r>
      <w:proofErr w:type="spellEnd"/>
      <w:r w:rsidR="00E47A53">
        <w:rPr>
          <w:i/>
          <w:lang w:eastAsia="en-GB"/>
        </w:rPr>
        <w:t>, P</w:t>
      </w:r>
      <w:r w:rsidR="00491F19">
        <w:rPr>
          <w:i/>
          <w:lang w:eastAsia="en-GB"/>
        </w:rPr>
        <w:t>., 2011</w:t>
      </w:r>
      <w:r>
        <w:rPr>
          <w:i/>
          <w:lang w:eastAsia="en-GB"/>
        </w:rPr>
        <w:t>)</w:t>
      </w:r>
      <w:r>
        <w:rPr>
          <w:lang w:eastAsia="en-GB"/>
        </w:rPr>
        <w:t>.</w:t>
      </w:r>
      <w:r w:rsidR="00491F19">
        <w:rPr>
          <w:lang w:eastAsia="en-GB"/>
        </w:rPr>
        <w:t xml:space="preserve"> Private Thomas Highgate was one example of this. He was seventeen </w:t>
      </w:r>
      <w:r w:rsidR="00491F19">
        <w:rPr>
          <w:lang w:eastAsia="en-GB"/>
        </w:rPr>
        <w:lastRenderedPageBreak/>
        <w:t xml:space="preserve">years old and had lied about his age to join the war effort. At the Battle of </w:t>
      </w:r>
      <w:proofErr w:type="gramStart"/>
      <w:r w:rsidR="00491F19">
        <w:rPr>
          <w:lang w:eastAsia="en-GB"/>
        </w:rPr>
        <w:t>Mons</w:t>
      </w:r>
      <w:proofErr w:type="gramEnd"/>
      <w:r w:rsidR="00491F19">
        <w:rPr>
          <w:lang w:eastAsia="en-GB"/>
        </w:rPr>
        <w:t xml:space="preserve"> he witnessed every man in his regiment be killed, injured or captured and fled to hide in a barn. At his trial, there was nobody there to defend him as his regiment were either dead or incapacitated, and he was shot to death </w:t>
      </w:r>
      <w:r w:rsidR="00491F19">
        <w:rPr>
          <w:i/>
          <w:lang w:eastAsia="en-GB"/>
        </w:rPr>
        <w:t>(Taylor-</w:t>
      </w:r>
      <w:proofErr w:type="spellStart"/>
      <w:r w:rsidR="00491F19">
        <w:rPr>
          <w:i/>
          <w:lang w:eastAsia="en-GB"/>
        </w:rPr>
        <w:t>Whiffen</w:t>
      </w:r>
      <w:proofErr w:type="spellEnd"/>
      <w:r w:rsidR="00491F19">
        <w:rPr>
          <w:i/>
          <w:lang w:eastAsia="en-GB"/>
        </w:rPr>
        <w:t>, P., 2011)</w:t>
      </w:r>
      <w:r w:rsidR="00491F19">
        <w:rPr>
          <w:lang w:eastAsia="en-GB"/>
        </w:rPr>
        <w:t>.</w:t>
      </w:r>
      <w:r w:rsidR="00E3205E">
        <w:rPr>
          <w:lang w:eastAsia="en-GB"/>
        </w:rPr>
        <w:t xml:space="preserve"> Another example was the Richmond Sixteen. They were comprised of a group of Absolutist Conscientious Objectors</w:t>
      </w:r>
      <w:r w:rsidR="001D4BFB">
        <w:rPr>
          <w:lang w:eastAsia="en-GB"/>
        </w:rPr>
        <w:t xml:space="preserve"> who refused</w:t>
      </w:r>
      <w:r w:rsidR="006A7C1A">
        <w:rPr>
          <w:lang w:eastAsia="en-GB"/>
        </w:rPr>
        <w:t xml:space="preserve"> both combative and non-combative</w:t>
      </w:r>
      <w:r w:rsidR="001D4BFB">
        <w:rPr>
          <w:lang w:eastAsia="en-GB"/>
        </w:rPr>
        <w:t xml:space="preserve"> military service in 19</w:t>
      </w:r>
      <w:r w:rsidR="006A7C1A">
        <w:rPr>
          <w:lang w:eastAsia="en-GB"/>
        </w:rPr>
        <w:t>16. These men did not know each other, but were all brought to Richmond Castle and sent to France against their will</w:t>
      </w:r>
      <w:r w:rsidR="001D6B85">
        <w:rPr>
          <w:lang w:eastAsia="en-GB"/>
        </w:rPr>
        <w:t>, where they continued to refuse to take part in the war effort</w:t>
      </w:r>
      <w:r w:rsidR="006A7C1A">
        <w:rPr>
          <w:lang w:eastAsia="en-GB"/>
        </w:rPr>
        <w:t>.</w:t>
      </w:r>
      <w:r w:rsidR="001D6B85">
        <w:rPr>
          <w:lang w:eastAsia="en-GB"/>
        </w:rPr>
        <w:t xml:space="preserve"> Along with 28 other absolutists, they were</w:t>
      </w:r>
      <w:r w:rsidR="00ED3BFB">
        <w:rPr>
          <w:lang w:eastAsia="en-GB"/>
        </w:rPr>
        <w:t xml:space="preserve"> given a trial in Britain,</w:t>
      </w:r>
      <w:r w:rsidR="001D6B85">
        <w:rPr>
          <w:lang w:eastAsia="en-GB"/>
        </w:rPr>
        <w:t xml:space="preserve"> then court martialled to be killed by firing squad</w:t>
      </w:r>
      <w:r w:rsidR="00ED3BFB">
        <w:rPr>
          <w:lang w:eastAsia="en-GB"/>
        </w:rPr>
        <w:t>, for which they were sent to France as it was illegal to do so in Britain</w:t>
      </w:r>
      <w:r w:rsidR="001D6B85">
        <w:rPr>
          <w:lang w:eastAsia="en-GB"/>
        </w:rPr>
        <w:t xml:space="preserve">. One of the 28 managed to alert the No-Conscription Fellowship who confronted the prime minister and got their sentence changed to imprisonment </w:t>
      </w:r>
      <w:r w:rsidR="001D6B85">
        <w:rPr>
          <w:i/>
          <w:lang w:eastAsia="en-GB"/>
        </w:rPr>
        <w:t>(</w:t>
      </w:r>
      <w:proofErr w:type="spellStart"/>
      <w:r w:rsidR="001D6B85">
        <w:rPr>
          <w:i/>
          <w:lang w:eastAsia="en-GB"/>
        </w:rPr>
        <w:t>Gaudie</w:t>
      </w:r>
      <w:proofErr w:type="spellEnd"/>
      <w:r w:rsidR="001D6B85">
        <w:rPr>
          <w:i/>
          <w:lang w:eastAsia="en-GB"/>
        </w:rPr>
        <w:t>, N., 1922).</w:t>
      </w:r>
      <w:r w:rsidR="00ED3BFB">
        <w:rPr>
          <w:i/>
          <w:lang w:eastAsia="en-GB"/>
        </w:rPr>
        <w:t xml:space="preserve"> </w:t>
      </w:r>
      <w:r w:rsidR="00ED3BFB">
        <w:rPr>
          <w:lang w:eastAsia="en-GB"/>
        </w:rPr>
        <w:t>If the letter had not been sent, these men would have been killed. The law protected British people from being killed as a punishment, and the fact that the powers that be attempted to send them to France to bend but not break the law clearly shows the treatment was far from fair.</w:t>
      </w:r>
      <w:r w:rsidR="004472E6">
        <w:rPr>
          <w:lang w:eastAsia="en-GB"/>
        </w:rPr>
        <w:t xml:space="preserve"> On the flip side, celebrated soldier and war poet Siegfried Sassoon published</w:t>
      </w:r>
      <w:r w:rsidR="00C65EB3">
        <w:rPr>
          <w:lang w:eastAsia="en-GB"/>
        </w:rPr>
        <w:t xml:space="preserve"> </w:t>
      </w:r>
      <w:r w:rsidR="00C65EB3">
        <w:rPr>
          <w:i/>
          <w:lang w:eastAsia="en-GB"/>
        </w:rPr>
        <w:t>A Soldier’s Declaration</w:t>
      </w:r>
      <w:r w:rsidR="004472E6">
        <w:rPr>
          <w:lang w:eastAsia="en-GB"/>
        </w:rPr>
        <w:t xml:space="preserve"> </w:t>
      </w:r>
      <w:r w:rsidR="00C65EB3">
        <w:rPr>
          <w:lang w:eastAsia="en-GB"/>
        </w:rPr>
        <w:t xml:space="preserve">which was </w:t>
      </w:r>
      <w:r w:rsidR="004472E6">
        <w:rPr>
          <w:lang w:eastAsia="en-GB"/>
        </w:rPr>
        <w:t xml:space="preserve">a defiant statement </w:t>
      </w:r>
      <w:r w:rsidR="00C65EB3">
        <w:rPr>
          <w:lang w:eastAsia="en-GB"/>
        </w:rPr>
        <w:t>opposing</w:t>
      </w:r>
      <w:r w:rsidR="004472E6">
        <w:rPr>
          <w:lang w:eastAsia="en-GB"/>
        </w:rPr>
        <w:t xml:space="preserve"> the war, and instead of being court martialled was sent to a relatively comfortable mental institution in which he spent his time writing for the institution’s paper</w:t>
      </w:r>
      <w:r w:rsidR="00C65EB3">
        <w:rPr>
          <w:lang w:eastAsia="en-GB"/>
        </w:rPr>
        <w:t xml:space="preserve"> </w:t>
      </w:r>
      <w:r w:rsidR="00C65EB3">
        <w:rPr>
          <w:i/>
          <w:lang w:eastAsia="en-GB"/>
        </w:rPr>
        <w:t>(Egremont, M., 2013)</w:t>
      </w:r>
      <w:r w:rsidR="004472E6">
        <w:rPr>
          <w:lang w:eastAsia="en-GB"/>
        </w:rPr>
        <w:t>. In this stateme</w:t>
      </w:r>
      <w:r w:rsidR="00C65EB3">
        <w:rPr>
          <w:lang w:eastAsia="en-GB"/>
        </w:rPr>
        <w:t>nt, he says</w:t>
      </w:r>
      <w:r w:rsidR="004472E6">
        <w:rPr>
          <w:lang w:eastAsia="en-GB"/>
        </w:rPr>
        <w:t xml:space="preserve"> “</w:t>
      </w:r>
      <w:r w:rsidR="004472E6" w:rsidRPr="004472E6">
        <w:rPr>
          <w:lang w:eastAsia="en-GB"/>
        </w:rPr>
        <w:t xml:space="preserve">I am making this statement as an act of wilful defiance of military authority because I believe that the war is being deliberately prolonged by those who have the power to end it. </w:t>
      </w:r>
      <w:r w:rsidR="004472E6">
        <w:rPr>
          <w:lang w:eastAsia="en-GB"/>
        </w:rPr>
        <w:t xml:space="preserve"> […] </w:t>
      </w:r>
      <w:r w:rsidR="004472E6" w:rsidRPr="004472E6">
        <w:rPr>
          <w:lang w:eastAsia="en-GB"/>
        </w:rPr>
        <w:t>I am not protesting against the conduct of the war, but against the political errors and insincerities for which the fighting men are being sacrificed</w:t>
      </w:r>
      <w:r w:rsidR="004472E6">
        <w:rPr>
          <w:lang w:eastAsia="en-GB"/>
        </w:rPr>
        <w:t>”</w:t>
      </w:r>
      <w:r w:rsidR="00C65EB3">
        <w:rPr>
          <w:lang w:eastAsia="en-GB"/>
        </w:rPr>
        <w:t xml:space="preserve"> </w:t>
      </w:r>
      <w:r w:rsidR="00C65EB3">
        <w:rPr>
          <w:i/>
          <w:lang w:eastAsia="en-GB"/>
        </w:rPr>
        <w:t>(Sassoon, S., 1917).</w:t>
      </w:r>
      <w:r w:rsidR="004472E6">
        <w:rPr>
          <w:lang w:eastAsia="en-GB"/>
        </w:rPr>
        <w:t xml:space="preserve"> </w:t>
      </w:r>
      <w:r w:rsidR="00C65EB3">
        <w:rPr>
          <w:lang w:eastAsia="en-GB"/>
        </w:rPr>
        <w:t xml:space="preserve">His statement clearly and boldly announces that he is directly challenging the powers that be, and even places direct blame by calling it deliberate. Instead of court martialling him, they bent the law in the other direction and gave him a very sympathetic hearing. It is unclear why they did this; we could speculate that it was </w:t>
      </w:r>
      <w:r w:rsidR="00C65EB3">
        <w:rPr>
          <w:lang w:eastAsia="en-GB"/>
        </w:rPr>
        <w:t>an attempt to prevent an uproar</w:t>
      </w:r>
      <w:r w:rsidR="00C65EB3">
        <w:rPr>
          <w:lang w:eastAsia="en-GB"/>
        </w:rPr>
        <w:t xml:space="preserve"> which could be sparked due to his prestige both in the military and as a poet, we could conclude this </w:t>
      </w:r>
      <w:r w:rsidR="002C4D79">
        <w:rPr>
          <w:lang w:eastAsia="en-GB"/>
        </w:rPr>
        <w:t>owed</w:t>
      </w:r>
      <w:r w:rsidR="00C65EB3">
        <w:rPr>
          <w:lang w:eastAsia="en-GB"/>
        </w:rPr>
        <w:t xml:space="preserve"> to his class, or we could assume this was due to Graves’ intervention on his behalf where he told the authorities that Sassoon was unwell </w:t>
      </w:r>
      <w:r w:rsidR="00C65EB3">
        <w:rPr>
          <w:i/>
          <w:lang w:eastAsia="en-GB"/>
        </w:rPr>
        <w:t xml:space="preserve">(Egremont, M., 2013), </w:t>
      </w:r>
      <w:r w:rsidR="00C65EB3">
        <w:rPr>
          <w:lang w:eastAsia="en-GB"/>
        </w:rPr>
        <w:t xml:space="preserve">however the latter comes with the issue that scores of others came forward with similar assertions which were denied </w:t>
      </w:r>
      <w:r w:rsidR="00C65EB3">
        <w:rPr>
          <w:i/>
          <w:lang w:eastAsia="en-GB"/>
        </w:rPr>
        <w:t>(</w:t>
      </w:r>
      <w:proofErr w:type="spellStart"/>
      <w:r w:rsidR="00C65EB3">
        <w:rPr>
          <w:i/>
          <w:lang w:eastAsia="en-GB"/>
        </w:rPr>
        <w:t>Hoschild</w:t>
      </w:r>
      <w:proofErr w:type="spellEnd"/>
      <w:r w:rsidR="00C65EB3">
        <w:rPr>
          <w:i/>
          <w:lang w:eastAsia="en-GB"/>
        </w:rPr>
        <w:t xml:space="preserve">, A., 2011). </w:t>
      </w:r>
      <w:r w:rsidR="002C4D79">
        <w:rPr>
          <w:lang w:eastAsia="en-GB"/>
        </w:rPr>
        <w:t>We do not have enough evidence to objectively state why t</w:t>
      </w:r>
      <w:r w:rsidR="00C65EB3">
        <w:rPr>
          <w:lang w:eastAsia="en-GB"/>
        </w:rPr>
        <w:t xml:space="preserve">his </w:t>
      </w:r>
      <w:r w:rsidR="002C4D79">
        <w:rPr>
          <w:lang w:eastAsia="en-GB"/>
        </w:rPr>
        <w:t>occurred, but we can say that,</w:t>
      </w:r>
      <w:r w:rsidR="00C65EB3">
        <w:rPr>
          <w:lang w:eastAsia="en-GB"/>
        </w:rPr>
        <w:t xml:space="preserve"> while it was clearly the product of a sympathetic hearing, was almost certainly a product of external factors and was not a common outcome.</w:t>
      </w:r>
    </w:p>
    <w:p w14:paraId="20397A15" w14:textId="49B9318D" w:rsidR="00FD6D09" w:rsidRDefault="004472E6" w:rsidP="00523C21">
      <w:pPr>
        <w:spacing w:before="240"/>
      </w:pPr>
      <w:r>
        <w:rPr>
          <w:lang w:eastAsia="en-GB"/>
        </w:rPr>
        <w:t>In conclusion, this question is not straightforward. The treatment of Conscientious Objectors did not have universal qualities</w:t>
      </w:r>
      <w:r w:rsidR="002C4D79">
        <w:rPr>
          <w:lang w:eastAsia="en-GB"/>
        </w:rPr>
        <w:t>;</w:t>
      </w:r>
      <w:r>
        <w:rPr>
          <w:lang w:eastAsia="en-GB"/>
        </w:rPr>
        <w:t xml:space="preserve"> some trials were less fair than others, Alternativists and Absolutists were treated very differently, </w:t>
      </w:r>
      <w:r w:rsidR="002C4D79">
        <w:rPr>
          <w:lang w:eastAsia="en-GB"/>
        </w:rPr>
        <w:t>there are some cases which show extreme hostility and others that suggest sympathy and understanding, and the conditions in prisons were far from universal, however we can definitely see that there were extreme atrocities enacted upon some of the Conscientious Objectors which even resulted in death. For that reason, I cannot justify claiming there is any truth to the statement that “</w:t>
      </w:r>
      <w:r w:rsidR="002C4D79" w:rsidRPr="002C4D79">
        <w:rPr>
          <w:lang w:eastAsia="en-GB"/>
        </w:rPr>
        <w:t>Conscientious Objectors in Britain were given a sympathetic hearing by the civil authorities during World War One</w:t>
      </w:r>
      <w:r w:rsidR="002C4D79">
        <w:rPr>
          <w:lang w:eastAsia="en-GB"/>
        </w:rPr>
        <w:t>”</w:t>
      </w:r>
      <w:r w:rsidR="00833C8D">
        <w:rPr>
          <w:lang w:eastAsia="en-GB"/>
        </w:rPr>
        <w:t xml:space="preserve">, as </w:t>
      </w:r>
      <w:r w:rsidR="006A7396">
        <w:rPr>
          <w:lang w:eastAsia="en-GB"/>
        </w:rPr>
        <w:t xml:space="preserve">it is a universal statement and </w:t>
      </w:r>
      <w:r w:rsidR="00833C8D">
        <w:rPr>
          <w:lang w:eastAsia="en-GB"/>
        </w:rPr>
        <w:t xml:space="preserve">the only way </w:t>
      </w:r>
      <w:r w:rsidR="006A7396">
        <w:rPr>
          <w:lang w:eastAsia="en-GB"/>
        </w:rPr>
        <w:t xml:space="preserve">it could </w:t>
      </w:r>
      <w:r w:rsidR="00833C8D">
        <w:rPr>
          <w:lang w:eastAsia="en-GB"/>
        </w:rPr>
        <w:t xml:space="preserve">be universally applicable is if the only objectors we consider are the </w:t>
      </w:r>
      <w:r w:rsidR="006A7396">
        <w:rPr>
          <w:lang w:eastAsia="en-GB"/>
        </w:rPr>
        <w:t>Alternativists</w:t>
      </w:r>
      <w:r w:rsidR="00833C8D">
        <w:rPr>
          <w:lang w:eastAsia="en-GB"/>
        </w:rPr>
        <w:t xml:space="preserve"> and we disregard 1914-1915.</w:t>
      </w:r>
      <w:r w:rsidR="001F289D">
        <w:rPr>
          <w:lang w:eastAsia="en-GB"/>
        </w:rPr>
        <w:t xml:space="preserve"> Unless we approach this from an incredibly jingoistic perspective or use very selective accounts- which would defeat the point of testing the accuracy of the statement- the only conclusion we can come to is that the statement is wholly inaccurate as it completely disregards the harrowing accounts of brutality and legal injustice</w:t>
      </w:r>
      <w:r w:rsidR="00523C21">
        <w:rPr>
          <w:lang w:eastAsia="en-GB"/>
        </w:rPr>
        <w:t>, and therefore does not hold true to history</w:t>
      </w:r>
      <w:r w:rsidR="001F289D">
        <w:rPr>
          <w:lang w:eastAsia="en-GB"/>
        </w:rPr>
        <w:t>.</w:t>
      </w:r>
      <w:r w:rsidR="00FD6D09">
        <w:br w:type="page"/>
      </w:r>
    </w:p>
    <w:p w14:paraId="770BF2AF" w14:textId="18B1872F" w:rsidR="00F500B5" w:rsidRDefault="00FD6D09" w:rsidP="00FD6D09">
      <w:pPr>
        <w:pStyle w:val="Heading1"/>
        <w:rPr>
          <w:color w:val="auto"/>
        </w:rPr>
      </w:pPr>
      <w:r w:rsidRPr="00FD6D09">
        <w:rPr>
          <w:color w:val="auto"/>
        </w:rPr>
        <w:lastRenderedPageBreak/>
        <w:t>Bibliography.</w:t>
      </w:r>
    </w:p>
    <w:p w14:paraId="4D85F553" w14:textId="55936B42" w:rsidR="00E25989" w:rsidRDefault="00E25989" w:rsidP="00DF3714">
      <w:r>
        <w:t>Brittain, V. (1933).</w:t>
      </w:r>
      <w:r w:rsidR="00DF3714">
        <w:t xml:space="preserve"> </w:t>
      </w:r>
      <w:r>
        <w:rPr>
          <w:i/>
        </w:rPr>
        <w:t xml:space="preserve">Testament of Youth. </w:t>
      </w:r>
      <w:r w:rsidR="00DF3714">
        <w:t>London, UK: Victor Gollancz Ltd.</w:t>
      </w:r>
    </w:p>
    <w:p w14:paraId="13869D91" w14:textId="2BB5F01E" w:rsidR="00E87179" w:rsidRPr="00E87179" w:rsidRDefault="00E87179" w:rsidP="00DF3714">
      <w:r>
        <w:t xml:space="preserve">Burnham, K. (2014). Absolutists – Cowardice &amp; Hypocrisy? </w:t>
      </w:r>
      <w:r>
        <w:rPr>
          <w:i/>
        </w:rPr>
        <w:t xml:space="preserve">The Courage of Cowards: The Untold Stories of First World War Conscientious Objectors </w:t>
      </w:r>
      <w:r>
        <w:t>(pp. 81-97). Yorkshire, UK: Pen &amp; Sword Books Ltd.</w:t>
      </w:r>
    </w:p>
    <w:p w14:paraId="7ADEBAED" w14:textId="36FF4577" w:rsidR="00854413" w:rsidRPr="00854413" w:rsidRDefault="00854413" w:rsidP="00FD6D09">
      <w:r>
        <w:t xml:space="preserve">Brooks, M. (2018). Conscientious Objectors in Their Own Words. </w:t>
      </w:r>
      <w:r>
        <w:rPr>
          <w:i/>
        </w:rPr>
        <w:t xml:space="preserve">Imperial War Museum website. </w:t>
      </w:r>
      <w:r>
        <w:t xml:space="preserve">Retrieved from: </w:t>
      </w:r>
      <w:hyperlink r:id="rId8" w:history="1">
        <w:r>
          <w:rPr>
            <w:rStyle w:val="Hyperlink"/>
          </w:rPr>
          <w:t>https://www.iwm.org.uk/history/conscientious-objectors-in-their-own-words</w:t>
        </w:r>
      </w:hyperlink>
      <w:r>
        <w:t>.</w:t>
      </w:r>
    </w:p>
    <w:p w14:paraId="6B81773D" w14:textId="77777777" w:rsidR="00C65EB3" w:rsidRPr="005C3786" w:rsidRDefault="00C65EB3" w:rsidP="00C65EB3">
      <w:r>
        <w:t xml:space="preserve">Egremont, M. (2013). Preface. </w:t>
      </w:r>
      <w:r>
        <w:rPr>
          <w:i/>
        </w:rPr>
        <w:t xml:space="preserve">Siegfried Sassoon: A Biography. </w:t>
      </w:r>
      <w:r>
        <w:t>London, UK: Picador.</w:t>
      </w:r>
    </w:p>
    <w:p w14:paraId="40746E71" w14:textId="440E083B" w:rsidR="001D6B85" w:rsidRDefault="001D6B85" w:rsidP="00FD6D09">
      <w:proofErr w:type="spellStart"/>
      <w:r w:rsidRPr="001D6B85">
        <w:t>Gaudie</w:t>
      </w:r>
      <w:proofErr w:type="spellEnd"/>
      <w:r w:rsidRPr="001D6B85">
        <w:t>,</w:t>
      </w:r>
      <w:r>
        <w:t xml:space="preserve"> N. (1922).</w:t>
      </w:r>
      <w:r w:rsidRPr="001D6B85">
        <w:t xml:space="preserve"> </w:t>
      </w:r>
      <w:r w:rsidRPr="001D6B85">
        <w:rPr>
          <w:i/>
        </w:rPr>
        <w:t>The courage that brings peace</w:t>
      </w:r>
      <w:r>
        <w:rPr>
          <w:i/>
        </w:rPr>
        <w:t>.</w:t>
      </w:r>
      <w:r w:rsidRPr="001D6B85">
        <w:t xml:space="preserve"> </w:t>
      </w:r>
      <w:r>
        <w:t xml:space="preserve">London, UK: </w:t>
      </w:r>
      <w:r w:rsidRPr="001D6B85">
        <w:t>Peace Committee of the Society of Friends</w:t>
      </w:r>
      <w:r>
        <w:t>.</w:t>
      </w:r>
    </w:p>
    <w:p w14:paraId="11CA520D" w14:textId="5CC9B011" w:rsidR="00C91F9F" w:rsidRPr="00C91F9F" w:rsidRDefault="00C91F9F" w:rsidP="00FD6D09">
      <w:proofErr w:type="spellStart"/>
      <w:r>
        <w:t>Hoschild</w:t>
      </w:r>
      <w:proofErr w:type="spellEnd"/>
      <w:r>
        <w:t xml:space="preserve">, A. (2011). </w:t>
      </w:r>
      <w:r w:rsidRPr="00C91F9F">
        <w:rPr>
          <w:i/>
        </w:rPr>
        <w:t xml:space="preserve">To end all </w:t>
      </w:r>
      <w:proofErr w:type="gramStart"/>
      <w:r w:rsidRPr="00C91F9F">
        <w:rPr>
          <w:i/>
        </w:rPr>
        <w:t>wars :</w:t>
      </w:r>
      <w:proofErr w:type="gramEnd"/>
      <w:r w:rsidRPr="00C91F9F">
        <w:rPr>
          <w:i/>
        </w:rPr>
        <w:t xml:space="preserve"> a story of loyalty and rebellion, 1914-1918</w:t>
      </w:r>
      <w:r>
        <w:rPr>
          <w:i/>
        </w:rPr>
        <w:t xml:space="preserve"> </w:t>
      </w:r>
      <w:r>
        <w:t>(pp. 270-275)</w:t>
      </w:r>
      <w:r w:rsidRPr="00C91F9F">
        <w:rPr>
          <w:i/>
        </w:rPr>
        <w:t>.</w:t>
      </w:r>
      <w:r>
        <w:rPr>
          <w:i/>
        </w:rPr>
        <w:t xml:space="preserve"> </w:t>
      </w:r>
      <w:r>
        <w:t>Boston, US: Houghton Mifflin Harcourt.</w:t>
      </w:r>
    </w:p>
    <w:p w14:paraId="10D5186A" w14:textId="099770AD" w:rsidR="00655D31" w:rsidRPr="00655D31" w:rsidRDefault="00655D31" w:rsidP="00FD6D09">
      <w:r>
        <w:t xml:space="preserve">Miles, T. (2017, December 14). </w:t>
      </w:r>
      <w:r w:rsidRPr="00655D31">
        <w:t>Torture still being carried out at Guantanamo Bay despite US denials, says UN investigator</w:t>
      </w:r>
      <w:r>
        <w:t xml:space="preserve">. </w:t>
      </w:r>
      <w:r>
        <w:rPr>
          <w:i/>
        </w:rPr>
        <w:t xml:space="preserve">The Independent. </w:t>
      </w:r>
      <w:r>
        <w:t xml:space="preserve">Retrieved from: </w:t>
      </w:r>
      <w:hyperlink r:id="rId9" w:history="1">
        <w:r>
          <w:rPr>
            <w:rStyle w:val="Hyperlink"/>
          </w:rPr>
          <w:t>https://www.independent.co.uk/news/world/americas/torture-guantanamo-bay-detention-centre-9-11-conspirator-un-human-rights-investigation-pentagon-a8109231.html</w:t>
        </w:r>
      </w:hyperlink>
      <w:r>
        <w:t>.</w:t>
      </w:r>
    </w:p>
    <w:p w14:paraId="3CFFCED9" w14:textId="33B56ED6" w:rsidR="00245FE6" w:rsidRPr="00245FE6" w:rsidRDefault="00245FE6" w:rsidP="00FD6D09">
      <w:r>
        <w:t xml:space="preserve">Miller, I. (2016). </w:t>
      </w:r>
      <w:r w:rsidRPr="00245FE6">
        <w:t>I’ve Heard o’ Food Queues, but This Is the First Time I’ve Ever Heard of a Feeding Queue!’: Hunger Strikers, War, and the State, 1914–61</w:t>
      </w:r>
      <w:r>
        <w:t xml:space="preserve">. </w:t>
      </w:r>
      <w:r w:rsidRPr="00245FE6">
        <w:rPr>
          <w:i/>
        </w:rPr>
        <w:t>A History of Force Feeding: Hunger Strikes, Prisons and Medical Ethics, 1909-1974.</w:t>
      </w:r>
      <w:r>
        <w:rPr>
          <w:i/>
        </w:rPr>
        <w:t xml:space="preserve"> </w:t>
      </w:r>
      <w:r>
        <w:t>Basingstoke, UK: Palgrave Macmillan.</w:t>
      </w:r>
    </w:p>
    <w:p w14:paraId="00E7688A" w14:textId="6A7F9EE6" w:rsidR="00CB1FC1" w:rsidRPr="00CB1FC1" w:rsidRDefault="00CB1FC1" w:rsidP="00FD6D09">
      <w:r>
        <w:t xml:space="preserve">OGL. (2015). </w:t>
      </w:r>
      <w:r w:rsidRPr="00CB1FC1">
        <w:t>Military Service Act, 1916</w:t>
      </w:r>
      <w:r>
        <w:t xml:space="preserve">. </w:t>
      </w:r>
      <w:r>
        <w:rPr>
          <w:i/>
        </w:rPr>
        <w:t xml:space="preserve">Legislation.gov website. </w:t>
      </w:r>
      <w:r>
        <w:t xml:space="preserve">Retrieved from: </w:t>
      </w:r>
      <w:hyperlink r:id="rId10" w:history="1">
        <w:r>
          <w:rPr>
            <w:rStyle w:val="Hyperlink"/>
          </w:rPr>
          <w:t>https://www.legislation.gov.uk/ukpga/1916/104/contents/enacted</w:t>
        </w:r>
      </w:hyperlink>
      <w:r>
        <w:t>.</w:t>
      </w:r>
    </w:p>
    <w:p w14:paraId="0651FE78" w14:textId="00C28663" w:rsidR="001F7F5F" w:rsidRPr="001F7F5F" w:rsidRDefault="001F7F5F" w:rsidP="00FD6D09">
      <w:r>
        <w:t xml:space="preserve">Richards, A. (2014, May 03). The conscientious objectors paid a high price. </w:t>
      </w:r>
      <w:r>
        <w:rPr>
          <w:i/>
        </w:rPr>
        <w:t xml:space="preserve">The Telegraph. </w:t>
      </w:r>
      <w:r>
        <w:t xml:space="preserve">Retrieved from: </w:t>
      </w:r>
      <w:hyperlink r:id="rId11" w:history="1">
        <w:r>
          <w:rPr>
            <w:rStyle w:val="Hyperlink"/>
          </w:rPr>
          <w:t>https://www.telegraph.co.uk/history/world-war-one/inside-first-world-war/part-nine/10803538/conscientious-objectors-first-world-war.html</w:t>
        </w:r>
      </w:hyperlink>
      <w:r>
        <w:t>.</w:t>
      </w:r>
    </w:p>
    <w:p w14:paraId="78A29E49" w14:textId="28CEC8F5" w:rsidR="00C65EB3" w:rsidRDefault="00C65EB3" w:rsidP="00FD6D09">
      <w:r>
        <w:t xml:space="preserve">Sassoon, S. (1917, July 27). Finished with the War: A Soldier’s Declaration. </w:t>
      </w:r>
      <w:r>
        <w:rPr>
          <w:i/>
        </w:rPr>
        <w:t>Bradford Pioneer</w:t>
      </w:r>
      <w:r>
        <w:t>. Bradford, UK: Bradford University, Special Collections</w:t>
      </w:r>
      <w:r>
        <w:t>.</w:t>
      </w:r>
    </w:p>
    <w:p w14:paraId="18BD7DD1" w14:textId="45DADED0" w:rsidR="00524336" w:rsidRPr="00524336" w:rsidRDefault="00524336" w:rsidP="00FD6D09">
      <w:r>
        <w:t xml:space="preserve">Van Emden, R. &amp; Humphries, S. (2017). </w:t>
      </w:r>
      <w:r>
        <w:rPr>
          <w:i/>
        </w:rPr>
        <w:t xml:space="preserve">All Quiet on the Home Front: An Oral History of Life in Britain During the First World War </w:t>
      </w:r>
      <w:r>
        <w:t>(pp. 251-252). Yorkshire, UK: Pen &amp; Sword Books Ltd.</w:t>
      </w:r>
    </w:p>
    <w:p w14:paraId="6D9BE3D9" w14:textId="44F8D2D8" w:rsidR="00FD6D09" w:rsidRDefault="006E4092" w:rsidP="00FD6D09">
      <w:r w:rsidRPr="006E4092">
        <w:t>Wilson, D. &amp; WFB</w:t>
      </w:r>
      <w:r>
        <w:t xml:space="preserve">. (c.1915). </w:t>
      </w:r>
      <w:r w:rsidRPr="006E4092">
        <w:t>‘Red Cross or Iron Cross?’</w:t>
      </w:r>
      <w:r w:rsidR="00E25989">
        <w:t xml:space="preserve"> Propaganda Poster</w:t>
      </w:r>
      <w:r w:rsidRPr="006E4092">
        <w:t>.</w:t>
      </w:r>
      <w:r>
        <w:t xml:space="preserve"> </w:t>
      </w:r>
      <w:r w:rsidRPr="006E4092">
        <w:rPr>
          <w:i/>
        </w:rPr>
        <w:t>Publications of War</w:t>
      </w:r>
      <w:r>
        <w:rPr>
          <w:i/>
        </w:rPr>
        <w:t>, Oxford University</w:t>
      </w:r>
      <w:r w:rsidR="00E25989">
        <w:rPr>
          <w:i/>
        </w:rPr>
        <w:t>’s</w:t>
      </w:r>
      <w:r>
        <w:rPr>
          <w:i/>
        </w:rPr>
        <w:t xml:space="preserve"> First World War Digital Archive.</w:t>
      </w:r>
      <w:r w:rsidR="00E25989">
        <w:rPr>
          <w:i/>
        </w:rPr>
        <w:t xml:space="preserve"> </w:t>
      </w:r>
      <w:r w:rsidR="00E25989">
        <w:t xml:space="preserve">Retrieved from: </w:t>
      </w:r>
      <w:hyperlink r:id="rId12" w:history="1">
        <w:r w:rsidR="00E25989" w:rsidRPr="00D83FBD">
          <w:rPr>
            <w:rStyle w:val="Hyperlink"/>
          </w:rPr>
          <w:t>http://ww1lit.nsms.ox.ac.uk/ww1lit/collections/publications</w:t>
        </w:r>
      </w:hyperlink>
      <w:r w:rsidR="00E25989">
        <w:t>.</w:t>
      </w:r>
    </w:p>
    <w:p w14:paraId="18B1A043" w14:textId="77777777" w:rsidR="00E25989" w:rsidRPr="00E25989" w:rsidRDefault="00E25989" w:rsidP="00FD6D09"/>
    <w:p w14:paraId="3CB11547" w14:textId="708A2A65" w:rsidR="00FD6D09" w:rsidRDefault="00FD6D09" w:rsidP="00FD6D09"/>
    <w:p w14:paraId="7F894A37" w14:textId="200EFAE0" w:rsidR="00FD6D09" w:rsidRPr="00FD6D09" w:rsidRDefault="00FD6D09" w:rsidP="00FD6D09">
      <w:pPr>
        <w:jc w:val="right"/>
      </w:pPr>
      <w:r w:rsidRPr="000F5839">
        <w:rPr>
          <w:b/>
        </w:rPr>
        <w:t>W</w:t>
      </w:r>
      <w:r>
        <w:rPr>
          <w:b/>
        </w:rPr>
        <w:t>ord count:</w:t>
      </w:r>
      <w:r w:rsidR="00593CC8">
        <w:rPr>
          <w:b/>
        </w:rPr>
        <w:t xml:space="preserve"> 2</w:t>
      </w:r>
      <w:r w:rsidR="00E97C73">
        <w:rPr>
          <w:b/>
        </w:rPr>
        <w:t>52</w:t>
      </w:r>
      <w:bookmarkStart w:id="0" w:name="_GoBack"/>
      <w:bookmarkEnd w:id="0"/>
      <w:r w:rsidR="00593CC8">
        <w:rPr>
          <w:b/>
        </w:rPr>
        <w:t>8</w:t>
      </w:r>
      <w:r>
        <w:rPr>
          <w:b/>
        </w:rPr>
        <w:t xml:space="preserve"> words.</w:t>
      </w:r>
    </w:p>
    <w:sectPr w:rsidR="00FD6D09" w:rsidRPr="00FD6D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3B2"/>
    <w:rsid w:val="00005A9F"/>
    <w:rsid w:val="0002182E"/>
    <w:rsid w:val="00066F8C"/>
    <w:rsid w:val="00124AD6"/>
    <w:rsid w:val="0013656B"/>
    <w:rsid w:val="001613B2"/>
    <w:rsid w:val="001C2C0F"/>
    <w:rsid w:val="001D4BFB"/>
    <w:rsid w:val="001D6B85"/>
    <w:rsid w:val="001E6A03"/>
    <w:rsid w:val="001F289D"/>
    <w:rsid w:val="001F7F5F"/>
    <w:rsid w:val="00204A0C"/>
    <w:rsid w:val="00245A3D"/>
    <w:rsid w:val="00245FE6"/>
    <w:rsid w:val="00253E8E"/>
    <w:rsid w:val="002549EE"/>
    <w:rsid w:val="00293F10"/>
    <w:rsid w:val="002C4D79"/>
    <w:rsid w:val="003C19D0"/>
    <w:rsid w:val="00422F16"/>
    <w:rsid w:val="004472E6"/>
    <w:rsid w:val="00487486"/>
    <w:rsid w:val="00491F19"/>
    <w:rsid w:val="004B5598"/>
    <w:rsid w:val="004C404C"/>
    <w:rsid w:val="00523C21"/>
    <w:rsid w:val="00524336"/>
    <w:rsid w:val="00536DE8"/>
    <w:rsid w:val="0055194A"/>
    <w:rsid w:val="0057269A"/>
    <w:rsid w:val="00593CC8"/>
    <w:rsid w:val="005A4941"/>
    <w:rsid w:val="005A7536"/>
    <w:rsid w:val="00655D31"/>
    <w:rsid w:val="00663489"/>
    <w:rsid w:val="006A7396"/>
    <w:rsid w:val="006A7C1A"/>
    <w:rsid w:val="006E4092"/>
    <w:rsid w:val="00720ECF"/>
    <w:rsid w:val="00787BDC"/>
    <w:rsid w:val="00793862"/>
    <w:rsid w:val="007970D9"/>
    <w:rsid w:val="007A7072"/>
    <w:rsid w:val="008012C3"/>
    <w:rsid w:val="00833C8D"/>
    <w:rsid w:val="00854413"/>
    <w:rsid w:val="00880659"/>
    <w:rsid w:val="00930102"/>
    <w:rsid w:val="00944DC1"/>
    <w:rsid w:val="009A37FF"/>
    <w:rsid w:val="009D2AC2"/>
    <w:rsid w:val="00AE3A49"/>
    <w:rsid w:val="00B1312C"/>
    <w:rsid w:val="00C146F2"/>
    <w:rsid w:val="00C45BC1"/>
    <w:rsid w:val="00C46A84"/>
    <w:rsid w:val="00C46E50"/>
    <w:rsid w:val="00C53C1C"/>
    <w:rsid w:val="00C65EB3"/>
    <w:rsid w:val="00C91F9F"/>
    <w:rsid w:val="00CB1FC1"/>
    <w:rsid w:val="00D057E8"/>
    <w:rsid w:val="00D72CE4"/>
    <w:rsid w:val="00D90A32"/>
    <w:rsid w:val="00DF3714"/>
    <w:rsid w:val="00E226E5"/>
    <w:rsid w:val="00E25989"/>
    <w:rsid w:val="00E3205E"/>
    <w:rsid w:val="00E47A53"/>
    <w:rsid w:val="00E53F09"/>
    <w:rsid w:val="00E87179"/>
    <w:rsid w:val="00E96623"/>
    <w:rsid w:val="00E97C73"/>
    <w:rsid w:val="00EB3A97"/>
    <w:rsid w:val="00ED3BFB"/>
    <w:rsid w:val="00EF532F"/>
    <w:rsid w:val="00F500B5"/>
    <w:rsid w:val="00F72A50"/>
    <w:rsid w:val="00F758B3"/>
    <w:rsid w:val="00FB3D4B"/>
    <w:rsid w:val="00FD6D09"/>
    <w:rsid w:val="00FE5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73CC2"/>
  <w15:chartTrackingRefBased/>
  <w15:docId w15:val="{1B93F174-D7EC-4DCA-BCB5-CE341E718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13B2"/>
    <w:pPr>
      <w:spacing w:after="200" w:line="276" w:lineRule="auto"/>
    </w:pPr>
  </w:style>
  <w:style w:type="paragraph" w:styleId="Heading1">
    <w:name w:val="heading 1"/>
    <w:basedOn w:val="Normal"/>
    <w:next w:val="Normal"/>
    <w:link w:val="Heading1Char"/>
    <w:uiPriority w:val="9"/>
    <w:qFormat/>
    <w:rsid w:val="00D057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613B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3B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057E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25989"/>
    <w:rPr>
      <w:color w:val="0563C1" w:themeColor="hyperlink"/>
      <w:u w:val="single"/>
    </w:rPr>
  </w:style>
  <w:style w:type="character" w:styleId="UnresolvedMention">
    <w:name w:val="Unresolved Mention"/>
    <w:basedOn w:val="DefaultParagraphFont"/>
    <w:uiPriority w:val="99"/>
    <w:semiHidden/>
    <w:unhideWhenUsed/>
    <w:rsid w:val="00E259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3599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wm.org.uk/history/conscientious-objectors-in-their-own-word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hyperlink" Target="http://ww1lit.nsms.ox.ac.uk/ww1lit/collections/publication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legraph.co.uk/history/world-war-one/inside-first-world-war/part-nine/10803538/conscientious-objectors-first-world-war.html" TargetMode="External"/><Relationship Id="rId5" Type="http://schemas.openxmlformats.org/officeDocument/2006/relationships/settings" Target="settings.xml"/><Relationship Id="rId10" Type="http://schemas.openxmlformats.org/officeDocument/2006/relationships/hyperlink" Target="https://www.legislation.gov.uk/ukpga/1916/104/contents/enacted" TargetMode="External"/><Relationship Id="rId4" Type="http://schemas.openxmlformats.org/officeDocument/2006/relationships/styles" Target="styles.xml"/><Relationship Id="rId9" Type="http://schemas.openxmlformats.org/officeDocument/2006/relationships/hyperlink" Target="https://www.independent.co.uk/news/world/americas/torture-guantanamo-bay-detention-centre-9-11-conspirator-un-human-rights-investigation-pentagon-a8109231.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ECA7EC-C181-45C0-8955-1442F6616F0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4B10D07-3455-4C4E-BDC6-6B9B9261D907}">
  <ds:schemaRefs>
    <ds:schemaRef ds:uri="http://schemas.microsoft.com/sharepoint/v3/contenttype/forms"/>
  </ds:schemaRefs>
</ds:datastoreItem>
</file>

<file path=customXml/itemProps3.xml><?xml version="1.0" encoding="utf-8"?>
<ds:datastoreItem xmlns:ds="http://schemas.openxmlformats.org/officeDocument/2006/customXml" ds:itemID="{B10E5B3A-3255-4313-AA4C-A6790C3FF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6</Pages>
  <Words>2822</Words>
  <Characters>16087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Parkes (1600408)</dc:creator>
  <cp:keywords/>
  <dc:description/>
  <cp:lastModifiedBy>Kirsty Parkes (1600408)</cp:lastModifiedBy>
  <cp:revision>47</cp:revision>
  <dcterms:created xsi:type="dcterms:W3CDTF">2019-11-21T13:17:00Z</dcterms:created>
  <dcterms:modified xsi:type="dcterms:W3CDTF">2019-11-22T23:57:00Z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