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left"/>
        <w:rPr>
          <w:b/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</w:r>
    </w:p>
    <w:p>
      <w:pPr>
        <w:pStyle w:val="Normal"/>
        <w:jc w:val="right"/>
        <w:rPr>
          <w:rFonts w:ascii="Arial" w:hAnsi="Arial" w:cs="Arial"/>
          <w:b/>
          <w:b/>
          <w:bCs/>
          <w:sz w:val="56"/>
          <w:szCs w:val="36"/>
          <w:u w:val="none"/>
        </w:rPr>
      </w:pPr>
      <w:r>
        <w:rPr>
          <w:rFonts w:cs="Arial" w:ascii="Arial" w:hAnsi="Arial"/>
          <w:b/>
          <w:bCs/>
          <w:sz w:val="56"/>
          <w:szCs w:val="36"/>
          <w:u w:val="none"/>
        </w:rPr>
        <w:t>Culinary Tourism in</w:t>
      </w:r>
    </w:p>
    <w:p>
      <w:pPr>
        <w:pStyle w:val="Normal"/>
        <w:jc w:val="right"/>
        <w:rPr>
          <w:rFonts w:ascii="Arial" w:hAnsi="Arial" w:cs="Arial"/>
          <w:b/>
          <w:b/>
          <w:bCs/>
          <w:sz w:val="56"/>
          <w:szCs w:val="36"/>
          <w:u w:val="none"/>
        </w:rPr>
      </w:pPr>
      <w:r>
        <w:rPr>
          <w:rFonts w:cs="Arial" w:ascii="Arial" w:hAnsi="Arial"/>
          <w:b/>
          <w:bCs/>
          <w:sz w:val="56"/>
          <w:szCs w:val="36"/>
          <w:u w:val="none"/>
        </w:rPr>
        <w:t>Germany &amp; Spain</w:t>
      </w:r>
    </w:p>
    <w:p>
      <w:pPr>
        <w:pStyle w:val="Normal"/>
        <w:jc w:val="right"/>
        <w:rPr>
          <w:rFonts w:ascii="Arial" w:hAnsi="Arial" w:cs="Arial"/>
          <w:b/>
          <w:b/>
          <w:bCs/>
          <w:sz w:val="36"/>
          <w:szCs w:val="36"/>
          <w:u w:val="none"/>
        </w:rPr>
      </w:pPr>
      <w:r>
        <w:rPr>
          <w:rFonts w:cs="Arial" w:ascii="Arial" w:hAnsi="Arial"/>
          <w:b/>
          <w:bCs/>
          <w:sz w:val="36"/>
          <w:szCs w:val="36"/>
          <w:u w:val="none"/>
        </w:rPr>
        <w:t>Academic &amp; Industry Skills</w:t>
      </w:r>
    </w:p>
    <w:p>
      <w:pPr>
        <w:pStyle w:val="Normal"/>
        <w:jc w:val="right"/>
        <w:rPr>
          <w:rFonts w:ascii="Arial" w:hAnsi="Arial" w:cs="Arial"/>
          <w:b/>
          <w:b/>
          <w:bCs/>
          <w:sz w:val="36"/>
          <w:szCs w:val="36"/>
        </w:rPr>
      </w:pPr>
      <w:r>
        <w:rPr>
          <w:rFonts w:cs="Arial" w:ascii="Arial" w:hAnsi="Arial"/>
          <w:b/>
          <w:bCs/>
          <w:sz w:val="36"/>
          <w:szCs w:val="36"/>
        </w:rPr>
      </w:r>
    </w:p>
    <w:p>
      <w:pPr>
        <w:pStyle w:val="Normal"/>
        <w:jc w:val="right"/>
        <w:rPr>
          <w:rFonts w:ascii="Arial" w:hAnsi="Arial" w:cs="Arial"/>
          <w:b/>
          <w:b/>
          <w:bCs/>
          <w:sz w:val="36"/>
          <w:szCs w:val="36"/>
        </w:rPr>
      </w:pPr>
      <w:r>
        <w:rPr>
          <w:rFonts w:cs="Arial" w:ascii="Arial" w:hAnsi="Arial"/>
          <w:b/>
          <w:bCs/>
          <w:sz w:val="36"/>
          <w:szCs w:val="36"/>
        </w:rPr>
      </w:r>
    </w:p>
    <w:p>
      <w:pPr>
        <w:pStyle w:val="Normal"/>
        <w:jc w:val="right"/>
        <w:rPr>
          <w:rFonts w:ascii="Arial" w:hAnsi="Arial" w:cs="Arial"/>
          <w:b/>
          <w:b/>
          <w:bCs/>
          <w:sz w:val="36"/>
          <w:szCs w:val="36"/>
        </w:rPr>
      </w:pPr>
      <w:r>
        <w:rPr>
          <w:rFonts w:cs="Arial" w:ascii="Arial" w:hAnsi="Arial"/>
          <w:b/>
          <w:bCs/>
          <w:sz w:val="36"/>
          <w:szCs w:val="36"/>
        </w:rPr>
      </w:r>
    </w:p>
    <w:p>
      <w:pPr>
        <w:pStyle w:val="Normal"/>
        <w:spacing w:before="0" w:after="0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</w:r>
    </w:p>
    <w:p>
      <w:pPr>
        <w:pStyle w:val="Normal"/>
        <w:spacing w:before="0" w:after="0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</w:r>
    </w:p>
    <w:p>
      <w:pPr>
        <w:pStyle w:val="Normal"/>
        <w:spacing w:before="0" w:after="0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</w:r>
    </w:p>
    <w:p>
      <w:pPr>
        <w:pStyle w:val="Normal"/>
        <w:spacing w:before="0" w:after="0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</w:r>
    </w:p>
    <w:p>
      <w:pPr>
        <w:pStyle w:val="Normal"/>
        <w:spacing w:before="0" w:after="0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</w:r>
    </w:p>
    <w:p>
      <w:pPr>
        <w:pStyle w:val="Normal"/>
        <w:spacing w:before="0" w:after="0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  <w:t>Melissa Duffy</w:t>
      </w:r>
    </w:p>
    <w:p>
      <w:pPr>
        <w:pStyle w:val="Normal"/>
        <w:jc w:val="right"/>
        <w:rPr>
          <w:rFonts w:ascii="Arial" w:hAnsi="Arial" w:cs="Arial"/>
          <w:b/>
          <w:b/>
          <w:bCs/>
          <w:sz w:val="32"/>
          <w:szCs w:val="32"/>
          <w:u w:val="none"/>
        </w:rPr>
      </w:pPr>
      <w:r>
        <w:rPr>
          <w:rFonts w:cs="Arial" w:ascii="Arial" w:hAnsi="Arial"/>
          <w:b/>
          <w:bCs/>
          <w:sz w:val="32"/>
          <w:szCs w:val="32"/>
          <w:u w:val="none"/>
        </w:rPr>
        <w:t>P1708486</w:t>
      </w:r>
    </w:p>
    <w:p>
      <w:pPr>
        <w:pStyle w:val="Normal"/>
        <w:spacing w:before="114" w:after="114"/>
        <w:jc w:val="left"/>
        <w:rPr/>
      </w:pPr>
      <w:r>
        <w:rPr>
          <w:rFonts w:cs="Arial" w:ascii="Arial" w:hAnsi="Arial"/>
          <w:b/>
          <w:bCs/>
          <w:sz w:val="28"/>
          <w:szCs w:val="28"/>
          <w:u w:val="none"/>
        </w:rPr>
        <w:t>Introduction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What attracts a tourist to a particular destination?   Immediately, some would say it is the culture, architecture and surroundings that make a destination appealing.  However, in recent years, Billups (2007) found that Culinary Tourism was emerging as a new travel activity that was seeing significant growth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and that Food &amp; Wine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travel was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the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main reason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.  </w:t>
      </w:r>
      <w:r>
        <w:rPr>
          <w:rFonts w:cs="Arial" w:ascii="Arial" w:hAnsi="Arial"/>
          <w:b w:val="false"/>
          <w:bCs w:val="false"/>
          <w:i w:val="false"/>
          <w:iCs w:val="false"/>
          <w:sz w:val="24"/>
          <w:szCs w:val="24"/>
          <w:u w:val="none"/>
        </w:rPr>
        <w:t xml:space="preserve">Smith and Costello (2009) found that </w:t>
      </w:r>
      <w:r>
        <w:rPr>
          <w:rFonts w:cs="Arial" w:ascii="Arial" w:hAnsi="Arial"/>
          <w:b w:val="false"/>
          <w:bCs w:val="false"/>
          <w:i w:val="false"/>
          <w:iCs w:val="false"/>
          <w:sz w:val="24"/>
          <w:szCs w:val="24"/>
          <w:u w:val="none"/>
        </w:rPr>
        <w:t xml:space="preserve">more tourists are </w:t>
      </w:r>
      <w:r>
        <w:rPr>
          <w:rFonts w:cs="Arial" w:ascii="Arial" w:hAnsi="Arial"/>
          <w:b w:val="false"/>
          <w:bCs w:val="false"/>
          <w:i w:val="false"/>
          <w:iCs w:val="false"/>
          <w:sz w:val="24"/>
          <w:szCs w:val="24"/>
          <w:u w:val="none"/>
        </w:rPr>
        <w:t xml:space="preserve">travelling in search of unique and authentic culinary products.  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In this essay, we take a closer look at two countries that are completely different in identity yet both are experiencing similar successes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.  According to Stewart et al (2008) this type of tourism promotes the idea that wine and food can act as the main attraction for visiting a region.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 The countrie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s under review was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the city of Cordoba in Spain and Baden-Wurttenberg (BW) in German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y. 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Lets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take a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closer look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at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the key factors that have made these areas attractive to the Culinary Tourist.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/>
          <w:bCs/>
          <w:sz w:val="28"/>
          <w:szCs w:val="28"/>
          <w:u w:val="none"/>
        </w:rPr>
        <w:t>Cordoba, Spain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The first case study examined the city of Cordoba which is located in the Andalusian region in the South of France.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Not only have tourists been attracted to the area bec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ause of its subtropical mediterranean climate.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But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also for its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great cultural richness where history and traditions blend.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It is a mixed society where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Christians, Jews, Muslims and gypsies live in the community and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this is reflected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in the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style of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architecture and landmarks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found throughout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the city.  It could be argued that these factors alone is what attracts a visitor to the area. But th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is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case study suggested otherwise. Th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articl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e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concentrated more on the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“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type”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of tourist whose reason for travelling to Cordoba was primarily for the local cuisine.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The method used to identify this type of tourist was done through a series of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questionnaires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that were randomly given out to both Spanish and foreign tourists at various eating establishments.  The results confirmed that there was a high level of satisfaction with the local cuisine amongst foreign tourists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and that their main reasons for travelling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to the area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was indeed to taste the local cuisine.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It also found th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at t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he majority surveyed were well educated and were university graduates.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Riley (2005) implied that culinary tourism is better developed in areas where the local cuisine is connected to the local culture.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Although the results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of the surveys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revealed that most of the tourists were there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to experience the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food, there was also a definite link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o the local culture.</w:t>
      </w:r>
    </w:p>
    <w:p>
      <w:pPr>
        <w:pStyle w:val="TextBody"/>
        <w:spacing w:lineRule="auto" w:line="360" w:before="0" w:after="0"/>
        <w:jc w:val="left"/>
        <w:rPr/>
      </w:pPr>
      <w:r>
        <w:rPr>
          <w:rFonts w:cs="Arial" w:ascii="Arial" w:hAnsi="Arial"/>
          <w:b/>
          <w:bCs/>
          <w:sz w:val="28"/>
          <w:szCs w:val="28"/>
          <w:u w:val="none"/>
        </w:rPr>
        <w:t>Baden-Wurttemberg (BW), Germany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The second case study looked at Baden-Wurttemberg (BW).  It is a state in the South West of Germany and borders France and Switzerland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and is a combination of scenic mountains, lakes and forests.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The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main tourist attractions in BW is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he Black Forest and Lake Constance.  The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capital city of Stuttgart is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better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known as the manufacturing hub for Mercedes-Benz and Porsche.  It could be said that BW was never considered your typical tourist destination.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In fact, BW saw a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n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decrease in visitors to the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area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from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9.2% in 2006 down to 6.6% in 2007 (Opaschowski, 2008).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Meanwhile,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Northern Germany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still had a regular flow of visitors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during th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same period.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 Furthermore, the recession of 2007-2010 also had a negative impact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on visitors to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BW.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However, in recent years, the article indicated that it has become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particularly well known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for its culinary delights and is being recognized as one of the leading gourmet regions in Europe.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They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pride themselves on the fact they have more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Michelin-starred restaurants than any other federal state in Germany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(Michelin, 2009).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So what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has put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BW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on the tourist map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all of a sudden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?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The case study 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hows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that the reason behind its success is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due to a very strong strategic planning process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With tourism numbers declining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in this area,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it acted as a catalyst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for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BW tourism to think of innovative ways to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become competitive and improve the regions profile.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 This is where a campaign called “Geniesserland” evolved which loosely translated means “the land of culinary pleasure or indulgence”.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The aim of the campaign was to promote the region as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a unique culinary destination by linking the food with the local producers in the region.  To achieve this, six key strategies were put in place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nd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were reliant on one another in order to be successful.  These strategies will be mentioned in the next section.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Another aim of this campaign was to involve various tourism organisations such as hospitality enterprises, a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gr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icultural cooperatives, winemakers and culinary producers.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It highlighted the need for everyone to work together for the same goals in order to support culinary tourism in the region. 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Whilst many tourism organisations recognized the potential of culinary tourism as a powerful tool to promote destinations, not many had the knowledge and skills to practice it.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/>
          <w:b/>
          <w:bCs/>
          <w:sz w:val="28"/>
          <w:szCs w:val="28"/>
          <w:u w:val="none"/>
        </w:rPr>
      </w:pPr>
      <w:r>
        <w:rPr/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/>
          <w:b/>
          <w:bCs/>
          <w:sz w:val="28"/>
          <w:szCs w:val="28"/>
          <w:u w:val="none"/>
        </w:rPr>
      </w:pPr>
      <w:r>
        <w:rPr/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/>
          <w:bCs/>
          <w:sz w:val="28"/>
          <w:szCs w:val="28"/>
          <w:u w:val="none"/>
        </w:rPr>
        <w:t>Similarities/Differences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Culinary Tourism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has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been defined as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“travelling to a destination in pursuit of a unique and memorable eating and drinking experience”. </w:t>
      </w:r>
      <w:r>
        <w:rPr>
          <w:rFonts w:cs="Arial" w:ascii="arial;sans-serif" w:hAnsi="arial;sans-serif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This statement was clearly supported in both articles as it was evident that more tourists are in search of these unique and distinct experiences.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Both case studies recognised that Culinary Tourism is becoming a key motivator for people to travel to a particular destination and that the link between a tourist and a destination can be attributed to the local cuisine.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Smith &amp; Costello (2009) stated that more people are attracted to a tourism destination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in order to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taste unique and authentic culinary products.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Similarly,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Hjalager &amp; Richards (2002) also said that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creating an unforgettable travel experience by connecting the tourist with the local culture, land and food was just as important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and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that the tourist is more likely to return to the same destination for this reason.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The two destinations in th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ese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case stud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ies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were both very different in culture yet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were experiencing very simi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lar results with regards to culinary tourism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success.  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Richards (2002) realised that in order for the city of Cordoba to stay competitive, there was a constant need to create new products and services to give the destination more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added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value.  Crouch &amp; Ritchie (1999)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said that the local food and wine of the area would do this.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Similarly, BW also realised that they had to come up with new and innovative ways to get people to visit their region.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Their campaign to promote the region as “the land of culinary pleasure and indulgence”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worked well  thanks to their strategic planning.  They also found that the campaign fitted in with their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values such as regional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identity,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their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consciousness to nature and an aging German population with a higher disposable income (Tourismus Aktuell, 2008).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Visitors to Cordoba were mostly cultured and were already attracted to the historical and cultural element of the area which naturally included the local cuisine. 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Tikkanem (2007) also noted four different synergies between food (and wine) and tourism.  They were identified as (1) the cuisine as the main attraction (2) the establishment of a sub tourism product eg food or wine route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s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(3) an experience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i.e.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the presence of a masterchef and (4)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by being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part of the local culture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by using food and wine festivals to promote it.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With declining vis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tor figures,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BW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had to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work a little harder by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develop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ing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and implement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ing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a s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trateg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ical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plan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to entice tourists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back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to the area.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They did this with a strategy plan which comprised of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six key areas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namely,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(1) a strategy plan (2) the co-operation of stakeholders (3) leadership (4) culinary promotion (5) communication of quality and (6) enhancing tourist perceptions.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 The overall consensus of the  campaign highlighted that it would only be successful if everyone co-operated with one another and the lines of communication between each area was open. </w:t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Whilst both case studies demonstrated similar practices in the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ir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approach to culinary tourism, the main difference between the two countries was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how that country was marketed.  It was evident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that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the visitors to Cordoba had already made a connection with the country prior to leaving their country of origin whereas BW had to entice visitors to the area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through the development of a strategic plan.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  <w:bdr w:val="single" w:sz="2" w:space="1" w:color="CCCCCC"/>
        </w:rPr>
      </w:pPr>
      <w:r>
        <w:rPr/>
      </w:r>
    </w:p>
    <w:p>
      <w:pPr>
        <w:pStyle w:val="Normal"/>
        <w:spacing w:lineRule="auto" w:line="360" w:before="0" w:after="0"/>
        <w:jc w:val="left"/>
        <w:rPr/>
      </w:pPr>
      <w:r>
        <w:rPr>
          <w:rFonts w:cs="Arial" w:ascii="Arial" w:hAnsi="Arial"/>
          <w:b/>
          <w:bCs/>
          <w:sz w:val="28"/>
          <w:szCs w:val="28"/>
          <w:u w:val="none"/>
        </w:rPr>
        <w:t>Conclusion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In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conclusion,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it is clear to see that Culinary Tourism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has become a key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motivator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within the Industry and is continuing to see significant growth.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Both articles have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shown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th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ere is a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distinct trend linking the tourist with its destination through food.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A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ccording to Yeoman (2008), food has become ea significant aspect of the tourists experience of a destination and has played an important role in their overall experience.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With this in mind, Travel organisations have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seen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this as an opportunity to promote and develop their destinations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which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can bring many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benefits to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the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Tourism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Industry.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 Increased visitor arrivals, increased revenue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to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hotels, restaurants, airlines, car rentals etc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,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increased media coverage,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community awareness about tourism and a feeling of community pride and awareness are just some of the benefits. 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Tourism Managers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can also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use this information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as a vital source to help develop and improve customer care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and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food quality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by asking the customer what the brand represents (Kotler et al, 2006).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>L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ast but not least, Travel Managers acknowledge that Culinary Tourism has become a vital part in the Tourism sector </w:t>
      </w:r>
      <w:r>
        <w:rPr>
          <w:rFonts w:cs="Arial" w:ascii="Arial" w:hAnsi="Arial"/>
          <w:b w:val="false"/>
          <w:bCs w:val="false"/>
          <w:i w:val="false"/>
          <w:caps w:val="false"/>
          <w:smallCaps w:val="false"/>
          <w:color w:val="222222"/>
          <w:spacing w:val="0"/>
          <w:sz w:val="24"/>
          <w:szCs w:val="24"/>
          <w:u w:val="none"/>
        </w:rPr>
        <w:t xml:space="preserve">and that they should embrace this opportunity as a way of promoting and developing their destination.  </w:t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</w:r>
    </w:p>
    <w:p>
      <w:pPr>
        <w:pStyle w:val="Normal"/>
        <w:spacing w:lineRule="auto" w:line="360" w:before="0" w:after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</w:r>
    </w:p>
    <w:p>
      <w:pPr>
        <w:pStyle w:val="Normal"/>
        <w:spacing w:lineRule="auto" w:line="360" w:before="0" w:after="0"/>
        <w:ind w:left="0" w:right="0" w:hanging="0"/>
        <w:jc w:val="left"/>
        <w:rPr/>
      </w:pPr>
      <w:bookmarkStart w:id="0" w:name="__DdeLink__1092_2610871839"/>
      <w:r>
        <w:rPr>
          <w:rFonts w:cs="Arial" w:ascii="Arial" w:hAnsi="Arial"/>
          <w:b/>
          <w:bCs/>
          <w:sz w:val="32"/>
          <w:szCs w:val="32"/>
          <w:u w:val="none"/>
        </w:rPr>
        <w:t>Referencing</w:t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bookmarkStart w:id="1" w:name="__DdeLink__1092_2610871839"/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Billups, A. (2007, November 9). Travelers hungry for culinary tourism? Inspired by tasty vacation</w:t>
      </w:r>
      <w:bookmarkEnd w:id="1"/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, coupl leads trips to South America.  In </w:t>
      </w:r>
      <w:r>
        <w:rPr>
          <w:rFonts w:cs="Arial" w:ascii="Arial" w:hAnsi="Arial"/>
          <w:b w:val="false"/>
          <w:bCs w:val="false"/>
          <w:i/>
          <w:iCs/>
          <w:sz w:val="24"/>
          <w:szCs w:val="24"/>
          <w:u w:val="none"/>
        </w:rPr>
        <w:t>The Washington Times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.  Retrieved from </w:t>
      </w:r>
      <w:r>
        <w:rPr>
          <w:rStyle w:val="InternetLink"/>
          <w:rFonts w:cs="Arial" w:ascii="Arial" w:hAnsi="Arial"/>
          <w:b w:val="false"/>
          <w:bCs w:val="false"/>
          <w:sz w:val="24"/>
          <w:szCs w:val="24"/>
          <w:u w:val="none"/>
        </w:rPr>
        <w:t>http://highbeam.com/doc/IG1-171032455.html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.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Crouch, G.I. &amp; Ritchie, J.R. (1999), “Tourism, competitiveness, and societal prsperity”, Vol. 44, pp.137-52.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Hjalager, A., &amp; Richards, G.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(Eds) (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2002), Tourism and Gastronomy.  London, England: Routledge.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Kotler, P., Bowen, J., &amp; Makens, J. (2006), Marketing for hospitality and tourism (4</w:t>
      </w:r>
      <w:r>
        <w:rPr>
          <w:rFonts w:cs="Arial" w:ascii="Arial" w:hAnsi="Arial"/>
          <w:b w:val="false"/>
          <w:bCs w:val="false"/>
          <w:sz w:val="24"/>
          <w:szCs w:val="24"/>
          <w:u w:val="none"/>
          <w:vertAlign w:val="superscript"/>
        </w:rPr>
        <w:t>th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Ed), Upper Saddle River, NJ: Pearson Education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Michelin, (2009), Michelin Guide Deutschland 2009, Karlsruhe, Germany: Michelin Travel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  <w:t xml:space="preserve">Nikonova, V. (9 February, 2017), ‘The 10 best restaurants in Cordoba, Spain’ [online].  Available: </w:t>
      </w:r>
      <w:hyperlink r:id="rId2">
        <w:r>
          <w:rPr>
            <w:rStyle w:val="InternetLink"/>
            <w:rFonts w:cs="Arial" w:ascii="Arial" w:hAnsi="Arial"/>
            <w:b w:val="false"/>
            <w:bCs w:val="false"/>
            <w:i w:val="false"/>
            <w:caps w:val="false"/>
            <w:smallCaps w:val="false"/>
            <w:strike w:val="false"/>
            <w:dstrike w:val="false"/>
            <w:color w:val="363636"/>
            <w:spacing w:val="0"/>
            <w:sz w:val="24"/>
            <w:szCs w:val="24"/>
            <w:u w:val="none"/>
            <w:effect w:val="none"/>
          </w:rPr>
          <w:t>https://theculturetrip.com/europe/spain/articles/the-10-best-restaurants-in-cordoba-spain</w:t>
        </w:r>
      </w:hyperlink>
      <w:r>
        <w:rPr>
          <w:rFonts w:cs="Arial" w:ascii="Arial" w:hAnsi="Arial"/>
          <w:b w:val="false"/>
          <w:bCs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  <w:t xml:space="preserve"> [2017, December, 27].</w:t>
      </w:r>
    </w:p>
    <w:p>
      <w:pPr>
        <w:pStyle w:val="ListContents"/>
        <w:widowControl/>
        <w:spacing w:lineRule="auto" w:line="36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Opaschowski, H. (2008).  Tourismusanalyse 2008 [Tourism analysis 2008]. Hamburg, Germany: Stiftung fuer Zukunftsfragen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Richards, G. (2002), “Gastronomy: an essential ingredient in tourism production and consuption?”, in Hjalager, A.M &amp; Richards, G. (Eds), </w:t>
      </w:r>
      <w:r>
        <w:rPr>
          <w:rFonts w:cs="Arial" w:ascii="Arial" w:hAnsi="Arial"/>
          <w:b w:val="false"/>
          <w:bCs w:val="false"/>
          <w:sz w:val="24"/>
          <w:szCs w:val="24"/>
          <w:u w:val="single"/>
        </w:rPr>
        <w:t xml:space="preserve">Tourism and Gastronomy, 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Routledge, London, pp.3-20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Riley, M. (2005), Food and Beverage Management:  A review of change”, </w:t>
      </w:r>
      <w:r>
        <w:rPr>
          <w:rFonts w:cs="Arial" w:ascii="Arial" w:hAnsi="Arial"/>
          <w:b w:val="false"/>
          <w:bCs w:val="false"/>
          <w:sz w:val="24"/>
          <w:szCs w:val="24"/>
          <w:u w:val="single"/>
        </w:rPr>
        <w:t>International Journal of Contemporary Hospitality Management,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 Vol. 17 No. 1, pp. 88-93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sz w:val="24"/>
          <w:szCs w:val="24"/>
          <w:u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Smith, S., &amp; Costello, C. (2009). Culinary Tourism: Satisfaction with a culinary event utilizing importance-performance grid analysis. </w:t>
      </w:r>
      <w:r>
        <w:rPr>
          <w:rFonts w:cs="Arial" w:ascii="Arial" w:hAnsi="Arial"/>
          <w:b w:val="false"/>
          <w:bCs w:val="false"/>
          <w:sz w:val="24"/>
          <w:szCs w:val="24"/>
          <w:u w:val="single"/>
        </w:rPr>
        <w:t>Journal of Vacation Marketing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, 15, 99-110.  </w:t>
      </w:r>
    </w:p>
    <w:p>
      <w:pPr>
        <w:pStyle w:val="Normal"/>
        <w:spacing w:lineRule="auto" w:line="360" w:before="0" w:after="0"/>
        <w:ind w:left="0" w:right="0" w:hanging="0"/>
        <w:jc w:val="left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 xml:space="preserve">Tikkanem, I. (2007), “Maslow’s Hierarchy and food touris in Finland:  five cases”, </w:t>
      </w:r>
      <w:r>
        <w:rPr>
          <w:rFonts w:cs="Arial" w:ascii="Arial" w:hAnsi="Arial"/>
          <w:b w:val="false"/>
          <w:bCs w:val="false"/>
          <w:sz w:val="24"/>
          <w:szCs w:val="24"/>
          <w:u w:val="single"/>
        </w:rPr>
        <w:t>British Food Journal</w:t>
      </w:r>
      <w:r>
        <w:rPr>
          <w:rFonts w:cs="Arial" w:ascii="Arial" w:hAnsi="Arial"/>
          <w:b w:val="false"/>
          <w:bCs w:val="false"/>
          <w:sz w:val="24"/>
          <w:szCs w:val="24"/>
          <w:u w:val="none"/>
        </w:rPr>
        <w:t>, Vol. 109 No. 9. pp. 721-34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r>
        <w:rPr>
          <w:rFonts w:cs="Arial" w:ascii="Arial" w:hAnsi="Arial"/>
          <w:b w:val="false"/>
          <w:bCs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  <w:t>Tourismus Aktuell. (2008). Geniesserland Baden Wuerttemberg, Stuttgart, Germany: Tourismus Marketing GmbH Baden-Wurttemberg</w:t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Normal"/>
        <w:spacing w:lineRule="auto" w:line="360" w:before="0" w:after="0"/>
        <w:ind w:left="0" w:right="0" w:hanging="0"/>
        <w:jc w:val="left"/>
        <w:rPr/>
      </w:pPr>
      <w:r>
        <w:rPr>
          <w:rFonts w:cs="Arial" w:ascii="Arial" w:hAnsi="Arial"/>
          <w:b/>
          <w:bCs/>
          <w:sz w:val="32"/>
          <w:szCs w:val="32"/>
          <w:u w:val="none"/>
        </w:rPr>
        <w:t>Websites</w:t>
      </w:r>
    </w:p>
    <w:p>
      <w:pPr>
        <w:pStyle w:val="Normal"/>
        <w:spacing w:lineRule="auto" w:line="240" w:before="0" w:after="0"/>
        <w:ind w:left="0" w:right="0" w:hanging="0"/>
        <w:jc w:val="left"/>
        <w:rPr/>
      </w:pPr>
      <w:hyperlink r:id="rId3">
        <w:r>
          <w:rPr>
            <w:rStyle w:val="InternetLink"/>
            <w:rFonts w:cs="Arial" w:ascii="Arial" w:hAnsi="Arial"/>
            <w:b w:val="false"/>
            <w:bCs w:val="false"/>
            <w:i w:val="false"/>
            <w:caps w:val="false"/>
            <w:smallCaps w:val="false"/>
            <w:strike w:val="false"/>
            <w:dstrike w:val="false"/>
            <w:color w:val="363636"/>
            <w:spacing w:val="0"/>
            <w:sz w:val="24"/>
            <w:szCs w:val="24"/>
            <w:u w:val="none"/>
            <w:effect w:val="none"/>
          </w:rPr>
          <w:t>www.scienc</w:t>
        </w:r>
        <w:r>
          <w:rPr>
            <w:rStyle w:val="InternetLink"/>
            <w:rFonts w:cs="Arial" w:ascii="Arial" w:hAnsi="Arial"/>
            <w:b w:val="false"/>
            <w:bCs w:val="false"/>
            <w:i w:val="false"/>
            <w:caps w:val="false"/>
            <w:smallCaps w:val="false"/>
            <w:strike w:val="false"/>
            <w:dstrike w:val="false"/>
            <w:color w:val="363636"/>
            <w:spacing w:val="0"/>
            <w:sz w:val="24"/>
            <w:szCs w:val="24"/>
            <w:u w:val="none"/>
            <w:effect w:val="none"/>
          </w:rPr>
          <w:t>edirect.com/science/article/pii/s22129774000052</w:t>
        </w:r>
      </w:hyperlink>
      <w:hyperlink r:id="rId4">
        <w:r>
          <w:rPr>
            <w:rFonts w:cs="Arial" w:ascii="Arial" w:hAnsi="Arial"/>
            <w:b w:val="false"/>
            <w:bCs w:val="false"/>
            <w:i w:val="false"/>
            <w:caps w:val="false"/>
            <w:smallCaps w:val="false"/>
            <w:strike w:val="false"/>
            <w:dstrike w:val="false"/>
            <w:color w:val="363636"/>
            <w:spacing w:val="0"/>
            <w:sz w:val="24"/>
            <w:szCs w:val="24"/>
            <w:u w:val="none"/>
            <w:effect w:val="none"/>
          </w:rPr>
          <w:t>, Wine Economics and Policy, Vol 3, Issue 1, June 2014, PP10-18</w:t>
        </w:r>
      </w:hyperlink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Normal"/>
        <w:spacing w:lineRule="auto" w:line="240" w:before="0" w:after="0"/>
        <w:ind w:left="0" w:right="0" w:hanging="0"/>
        <w:jc w:val="left"/>
        <w:rPr>
          <w:rFonts w:ascii="Arial" w:hAnsi="Arial" w:cs="Arial"/>
          <w:b w:val="false"/>
          <w:b w:val="false"/>
          <w:bCs w:val="false"/>
          <w:i w:val="false"/>
          <w:i w:val="false"/>
          <w:caps w:val="false"/>
          <w:smallCaps w:val="false"/>
          <w:strike w:val="false"/>
          <w:dstrike w:val="false"/>
          <w:color w:val="363636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ListContents"/>
        <w:widowControl/>
        <w:spacing w:lineRule="auto" w:line="360" w:before="0" w:after="0"/>
        <w:ind w:left="0" w:right="0" w:hanging="0"/>
        <w:rPr/>
      </w:pPr>
      <w:hyperlink r:id="rId5">
        <w:r>
          <w:rPr>
            <w:rStyle w:val="InternetLink"/>
            <w:rFonts w:ascii="Arial" w:hAnsi="Arial"/>
            <w:b w:val="false"/>
            <w:i w:val="false"/>
            <w:caps w:val="false"/>
            <w:smallCaps w:val="false"/>
            <w:color w:val="222222"/>
            <w:spacing w:val="0"/>
            <w:sz w:val="24"/>
            <w:szCs w:val="24"/>
          </w:rPr>
          <w:t>www.</w:t>
        </w:r>
        <w:r>
          <w:rPr>
            <w:rStyle w:val="InternetLink"/>
            <w:rFonts w:ascii="Arial" w:hAnsi="Arial"/>
            <w:b w:val="false"/>
            <w:i w:val="false"/>
            <w:caps w:val="false"/>
            <w:smallCaps w:val="false"/>
            <w:color w:val="222222"/>
            <w:spacing w:val="0"/>
            <w:sz w:val="24"/>
            <w:szCs w:val="24"/>
          </w:rPr>
          <w:t>ontarioculinary.com/resources/culinary-tourism-101</w:t>
        </w:r>
      </w:hyperlink>
      <w:hyperlink r:id="rId6">
        <w:r>
          <w:rPr>
            <w:rFonts w:ascii="Arial" w:hAnsi="Arial"/>
            <w:b w:val="false"/>
            <w:i w:val="false"/>
            <w:caps w:val="false"/>
            <w:smallCaps w:val="false"/>
            <w:color w:val="222222"/>
            <w:spacing w:val="0"/>
            <w:sz w:val="24"/>
            <w:szCs w:val="24"/>
          </w:rPr>
          <w:t xml:space="preserve"> </w:t>
        </w:r>
      </w:hyperlink>
      <w:r>
        <w:rPr>
          <w:rFonts w:ascii="Arial" w:hAnsi="Arial"/>
          <w:b w:val="false"/>
          <w:i w:val="false"/>
          <w:caps w:val="false"/>
          <w:smallCaps w:val="false"/>
          <w:color w:val="222222"/>
          <w:spacing w:val="0"/>
          <w:sz w:val="24"/>
          <w:szCs w:val="24"/>
        </w:rPr>
        <w:t>Definition of Culinary Tourism</w:t>
      </w:r>
    </w:p>
    <w:p>
      <w:pPr>
        <w:pStyle w:val="ListContents"/>
        <w:widowControl/>
        <w:spacing w:lineRule="auto" w:line="360" w:before="0" w:after="0"/>
        <w:ind w:left="0" w:right="0" w:hanging="0"/>
        <w:rPr>
          <w:rFonts w:ascii="Arial" w:hAnsi="Arial"/>
          <w:b w:val="false"/>
          <w:b w:val="false"/>
          <w:i w:val="false"/>
          <w:i w:val="false"/>
          <w:caps w:val="false"/>
          <w:smallCaps w:val="false"/>
          <w:color w:val="222222"/>
          <w:spacing w:val="0"/>
          <w:sz w:val="24"/>
          <w:szCs w:val="24"/>
        </w:rPr>
      </w:pPr>
      <w:r>
        <w:rPr/>
      </w:r>
    </w:p>
    <w:p>
      <w:pPr>
        <w:pStyle w:val="TextBody"/>
        <w:widowControl/>
        <w:spacing w:before="45" w:after="140"/>
        <w:rPr/>
      </w:pPr>
      <w:r>
        <w:rPr>
          <w:rStyle w:val="InternetLink"/>
          <w:rFonts w:ascii="Arial" w:hAnsi="Arial"/>
          <w:b w:val="false"/>
          <w:i w:val="false"/>
          <w:caps w:val="false"/>
          <w:smallCaps w:val="false"/>
          <w:color w:val="555555"/>
          <w:spacing w:val="0"/>
          <w:sz w:val="24"/>
          <w:szCs w:val="24"/>
        </w:rPr>
        <w:t xml:space="preserve">www.spain-holiday.com/Cordoba-city/articles/cordoba-spain-a-city-you-absolutely-have-to-visit  </w:t>
      </w:r>
      <w:r>
        <w:rPr>
          <w:rFonts w:ascii="Arial" w:hAnsi="Arial"/>
          <w:b w:val="false"/>
          <w:i w:val="false"/>
          <w:caps w:val="false"/>
          <w:smallCaps w:val="false"/>
          <w:color w:val="222222"/>
          <w:spacing w:val="0"/>
          <w:sz w:val="24"/>
          <w:szCs w:val="24"/>
        </w:rPr>
        <w:t>Córdoba, Spain: A city you absolutely have to visit –</w:t>
      </w:r>
      <w:r>
        <w:rPr>
          <w:rFonts w:ascii="Arial" w:hAnsi="Arial"/>
          <w:b w:val="false"/>
          <w:i w:val="false"/>
          <w:caps w:val="false"/>
          <w:smallCaps w:val="false"/>
          <w:color w:val="222222"/>
          <w:spacing w:val="0"/>
          <w:sz w:val="24"/>
          <w:szCs w:val="24"/>
        </w:rPr>
        <w:t xml:space="preserve"> Article by Amy Trillard, November 9, 2015 Updated November 10, 2015.</w:t>
      </w:r>
    </w:p>
    <w:p>
      <w:pPr>
        <w:pStyle w:val="TextBody"/>
        <w:widowControl/>
        <w:spacing w:before="0" w:after="0"/>
        <w:rPr>
          <w:rStyle w:val="InternetLink"/>
          <w:rFonts w:ascii="Arial" w:hAnsi="Arial"/>
          <w:b w:val="false"/>
          <w:b w:val="false"/>
          <w:i w:val="false"/>
          <w:i w:val="false"/>
          <w:caps w:val="false"/>
          <w:smallCaps w:val="false"/>
          <w:strike w:val="false"/>
          <w:dstrike w:val="false"/>
          <w:color w:val="32AEFF"/>
          <w:spacing w:val="0"/>
          <w:sz w:val="24"/>
          <w:szCs w:val="24"/>
          <w:u w:val="none"/>
          <w:effect w:val="none"/>
        </w:rPr>
      </w:pPr>
      <w:r>
        <w:rPr/>
      </w:r>
    </w:p>
    <w:p>
      <w:pPr>
        <w:pStyle w:val="TextBody"/>
        <w:widowControl/>
        <w:spacing w:before="45" w:after="140"/>
        <w:rPr>
          <w:b w:val="false"/>
          <w:b w:val="false"/>
          <w:i w:val="false"/>
          <w:i w:val="false"/>
          <w:caps w:val="false"/>
          <w:smallCaps w:val="false"/>
          <w:color w:val="555555"/>
          <w:spacing w:val="0"/>
        </w:rPr>
      </w:pPr>
      <w:r>
        <w:rPr/>
      </w:r>
    </w:p>
    <w:p>
      <w:pPr>
        <w:pStyle w:val="ListContents"/>
        <w:widowControl/>
        <w:spacing w:lineRule="auto" w:line="360" w:before="0" w:after="0"/>
        <w:ind w:left="0" w:right="0" w:hanging="0"/>
        <w:rPr/>
      </w:pPr>
      <w:r>
        <w:rPr>
          <w:rFonts w:ascii="Arial" w:hAnsi="Arial"/>
          <w:sz w:val="24"/>
          <w:szCs w:val="24"/>
        </w:rPr>
        <w:t>www.hospitality.net.org/opinion/1037197.html Why Food tourism is becoming important?  Article by Ian Yeoman – Professor at Victoria University School of Management, August 11, 2008</w:t>
      </w:r>
    </w:p>
    <w:p>
      <w:pPr>
        <w:pStyle w:val="Normal"/>
        <w:widowControl/>
        <w:spacing w:lineRule="auto" w:line="360" w:before="0" w:after="0"/>
        <w:ind w:left="0" w:right="0" w:hanging="0"/>
        <w:rPr/>
      </w:pPr>
      <w:r>
        <w:rPr>
          <w:rFonts w:ascii="Arial" w:hAnsi="Arial"/>
          <w:b w:val="false"/>
          <w:i w:val="false"/>
          <w:caps w:val="false"/>
          <w:smallCaps w:val="false"/>
          <w:color w:val="777777"/>
          <w:spacing w:val="0"/>
          <w:sz w:val="24"/>
          <w:szCs w:val="24"/>
        </w:rPr>
        <w:br/>
      </w:r>
      <w:r>
        <w:rPr>
          <w:rFonts w:ascii="Arial" w:hAnsi="Arial"/>
          <w:b w:val="false"/>
          <w:i w:val="false"/>
          <w:caps w:val="false"/>
          <w:smallCaps w:val="false"/>
          <w:color w:val="222222"/>
          <w:spacing w:val="0"/>
          <w:sz w:val="24"/>
          <w:szCs w:val="24"/>
        </w:rPr>
        <w:t>www.worldfoodtravel.org/cpages/what is food tourism. World Food Travel Association</w:t>
      </w:r>
    </w:p>
    <w:p>
      <w:pPr>
        <w:pStyle w:val="ListContents"/>
        <w:widowControl/>
        <w:spacing w:lineRule="auto" w:line="360" w:before="0" w:after="0"/>
        <w:ind w:left="0" w:right="0" w:hanging="0"/>
        <w:rPr>
          <w:color w:val="222222"/>
        </w:rPr>
      </w:pPr>
      <w:r>
        <w:rPr>
          <w:color w:val="222222"/>
        </w:rPr>
      </w:r>
    </w:p>
    <w:p>
      <w:pPr>
        <w:pStyle w:val="ListContents"/>
        <w:widowControl/>
        <w:spacing w:lineRule="auto" w:line="360" w:before="0" w:after="0"/>
        <w:ind w:left="0" w:right="0" w:hanging="0"/>
        <w:rPr/>
      </w:pPr>
      <w:hyperlink r:id="rId7">
        <w:r>
          <w:rPr/>
        </w:r>
      </w:hyperlink>
    </w:p>
    <w:p>
      <w:pPr>
        <w:pStyle w:val="ListContents"/>
        <w:widowControl/>
        <w:spacing w:lineRule="auto" w:line="360" w:before="0" w:after="0"/>
        <w:ind w:left="0" w:right="0" w:hanging="0"/>
        <w:rPr/>
      </w:pPr>
      <w:r>
        <w:rPr/>
        <w:t xml:space="preserve">                  </w:t>
      </w:r>
    </w:p>
    <w:sectPr>
      <w:type w:val="nextPage"/>
      <w:pgSz w:w="11906" w:h="16838"/>
      <w:pgMar w:left="1440" w:right="1440" w:header="0" w:top="1440" w:footer="0" w:bottom="1440" w:gutter="0"/>
      <w:pgNumType w:fmt="decimal"/>
      <w:formProt w:val="false"/>
      <w:textDirection w:val="lrTb"/>
      <w:docGrid w:type="default" w:linePitch="360" w:charSpace="4294965247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Arial">
    <w:charset w:val="00"/>
    <w:family w:val="roman"/>
    <w:pitch w:val="variable"/>
  </w:font>
  <w:font w:name="OpenSymbol">
    <w:altName w:val="Arial Unicode MS"/>
    <w:charset w:val="02"/>
    <w:family w:val="auto"/>
    <w:pitch w:val="default"/>
  </w:font>
  <w:font w:name="Liberation Sans">
    <w:altName w:val="Arial"/>
    <w:charset w:val="00"/>
    <w:family w:val="roman"/>
    <w:pitch w:val="variable"/>
  </w:font>
  <w:font w:name="arial">
    <w:altName w:val="sans-serif"/>
    <w:charset w:val="00"/>
    <w:family w:val="roman"/>
    <w:pitch w:val="variable"/>
  </w:font>
  <w:font w:name="Arial">
    <w:charset w:val="01"/>
    <w:family w:val="swiss"/>
    <w:pitch w:val="variable"/>
  </w:font>
</w:fonts>
</file>

<file path=word/settings.xml><?xml version="1.0" encoding="utf-8"?>
<w:settings xmlns:w="http://schemas.openxmlformats.org/wordprocessingml/2006/main">
  <w:zoom w:percent="100"/>
  <w:defaultTabStop w:val="720"/>
  <w:compat/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Tahoma"/>
        <w:sz w:val="20"/>
        <w:szCs w:val="22"/>
        <w:lang w:val="en-GB" w:eastAsia="en-US" w:bidi="ar-SA"/>
      </w:rPr>
    </w:rPrDefault>
    <w:pPrDefault>
      <w:pPr/>
    </w:pPrDefault>
  </w:docDefaults>
  <w:style w:type="paragraph" w:styleId="Normal">
    <w:name w:val="Normal"/>
    <w:qFormat/>
    <w:pPr>
      <w:widowControl/>
      <w:overflowPunct w:val="false"/>
      <w:bidi w:val="0"/>
      <w:spacing w:lineRule="auto" w:line="259" w:before="0" w:after="160"/>
      <w:jc w:val="left"/>
    </w:pPr>
    <w:rPr>
      <w:rFonts w:ascii="Calibri" w:hAnsi="Calibri" w:eastAsia="Calibri" w:cs="Tahoma"/>
      <w:color w:val="00000A"/>
      <w:sz w:val="22"/>
      <w:szCs w:val="22"/>
      <w:lang w:val="en-GB" w:eastAsia="en-US" w:bidi="ar-SA"/>
    </w:rPr>
  </w:style>
  <w:style w:type="paragraph" w:styleId="Heading1">
    <w:name w:val="Heading 1"/>
    <w:basedOn w:val="Heading"/>
    <w:qFormat/>
    <w:pPr/>
    <w:rPr/>
  </w:style>
  <w:style w:type="paragraph" w:styleId="Heading2">
    <w:name w:val="Heading 2"/>
    <w:basedOn w:val="Heading"/>
    <w:qFormat/>
    <w:pPr/>
    <w:rPr/>
  </w:style>
  <w:style w:type="paragraph" w:styleId="Heading3">
    <w:name w:val="Heading 3"/>
    <w:basedOn w:val="Heading"/>
    <w:qFormat/>
    <w:pPr/>
    <w:rPr/>
  </w:style>
  <w:style w:type="paragraph" w:styleId="Heading4">
    <w:name w:val="Heading 4"/>
    <w:basedOn w:val="Heading"/>
    <w:qFormat/>
    <w:pPr/>
    <w:rPr/>
  </w:style>
  <w:style w:type="character" w:styleId="DefaultParagraphFont">
    <w:name w:val="Default Paragraph Font"/>
    <w:qFormat/>
    <w:rPr/>
  </w:style>
  <w:style w:type="character" w:styleId="ListLabel43">
    <w:name w:val="ListLabel 43"/>
    <w:qFormat/>
    <w:rPr>
      <w:rFonts w:cs="Courier New"/>
    </w:rPr>
  </w:style>
  <w:style w:type="character" w:styleId="ListLabel44">
    <w:name w:val="ListLabel 44"/>
    <w:qFormat/>
    <w:rPr>
      <w:rFonts w:cs="Courier New"/>
    </w:rPr>
  </w:style>
  <w:style w:type="character" w:styleId="ListLabel45">
    <w:name w:val="ListLabel 45"/>
    <w:qFormat/>
    <w:rPr>
      <w:rFonts w:cs="Courier New"/>
    </w:rPr>
  </w:style>
  <w:style w:type="character" w:styleId="InternetLink">
    <w:name w:val="Internet Link"/>
    <w:rPr>
      <w:color w:val="000080"/>
      <w:u w:val="single"/>
      <w:lang w:val="zxx" w:eastAsia="zxx" w:bidi="zxx"/>
    </w:rPr>
  </w:style>
  <w:style w:type="character" w:styleId="NumberingSymbols">
    <w:name w:val="Numbering Symbols"/>
    <w:qFormat/>
    <w:rPr/>
  </w:style>
  <w:style w:type="character" w:styleId="ListLabel46">
    <w:name w:val="ListLabel 46"/>
    <w:qFormat/>
    <w:rPr>
      <w:rFonts w:cs="Symbol"/>
      <w:sz w:val="24"/>
    </w:rPr>
  </w:style>
  <w:style w:type="character" w:styleId="ListLabel47">
    <w:name w:val="ListLabel 47"/>
    <w:qFormat/>
    <w:rPr>
      <w:rFonts w:cs="Courier New"/>
    </w:rPr>
  </w:style>
  <w:style w:type="character" w:styleId="ListLabel48">
    <w:name w:val="ListLabel 48"/>
    <w:qFormat/>
    <w:rPr>
      <w:rFonts w:cs="Wingdings"/>
    </w:rPr>
  </w:style>
  <w:style w:type="character" w:styleId="ListLabel49">
    <w:name w:val="ListLabel 49"/>
    <w:qFormat/>
    <w:rPr>
      <w:rFonts w:cs="Symbol"/>
    </w:rPr>
  </w:style>
  <w:style w:type="character" w:styleId="ListLabel50">
    <w:name w:val="ListLabel 50"/>
    <w:qFormat/>
    <w:rPr>
      <w:rFonts w:cs="Courier New"/>
    </w:rPr>
  </w:style>
  <w:style w:type="character" w:styleId="ListLabel51">
    <w:name w:val="ListLabel 51"/>
    <w:qFormat/>
    <w:rPr>
      <w:rFonts w:cs="Wingdings"/>
    </w:rPr>
  </w:style>
  <w:style w:type="character" w:styleId="ListLabel52">
    <w:name w:val="ListLabel 52"/>
    <w:qFormat/>
    <w:rPr>
      <w:rFonts w:cs="Symbol"/>
    </w:rPr>
  </w:style>
  <w:style w:type="character" w:styleId="ListLabel53">
    <w:name w:val="ListLabel 53"/>
    <w:qFormat/>
    <w:rPr>
      <w:rFonts w:cs="Courier New"/>
    </w:rPr>
  </w:style>
  <w:style w:type="character" w:styleId="ListLabel54">
    <w:name w:val="ListLabel 54"/>
    <w:qFormat/>
    <w:rPr>
      <w:rFonts w:cs="Wingdings"/>
    </w:rPr>
  </w:style>
  <w:style w:type="character" w:styleId="ListLabel55">
    <w:name w:val="ListLabel 55"/>
    <w:qFormat/>
    <w:rPr>
      <w:rFonts w:cs="Symbol"/>
      <w:sz w:val="24"/>
    </w:rPr>
  </w:style>
  <w:style w:type="character" w:styleId="ListLabel56">
    <w:name w:val="ListLabel 56"/>
    <w:qFormat/>
    <w:rPr>
      <w:rFonts w:cs="Courier New"/>
    </w:rPr>
  </w:style>
  <w:style w:type="character" w:styleId="ListLabel57">
    <w:name w:val="ListLabel 57"/>
    <w:qFormat/>
    <w:rPr>
      <w:rFonts w:cs="Wingdings"/>
    </w:rPr>
  </w:style>
  <w:style w:type="character" w:styleId="ListLabel58">
    <w:name w:val="ListLabel 58"/>
    <w:qFormat/>
    <w:rPr>
      <w:rFonts w:cs="Symbol"/>
    </w:rPr>
  </w:style>
  <w:style w:type="character" w:styleId="ListLabel59">
    <w:name w:val="ListLabel 59"/>
    <w:qFormat/>
    <w:rPr>
      <w:rFonts w:cs="Courier New"/>
    </w:rPr>
  </w:style>
  <w:style w:type="character" w:styleId="ListLabel60">
    <w:name w:val="ListLabel 60"/>
    <w:qFormat/>
    <w:rPr>
      <w:rFonts w:cs="Wingdings"/>
    </w:rPr>
  </w:style>
  <w:style w:type="character" w:styleId="ListLabel61">
    <w:name w:val="ListLabel 61"/>
    <w:qFormat/>
    <w:rPr>
      <w:rFonts w:cs="Symbol"/>
    </w:rPr>
  </w:style>
  <w:style w:type="character" w:styleId="ListLabel62">
    <w:name w:val="ListLabel 62"/>
    <w:qFormat/>
    <w:rPr>
      <w:rFonts w:cs="Courier New"/>
    </w:rPr>
  </w:style>
  <w:style w:type="character" w:styleId="ListLabel63">
    <w:name w:val="ListLabel 63"/>
    <w:qFormat/>
    <w:rPr>
      <w:rFonts w:cs="Wingdings"/>
    </w:rPr>
  </w:style>
  <w:style w:type="character" w:styleId="ListLabel64">
    <w:name w:val="ListLabel 64"/>
    <w:qFormat/>
    <w:rPr>
      <w:rFonts w:cs="Symbol"/>
      <w:sz w:val="24"/>
    </w:rPr>
  </w:style>
  <w:style w:type="character" w:styleId="ListLabel65">
    <w:name w:val="ListLabel 65"/>
    <w:qFormat/>
    <w:rPr>
      <w:rFonts w:cs="Courier New"/>
    </w:rPr>
  </w:style>
  <w:style w:type="character" w:styleId="ListLabel66">
    <w:name w:val="ListLabel 66"/>
    <w:qFormat/>
    <w:rPr>
      <w:rFonts w:cs="Wingdings"/>
    </w:rPr>
  </w:style>
  <w:style w:type="character" w:styleId="ListLabel67">
    <w:name w:val="ListLabel 67"/>
    <w:qFormat/>
    <w:rPr>
      <w:rFonts w:cs="Symbol"/>
    </w:rPr>
  </w:style>
  <w:style w:type="character" w:styleId="ListLabel68">
    <w:name w:val="ListLabel 68"/>
    <w:qFormat/>
    <w:rPr>
      <w:rFonts w:cs="Courier New"/>
    </w:rPr>
  </w:style>
  <w:style w:type="character" w:styleId="ListLabel69">
    <w:name w:val="ListLabel 69"/>
    <w:qFormat/>
    <w:rPr>
      <w:rFonts w:cs="Wingdings"/>
    </w:rPr>
  </w:style>
  <w:style w:type="character" w:styleId="ListLabel70">
    <w:name w:val="ListLabel 70"/>
    <w:qFormat/>
    <w:rPr>
      <w:rFonts w:cs="Symbol"/>
    </w:rPr>
  </w:style>
  <w:style w:type="character" w:styleId="ListLabel71">
    <w:name w:val="ListLabel 71"/>
    <w:qFormat/>
    <w:rPr>
      <w:rFonts w:cs="Courier New"/>
    </w:rPr>
  </w:style>
  <w:style w:type="character" w:styleId="ListLabel72">
    <w:name w:val="ListLabel 72"/>
    <w:qFormat/>
    <w:rPr>
      <w:rFonts w:cs="Wingdings"/>
    </w:rPr>
  </w:style>
  <w:style w:type="character" w:styleId="ListLabel73">
    <w:name w:val="ListLabel 73"/>
    <w:qFormat/>
    <w:rPr>
      <w:rFonts w:cs="Symbol"/>
      <w:sz w:val="24"/>
    </w:rPr>
  </w:style>
  <w:style w:type="character" w:styleId="ListLabel74">
    <w:name w:val="ListLabel 74"/>
    <w:qFormat/>
    <w:rPr>
      <w:rFonts w:cs="Courier New"/>
    </w:rPr>
  </w:style>
  <w:style w:type="character" w:styleId="ListLabel75">
    <w:name w:val="ListLabel 75"/>
    <w:qFormat/>
    <w:rPr>
      <w:rFonts w:cs="Wingdings"/>
    </w:rPr>
  </w:style>
  <w:style w:type="character" w:styleId="ListLabel76">
    <w:name w:val="ListLabel 76"/>
    <w:qFormat/>
    <w:rPr>
      <w:rFonts w:cs="Symbol"/>
    </w:rPr>
  </w:style>
  <w:style w:type="character" w:styleId="ListLabel77">
    <w:name w:val="ListLabel 77"/>
    <w:qFormat/>
    <w:rPr>
      <w:rFonts w:cs="Courier New"/>
    </w:rPr>
  </w:style>
  <w:style w:type="character" w:styleId="ListLabel78">
    <w:name w:val="ListLabel 78"/>
    <w:qFormat/>
    <w:rPr>
      <w:rFonts w:cs="Wingdings"/>
    </w:rPr>
  </w:style>
  <w:style w:type="character" w:styleId="ListLabel79">
    <w:name w:val="ListLabel 79"/>
    <w:qFormat/>
    <w:rPr>
      <w:rFonts w:cs="Symbol"/>
    </w:rPr>
  </w:style>
  <w:style w:type="character" w:styleId="ListLabel80">
    <w:name w:val="ListLabel 80"/>
    <w:qFormat/>
    <w:rPr>
      <w:rFonts w:cs="Courier New"/>
    </w:rPr>
  </w:style>
  <w:style w:type="character" w:styleId="ListLabel81">
    <w:name w:val="ListLabel 81"/>
    <w:qFormat/>
    <w:rPr>
      <w:rFonts w:cs="Wingdings"/>
    </w:rPr>
  </w:style>
  <w:style w:type="character" w:styleId="ListLabel82">
    <w:name w:val="ListLabel 82"/>
    <w:qFormat/>
    <w:rPr>
      <w:rFonts w:cs="Symbol"/>
      <w:sz w:val="24"/>
    </w:rPr>
  </w:style>
  <w:style w:type="character" w:styleId="ListLabel83">
    <w:name w:val="ListLabel 83"/>
    <w:qFormat/>
    <w:rPr>
      <w:rFonts w:cs="Courier New"/>
    </w:rPr>
  </w:style>
  <w:style w:type="character" w:styleId="ListLabel84">
    <w:name w:val="ListLabel 84"/>
    <w:qFormat/>
    <w:rPr>
      <w:rFonts w:cs="Wingdings"/>
    </w:rPr>
  </w:style>
  <w:style w:type="character" w:styleId="ListLabel85">
    <w:name w:val="ListLabel 85"/>
    <w:qFormat/>
    <w:rPr>
      <w:rFonts w:cs="Symbol"/>
    </w:rPr>
  </w:style>
  <w:style w:type="character" w:styleId="ListLabel86">
    <w:name w:val="ListLabel 86"/>
    <w:qFormat/>
    <w:rPr>
      <w:rFonts w:cs="Courier New"/>
    </w:rPr>
  </w:style>
  <w:style w:type="character" w:styleId="ListLabel87">
    <w:name w:val="ListLabel 87"/>
    <w:qFormat/>
    <w:rPr>
      <w:rFonts w:cs="Wingdings"/>
    </w:rPr>
  </w:style>
  <w:style w:type="character" w:styleId="ListLabel88">
    <w:name w:val="ListLabel 88"/>
    <w:qFormat/>
    <w:rPr>
      <w:rFonts w:cs="Symbol"/>
    </w:rPr>
  </w:style>
  <w:style w:type="character" w:styleId="ListLabel89">
    <w:name w:val="ListLabel 89"/>
    <w:qFormat/>
    <w:rPr>
      <w:rFonts w:cs="Courier New"/>
    </w:rPr>
  </w:style>
  <w:style w:type="character" w:styleId="ListLabel90">
    <w:name w:val="ListLabel 90"/>
    <w:qFormat/>
    <w:rPr>
      <w:rFonts w:cs="Wingdings"/>
    </w:rPr>
  </w:style>
  <w:style w:type="character" w:styleId="ListLabel91">
    <w:name w:val="ListLabel 91"/>
    <w:qFormat/>
    <w:rPr>
      <w:rFonts w:ascii="Arial" w:hAnsi="Arial" w:cs="Symbol"/>
      <w:sz w:val="24"/>
    </w:rPr>
  </w:style>
  <w:style w:type="character" w:styleId="ListLabel92">
    <w:name w:val="ListLabel 92"/>
    <w:qFormat/>
    <w:rPr>
      <w:rFonts w:cs="Courier New"/>
    </w:rPr>
  </w:style>
  <w:style w:type="character" w:styleId="ListLabel93">
    <w:name w:val="ListLabel 93"/>
    <w:qFormat/>
    <w:rPr>
      <w:rFonts w:cs="Wingdings"/>
    </w:rPr>
  </w:style>
  <w:style w:type="character" w:styleId="ListLabel94">
    <w:name w:val="ListLabel 94"/>
    <w:qFormat/>
    <w:rPr>
      <w:rFonts w:cs="Symbol"/>
    </w:rPr>
  </w:style>
  <w:style w:type="character" w:styleId="ListLabel95">
    <w:name w:val="ListLabel 95"/>
    <w:qFormat/>
    <w:rPr>
      <w:rFonts w:cs="Courier New"/>
    </w:rPr>
  </w:style>
  <w:style w:type="character" w:styleId="ListLabel96">
    <w:name w:val="ListLabel 96"/>
    <w:qFormat/>
    <w:rPr>
      <w:rFonts w:cs="Wingdings"/>
    </w:rPr>
  </w:style>
  <w:style w:type="character" w:styleId="ListLabel97">
    <w:name w:val="ListLabel 97"/>
    <w:qFormat/>
    <w:rPr>
      <w:rFonts w:cs="Symbol"/>
    </w:rPr>
  </w:style>
  <w:style w:type="character" w:styleId="ListLabel98">
    <w:name w:val="ListLabel 98"/>
    <w:qFormat/>
    <w:rPr>
      <w:rFonts w:cs="Courier New"/>
    </w:rPr>
  </w:style>
  <w:style w:type="character" w:styleId="ListLabel99">
    <w:name w:val="ListLabel 99"/>
    <w:qFormat/>
    <w:rPr>
      <w:rFonts w:cs="Wingdings"/>
    </w:rPr>
  </w:style>
  <w:style w:type="character" w:styleId="Emphasis">
    <w:name w:val="Emphasis"/>
    <w:qFormat/>
    <w:rPr>
      <w:i/>
      <w:iCs/>
    </w:rPr>
  </w:style>
  <w:style w:type="character" w:styleId="StrongEmphasis">
    <w:name w:val="Strong Emphasis"/>
    <w:qFormat/>
    <w:rPr>
      <w:b/>
      <w:bCs/>
    </w:rPr>
  </w:style>
  <w:style w:type="character" w:styleId="ListLabel100">
    <w:name w:val="ListLabel 100"/>
    <w:qFormat/>
    <w:rPr>
      <w:rFonts w:ascii="Arial" w:hAnsi="Arial" w:cs="Symbol"/>
      <w:sz w:val="24"/>
    </w:rPr>
  </w:style>
  <w:style w:type="character" w:styleId="ListLabel101">
    <w:name w:val="ListLabel 101"/>
    <w:qFormat/>
    <w:rPr>
      <w:rFonts w:cs="Courier New"/>
    </w:rPr>
  </w:style>
  <w:style w:type="character" w:styleId="ListLabel102">
    <w:name w:val="ListLabel 102"/>
    <w:qFormat/>
    <w:rPr>
      <w:rFonts w:cs="Wingdings"/>
    </w:rPr>
  </w:style>
  <w:style w:type="character" w:styleId="ListLabel103">
    <w:name w:val="ListLabel 103"/>
    <w:qFormat/>
    <w:rPr>
      <w:rFonts w:cs="Symbol"/>
    </w:rPr>
  </w:style>
  <w:style w:type="character" w:styleId="ListLabel104">
    <w:name w:val="ListLabel 104"/>
    <w:qFormat/>
    <w:rPr>
      <w:rFonts w:cs="Courier New"/>
    </w:rPr>
  </w:style>
  <w:style w:type="character" w:styleId="ListLabel105">
    <w:name w:val="ListLabel 105"/>
    <w:qFormat/>
    <w:rPr>
      <w:rFonts w:cs="Wingdings"/>
    </w:rPr>
  </w:style>
  <w:style w:type="character" w:styleId="ListLabel106">
    <w:name w:val="ListLabel 106"/>
    <w:qFormat/>
    <w:rPr>
      <w:rFonts w:cs="Symbol"/>
    </w:rPr>
  </w:style>
  <w:style w:type="character" w:styleId="ListLabel107">
    <w:name w:val="ListLabel 107"/>
    <w:qFormat/>
    <w:rPr>
      <w:rFonts w:cs="Courier New"/>
    </w:rPr>
  </w:style>
  <w:style w:type="character" w:styleId="ListLabel108">
    <w:name w:val="ListLabel 108"/>
    <w:qFormat/>
    <w:rPr>
      <w:rFonts w:cs="Wingdings"/>
    </w:rPr>
  </w:style>
  <w:style w:type="character" w:styleId="ListLabel109">
    <w:name w:val="ListLabel 109"/>
    <w:qFormat/>
    <w:rPr>
      <w:rFonts w:ascii="Arial" w:hAnsi="Arial" w:cs="Symbol"/>
      <w:sz w:val="24"/>
    </w:rPr>
  </w:style>
  <w:style w:type="character" w:styleId="ListLabel110">
    <w:name w:val="ListLabel 110"/>
    <w:qFormat/>
    <w:rPr>
      <w:rFonts w:cs="Courier New"/>
    </w:rPr>
  </w:style>
  <w:style w:type="character" w:styleId="ListLabel111">
    <w:name w:val="ListLabel 111"/>
    <w:qFormat/>
    <w:rPr>
      <w:rFonts w:cs="Wingdings"/>
    </w:rPr>
  </w:style>
  <w:style w:type="character" w:styleId="ListLabel112">
    <w:name w:val="ListLabel 112"/>
    <w:qFormat/>
    <w:rPr>
      <w:rFonts w:cs="Symbol"/>
    </w:rPr>
  </w:style>
  <w:style w:type="character" w:styleId="ListLabel113">
    <w:name w:val="ListLabel 113"/>
    <w:qFormat/>
    <w:rPr>
      <w:rFonts w:cs="Courier New"/>
    </w:rPr>
  </w:style>
  <w:style w:type="character" w:styleId="ListLabel114">
    <w:name w:val="ListLabel 114"/>
    <w:qFormat/>
    <w:rPr>
      <w:rFonts w:cs="Wingdings"/>
    </w:rPr>
  </w:style>
  <w:style w:type="character" w:styleId="ListLabel115">
    <w:name w:val="ListLabel 115"/>
    <w:qFormat/>
    <w:rPr>
      <w:rFonts w:cs="Symbol"/>
    </w:rPr>
  </w:style>
  <w:style w:type="character" w:styleId="ListLabel116">
    <w:name w:val="ListLabel 116"/>
    <w:qFormat/>
    <w:rPr>
      <w:rFonts w:cs="Courier New"/>
    </w:rPr>
  </w:style>
  <w:style w:type="character" w:styleId="ListLabel117">
    <w:name w:val="ListLabel 117"/>
    <w:qFormat/>
    <w:rPr>
      <w:rFonts w:cs="Wingdings"/>
    </w:rPr>
  </w:style>
  <w:style w:type="character" w:styleId="Bullets">
    <w:name w:val="Bullets"/>
    <w:qFormat/>
    <w:rPr>
      <w:rFonts w:ascii="OpenSymbol" w:hAnsi="OpenSymbol" w:eastAsia="OpenSymbol" w:cs="OpenSymbol"/>
    </w:rPr>
  </w:style>
  <w:style w:type="paragraph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88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  <w:style w:type="paragraph" w:styleId="ListParagraph">
    <w:name w:val="List Paragraph"/>
    <w:basedOn w:val="Normal"/>
    <w:qFormat/>
    <w:pPr>
      <w:spacing w:before="0" w:after="160"/>
      <w:ind w:left="720" w:right="0" w:hanging="0"/>
      <w:contextualSpacing/>
    </w:pPr>
    <w:rPr/>
  </w:style>
  <w:style w:type="paragraph" w:styleId="ListHeading">
    <w:name w:val="List Heading"/>
    <w:basedOn w:val="Normal"/>
    <w:qFormat/>
    <w:pPr/>
    <w:rPr/>
  </w:style>
  <w:style w:type="paragraph" w:styleId="ListContents">
    <w:name w:val="List Contents"/>
    <w:basedOn w:val="Normal"/>
    <w:qFormat/>
    <w:pPr/>
    <w:rPr/>
  </w:style>
  <w:style w:type="numbering" w:styleId="NoList">
    <w:name w:val="No List"/>
    <w:qFormat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s://theculturetrip.com/europe/spain/articles/the-10-best-restaurants-in-cordoba-spain" TargetMode="External"/><Relationship Id="rId3" Type="http://schemas.openxmlformats.org/officeDocument/2006/relationships/hyperlink" Target="http://www.sciencedirect.com/science/article/pii/s22129774000052" TargetMode="External"/><Relationship Id="rId4" Type="http://schemas.openxmlformats.org/officeDocument/2006/relationships/hyperlink" Target="" TargetMode="External"/><Relationship Id="rId5" Type="http://schemas.openxmlformats.org/officeDocument/2006/relationships/hyperlink" Target="http://www.ontarioculinary.com/resources/culinary-tourism-101" TargetMode="External"/><Relationship Id="rId6" Type="http://schemas.openxmlformats.org/officeDocument/2006/relationships/hyperlink" Target="" TargetMode="External"/><Relationship Id="rId7" Type="http://schemas.openxmlformats.org/officeDocument/2006/relationships/hyperlink" Target="https://www.worldfoodtravel.org/cpages/what-is-food-tourism" TargetMode="External"/><Relationship Id="rId8" Type="http://schemas.openxmlformats.org/officeDocument/2006/relationships/fontTable" Target="fontTable.xml"/><Relationship Id="rId9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Application>LibreOffice/5.3.3.2$Windows_x86 LibreOffice_project/3d9a8b4b4e538a85e0782bd6c2d430bafe583448</Application>
  <Pages>7</Pages>
  <Words>1840</Words>
  <Characters>10151</Characters>
  <CharactersWithSpaces>12053</CharactersWithSpaces>
  <Paragraphs>43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2017-10-30T23:56:00Z</dcterms:created>
  <dc:creator>Carl Flynn</dc:creator>
  <dc:description/>
  <dc:language>en-GB</dc:language>
  <cp:lastModifiedBy/>
  <dcterms:modified xsi:type="dcterms:W3CDTF">2018-02-05T19:06:46Z</dcterms:modified>
  <cp:revision>13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DocSecurity">
    <vt:i4>0</vt:i4>
  </property>
  <property fmtid="{D5CDD505-2E9C-101B-9397-08002B2CF9AE}" pid="4" name="HyperlinksChanged">
    <vt:bool>0</vt:bool>
  </property>
  <property fmtid="{D5CDD505-2E9C-101B-9397-08002B2CF9AE}" pid="5" name="LinksUpToDate">
    <vt:bool>0</vt:bool>
  </property>
  <property fmtid="{D5CDD505-2E9C-101B-9397-08002B2CF9AE}" pid="6" name="ScaleCrop">
    <vt:bool>0</vt:bool>
  </property>
  <property fmtid="{D5CDD505-2E9C-101B-9397-08002B2CF9AE}" pid="7" name="ShareDoc">
    <vt:bool>0</vt:bool>
  </property>
</Properties>
</file>