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31235" w14:textId="38ACD51B" w:rsidR="00F4370F" w:rsidRDefault="00621214">
      <w:pPr>
        <w:rPr>
          <w:sz w:val="28"/>
          <w:szCs w:val="28"/>
        </w:rPr>
      </w:pPr>
      <w:r>
        <w:rPr>
          <w:sz w:val="28"/>
          <w:szCs w:val="28"/>
        </w:rPr>
        <w:t>What challenges do occupational therapists face in the NHS when working with older adults?</w:t>
      </w:r>
    </w:p>
    <w:p w14:paraId="5DA1D1ED" w14:textId="4725CF9F" w:rsidR="00CC5210" w:rsidRDefault="00CC5210">
      <w:pPr>
        <w:rPr>
          <w:sz w:val="28"/>
          <w:szCs w:val="28"/>
        </w:rPr>
      </w:pPr>
      <w:r>
        <w:rPr>
          <w:sz w:val="28"/>
          <w:szCs w:val="28"/>
        </w:rPr>
        <w:t xml:space="preserve">I acknowledged that I used AI tools to support the preparation of this assignment. Specifically, I asked AI to help me find research on occupational therapy in older adults, and to summarise and compare relevant sources. AI was used to search for bibliography but not for writing the assignment. </w:t>
      </w:r>
    </w:p>
    <w:p w14:paraId="0F957282" w14:textId="77777777" w:rsidR="009147EC" w:rsidRPr="007C28F6" w:rsidRDefault="009147EC" w:rsidP="009147EC">
      <w:r w:rsidRPr="007C28F6">
        <w:rPr>
          <w:b/>
          <w:bCs/>
        </w:rPr>
        <w:t>Introduction</w:t>
      </w:r>
    </w:p>
    <w:p w14:paraId="73569EB2" w14:textId="158C679F" w:rsidR="009147EC" w:rsidRPr="007C28F6" w:rsidRDefault="009147EC" w:rsidP="009147EC">
      <w:r w:rsidRPr="007C28F6">
        <w:t>As older adults live longer, staying active and independent becomes increasingly important (Office for National Statistics, 2023; Mountain et al., 2024). Many need to see occupational therapists (OTs) to help them stay fit, healthy, and engaged in daily life (Clarke et al., 2025; Clarke et al., 2023; Mountain et al., 2024; Liu et al., 2022). Older adults want to remain active and avoid being stuck at home. Getting out allows them to meet new people and continue doing the things they enjoy (Uceda-Portillo et al., 2025</w:t>
      </w:r>
      <w:r w:rsidR="006E081B" w:rsidRPr="007C28F6">
        <w:t>; Taylor et al., 2025</w:t>
      </w:r>
      <w:r w:rsidRPr="007C28F6">
        <w:t>). If they do not see an OT, or there is a waitlist, they may miss out on these meaningful activities (Mountain et al., 2024; Clarke et al., 2023; Uceda-Portillo et al., 2025). They might need a walking aid or assistive device, which only occupational therapists can provide (Liu et al., 2022; Uceda-Portillo et al., 2025</w:t>
      </w:r>
      <w:r w:rsidR="006E081B" w:rsidRPr="007C28F6">
        <w:t xml:space="preserve">; </w:t>
      </w:r>
      <w:proofErr w:type="spellStart"/>
      <w:r w:rsidR="006E081B" w:rsidRPr="007C28F6">
        <w:t>Aruona</w:t>
      </w:r>
      <w:proofErr w:type="spellEnd"/>
      <w:r w:rsidR="006E081B" w:rsidRPr="007C28F6">
        <w:t xml:space="preserve"> et al., 2025</w:t>
      </w:r>
      <w:r w:rsidRPr="007C28F6">
        <w:t>).</w:t>
      </w:r>
    </w:p>
    <w:p w14:paraId="5D12F8B7" w14:textId="7AEB4705" w:rsidR="009147EC" w:rsidRPr="007C28F6" w:rsidRDefault="009147EC" w:rsidP="009147EC">
      <w:r w:rsidRPr="007C28F6">
        <w:t>Occupational therapy offers support during the difficult times older adults face with independence, such as when illness, injury, or age-related decline makes everyday tasks harder to manage</w:t>
      </w:r>
      <w:r w:rsidR="006E081B" w:rsidRPr="007C28F6">
        <w:t xml:space="preserve"> (Clark et al., 2025)</w:t>
      </w:r>
      <w:r w:rsidRPr="007C28F6">
        <w:t>. Occupational therapy is centred around the concept of occupation, which refers to the everyday activities people engage in to live meaningful lives (Mountain et al., 2024). These include tasks such as driving to work, getting dressed, brushing teeth, walking, working, eating, and personal care. Occupational therapists play a vital role in enabling individuals to participate in these activities, especially when illness, injury, or age-related decline creates barriers (Clark et al., 2025).</w:t>
      </w:r>
    </w:p>
    <w:p w14:paraId="4C6D8E67" w14:textId="77777777" w:rsidR="009147EC" w:rsidRPr="007C28F6" w:rsidRDefault="009147EC" w:rsidP="009147EC">
      <w:r w:rsidRPr="007C28F6">
        <w:t>OTs work across a wide range of settings, including schools, GP surgeries, outpatient clinics, acute hospitals (large major hospitals), and community services. Their approach is rooted in tailored, person-centred problem solving, helping people overcome challenges and work towards independence.</w:t>
      </w:r>
    </w:p>
    <w:p w14:paraId="21FCF55D" w14:textId="024C4F23" w:rsidR="009147EC" w:rsidRPr="007C28F6" w:rsidRDefault="009147EC" w:rsidP="009147EC">
      <w:r w:rsidRPr="007C28F6">
        <w:t xml:space="preserve">For older adults, occupational therapy can offer more than just physical support — it can provide a new lease of life (Uceda-Portillo et al., 2025). By helping individuals re-engage with meaningful daily activities, OT supports not only independence but also emotional wellbeing, identity, and quality of life (Mountain et al., 2024; </w:t>
      </w:r>
      <w:proofErr w:type="spellStart"/>
      <w:r w:rsidRPr="007C28F6">
        <w:t>Degirmenci</w:t>
      </w:r>
      <w:proofErr w:type="spellEnd"/>
      <w:r w:rsidRPr="007C28F6">
        <w:t xml:space="preserve"> Oz et al., 2024). </w:t>
      </w:r>
      <w:r w:rsidR="009C5B8E">
        <w:t>This shows OT’s role in supporting independence and a sense of control in later life.</w:t>
      </w:r>
      <w:r w:rsidRPr="007C28F6">
        <w:t xml:space="preserve"> (Clark et al., 2025).</w:t>
      </w:r>
    </w:p>
    <w:p w14:paraId="005DB280" w14:textId="31605808" w:rsidR="009147EC" w:rsidRPr="007C28F6" w:rsidRDefault="00303F62" w:rsidP="009147EC">
      <w:r w:rsidRPr="007C28F6">
        <w:t xml:space="preserve">A study by </w:t>
      </w:r>
      <w:proofErr w:type="spellStart"/>
      <w:r w:rsidRPr="007C28F6">
        <w:t>Degirmenci</w:t>
      </w:r>
      <w:proofErr w:type="spellEnd"/>
      <w:r w:rsidRPr="007C28F6">
        <w:t xml:space="preserve"> Oz et al. (2024) found that “after occupational therapy was applied to older adults, their anxiety decreased and their psychological wellbeing increased, while there was no statistically significant difference in their depression levels”. </w:t>
      </w:r>
      <w:r w:rsidR="009C5B8E">
        <w:t>This suggests OT’s can support both physical independence and aspects of emotional wellbeing.</w:t>
      </w:r>
      <w:r w:rsidRPr="007C28F6">
        <w:t xml:space="preserve"> However, the study involved only 84 participants over a short </w:t>
      </w:r>
      <w:r w:rsidR="00B723B9" w:rsidRPr="007C28F6">
        <w:t>one-week</w:t>
      </w:r>
      <w:r w:rsidRPr="007C28F6">
        <w:t xml:space="preserve"> intervention, which limits generalisability and does not capture long-term outcomes. The single-blind design may also introduce bias, meaning the findings should be interpreted with caution when applied to wider NHS practice.</w:t>
      </w:r>
    </w:p>
    <w:p w14:paraId="2012089A" w14:textId="2434FE12" w:rsidR="004D7A2C" w:rsidRPr="007C28F6" w:rsidRDefault="004D7A2C" w:rsidP="009147EC">
      <w:r w:rsidRPr="007C28F6">
        <w:t xml:space="preserve">This essay will explore the challenges that occupational therapists face in the NHS when working with older adults. It critically reviews recent research to explore how occupational therapy supports independence, </w:t>
      </w:r>
      <w:r w:rsidRPr="007C28F6">
        <w:lastRenderedPageBreak/>
        <w:t xml:space="preserve">and how systemic pressures, public </w:t>
      </w:r>
      <w:r w:rsidR="00A12DF6" w:rsidRPr="007C28F6">
        <w:t xml:space="preserve">misunderstanding, and service limitations affect delivery. The discussion includes the emotional and practical meaning of independence in later life, the role </w:t>
      </w:r>
      <w:r w:rsidR="00EF47FD" w:rsidRPr="007C28F6">
        <w:t xml:space="preserve">of occupational therapists across different settings, and the barriers older adults face when accessing support. The first section begins by </w:t>
      </w:r>
      <w:r w:rsidR="007E5407" w:rsidRPr="007C28F6">
        <w:t xml:space="preserve">exploring how occupational therapy enables independence and examines the therapist’s role in assessing needs and tailoring interventions. </w:t>
      </w:r>
    </w:p>
    <w:p w14:paraId="6A16F483" w14:textId="77777777" w:rsidR="009147EC" w:rsidRPr="007C28F6" w:rsidRDefault="009147EC" w:rsidP="009147EC">
      <w:r w:rsidRPr="007C28F6">
        <w:rPr>
          <w:b/>
          <w:bCs/>
        </w:rPr>
        <w:t>Section 2: Independence and Ageing</w:t>
      </w:r>
    </w:p>
    <w:p w14:paraId="0DAF3683" w14:textId="6E53E72A" w:rsidR="009147EC" w:rsidRPr="007C28F6" w:rsidRDefault="009147EC" w:rsidP="009147EC">
      <w:r w:rsidRPr="007C28F6">
        <w:t>Taylor et al. (2025) explain that functional independence in older adults is closely tied to their sense of self and overall wellbeing. In occupational therapy, this means supporting individuals to manage daily routines, make decisions, and participate in meaningful activities, even as physical or cognitive changes occur. Occupational therapy helps support independence by enabling older adults to live in their own home rather than moving into assisted living or care facilities (Uceda-Portillo et al., 2025</w:t>
      </w:r>
      <w:r w:rsidR="00726C4B" w:rsidRPr="007C28F6">
        <w:t>; Clarke et al., 2023</w:t>
      </w:r>
      <w:r w:rsidRPr="007C28F6">
        <w:t>). Older adults value autonomy and want to continue doing things for themselves and making their own decisions (Clark et al., 2025). For example, if someone struggles to get in and out of the bath, occupational therapists may recommend grab rails and non-slip mats to reduce risk and promote independence. OTs assess whether someone needs equipment or support, such as help with cooking, so they can continue managing without relying on others (Liu et al., 2025).</w:t>
      </w:r>
      <w:r w:rsidR="00BA5FF4" w:rsidRPr="007C28F6">
        <w:t xml:space="preserve"> Taylor et al. (2025) collected data from 1,277 community-dwelling adults aged over 75. At baseline, participants had a mean score of 53.82 on the Nottingham Extended Activities of Daily Living (NEADL) scale, which measures independence in everyday tasks such as mobility, </w:t>
      </w:r>
      <w:r w:rsidR="00AF4B3B" w:rsidRPr="007C28F6">
        <w:t>self-care</w:t>
      </w:r>
      <w:r w:rsidR="00BA5FF4" w:rsidRPr="007C28F6">
        <w:t xml:space="preserve">, and domestic activities. Over 12 and 24 months, factors such as frailty, depression, age, and cognitive function were found to be significant predictors of independence. While the large sample and longitudinal design strengthen the evidence, the reliance on a single UK cohort limits generalisability. </w:t>
      </w:r>
    </w:p>
    <w:p w14:paraId="12D1A996" w14:textId="730E1695" w:rsidR="009147EC" w:rsidRPr="007C28F6" w:rsidRDefault="009147EC" w:rsidP="009147EC">
      <w:r w:rsidRPr="007C28F6">
        <w:t xml:space="preserve">Occupational therapists use a range of assistive tools tailored to individual needs. These include shoe horns to reduce bending, raised toilet seats with side rails, and 3-in-1 commodes that serve multiple functions. Shower chairs and walking aids like rollators or Zimmer frames help reduce fall risk and support safe movement. These interventions are part of a broader strategy to promote autonomy and safety in daily life (Liu et al., 2022; </w:t>
      </w:r>
      <w:proofErr w:type="spellStart"/>
      <w:r w:rsidRPr="007C28F6">
        <w:t>Degirmenci</w:t>
      </w:r>
      <w:proofErr w:type="spellEnd"/>
      <w:r w:rsidRPr="007C28F6">
        <w:t xml:space="preserve"> Oz et al., 2024</w:t>
      </w:r>
      <w:r w:rsidR="00726C4B" w:rsidRPr="007C28F6">
        <w:t>; Washington et al., 2025; Ngo, 2024</w:t>
      </w:r>
      <w:r w:rsidRPr="007C28F6">
        <w:t>).</w:t>
      </w:r>
      <w:r w:rsidR="0080122D" w:rsidRPr="007C28F6">
        <w:t xml:space="preserve"> A study by </w:t>
      </w:r>
      <w:proofErr w:type="spellStart"/>
      <w:r w:rsidR="0080122D" w:rsidRPr="007C28F6">
        <w:t>Aruona</w:t>
      </w:r>
      <w:proofErr w:type="spellEnd"/>
      <w:r w:rsidR="0080122D" w:rsidRPr="007C28F6">
        <w:t xml:space="preserve"> et al. (2025) explored perceptions of mobility walkers among older adults, caregivers, and healthcare professionals. Using tailored questionnaires, they found that while caregivers and professionals generally had positive attitudes, over 30% of older adults viewed current walker designs as unsafe, citing the need for significant upper body strength and features such as ergonomic design, fall detection, and noise reduction to better meet user needs. This suggests that many older adults feel they must accept equipment that does not fully match their preferences, which can affect motivation and uptake. However, the study was limited by its small sample size and survey design. If questionnaires were completed online, older adults with limited digital literacy may have struggled to participate, meaning the findings may not fully reflect the experience of those less comfortable with technology. </w:t>
      </w:r>
    </w:p>
    <w:p w14:paraId="10639F8F" w14:textId="6700A674" w:rsidR="009147EC" w:rsidRPr="007C28F6" w:rsidRDefault="009147EC" w:rsidP="009147EC">
      <w:r w:rsidRPr="007C28F6">
        <w:t>OTs assess whether someone needs equipment or support, such as help with cooking, so they can continue managing without relying on others (Liu et al., 2025</w:t>
      </w:r>
      <w:r w:rsidR="00726C4B" w:rsidRPr="007C28F6">
        <w:t xml:space="preserve">; Law et al., 2014; </w:t>
      </w:r>
      <w:proofErr w:type="spellStart"/>
      <w:r w:rsidR="00726C4B" w:rsidRPr="007C28F6">
        <w:t>Kielhofner</w:t>
      </w:r>
      <w:proofErr w:type="spellEnd"/>
      <w:r w:rsidR="00726C4B" w:rsidRPr="007C28F6">
        <w:t>, 2008</w:t>
      </w:r>
      <w:r w:rsidRPr="007C28F6">
        <w:t>). Functional assessments evaluate mobility, cognition, and activities of daily living (ADLs), such as dressing, bathing, and cooking. Environmental assessments consider home layout, safety risks, and accessibility, including stairs, lighting, and kitchen setup. These assessments may involve home visits, clinical observations, and interviews with clients and carers. Therapists also consider personal goals, routines, and values, using standardised tools to guide planning</w:t>
      </w:r>
      <w:r w:rsidR="00726C4B" w:rsidRPr="007C28F6">
        <w:t xml:space="preserve"> (Liu et al., 2025; Law et al., 2014; </w:t>
      </w:r>
      <w:proofErr w:type="spellStart"/>
      <w:r w:rsidR="00726C4B" w:rsidRPr="007C28F6">
        <w:t>Kielhofner</w:t>
      </w:r>
      <w:proofErr w:type="spellEnd"/>
      <w:r w:rsidR="00726C4B" w:rsidRPr="007C28F6">
        <w:t>, 2008)</w:t>
      </w:r>
      <w:r w:rsidRPr="007C28F6">
        <w:t>.</w:t>
      </w:r>
    </w:p>
    <w:p w14:paraId="6117DB72" w14:textId="629D400B" w:rsidR="009147EC" w:rsidRPr="007C28F6" w:rsidRDefault="009147EC" w:rsidP="009147EC">
      <w:r w:rsidRPr="007C28F6">
        <w:lastRenderedPageBreak/>
        <w:t>The Canadian Occupational Performance Measure (COPM) helps identify and rate activities the client wants to improve, tracking progress over time</w:t>
      </w:r>
      <w:r w:rsidR="005C1897" w:rsidRPr="007C28F6">
        <w:t xml:space="preserve"> (Law et al., 2014)</w:t>
      </w:r>
      <w:r w:rsidRPr="007C28F6">
        <w:t xml:space="preserve">. </w:t>
      </w:r>
      <w:r w:rsidR="006E0317" w:rsidRPr="007C28F6">
        <w:t>MOHO, the Model of Human Occupation, focuses on how motivation, habits, skills, and environment interact to shape occupational performance</w:t>
      </w:r>
      <w:r w:rsidR="005C1897" w:rsidRPr="007C28F6">
        <w:t xml:space="preserve"> (</w:t>
      </w:r>
      <w:proofErr w:type="spellStart"/>
      <w:r w:rsidR="005C1897" w:rsidRPr="007C28F6">
        <w:t>Kielhofner</w:t>
      </w:r>
      <w:proofErr w:type="spellEnd"/>
      <w:r w:rsidR="005C1897" w:rsidRPr="007C28F6">
        <w:t>, 2008)</w:t>
      </w:r>
      <w:r w:rsidR="006E0317" w:rsidRPr="007C28F6">
        <w:t xml:space="preserve">. </w:t>
      </w:r>
      <w:r w:rsidR="005C1897" w:rsidRPr="007C28F6">
        <w:t xml:space="preserve">Recent studies confirm MOHO’s continued relevance, with Bugajska and Brooks (2021) showing how MOHO-based screening tools are applied in the UK mental health services. </w:t>
      </w:r>
      <w:r w:rsidR="006E0317" w:rsidRPr="007C28F6">
        <w:t>Unlike purely functional assessments, MOHO-based tools emphasise what matters most to the client, supporting autonomy and person-centred care.</w:t>
      </w:r>
      <w:r w:rsidRPr="007C28F6">
        <w:t xml:space="preserve"> Standardised tools matter because they provide consistency and support client-centred planning. They help therapists tailor interventions to individual needs and guide decisions about equipment, routines, and support.</w:t>
      </w:r>
      <w:r w:rsidR="006E0317" w:rsidRPr="007C28F6">
        <w:t xml:space="preserve"> </w:t>
      </w:r>
    </w:p>
    <w:p w14:paraId="42CDB80B" w14:textId="2A177C7B" w:rsidR="009147EC" w:rsidRPr="007C28F6" w:rsidRDefault="009147EC" w:rsidP="009147EC">
      <w:r w:rsidRPr="007C28F6">
        <w:t>Techniques such as pacing, energy conservation, and task simplification are used to support independence and reduce anxiety</w:t>
      </w:r>
      <w:r w:rsidR="00336525" w:rsidRPr="007C28F6">
        <w:t xml:space="preserve"> (Omura et al., 2022)</w:t>
      </w:r>
      <w:r w:rsidRPr="007C28F6">
        <w:t>. Pacing involves spreading tasks across the day to avoid fatigue. Energy conservation includes strategies like sitting while dressing or alternating heavy and light tasks. Task simplification means breaking tasks into steps or using aids to reduce effort. These techniques are tailored to individual routines and energy levels, helping older adults maintain autonomy and confidence</w:t>
      </w:r>
      <w:r w:rsidR="00336525" w:rsidRPr="007C28F6">
        <w:t xml:space="preserve"> (Omura et al., 2022)</w:t>
      </w:r>
      <w:r w:rsidRPr="007C28F6">
        <w:t>.</w:t>
      </w:r>
      <w:r w:rsidR="00C14A28" w:rsidRPr="007C28F6">
        <w:t xml:space="preserve"> </w:t>
      </w:r>
    </w:p>
    <w:p w14:paraId="57C353BC" w14:textId="24C56F91" w:rsidR="002937FB" w:rsidRPr="007C28F6" w:rsidRDefault="007E5407" w:rsidP="009147EC">
      <w:r w:rsidRPr="007C28F6">
        <w:t>Independence means a lot to older adults. It helps them feel in control and make their own decisions, promoting autonomy while also enabling them to maintain routines and remain engaged in life</w:t>
      </w:r>
      <w:r w:rsidR="002937FB" w:rsidRPr="007C28F6">
        <w:t xml:space="preserve"> (Clark et al., 2025</w:t>
      </w:r>
      <w:r w:rsidR="005005B5" w:rsidRPr="007C28F6">
        <w:t>; Toledano- González et al., 2018</w:t>
      </w:r>
      <w:r w:rsidR="002937FB" w:rsidRPr="007C28F6">
        <w:t>). Many dislike relying on others and often question whether age should limit their independence. This emotional resistance can create challenges for occupational therapists, particularly around motivation and engagement</w:t>
      </w:r>
      <w:r w:rsidR="005005B5" w:rsidRPr="007C28F6">
        <w:t xml:space="preserve"> (Clarke et al., 2023; Saito et al., 2025)</w:t>
      </w:r>
      <w:r w:rsidR="002937FB" w:rsidRPr="007C28F6">
        <w:t>. If older adults feel that accepting help undermines their autonomy</w:t>
      </w:r>
      <w:r w:rsidR="00EB4FD0" w:rsidRPr="007C28F6">
        <w:t>, t</w:t>
      </w:r>
      <w:r w:rsidR="002937FB" w:rsidRPr="007C28F6">
        <w:t>hey may be reluctant to participate fully in therapy or delay seeking support</w:t>
      </w:r>
      <w:r w:rsidR="005005B5" w:rsidRPr="007C28F6">
        <w:t xml:space="preserve"> (Kaneko et al., 2023)</w:t>
      </w:r>
      <w:r w:rsidR="002937FB" w:rsidRPr="007C28F6">
        <w:t>. Therapists must navigate these emotional barriers sensitively, building trust and demonstrating that adaptations are not about loss, but about preserving control and safety</w:t>
      </w:r>
      <w:r w:rsidR="005005B5" w:rsidRPr="007C28F6">
        <w:t xml:space="preserve"> (Clark et al., 2025)</w:t>
      </w:r>
      <w:r w:rsidR="002937FB" w:rsidRPr="007C28F6">
        <w:t xml:space="preserve">. </w:t>
      </w:r>
      <w:r w:rsidR="00BA06BC" w:rsidRPr="007C28F6">
        <w:t>After</w:t>
      </w:r>
      <w:r w:rsidR="002937FB" w:rsidRPr="007C28F6">
        <w:t xml:space="preserve"> illness or injury, OTs help individuals reconnect with daily life and regain confidence. They assess risks in the home and recommend adaptations, such as stairlifts or step tools, to support safe living</w:t>
      </w:r>
      <w:r w:rsidR="005005B5" w:rsidRPr="007C28F6">
        <w:t xml:space="preserve"> (Clarke et al., 2023; Toledano- González et al., 2023; Kaneko et al., 2023; Saito et al., 2025)</w:t>
      </w:r>
      <w:r w:rsidR="00DE67B0" w:rsidRPr="007C28F6">
        <w:t>.</w:t>
      </w:r>
      <w:r w:rsidR="002937FB" w:rsidRPr="007C28F6">
        <w:t xml:space="preserve"> </w:t>
      </w:r>
    </w:p>
    <w:p w14:paraId="7DB8E37E" w14:textId="0264D473" w:rsidR="002937FB" w:rsidRPr="007C28F6" w:rsidRDefault="002937FB" w:rsidP="009147EC">
      <w:r w:rsidRPr="007C28F6">
        <w:t>Routine-building also plays a key role. Knowing what to do each day provides structure, reduces anxiety, and supports emotional wellbeing (Mountain et al., 2024</w:t>
      </w:r>
      <w:r w:rsidR="00726C4B" w:rsidRPr="007C28F6">
        <w:t xml:space="preserve">; </w:t>
      </w:r>
      <w:proofErr w:type="spellStart"/>
      <w:r w:rsidR="00726C4B" w:rsidRPr="007C28F6">
        <w:t>Degirmenci</w:t>
      </w:r>
      <w:proofErr w:type="spellEnd"/>
      <w:r w:rsidR="00726C4B" w:rsidRPr="007C28F6">
        <w:t xml:space="preserve"> Oz, 2024</w:t>
      </w:r>
      <w:r w:rsidR="00456333" w:rsidRPr="007C28F6">
        <w:t>; Schindler and Kinsella, 2014</w:t>
      </w:r>
      <w:r w:rsidRPr="007C28F6">
        <w:t xml:space="preserve">). However, not all older adults see routine-building as a priority, especially if they feel </w:t>
      </w:r>
      <w:r w:rsidR="0088586B" w:rsidRPr="007C28F6">
        <w:t>overwhelmed or uncertain about the value of therapy. Therapists may need to reframe routines as tools for empowerment, helping clients understand how structure can support autonomy rather than restrict it. OTs may also help older adults set personal goals, breaking tasks into manageable steps to build confidence and promote achievement (</w:t>
      </w:r>
      <w:r w:rsidR="00A60864" w:rsidRPr="007C28F6">
        <w:t>Smallfield and Elliott, 2020</w:t>
      </w:r>
      <w:r w:rsidR="0088586B" w:rsidRPr="007C28F6">
        <w:t>).</w:t>
      </w:r>
    </w:p>
    <w:p w14:paraId="4AFEBE0D" w14:textId="467FA184" w:rsidR="009147EC" w:rsidRPr="007C28F6" w:rsidRDefault="009147EC" w:rsidP="009147EC">
      <w:r w:rsidRPr="007C28F6">
        <w:rPr>
          <w:b/>
          <w:bCs/>
        </w:rPr>
        <w:t xml:space="preserve">Section </w:t>
      </w:r>
      <w:r w:rsidR="009A1347" w:rsidRPr="007C28F6">
        <w:rPr>
          <w:b/>
          <w:bCs/>
        </w:rPr>
        <w:t>3</w:t>
      </w:r>
      <w:r w:rsidRPr="007C28F6">
        <w:rPr>
          <w:b/>
          <w:bCs/>
        </w:rPr>
        <w:t>: Challenges Faced by OTs and Their Impact</w:t>
      </w:r>
    </w:p>
    <w:p w14:paraId="29CDD0D7" w14:textId="5D2E2669" w:rsidR="009147EC" w:rsidRPr="007C28F6" w:rsidRDefault="009147EC" w:rsidP="009147EC">
      <w:r w:rsidRPr="007C28F6">
        <w:t>One of the key challenges facing occupational therapy is public misunderstanding. Many people are unfamiliar with the profession or confuse it with other roles (Coutts et al., 2018</w:t>
      </w:r>
      <w:r w:rsidR="00DE67B0" w:rsidRPr="007C28F6">
        <w:t>; Clarke et al., 2023)</w:t>
      </w:r>
      <w:r w:rsidRPr="007C28F6">
        <w:t>. While dietitians and physiotherapists are widely recognised, occupational therapists are often seen as less important or misunderstood entirely. A common misconception is that “occupation” refers solely to employment, rather than the broader concept of meaningful daily activities that support independence (Mountain et al., 2024). This lack of awareness can lead to undervaluing the role of OT in healthcare settings (Clark et al., 2025).</w:t>
      </w:r>
    </w:p>
    <w:p w14:paraId="301C03BD" w14:textId="0A7D537E" w:rsidR="009147EC" w:rsidRPr="007C28F6" w:rsidRDefault="009147EC" w:rsidP="009147EC">
      <w:r w:rsidRPr="007C28F6">
        <w:lastRenderedPageBreak/>
        <w:t>Occupational therapists also face significant time pressures. In acute hospitals, they may have only a short window to assess patients before discharge, often under pressure to make rapid decisions (Walla et al., 2024). In contrast, community-based therapists may have more time for home visits but face longer waitlists and limited resources (Clark et al., 2025</w:t>
      </w:r>
      <w:r w:rsidR="00DE67B0" w:rsidRPr="007C28F6">
        <w:t>; Clarke et al., 2023</w:t>
      </w:r>
      <w:r w:rsidR="0086021A" w:rsidRPr="007C28F6">
        <w:t>; Kaneko et al., 2023</w:t>
      </w:r>
      <w:r w:rsidRPr="007C28F6">
        <w:t>). In GP surgeries, appointments are brief and focused, making it difficult to explore emotional or environmental factors in depth (Chamberlain et al., 2019). These differences shape the kind of support therapists can offer and may limit their ability to build rapport or tailor interventions fully.</w:t>
      </w:r>
      <w:r w:rsidR="000553BB" w:rsidRPr="007C28F6">
        <w:t xml:space="preserve"> However, much of the evidence on time pressures comes from small-scale or setting specific studies, which may not capture the full variation across NHS services. This </w:t>
      </w:r>
      <w:r w:rsidR="009C5B8E">
        <w:t>shows</w:t>
      </w:r>
      <w:r w:rsidR="000553BB" w:rsidRPr="007C28F6">
        <w:t xml:space="preserve"> the need for broader workforce research to understand how systemic pressures affect OT practice.</w:t>
      </w:r>
    </w:p>
    <w:p w14:paraId="3DC82A8C" w14:textId="77777777" w:rsidR="009147EC" w:rsidRPr="007C28F6" w:rsidRDefault="009147EC" w:rsidP="009147EC">
      <w:r w:rsidRPr="007C28F6">
        <w:t>Delays in equipment provision also pose a challenge. OTs may recommend adaptations such as stairlifts or mobility aids, but these can take weeks or months to arrive. In the meantime, clients may be unable to safely access parts of their home or complete essential tasks, which can undermine their independence and wellbeing (Clark et al., 2025; Liu et al., 2022).</w:t>
      </w:r>
    </w:p>
    <w:p w14:paraId="4315223D" w14:textId="60B54389" w:rsidR="009147EC" w:rsidRPr="007C28F6" w:rsidRDefault="009147EC" w:rsidP="009147EC">
      <w:r w:rsidRPr="007C28F6">
        <w:t>Geography can also affect access. Older adults living in rural areas may struggle to attend appointments or receive timely support. For example, someone living in Hay-on-Wye may need to travel over 20 miles to reach Hereford County Hospital, which can take up to an hour by car. Hay-on-Wye has no train station and limited bus services, making public transport unreliable. If an older adult cannot drive and does not live near family or friends who can offer a lift, they may be unable to attend outpatient appointments and have to wait for a home visit. This delay can affect engagement, safety, and emotional wellbeing (Clark et al., 2025; Mountain et al., 2024).</w:t>
      </w:r>
      <w:r w:rsidR="009A1347" w:rsidRPr="007C28F6">
        <w:t xml:space="preserve"> A scoping review by </w:t>
      </w:r>
      <w:proofErr w:type="spellStart"/>
      <w:r w:rsidR="009A1347" w:rsidRPr="007C28F6">
        <w:t>Alshalalfah</w:t>
      </w:r>
      <w:proofErr w:type="spellEnd"/>
      <w:r w:rsidR="009A1347" w:rsidRPr="007C28F6">
        <w:t xml:space="preserve"> et al. (2025) found that older adults in rural areas face significant barriers to allied health services, including workforce shortages and long travel distances. The </w:t>
      </w:r>
      <w:r w:rsidR="001C202B" w:rsidRPr="007C28F6">
        <w:t>authors</w:t>
      </w:r>
      <w:r w:rsidR="009A1347" w:rsidRPr="007C28F6">
        <w:t xml:space="preserve"> highlight the need for recruitment and retention strategies, alongside professional development opportunities, to improve the quality of care in rural areas. However, as a scoping review, the findings are broad and may not capture the full diversity of rural contexts or the lived experiences of older adults in specific regions. </w:t>
      </w:r>
    </w:p>
    <w:p w14:paraId="72DFD3AC" w14:textId="38280157" w:rsidR="00E84873" w:rsidRPr="007C28F6" w:rsidRDefault="009147EC" w:rsidP="00E84873">
      <w:r w:rsidRPr="007C28F6">
        <w:t>England’s larger population and more urbanised landscape support a greater number of hospitals and specialist services, whereas Wales is predominantly rural, with only a few urban centres such as Cardiff, Wrexham, and Newport. Powys, where Hay-on-Wye is located, has no acute hospital and relies on small community facilities. In contrast, Shropshire, which is a similarly rural county in England, offers acute services through hospitals in Shrewsbury and Telford. These differences reflect broader disparities in infrastructure and funding, with England’s larger population and health budget supporting more beds and specialist services (Walla et al., 2024). For older adults in Powys, this can mean longer travel times, delayed assessments, and increased reliance on community OTs. Occupational therapy provision can also vary across NHS trusts and health boards. In some areas, older adults receive timely, well-resourced support, while in others, staffing shortages or governance issues may limit access and continuity of care (Chamberlain et al</w:t>
      </w:r>
      <w:r w:rsidR="00A60864" w:rsidRPr="007C28F6">
        <w:t>.</w:t>
      </w:r>
      <w:r w:rsidRPr="007C28F6">
        <w:t>). These inconsistencies can affect the quality of interventions and the ability to deliver truly person-centred care (Mountain et al., 2024; Clark et al., 2025).</w:t>
      </w:r>
    </w:p>
    <w:p w14:paraId="04917148" w14:textId="39A84745" w:rsidR="00134F39" w:rsidRPr="007C28F6" w:rsidRDefault="009147EC" w:rsidP="009147EC">
      <w:r w:rsidRPr="007C28F6">
        <w:t>Trust is another barrier. Some older adults may be hesitant to accept help from an OT, especially during initial visits. They may question whether the therapist will truly support them or feel uncomfortable allowing a stranger into their home. Maintaining independence is closely tied to self-esteem and identity, and some individuals may resist interventions out of fear of losing control (Clark et al., 2025; Coutts et al., 2018</w:t>
      </w:r>
      <w:r w:rsidR="00456333" w:rsidRPr="007C28F6">
        <w:t>; Toledano, 2018</w:t>
      </w:r>
      <w:r w:rsidRPr="007C28F6">
        <w:t xml:space="preserve">). For example, being told they need a stairlift may feel like a </w:t>
      </w:r>
      <w:r w:rsidR="001C202B" w:rsidRPr="007C28F6">
        <w:t>judgment</w:t>
      </w:r>
      <w:r w:rsidRPr="007C28F6">
        <w:t xml:space="preserve"> on their </w:t>
      </w:r>
      <w:r w:rsidRPr="007C28F6">
        <w:lastRenderedPageBreak/>
        <w:t xml:space="preserve">capabilities, even if the recommendation is made for safety. Refusing help can stem from a desire not to burden others, </w:t>
      </w:r>
      <w:r w:rsidR="001C202B" w:rsidRPr="007C28F6">
        <w:t xml:space="preserve">from </w:t>
      </w:r>
      <w:r w:rsidRPr="007C28F6">
        <w:t>a lack of trust, or a fear of being told how to live (Coutts et al., 2018</w:t>
      </w:r>
      <w:r w:rsidR="00456333" w:rsidRPr="007C28F6">
        <w:t>l; Saito et al., 2025</w:t>
      </w:r>
      <w:r w:rsidRPr="007C28F6">
        <w:t>). Older adults may worry that accepting help means they are no longer capable, or that someone else will begin making decisions for them.</w:t>
      </w:r>
      <w:r w:rsidR="00134F39" w:rsidRPr="007C28F6">
        <w:t xml:space="preserve"> Harper et al. (2022) found that some older adults did not feel a home assessment was necessary and often felt they had little choice in the matter. They reported that ‘opportunity barriers included limited family or carer involvement, carer stress, level of service provision available, including funding, therapy dosage and timing and environmental restrictions.’ This </w:t>
      </w:r>
      <w:r w:rsidR="009C5B8E">
        <w:t>shows</w:t>
      </w:r>
      <w:r w:rsidR="00134F39" w:rsidRPr="007C28F6">
        <w:t xml:space="preserve"> the importance of ensuring care is focused on the patient’s preferences and giving them genuine choice in decision-makin</w:t>
      </w:r>
      <w:r w:rsidR="00336525" w:rsidRPr="007C28F6">
        <w:t>g. However, as a systematic review, the findings may not fully capture the lived experiences of older adults in different contexts, and reliance on published studies means that unpublished or negative findings may be overlooked. In addition, differences in healthcare systems and service provision across countries may limit how far the conclusions apply to UK practice.</w:t>
      </w:r>
    </w:p>
    <w:p w14:paraId="11BDFE60" w14:textId="77777777" w:rsidR="009147EC" w:rsidRPr="007C28F6" w:rsidRDefault="009147EC" w:rsidP="009147EC">
      <w:r w:rsidRPr="007C28F6">
        <w:t>In some cases, older adults may be unaware of their limitations. A condition known as anosognosia can affect insight, making it difficult for someone to recognise their current abilities or safety risks. This can complicate assessment and intervention, requiring sensitive communication and collaborative planning (Clark et al., 2025).</w:t>
      </w:r>
    </w:p>
    <w:p w14:paraId="7ED40A5A" w14:textId="10D7DE9E" w:rsidR="00F31CE6" w:rsidRPr="007C28F6" w:rsidRDefault="00F31CE6" w:rsidP="009147EC">
      <w:r w:rsidRPr="007C28F6">
        <w:t>Some older adults may resist the adaptations that occupational therapists suggest. They may feel strongly about keeping their home the way it is, especially if they have lived there for many years and associate it with independence</w:t>
      </w:r>
      <w:r w:rsidR="006E0317" w:rsidRPr="007C28F6">
        <w:t xml:space="preserve"> (Harper et al., 2022)</w:t>
      </w:r>
      <w:r w:rsidRPr="007C28F6">
        <w:t>. Grab rails, stairlifts, or raised toilet seats might be seen as ugly or clinical, even though they are necessary for safety</w:t>
      </w:r>
      <w:r w:rsidR="006E0317" w:rsidRPr="007C28F6">
        <w:t xml:space="preserve"> (Washington et al., 2025; Ngo 2024)</w:t>
      </w:r>
      <w:r w:rsidRPr="007C28F6">
        <w:t>. This resistance can make it difficult for OTs to implement changes, especially when time is limited and rapport is still being built</w:t>
      </w:r>
      <w:r w:rsidR="00456333" w:rsidRPr="007C28F6">
        <w:t xml:space="preserve">. </w:t>
      </w:r>
      <w:r w:rsidRPr="007C28F6">
        <w:t>As people get older, they may become more resistant to change, which means therapists must balance safety with emotional sensitivity</w:t>
      </w:r>
      <w:r w:rsidR="006E0317" w:rsidRPr="007C28F6">
        <w:t xml:space="preserve"> (Harper et al., 2022; Washington et al., 2025; Ngo, 2024).</w:t>
      </w:r>
    </w:p>
    <w:p w14:paraId="079EAFE5" w14:textId="580C6003" w:rsidR="009147EC" w:rsidRPr="007C28F6" w:rsidRDefault="008F1901" w:rsidP="00E84873">
      <w:r w:rsidRPr="007C28F6">
        <w:t xml:space="preserve">Conclusion </w:t>
      </w:r>
    </w:p>
    <w:p w14:paraId="1697F119" w14:textId="56734126" w:rsidR="00E84873" w:rsidRPr="007C28F6" w:rsidRDefault="009C5B8E" w:rsidP="00E84873">
      <w:r>
        <w:t xml:space="preserve">Ultimately, occupational therapy is effective in improving older adults’ independence, but there are still barriers that must be addressed to make it more effective and to ensure adults retain autonomy and a sense of control. </w:t>
      </w:r>
      <w:r w:rsidR="005C1897" w:rsidRPr="007C28F6">
        <w:t>Occupational therapists are essential to the health service and play a major role in helping older adults regain independence and maintain quality of life. At the same time, barriers such as limited resources, resistance to change, and reduced provision in rural areas can restrict access and consistency of care.</w:t>
      </w:r>
      <w:r>
        <w:t xml:space="preserve"> While OT has clear strengths, the limitations show why continued investment and flexible practice are needed. </w:t>
      </w:r>
      <w:r w:rsidR="00876D6B">
        <w:t>To improve occupational therapy provision for older adults, particularly in rural areas, greater investment in community OT services and workforce recruitment is needed (</w:t>
      </w:r>
      <w:proofErr w:type="spellStart"/>
      <w:r w:rsidR="00876D6B">
        <w:t>Alshalalfah</w:t>
      </w:r>
      <w:proofErr w:type="spellEnd"/>
      <w:r w:rsidR="00876D6B">
        <w:t xml:space="preserve"> et al., 2025; Chamberlain et al., 2019). Access could be supported through initiatives such as hospital transport schemes to help older adults reach appointments when local facilities are limited. Equipment suppliers should also streamline processes to reduce delays and prioritise those with urgent needs (Clark et al., 2025). These strategies, implemented by NHS trusts, health boards, government, and (Royal College of Occupational Therapists) RCOT, would ensure that older adults benefit from timely, equitable, and person-centred care (Mountain et al., 2024).</w:t>
      </w:r>
      <w:r>
        <w:t xml:space="preserve"> </w:t>
      </w:r>
      <w:r w:rsidR="006717E0">
        <w:t xml:space="preserve">In short, further research could explore how services can be improved in rural areas such as Powys, where access and provision remain limited. </w:t>
      </w:r>
    </w:p>
    <w:p w14:paraId="18491F4E" w14:textId="5CA11714" w:rsidR="00782A5F" w:rsidRDefault="009C5B8E" w:rsidP="00782A5F">
      <w:r>
        <w:t>Word count: 2</w:t>
      </w:r>
      <w:r w:rsidR="006717E0">
        <w:t>994</w:t>
      </w:r>
    </w:p>
    <w:p w14:paraId="391F4BFD" w14:textId="77777777" w:rsidR="007C28F6" w:rsidRDefault="007C28F6" w:rsidP="00782A5F"/>
    <w:p w14:paraId="21AB6F68" w14:textId="77777777" w:rsidR="009C5B8E" w:rsidRDefault="009C5B8E" w:rsidP="00782A5F"/>
    <w:p w14:paraId="66DAAF41" w14:textId="68CF9525" w:rsidR="00DC49F4" w:rsidRPr="00DC49F4" w:rsidRDefault="007C28F6" w:rsidP="00DC49F4">
      <w:r>
        <w:lastRenderedPageBreak/>
        <w:t xml:space="preserve">Reference list </w:t>
      </w:r>
    </w:p>
    <w:p w14:paraId="6E823431" w14:textId="77777777" w:rsidR="00DC49F4" w:rsidRPr="007C28F6" w:rsidRDefault="00DC49F4" w:rsidP="007C28F6">
      <w:pPr>
        <w:pStyle w:val="NormalWeb"/>
        <w:spacing w:before="0" w:beforeAutospacing="0" w:after="0" w:afterAutospacing="0" w:line="360" w:lineRule="atLeast"/>
        <w:rPr>
          <w:rFonts w:ascii="Calibri" w:hAnsi="Calibri" w:cs="Calibri"/>
          <w:color w:val="000000"/>
        </w:rPr>
      </w:pPr>
      <w:proofErr w:type="spellStart"/>
      <w:r w:rsidRPr="007C28F6">
        <w:rPr>
          <w:rFonts w:ascii="Calibri" w:hAnsi="Calibri" w:cs="Calibri"/>
          <w:color w:val="000000"/>
        </w:rPr>
        <w:t>Alshalalfah</w:t>
      </w:r>
      <w:proofErr w:type="spellEnd"/>
      <w:r w:rsidRPr="007C28F6">
        <w:rPr>
          <w:rFonts w:ascii="Calibri" w:hAnsi="Calibri" w:cs="Calibri"/>
          <w:color w:val="000000"/>
        </w:rPr>
        <w:t xml:space="preserve">, M., Pit, S.W., Bagade, T., </w:t>
      </w:r>
      <w:proofErr w:type="spellStart"/>
      <w:r w:rsidRPr="007C28F6">
        <w:rPr>
          <w:rFonts w:ascii="Calibri" w:hAnsi="Calibri" w:cs="Calibri"/>
          <w:color w:val="000000"/>
        </w:rPr>
        <w:t>Hamiduzzaman</w:t>
      </w:r>
      <w:proofErr w:type="spellEnd"/>
      <w:r w:rsidRPr="007C28F6">
        <w:rPr>
          <w:rFonts w:ascii="Calibri" w:hAnsi="Calibri" w:cs="Calibri"/>
          <w:color w:val="000000"/>
        </w:rPr>
        <w:t>, K., Burrows, J. and Brown, L.J. (2025). Access and utilisation of allied health services among community dwelling rural adults aged 50 years and older living with chronic conditions: a scoping review. </w:t>
      </w:r>
      <w:r w:rsidRPr="007C28F6">
        <w:rPr>
          <w:rFonts w:ascii="Calibri" w:hAnsi="Calibri" w:cs="Calibri"/>
          <w:i/>
          <w:iCs/>
          <w:color w:val="000000"/>
        </w:rPr>
        <w:t>Age and Ageing</w:t>
      </w:r>
      <w:r w:rsidRPr="007C28F6">
        <w:rPr>
          <w:rFonts w:ascii="Calibri" w:hAnsi="Calibri" w:cs="Calibri"/>
          <w:color w:val="000000"/>
        </w:rPr>
        <w:t xml:space="preserve">, 54(5). </w:t>
      </w:r>
      <w:proofErr w:type="spellStart"/>
      <w:r w:rsidRPr="007C28F6">
        <w:rPr>
          <w:rFonts w:ascii="Calibri" w:hAnsi="Calibri" w:cs="Calibri"/>
          <w:color w:val="000000"/>
        </w:rPr>
        <w:t>doi</w:t>
      </w:r>
      <w:proofErr w:type="spellEnd"/>
      <w:r w:rsidRPr="007C28F6">
        <w:rPr>
          <w:rFonts w:ascii="Calibri" w:hAnsi="Calibri" w:cs="Calibri"/>
          <w:color w:val="000000"/>
        </w:rPr>
        <w:t>:</w:t>
      </w:r>
      <w:r>
        <w:rPr>
          <w:rFonts w:ascii="Calibri" w:hAnsi="Calibri" w:cs="Calibri"/>
          <w:color w:val="000000"/>
        </w:rPr>
        <w:t xml:space="preserve"> </w:t>
      </w:r>
      <w:r w:rsidRPr="007C28F6">
        <w:rPr>
          <w:rFonts w:ascii="Calibri" w:hAnsi="Calibri" w:cs="Calibri"/>
          <w:color w:val="000000"/>
        </w:rPr>
        <w:t>https://doi.org/10.1093/ageing/afaf123.</w:t>
      </w:r>
    </w:p>
    <w:p w14:paraId="14193078" w14:textId="77777777" w:rsidR="00DC49F4" w:rsidRPr="007C28F6" w:rsidRDefault="00DC49F4" w:rsidP="005005B5">
      <w:pPr>
        <w:pStyle w:val="NormalWeb"/>
        <w:rPr>
          <w:rFonts w:ascii="Calibri" w:hAnsi="Calibri" w:cs="Calibri"/>
          <w:color w:val="000000"/>
        </w:rPr>
      </w:pPr>
      <w:r w:rsidRPr="007C28F6">
        <w:rPr>
          <w:rFonts w:ascii="Calibri" w:hAnsi="Calibri" w:cs="Calibri"/>
          <w:color w:val="000000"/>
        </w:rPr>
        <w:t xml:space="preserve">Brown, T., Kidwell, H., Priest, P., et al., </w:t>
      </w:r>
      <w:r>
        <w:rPr>
          <w:rFonts w:ascii="Calibri" w:hAnsi="Calibri" w:cs="Calibri"/>
          <w:color w:val="000000"/>
        </w:rPr>
        <w:t>(</w:t>
      </w:r>
      <w:r w:rsidRPr="007C28F6">
        <w:rPr>
          <w:rFonts w:ascii="Calibri" w:hAnsi="Calibri" w:cs="Calibri"/>
          <w:color w:val="000000"/>
        </w:rPr>
        <w:t>2025</w:t>
      </w:r>
      <w:r>
        <w:rPr>
          <w:rFonts w:ascii="Calibri" w:hAnsi="Calibri" w:cs="Calibri"/>
          <w:color w:val="000000"/>
        </w:rPr>
        <w:t>)</w:t>
      </w:r>
      <w:r w:rsidRPr="007C28F6">
        <w:rPr>
          <w:rFonts w:ascii="Calibri" w:hAnsi="Calibri" w:cs="Calibri"/>
          <w:color w:val="000000"/>
        </w:rPr>
        <w:t xml:space="preserve">. </w:t>
      </w:r>
      <w:r w:rsidRPr="007C28F6">
        <w:rPr>
          <w:rFonts w:ascii="Calibri" w:hAnsi="Calibri" w:cs="Calibri"/>
          <w:i/>
          <w:iCs/>
          <w:color w:val="000000"/>
        </w:rPr>
        <w:t>Occupational therapy interventions to support aging in place: A rapid systematic review.</w:t>
      </w:r>
      <w:r w:rsidRPr="007C28F6">
        <w:rPr>
          <w:rFonts w:ascii="Calibri" w:hAnsi="Calibri" w:cs="Calibri"/>
          <w:color w:val="000000"/>
        </w:rPr>
        <w:t xml:space="preserve"> Indiana University.</w:t>
      </w:r>
    </w:p>
    <w:p w14:paraId="25651807" w14:textId="77777777" w:rsidR="00DC49F4" w:rsidRPr="00876D6B" w:rsidRDefault="00DC49F4" w:rsidP="007C28F6">
      <w:pPr>
        <w:spacing w:after="0" w:line="240" w:lineRule="auto"/>
        <w:rPr>
          <w:rFonts w:eastAsia="Times New Roman" w:cstheme="minorHAnsi"/>
          <w:kern w:val="0"/>
          <w:lang w:eastAsia="en-GB"/>
          <w14:ligatures w14:val="none"/>
        </w:rPr>
      </w:pPr>
      <w:r w:rsidRPr="00876D6B">
        <w:rPr>
          <w:rFonts w:eastAsia="Times New Roman" w:cstheme="minorHAnsi"/>
          <w:kern w:val="0"/>
          <w:lang w:eastAsia="en-GB"/>
          <w14:ligatures w14:val="none"/>
        </w:rPr>
        <w:t xml:space="preserve">Bugajska, K. and Brooks, R., 2021. Evaluating the use of the Model of Human Occupation Screening Tool in mental health services. </w:t>
      </w:r>
      <w:r w:rsidRPr="00876D6B">
        <w:rPr>
          <w:rFonts w:eastAsia="Times New Roman" w:cstheme="minorHAnsi"/>
          <w:i/>
          <w:iCs/>
          <w:kern w:val="0"/>
          <w:lang w:eastAsia="en-GB"/>
          <w14:ligatures w14:val="none"/>
        </w:rPr>
        <w:t>British Journal of Occupational Therapy</w:t>
      </w:r>
      <w:r w:rsidRPr="00876D6B">
        <w:rPr>
          <w:rFonts w:eastAsia="Times New Roman" w:cstheme="minorHAnsi"/>
          <w:kern w:val="0"/>
          <w:lang w:eastAsia="en-GB"/>
          <w14:ligatures w14:val="none"/>
        </w:rPr>
        <w:t>, 84(9), pp.591–600. doi:10.1177/0308022620956580.</w:t>
      </w:r>
    </w:p>
    <w:p w14:paraId="3257935E" w14:textId="77777777" w:rsidR="00DC49F4" w:rsidRPr="007C28F6" w:rsidRDefault="00DC49F4" w:rsidP="0067569B">
      <w:r w:rsidRPr="007C28F6">
        <w:t xml:space="preserve">Chamberlain, M.A., Reilly, P., Reid, J. and Fox, C., </w:t>
      </w:r>
      <w:r>
        <w:t>(</w:t>
      </w:r>
      <w:r w:rsidRPr="007C28F6">
        <w:t>2019</w:t>
      </w:r>
      <w:r>
        <w:t>)</w:t>
      </w:r>
      <w:r w:rsidRPr="007C28F6">
        <w:t xml:space="preserve">. </w:t>
      </w:r>
      <w:r w:rsidRPr="00F84B95">
        <w:t xml:space="preserve">Occupational therapy in primary care: challenges and opportunities. </w:t>
      </w:r>
      <w:r w:rsidRPr="00F84B95">
        <w:rPr>
          <w:i/>
          <w:iCs/>
        </w:rPr>
        <w:t>British Journal of General Practice</w:t>
      </w:r>
      <w:r w:rsidRPr="007C28F6">
        <w:t>, 69(680), pp.34–35. DOI: 10.3399/bjgp19X700877.</w:t>
      </w:r>
    </w:p>
    <w:p w14:paraId="64BD5A48" w14:textId="77777777" w:rsidR="00DC49F4" w:rsidRPr="007C28F6" w:rsidRDefault="00DC49F4" w:rsidP="007C28F6">
      <w:r w:rsidRPr="007C28F6">
        <w:t xml:space="preserve">Clark, F., Jackson, J., Carlson, M., Chou, C.P., Cherry, B.J., Jordan-Marsh, M., Knight, B.G., Mandel, D., Blanchard, J. and Azen, S.P., </w:t>
      </w:r>
      <w:r>
        <w:t>(</w:t>
      </w:r>
      <w:r w:rsidRPr="007C28F6">
        <w:t>2025</w:t>
      </w:r>
      <w:r>
        <w:t>)</w:t>
      </w:r>
      <w:r w:rsidRPr="007C28F6">
        <w:t xml:space="preserve">. </w:t>
      </w:r>
      <w:r w:rsidRPr="00CC5210">
        <w:t xml:space="preserve">Effectiveness of occupational therapy interventions in maintaining meaningful activity and independence in older adults. </w:t>
      </w:r>
      <w:r w:rsidRPr="00CC5210">
        <w:rPr>
          <w:i/>
          <w:iCs/>
        </w:rPr>
        <w:t xml:space="preserve">American Journal of Occupational Therapy, </w:t>
      </w:r>
      <w:r w:rsidRPr="007C28F6">
        <w:t>79(1), p.1205060.</w:t>
      </w:r>
    </w:p>
    <w:p w14:paraId="4F3D73E4" w14:textId="77777777" w:rsidR="00DC49F4" w:rsidRPr="007C28F6" w:rsidRDefault="00DC49F4" w:rsidP="007C28F6">
      <w:r w:rsidRPr="007C28F6">
        <w:t xml:space="preserve">Clarke, P., Bennett, E., Holloway, J. and Thomas, S., </w:t>
      </w:r>
      <w:r>
        <w:t>(</w:t>
      </w:r>
      <w:r w:rsidRPr="007C28F6">
        <w:t>2023</w:t>
      </w:r>
      <w:r>
        <w:t>)</w:t>
      </w:r>
      <w:r w:rsidRPr="007C28F6">
        <w:t xml:space="preserve">. </w:t>
      </w:r>
      <w:r w:rsidRPr="00CC5210">
        <w:t>Community-based occupational therapy to support independence in older adults: A systematic review.</w:t>
      </w:r>
      <w:r w:rsidRPr="007C28F6">
        <w:t xml:space="preserve"> </w:t>
      </w:r>
      <w:r w:rsidRPr="00CC5210">
        <w:rPr>
          <w:i/>
          <w:iCs/>
        </w:rPr>
        <w:t>BMJ</w:t>
      </w:r>
      <w:r w:rsidRPr="007C28F6">
        <w:t>, 384, pp.e077764.</w:t>
      </w:r>
    </w:p>
    <w:p w14:paraId="0393D5B6" w14:textId="77777777" w:rsidR="00DC49F4" w:rsidRPr="007C28F6" w:rsidRDefault="00DC49F4" w:rsidP="007C28F6">
      <w:r w:rsidRPr="007C28F6">
        <w:t xml:space="preserve">Coutts, R., Jester, R. and Day, M., </w:t>
      </w:r>
      <w:r>
        <w:t>(</w:t>
      </w:r>
      <w:r w:rsidRPr="007C28F6">
        <w:t>2018</w:t>
      </w:r>
      <w:r>
        <w:t>)</w:t>
      </w:r>
      <w:r w:rsidRPr="007C28F6">
        <w:t xml:space="preserve">. </w:t>
      </w:r>
      <w:r w:rsidRPr="00F84B95">
        <w:t>Missing pieces and misconceptions: public understanding of occupational therapy.</w:t>
      </w:r>
      <w:r w:rsidRPr="007C28F6">
        <w:t xml:space="preserve"> </w:t>
      </w:r>
      <w:r w:rsidRPr="00F84B95">
        <w:rPr>
          <w:i/>
          <w:iCs/>
        </w:rPr>
        <w:t>British Journal of Occupational Therapy</w:t>
      </w:r>
      <w:r w:rsidRPr="007C28F6">
        <w:t>, 81(6), pp.338–345. DOI: 10.1177/0308022618759452.</w:t>
      </w:r>
    </w:p>
    <w:p w14:paraId="597A5F76" w14:textId="77777777" w:rsidR="00DC49F4" w:rsidRPr="00876D6B" w:rsidRDefault="00DC49F4" w:rsidP="007C28F6">
      <w:pPr>
        <w:pStyle w:val="NormalWeb"/>
        <w:rPr>
          <w:rFonts w:asciiTheme="minorHAnsi" w:hAnsiTheme="minorHAnsi" w:cstheme="minorHAnsi"/>
        </w:rPr>
      </w:pPr>
      <w:proofErr w:type="spellStart"/>
      <w:r w:rsidRPr="00876D6B">
        <w:rPr>
          <w:rFonts w:asciiTheme="minorHAnsi" w:hAnsiTheme="minorHAnsi" w:cstheme="minorHAnsi"/>
        </w:rPr>
        <w:t>Degirmenci</w:t>
      </w:r>
      <w:proofErr w:type="spellEnd"/>
      <w:r w:rsidRPr="00876D6B">
        <w:rPr>
          <w:rFonts w:asciiTheme="minorHAnsi" w:hAnsiTheme="minorHAnsi" w:cstheme="minorHAnsi"/>
        </w:rPr>
        <w:t xml:space="preserve"> Oz, S., Sezer, E. and Yildirim, D., </w:t>
      </w:r>
      <w:r>
        <w:rPr>
          <w:rFonts w:asciiTheme="minorHAnsi" w:hAnsiTheme="minorHAnsi" w:cstheme="minorHAnsi"/>
        </w:rPr>
        <w:t>(</w:t>
      </w:r>
      <w:r w:rsidRPr="00876D6B">
        <w:rPr>
          <w:rFonts w:asciiTheme="minorHAnsi" w:hAnsiTheme="minorHAnsi" w:cstheme="minorHAnsi"/>
        </w:rPr>
        <w:t>2024</w:t>
      </w:r>
      <w:r>
        <w:rPr>
          <w:rFonts w:asciiTheme="minorHAnsi" w:hAnsiTheme="minorHAnsi" w:cstheme="minorHAnsi"/>
        </w:rPr>
        <w:t>)</w:t>
      </w:r>
      <w:r w:rsidRPr="00876D6B">
        <w:rPr>
          <w:rFonts w:asciiTheme="minorHAnsi" w:hAnsiTheme="minorHAnsi" w:cstheme="minorHAnsi"/>
        </w:rPr>
        <w:t xml:space="preserve">. </w:t>
      </w:r>
      <w:r w:rsidRPr="00F84B95">
        <w:rPr>
          <w:rStyle w:val="Emphasis"/>
          <w:rFonts w:asciiTheme="minorHAnsi" w:eastAsiaTheme="majorEastAsia" w:hAnsiTheme="minorHAnsi" w:cstheme="minorHAnsi"/>
          <w:i w:val="0"/>
          <w:iCs w:val="0"/>
        </w:rPr>
        <w:t>The effect of occupational therapy on anxiety, depression, and psychological well-being in older adults: a single-blind randomized-controlled study</w:t>
      </w:r>
      <w:r w:rsidRPr="00F84B95">
        <w:rPr>
          <w:rFonts w:asciiTheme="minorHAnsi" w:hAnsiTheme="minorHAnsi" w:cstheme="minorHAnsi"/>
          <w:i/>
          <w:iCs/>
        </w:rPr>
        <w:t>. European Geriatric Medicine</w:t>
      </w:r>
      <w:r w:rsidRPr="00876D6B">
        <w:rPr>
          <w:rFonts w:asciiTheme="minorHAnsi" w:hAnsiTheme="minorHAnsi" w:cstheme="minorHAnsi"/>
        </w:rPr>
        <w:t>, 15, pp.217–223. DOI: 10.1007/s41999-023-00900-z.</w:t>
      </w:r>
    </w:p>
    <w:p w14:paraId="46AD227C" w14:textId="77777777" w:rsidR="00DC49F4" w:rsidRPr="007C28F6" w:rsidRDefault="00DC49F4" w:rsidP="007C28F6">
      <w:pPr>
        <w:pStyle w:val="NormalWeb"/>
        <w:rPr>
          <w:rFonts w:ascii="Calibri" w:hAnsi="Calibri" w:cs="Calibri"/>
          <w:color w:val="000000"/>
        </w:rPr>
      </w:pPr>
      <w:r w:rsidRPr="007C28F6">
        <w:rPr>
          <w:rFonts w:ascii="Calibri" w:hAnsi="Calibri" w:cs="Calibri"/>
          <w:color w:val="000000"/>
        </w:rPr>
        <w:t>Harper, K.J., McAuliffe, K. and Parsons, D.N. (2022). Barriers and facilitating factors influencing implementation of occupational therapy home assessment recommendations: A mixed methods systematic review. </w:t>
      </w:r>
      <w:r w:rsidRPr="007C28F6">
        <w:rPr>
          <w:rFonts w:ascii="Calibri" w:hAnsi="Calibri" w:cs="Calibri"/>
          <w:i/>
          <w:iCs/>
          <w:color w:val="000000"/>
        </w:rPr>
        <w:t>Australian Occupational Therapy Journal</w:t>
      </w:r>
      <w:r w:rsidRPr="007C28F6">
        <w:rPr>
          <w:rFonts w:ascii="Calibri" w:hAnsi="Calibri" w:cs="Calibri"/>
          <w:color w:val="000000"/>
        </w:rPr>
        <w:t xml:space="preserve">, 69(5), pp.599–624. </w:t>
      </w:r>
      <w:proofErr w:type="spellStart"/>
      <w:r w:rsidRPr="007C28F6">
        <w:rPr>
          <w:rFonts w:ascii="Calibri" w:hAnsi="Calibri" w:cs="Calibri"/>
          <w:color w:val="000000"/>
        </w:rPr>
        <w:t>doi:https</w:t>
      </w:r>
      <w:proofErr w:type="spellEnd"/>
      <w:r w:rsidRPr="007C28F6">
        <w:rPr>
          <w:rFonts w:ascii="Calibri" w:hAnsi="Calibri" w:cs="Calibri"/>
          <w:color w:val="000000"/>
        </w:rPr>
        <w:t>://doi.org/10.1111/1440-1630.12823.</w:t>
      </w:r>
    </w:p>
    <w:p w14:paraId="7B10C91B" w14:textId="77777777" w:rsidR="00DC49F4" w:rsidRPr="007C28F6" w:rsidRDefault="00DC49F4" w:rsidP="007C28F6">
      <w:pPr>
        <w:pStyle w:val="NormalWeb"/>
        <w:rPr>
          <w:rFonts w:ascii="Calibri" w:hAnsi="Calibri" w:cs="Calibri"/>
          <w:color w:val="000000"/>
        </w:rPr>
      </w:pPr>
      <w:r w:rsidRPr="007C28F6">
        <w:rPr>
          <w:rFonts w:ascii="Calibri" w:hAnsi="Calibri" w:cs="Calibri"/>
          <w:color w:val="000000"/>
        </w:rPr>
        <w:t xml:space="preserve">Kaneko, T., Nagayama, H., Ikeda, K., et al., </w:t>
      </w:r>
      <w:r>
        <w:rPr>
          <w:rFonts w:ascii="Calibri" w:hAnsi="Calibri" w:cs="Calibri"/>
          <w:color w:val="000000"/>
        </w:rPr>
        <w:t>(</w:t>
      </w:r>
      <w:r w:rsidRPr="007C28F6">
        <w:rPr>
          <w:rFonts w:ascii="Calibri" w:hAnsi="Calibri" w:cs="Calibri"/>
          <w:color w:val="000000"/>
        </w:rPr>
        <w:t>2023</w:t>
      </w:r>
      <w:r>
        <w:rPr>
          <w:rFonts w:ascii="Calibri" w:hAnsi="Calibri" w:cs="Calibri"/>
          <w:color w:val="000000"/>
        </w:rPr>
        <w:t>)</w:t>
      </w:r>
      <w:r w:rsidRPr="007C28F6">
        <w:rPr>
          <w:rFonts w:ascii="Calibri" w:hAnsi="Calibri" w:cs="Calibri"/>
          <w:color w:val="000000"/>
        </w:rPr>
        <w:t>. Cost</w:t>
      </w:r>
      <w:r w:rsidRPr="007C28F6">
        <w:rPr>
          <w:rFonts w:ascii="Calibri" w:hAnsi="Calibri" w:cs="Calibri"/>
          <w:color w:val="000000"/>
        </w:rPr>
        <w:noBreakHyphen/>
        <w:t xml:space="preserve">effectiveness of occupational therapy for older adults: protocol for an updated systematic review. </w:t>
      </w:r>
      <w:r w:rsidRPr="007C28F6">
        <w:rPr>
          <w:rFonts w:ascii="Calibri" w:hAnsi="Calibri" w:cs="Calibri"/>
          <w:i/>
          <w:iCs/>
          <w:color w:val="000000"/>
        </w:rPr>
        <w:t>BMJ Open</w:t>
      </w:r>
      <w:r w:rsidRPr="007C28F6">
        <w:rPr>
          <w:rFonts w:ascii="Calibri" w:hAnsi="Calibri" w:cs="Calibri"/>
          <w:color w:val="000000"/>
        </w:rPr>
        <w:t>, 13(12), e078456. doi:10.1136/bmjopen</w:t>
      </w:r>
      <w:r w:rsidRPr="007C28F6">
        <w:rPr>
          <w:rFonts w:ascii="Calibri" w:hAnsi="Calibri" w:cs="Calibri"/>
          <w:color w:val="000000"/>
        </w:rPr>
        <w:noBreakHyphen/>
        <w:t>2023</w:t>
      </w:r>
      <w:r w:rsidRPr="007C28F6">
        <w:rPr>
          <w:rFonts w:ascii="Calibri" w:hAnsi="Calibri" w:cs="Calibri"/>
          <w:color w:val="000000"/>
        </w:rPr>
        <w:noBreakHyphen/>
        <w:t>078456.</w:t>
      </w:r>
    </w:p>
    <w:p w14:paraId="4E001DC0" w14:textId="77777777" w:rsidR="00DC49F4" w:rsidRPr="007C28F6" w:rsidRDefault="00DC49F4" w:rsidP="007C28F6">
      <w:pPr>
        <w:pStyle w:val="NormalWeb"/>
        <w:rPr>
          <w:rFonts w:ascii="Calibri" w:hAnsi="Calibri" w:cs="Calibri"/>
          <w:color w:val="000000"/>
        </w:rPr>
      </w:pPr>
      <w:proofErr w:type="spellStart"/>
      <w:r w:rsidRPr="007C28F6">
        <w:rPr>
          <w:rFonts w:ascii="Calibri" w:hAnsi="Calibri" w:cs="Calibri"/>
          <w:color w:val="000000"/>
        </w:rPr>
        <w:t>Kielhofner</w:t>
      </w:r>
      <w:proofErr w:type="spellEnd"/>
      <w:r w:rsidRPr="007C28F6">
        <w:rPr>
          <w:rFonts w:ascii="Calibri" w:hAnsi="Calibri" w:cs="Calibri"/>
          <w:color w:val="000000"/>
        </w:rPr>
        <w:t xml:space="preserve">, G., </w:t>
      </w:r>
      <w:r>
        <w:rPr>
          <w:rFonts w:ascii="Calibri" w:hAnsi="Calibri" w:cs="Calibri"/>
          <w:color w:val="000000"/>
        </w:rPr>
        <w:t>(</w:t>
      </w:r>
      <w:r w:rsidRPr="007C28F6">
        <w:rPr>
          <w:rFonts w:ascii="Calibri" w:hAnsi="Calibri" w:cs="Calibri"/>
          <w:color w:val="000000"/>
        </w:rPr>
        <w:t>2008</w:t>
      </w:r>
      <w:r>
        <w:rPr>
          <w:rFonts w:ascii="Calibri" w:hAnsi="Calibri" w:cs="Calibri"/>
          <w:color w:val="000000"/>
        </w:rPr>
        <w:t>).</w:t>
      </w:r>
      <w:r w:rsidRPr="007C28F6">
        <w:rPr>
          <w:rFonts w:ascii="Calibri" w:hAnsi="Calibri" w:cs="Calibri"/>
          <w:color w:val="000000"/>
        </w:rPr>
        <w:t xml:space="preserve"> </w:t>
      </w:r>
      <w:r w:rsidRPr="007C28F6">
        <w:rPr>
          <w:rFonts w:ascii="Calibri" w:hAnsi="Calibri" w:cs="Calibri"/>
          <w:i/>
          <w:iCs/>
          <w:color w:val="000000"/>
        </w:rPr>
        <w:t>Model of Human Occupation: Theory and Application</w:t>
      </w:r>
      <w:r w:rsidRPr="007C28F6">
        <w:rPr>
          <w:rFonts w:ascii="Calibri" w:hAnsi="Calibri" w:cs="Calibri"/>
          <w:color w:val="000000"/>
        </w:rPr>
        <w:t>. 4th ed. Philadelphia: Lippincott Williams &amp; Wilkins.</w:t>
      </w:r>
    </w:p>
    <w:p w14:paraId="75821BD9" w14:textId="77777777" w:rsidR="00DC49F4" w:rsidRPr="007C28F6" w:rsidRDefault="00DC49F4" w:rsidP="005C1897">
      <w:pPr>
        <w:pStyle w:val="NormalWeb"/>
        <w:rPr>
          <w:rFonts w:ascii="Calibri" w:hAnsi="Calibri" w:cs="Calibri"/>
          <w:color w:val="000000"/>
        </w:rPr>
      </w:pPr>
      <w:r w:rsidRPr="007C28F6">
        <w:rPr>
          <w:rFonts w:ascii="Calibri" w:hAnsi="Calibri" w:cs="Calibri"/>
          <w:color w:val="000000"/>
        </w:rPr>
        <w:t xml:space="preserve">Law, M., Baptiste, S., Carswell, A., McColl, M.A., Polatajko, H. and Pollock, N., </w:t>
      </w:r>
      <w:r>
        <w:rPr>
          <w:rFonts w:ascii="Calibri" w:hAnsi="Calibri" w:cs="Calibri"/>
          <w:color w:val="000000"/>
        </w:rPr>
        <w:t>(</w:t>
      </w:r>
      <w:r w:rsidRPr="007C28F6">
        <w:rPr>
          <w:rFonts w:ascii="Calibri" w:hAnsi="Calibri" w:cs="Calibri"/>
          <w:color w:val="000000"/>
        </w:rPr>
        <w:t>2014</w:t>
      </w:r>
      <w:r>
        <w:rPr>
          <w:rFonts w:ascii="Calibri" w:hAnsi="Calibri" w:cs="Calibri"/>
          <w:color w:val="000000"/>
        </w:rPr>
        <w:t>)</w:t>
      </w:r>
      <w:r w:rsidRPr="007C28F6">
        <w:rPr>
          <w:rFonts w:ascii="Calibri" w:hAnsi="Calibri" w:cs="Calibri"/>
          <w:color w:val="000000"/>
        </w:rPr>
        <w:t xml:space="preserve">. </w:t>
      </w:r>
      <w:r w:rsidRPr="007C28F6">
        <w:rPr>
          <w:rFonts w:ascii="Calibri" w:hAnsi="Calibri" w:cs="Calibri"/>
          <w:i/>
          <w:iCs/>
          <w:color w:val="000000"/>
        </w:rPr>
        <w:t>Canadian Occupational Performance Measure (COPM)</w:t>
      </w:r>
      <w:r w:rsidRPr="007C28F6">
        <w:rPr>
          <w:rFonts w:ascii="Calibri" w:hAnsi="Calibri" w:cs="Calibri"/>
          <w:color w:val="000000"/>
        </w:rPr>
        <w:t>. 5th ed. Ottawa: CAOT Publications ACE.</w:t>
      </w:r>
    </w:p>
    <w:p w14:paraId="1B735084" w14:textId="77777777" w:rsidR="00DC49F4" w:rsidRPr="007C28F6" w:rsidRDefault="00DC49F4" w:rsidP="007C28F6">
      <w:r w:rsidRPr="007C28F6">
        <w:t xml:space="preserve">Liu, L., </w:t>
      </w:r>
      <w:proofErr w:type="spellStart"/>
      <w:r w:rsidRPr="007C28F6">
        <w:t>Stroulia</w:t>
      </w:r>
      <w:proofErr w:type="spellEnd"/>
      <w:r w:rsidRPr="007C28F6">
        <w:t xml:space="preserve">, E., Nikolaidis, I., Miguel-Cruz, A. and Rios Rincon, A., </w:t>
      </w:r>
      <w:r>
        <w:t>(</w:t>
      </w:r>
      <w:r w:rsidRPr="007C28F6">
        <w:t>2022</w:t>
      </w:r>
      <w:r>
        <w:t>)</w:t>
      </w:r>
      <w:r w:rsidRPr="007C28F6">
        <w:t xml:space="preserve">. </w:t>
      </w:r>
      <w:r w:rsidRPr="00CC5210">
        <w:t xml:space="preserve">Assistive technology for promoting independence in older adults: A review. </w:t>
      </w:r>
      <w:r w:rsidRPr="00CC5210">
        <w:rPr>
          <w:i/>
          <w:iCs/>
        </w:rPr>
        <w:t>BMC Geriatrics,</w:t>
      </w:r>
      <w:r w:rsidRPr="007C28F6">
        <w:t xml:space="preserve"> 22(1), pp.3557.</w:t>
      </w:r>
    </w:p>
    <w:p w14:paraId="31E49505" w14:textId="77777777" w:rsidR="00DC49F4" w:rsidRPr="007C28F6" w:rsidRDefault="00DC49F4" w:rsidP="007C28F6">
      <w:r w:rsidRPr="007C28F6">
        <w:lastRenderedPageBreak/>
        <w:t xml:space="preserve">Mountain, G., Craig, C., Mulligan, H. and Parker, C., </w:t>
      </w:r>
      <w:r>
        <w:t>(</w:t>
      </w:r>
      <w:r w:rsidRPr="007C28F6">
        <w:t>2024</w:t>
      </w:r>
      <w:r>
        <w:t>)</w:t>
      </w:r>
      <w:r w:rsidRPr="007C28F6">
        <w:t xml:space="preserve">. </w:t>
      </w:r>
      <w:r w:rsidRPr="00F84B95">
        <w:t xml:space="preserve">Promoting meaningful activities in later life through occupational therapy: The </w:t>
      </w:r>
      <w:proofErr w:type="spellStart"/>
      <w:r w:rsidRPr="00F84B95">
        <w:t>ProMOTE</w:t>
      </w:r>
      <w:proofErr w:type="spellEnd"/>
      <w:r w:rsidRPr="00F84B95">
        <w:t xml:space="preserve"> intervention.</w:t>
      </w:r>
      <w:r w:rsidRPr="007C28F6">
        <w:t xml:space="preserve"> </w:t>
      </w:r>
      <w:r w:rsidRPr="00F84B95">
        <w:rPr>
          <w:i/>
          <w:iCs/>
        </w:rPr>
        <w:t>BMC Geriatrics</w:t>
      </w:r>
      <w:r w:rsidRPr="007C28F6">
        <w:t>, 24(1), Article 275.</w:t>
      </w:r>
    </w:p>
    <w:p w14:paraId="2935BC15" w14:textId="77777777" w:rsidR="00DC49F4" w:rsidRPr="007C28F6" w:rsidRDefault="00DC49F4" w:rsidP="007C28F6">
      <w:pPr>
        <w:pStyle w:val="NormalWeb"/>
        <w:rPr>
          <w:rFonts w:ascii="Calibri" w:hAnsi="Calibri" w:cs="Calibri"/>
          <w:color w:val="000000"/>
        </w:rPr>
      </w:pPr>
      <w:r w:rsidRPr="007C28F6">
        <w:rPr>
          <w:rFonts w:ascii="Calibri" w:hAnsi="Calibri" w:cs="Calibri"/>
          <w:color w:val="000000"/>
        </w:rPr>
        <w:t xml:space="preserve">Ngo, T., </w:t>
      </w:r>
      <w:r>
        <w:rPr>
          <w:rFonts w:ascii="Calibri" w:hAnsi="Calibri" w:cs="Calibri"/>
          <w:color w:val="000000"/>
        </w:rPr>
        <w:t>(</w:t>
      </w:r>
      <w:r w:rsidRPr="007C28F6">
        <w:rPr>
          <w:rFonts w:ascii="Calibri" w:hAnsi="Calibri" w:cs="Calibri"/>
          <w:color w:val="000000"/>
        </w:rPr>
        <w:t>2024</w:t>
      </w:r>
      <w:r>
        <w:rPr>
          <w:rFonts w:ascii="Calibri" w:hAnsi="Calibri" w:cs="Calibri"/>
          <w:color w:val="000000"/>
        </w:rPr>
        <w:t>)</w:t>
      </w:r>
      <w:r w:rsidRPr="007C28F6">
        <w:rPr>
          <w:rFonts w:ascii="Calibri" w:hAnsi="Calibri" w:cs="Calibri"/>
          <w:color w:val="000000"/>
        </w:rPr>
        <w:t xml:space="preserve">. </w:t>
      </w:r>
      <w:r w:rsidRPr="007C28F6">
        <w:rPr>
          <w:rFonts w:ascii="Calibri" w:hAnsi="Calibri" w:cs="Calibri"/>
          <w:i/>
          <w:iCs/>
          <w:color w:val="000000"/>
        </w:rPr>
        <w:t>The impact of occupational therapy home modifications on clients’ perceptions of ‘home’</w:t>
      </w:r>
      <w:r w:rsidRPr="007C28F6">
        <w:rPr>
          <w:rFonts w:ascii="Calibri" w:hAnsi="Calibri" w:cs="Calibri"/>
          <w:color w:val="000000"/>
        </w:rPr>
        <w:t xml:space="preserve">. </w:t>
      </w:r>
      <w:r w:rsidRPr="00F84B95">
        <w:rPr>
          <w:rFonts w:ascii="Calibri" w:hAnsi="Calibri" w:cs="Calibri"/>
          <w:color w:val="000000"/>
        </w:rPr>
        <w:t>The Allied Health Scholar,</w:t>
      </w:r>
      <w:r w:rsidRPr="007C28F6">
        <w:rPr>
          <w:rFonts w:ascii="Calibri" w:hAnsi="Calibri" w:cs="Calibri"/>
          <w:color w:val="000000"/>
        </w:rPr>
        <w:t xml:space="preserve"> 1(2), pp.45–56.</w:t>
      </w:r>
      <w:r w:rsidRPr="007C28F6">
        <w:rPr>
          <w:rFonts w:ascii="Calibri" w:hAnsi="Calibri" w:cs="Calibri"/>
          <w:color w:val="000000"/>
        </w:rPr>
        <w:br/>
        <w:t xml:space="preserve">Available at: </w:t>
      </w:r>
      <w:hyperlink r:id="rId5" w:history="1">
        <w:r w:rsidRPr="00C62CF3">
          <w:rPr>
            <w:rStyle w:val="Hyperlink"/>
            <w:rFonts w:ascii="Calibri" w:hAnsi="Calibri" w:cs="Calibri"/>
          </w:rPr>
          <w:t>https://ojs.unisa.edu.au/index.php/tahs/article/download/1683/1066</w:t>
        </w:r>
      </w:hyperlink>
      <w:r>
        <w:rPr>
          <w:rFonts w:ascii="Calibri" w:hAnsi="Calibri" w:cs="Calibri"/>
          <w:color w:val="000000"/>
        </w:rPr>
        <w:t>. (</w:t>
      </w:r>
      <w:r w:rsidRPr="007C28F6">
        <w:rPr>
          <w:rFonts w:ascii="Calibri" w:hAnsi="Calibri" w:cs="Calibri"/>
          <w:color w:val="000000"/>
        </w:rPr>
        <w:t>Accessed 1 December 2025</w:t>
      </w:r>
      <w:r>
        <w:rPr>
          <w:rFonts w:ascii="Calibri" w:hAnsi="Calibri" w:cs="Calibri"/>
          <w:color w:val="000000"/>
        </w:rPr>
        <w:t>)</w:t>
      </w:r>
      <w:r w:rsidRPr="007C28F6">
        <w:rPr>
          <w:rFonts w:ascii="Calibri" w:hAnsi="Calibri" w:cs="Calibri"/>
          <w:color w:val="000000"/>
        </w:rPr>
        <w:t>.</w:t>
      </w:r>
    </w:p>
    <w:p w14:paraId="0D7D2E40" w14:textId="77777777" w:rsidR="00DC49F4" w:rsidRPr="007C28F6" w:rsidRDefault="00DC49F4" w:rsidP="007C28F6">
      <w:r w:rsidRPr="007C28F6">
        <w:t xml:space="preserve">Office for National Statistics, </w:t>
      </w:r>
      <w:r>
        <w:t>(</w:t>
      </w:r>
      <w:r w:rsidRPr="007C28F6">
        <w:t>2023</w:t>
      </w:r>
      <w:r>
        <w:t>)</w:t>
      </w:r>
      <w:r w:rsidRPr="007C28F6">
        <w:t xml:space="preserve">. </w:t>
      </w:r>
      <w:r w:rsidRPr="007C28F6">
        <w:rPr>
          <w:i/>
          <w:iCs/>
        </w:rPr>
        <w:t>Living longer: trends in life expectancy and healthy ageing</w:t>
      </w:r>
      <w:r w:rsidRPr="007C28F6">
        <w:t xml:space="preserve">. [online] Available at: </w:t>
      </w:r>
      <w:hyperlink r:id="rId6" w:history="1">
        <w:r w:rsidRPr="007C28F6">
          <w:rPr>
            <w:rStyle w:val="Hyperlink"/>
          </w:rPr>
          <w:t>https://www.ons.gov.uk</w:t>
        </w:r>
      </w:hyperlink>
      <w:r w:rsidRPr="007C28F6">
        <w:t>. (Accessed 21 October 2025).</w:t>
      </w:r>
    </w:p>
    <w:p w14:paraId="1663FEB5" w14:textId="77777777" w:rsidR="00DC49F4" w:rsidRPr="00876D6B" w:rsidRDefault="00DC49F4" w:rsidP="007C28F6">
      <w:pPr>
        <w:pStyle w:val="NormalWeb"/>
        <w:rPr>
          <w:rFonts w:asciiTheme="minorHAnsi" w:hAnsiTheme="minorHAnsi" w:cstheme="minorHAnsi"/>
        </w:rPr>
      </w:pPr>
      <w:r w:rsidRPr="00876D6B">
        <w:rPr>
          <w:rFonts w:asciiTheme="minorHAnsi" w:hAnsiTheme="minorHAnsi" w:cstheme="minorHAnsi"/>
        </w:rPr>
        <w:t xml:space="preserve">Omura, K.M., Costa Folha, O.A.A., Moreira, P.S., Bittencourt, E.S., Seabra, A.D. and Cardoso, M.M. (2022) Energy conservation, minimum steps, and adaptations when needed: A scoping review, </w:t>
      </w:r>
      <w:r w:rsidRPr="00876D6B">
        <w:rPr>
          <w:rStyle w:val="Emphasis"/>
          <w:rFonts w:asciiTheme="minorHAnsi" w:eastAsiaTheme="majorEastAsia" w:hAnsiTheme="minorHAnsi" w:cstheme="minorHAnsi"/>
        </w:rPr>
        <w:t>Hong Kong Journal of Occupational Therapy</w:t>
      </w:r>
      <w:r w:rsidRPr="00876D6B">
        <w:rPr>
          <w:rFonts w:asciiTheme="minorHAnsi" w:hAnsiTheme="minorHAnsi" w:cstheme="minorHAnsi"/>
        </w:rPr>
        <w:t>, 35(2), pp. 125–136. doi:10.1177/15691861221137223</w:t>
      </w:r>
    </w:p>
    <w:p w14:paraId="152F14BD" w14:textId="77777777" w:rsidR="00DC49F4" w:rsidRPr="007C28F6" w:rsidRDefault="00DC49F4" w:rsidP="007C28F6">
      <w:pPr>
        <w:pStyle w:val="NormalWeb"/>
        <w:rPr>
          <w:rFonts w:ascii="Calibri" w:hAnsi="Calibri" w:cs="Calibri"/>
          <w:color w:val="000000"/>
        </w:rPr>
      </w:pPr>
      <w:r w:rsidRPr="007C28F6">
        <w:rPr>
          <w:rFonts w:ascii="Calibri" w:hAnsi="Calibri" w:cs="Calibri"/>
          <w:color w:val="000000"/>
        </w:rPr>
        <w:t xml:space="preserve">Saito, Y., Kikuchi, Y., Sawada, T. and Tomori, K., </w:t>
      </w:r>
      <w:r>
        <w:rPr>
          <w:rFonts w:ascii="Calibri" w:hAnsi="Calibri" w:cs="Calibri"/>
          <w:color w:val="000000"/>
        </w:rPr>
        <w:t>(</w:t>
      </w:r>
      <w:r w:rsidRPr="007C28F6">
        <w:rPr>
          <w:rFonts w:ascii="Calibri" w:hAnsi="Calibri" w:cs="Calibri"/>
          <w:color w:val="000000"/>
        </w:rPr>
        <w:t>2025</w:t>
      </w:r>
      <w:r>
        <w:rPr>
          <w:rFonts w:ascii="Calibri" w:hAnsi="Calibri" w:cs="Calibri"/>
          <w:color w:val="000000"/>
        </w:rPr>
        <w:t>)</w:t>
      </w:r>
      <w:r w:rsidRPr="007C28F6">
        <w:rPr>
          <w:rFonts w:ascii="Calibri" w:hAnsi="Calibri" w:cs="Calibri"/>
          <w:color w:val="000000"/>
        </w:rPr>
        <w:t>. Occupational therapy intervention for improvement of activity and participation in home rehabilitation for community</w:t>
      </w:r>
      <w:r w:rsidRPr="007C28F6">
        <w:rPr>
          <w:rFonts w:ascii="Calibri" w:hAnsi="Calibri" w:cs="Calibri"/>
          <w:color w:val="000000"/>
        </w:rPr>
        <w:noBreakHyphen/>
        <w:t xml:space="preserve">dwelling older adults: A scoping review. </w:t>
      </w:r>
      <w:r w:rsidRPr="007C28F6">
        <w:rPr>
          <w:rFonts w:ascii="Calibri" w:hAnsi="Calibri" w:cs="Calibri"/>
          <w:i/>
          <w:iCs/>
          <w:color w:val="000000"/>
        </w:rPr>
        <w:t>American Journal of Occupational Therapy</w:t>
      </w:r>
      <w:r w:rsidRPr="007C28F6">
        <w:rPr>
          <w:rFonts w:ascii="Calibri" w:hAnsi="Calibri" w:cs="Calibri"/>
          <w:color w:val="000000"/>
        </w:rPr>
        <w:t>, 79(6), pp.1–12. doi:10.5014/ajot.2025.079060123.</w:t>
      </w:r>
    </w:p>
    <w:p w14:paraId="4A3B45DD" w14:textId="77777777" w:rsidR="00DC49F4" w:rsidRPr="007C28F6" w:rsidRDefault="00DC49F4" w:rsidP="007C28F6">
      <w:pPr>
        <w:spacing w:after="0" w:line="240" w:lineRule="auto"/>
        <w:rPr>
          <w:rFonts w:eastAsia="Times New Roman" w:cstheme="minorHAnsi"/>
          <w:kern w:val="0"/>
          <w:lang w:eastAsia="en-GB"/>
          <w14:ligatures w14:val="none"/>
        </w:rPr>
      </w:pPr>
      <w:r w:rsidRPr="007C28F6">
        <w:rPr>
          <w:rFonts w:eastAsia="Times New Roman" w:cstheme="minorHAnsi"/>
          <w:kern w:val="0"/>
          <w:lang w:eastAsia="en-GB"/>
          <w14:ligatures w14:val="none"/>
        </w:rPr>
        <w:t xml:space="preserve">Smallfield, S. and Elliott, S.J., </w:t>
      </w:r>
      <w:r>
        <w:rPr>
          <w:rFonts w:eastAsia="Times New Roman" w:cstheme="minorHAnsi"/>
          <w:kern w:val="0"/>
          <w:lang w:eastAsia="en-GB"/>
          <w14:ligatures w14:val="none"/>
        </w:rPr>
        <w:t>(</w:t>
      </w:r>
      <w:r w:rsidRPr="007C28F6">
        <w:rPr>
          <w:rFonts w:eastAsia="Times New Roman" w:cstheme="minorHAnsi"/>
          <w:kern w:val="0"/>
          <w:lang w:eastAsia="en-GB"/>
          <w14:ligatures w14:val="none"/>
        </w:rPr>
        <w:t>2020</w:t>
      </w:r>
      <w:r>
        <w:rPr>
          <w:rFonts w:eastAsia="Times New Roman" w:cstheme="minorHAnsi"/>
          <w:kern w:val="0"/>
          <w:lang w:eastAsia="en-GB"/>
          <w14:ligatures w14:val="none"/>
        </w:rPr>
        <w:t>)</w:t>
      </w:r>
      <w:r w:rsidRPr="007C28F6">
        <w:rPr>
          <w:rFonts w:eastAsia="Times New Roman" w:cstheme="minorHAnsi"/>
          <w:kern w:val="0"/>
          <w:lang w:eastAsia="en-GB"/>
          <w14:ligatures w14:val="none"/>
        </w:rPr>
        <w:t>. Occupational therapy interventions for productive aging among community</w:t>
      </w:r>
      <w:r w:rsidRPr="007C28F6">
        <w:rPr>
          <w:rFonts w:eastAsia="Times New Roman" w:cstheme="minorHAnsi"/>
          <w:kern w:val="0"/>
          <w:lang w:eastAsia="en-GB"/>
          <w14:ligatures w14:val="none"/>
        </w:rPr>
        <w:noBreakHyphen/>
        <w:t xml:space="preserve">dwelling older adults. </w:t>
      </w:r>
      <w:r w:rsidRPr="007C28F6">
        <w:rPr>
          <w:rFonts w:eastAsia="Times New Roman" w:cstheme="minorHAnsi"/>
          <w:i/>
          <w:iCs/>
          <w:kern w:val="0"/>
          <w:lang w:eastAsia="en-GB"/>
          <w14:ligatures w14:val="none"/>
        </w:rPr>
        <w:t>American Journal of Occupational Therapy</w:t>
      </w:r>
      <w:r w:rsidRPr="007C28F6">
        <w:rPr>
          <w:rFonts w:eastAsia="Times New Roman" w:cstheme="minorHAnsi"/>
          <w:kern w:val="0"/>
          <w:lang w:eastAsia="en-GB"/>
          <w14:ligatures w14:val="none"/>
        </w:rPr>
        <w:t>, 74(1), pp.7401390010p1</w:t>
      </w:r>
      <w:r w:rsidRPr="007C28F6">
        <w:rPr>
          <w:rFonts w:eastAsia="Times New Roman" w:cstheme="minorHAnsi"/>
          <w:kern w:val="0"/>
          <w:lang w:eastAsia="en-GB"/>
          <w14:ligatures w14:val="none"/>
        </w:rPr>
        <w:noBreakHyphen/>
        <w:t>7401390010p5.</w:t>
      </w:r>
    </w:p>
    <w:p w14:paraId="5EF419C2" w14:textId="77777777" w:rsidR="00DC49F4" w:rsidRPr="007C28F6" w:rsidRDefault="00DC49F4" w:rsidP="007C28F6">
      <w:pPr>
        <w:pStyle w:val="NormalWeb"/>
        <w:spacing w:before="0" w:beforeAutospacing="0" w:after="0" w:afterAutospacing="0" w:line="360" w:lineRule="atLeast"/>
        <w:rPr>
          <w:rFonts w:ascii="Calibri" w:hAnsi="Calibri" w:cs="Calibri"/>
          <w:color w:val="000000"/>
        </w:rPr>
      </w:pPr>
      <w:r w:rsidRPr="007C28F6">
        <w:rPr>
          <w:rFonts w:ascii="Calibri" w:hAnsi="Calibri" w:cs="Calibri"/>
          <w:color w:val="000000"/>
        </w:rPr>
        <w:t>Taylor, E., Goodwin, V.A., Clegg, A., Brown, L., Frost, J. and Ball, S. (2025). Predictors of independence in older people: A longitudinal, population-based study using the CARE75 + cohort. </w:t>
      </w:r>
      <w:r w:rsidRPr="007C28F6">
        <w:rPr>
          <w:rFonts w:ascii="Calibri" w:hAnsi="Calibri" w:cs="Calibri"/>
          <w:i/>
          <w:iCs/>
          <w:color w:val="000000"/>
        </w:rPr>
        <w:t>BMC Geriatrics</w:t>
      </w:r>
      <w:r w:rsidRPr="007C28F6">
        <w:rPr>
          <w:rFonts w:ascii="Calibri" w:hAnsi="Calibri" w:cs="Calibri"/>
          <w:color w:val="000000"/>
        </w:rPr>
        <w:t xml:space="preserve">, 25(1). </w:t>
      </w:r>
      <w:proofErr w:type="spellStart"/>
      <w:r w:rsidRPr="007C28F6">
        <w:rPr>
          <w:rFonts w:ascii="Calibri" w:hAnsi="Calibri" w:cs="Calibri"/>
          <w:color w:val="000000"/>
        </w:rPr>
        <w:t>doi:https</w:t>
      </w:r>
      <w:proofErr w:type="spellEnd"/>
      <w:r w:rsidRPr="007C28F6">
        <w:rPr>
          <w:rFonts w:ascii="Calibri" w:hAnsi="Calibri" w:cs="Calibri"/>
          <w:color w:val="000000"/>
        </w:rPr>
        <w:t>://doi.org/10.1186/s12877-025-05927-4.</w:t>
      </w:r>
    </w:p>
    <w:p w14:paraId="558D0596" w14:textId="77777777" w:rsidR="00DC49F4" w:rsidRPr="007C28F6" w:rsidRDefault="00DC49F4" w:rsidP="007C28F6">
      <w:pPr>
        <w:pStyle w:val="NormalWeb"/>
        <w:rPr>
          <w:rFonts w:ascii="Calibri" w:hAnsi="Calibri" w:cs="Calibri"/>
          <w:color w:val="000000"/>
        </w:rPr>
      </w:pPr>
      <w:r w:rsidRPr="007C28F6">
        <w:rPr>
          <w:rFonts w:ascii="Calibri" w:hAnsi="Calibri" w:cs="Calibri"/>
          <w:color w:val="000000"/>
        </w:rPr>
        <w:t>Toledano</w:t>
      </w:r>
      <w:r w:rsidRPr="007C28F6">
        <w:rPr>
          <w:rFonts w:ascii="Calibri" w:hAnsi="Calibri" w:cs="Calibri"/>
          <w:color w:val="000000"/>
        </w:rPr>
        <w:noBreakHyphen/>
        <w:t xml:space="preserve">González, A., </w:t>
      </w:r>
      <w:proofErr w:type="spellStart"/>
      <w:r w:rsidRPr="007C28F6">
        <w:rPr>
          <w:rFonts w:ascii="Calibri" w:hAnsi="Calibri" w:cs="Calibri"/>
          <w:color w:val="000000"/>
        </w:rPr>
        <w:t>Labajos</w:t>
      </w:r>
      <w:proofErr w:type="spellEnd"/>
      <w:r w:rsidRPr="007C28F6">
        <w:rPr>
          <w:rFonts w:ascii="Calibri" w:hAnsi="Calibri" w:cs="Calibri"/>
          <w:color w:val="000000"/>
        </w:rPr>
        <w:noBreakHyphen/>
        <w:t>Manzanares, T. and Romero</w:t>
      </w:r>
      <w:r w:rsidRPr="007C28F6">
        <w:rPr>
          <w:rFonts w:ascii="Calibri" w:hAnsi="Calibri" w:cs="Calibri"/>
          <w:color w:val="000000"/>
        </w:rPr>
        <w:noBreakHyphen/>
        <w:t xml:space="preserve">Ayuso, D.M., </w:t>
      </w:r>
      <w:r>
        <w:rPr>
          <w:rFonts w:ascii="Calibri" w:hAnsi="Calibri" w:cs="Calibri"/>
          <w:color w:val="000000"/>
        </w:rPr>
        <w:t>(</w:t>
      </w:r>
      <w:r w:rsidRPr="007C28F6">
        <w:rPr>
          <w:rFonts w:ascii="Calibri" w:hAnsi="Calibri" w:cs="Calibri"/>
          <w:color w:val="000000"/>
        </w:rPr>
        <w:t>2018</w:t>
      </w:r>
      <w:r>
        <w:rPr>
          <w:rFonts w:ascii="Calibri" w:hAnsi="Calibri" w:cs="Calibri"/>
          <w:color w:val="000000"/>
        </w:rPr>
        <w:t>)</w:t>
      </w:r>
      <w:r w:rsidRPr="007C28F6">
        <w:rPr>
          <w:rFonts w:ascii="Calibri" w:hAnsi="Calibri" w:cs="Calibri"/>
          <w:color w:val="000000"/>
        </w:rPr>
        <w:t>. Occupational therapy, self</w:t>
      </w:r>
      <w:r w:rsidRPr="007C28F6">
        <w:rPr>
          <w:rFonts w:ascii="Calibri" w:hAnsi="Calibri" w:cs="Calibri"/>
          <w:color w:val="000000"/>
        </w:rPr>
        <w:noBreakHyphen/>
        <w:t>efficacy, and well</w:t>
      </w:r>
      <w:r w:rsidRPr="007C28F6">
        <w:rPr>
          <w:rFonts w:ascii="Calibri" w:hAnsi="Calibri" w:cs="Calibri"/>
          <w:color w:val="000000"/>
        </w:rPr>
        <w:noBreakHyphen/>
        <w:t xml:space="preserve">being in older adults living in residential care facilities: A randomized clinical trial. </w:t>
      </w:r>
      <w:r w:rsidRPr="007C28F6">
        <w:rPr>
          <w:rFonts w:ascii="Calibri" w:hAnsi="Calibri" w:cs="Calibri"/>
          <w:i/>
          <w:iCs/>
          <w:color w:val="000000"/>
        </w:rPr>
        <w:t>Frontiers in Psychology</w:t>
      </w:r>
      <w:r w:rsidRPr="007C28F6">
        <w:rPr>
          <w:rFonts w:ascii="Calibri" w:hAnsi="Calibri" w:cs="Calibri"/>
          <w:color w:val="000000"/>
        </w:rPr>
        <w:t>, 9, pp.1–10. doi:10.3389/fpsyg.2018.01439.</w:t>
      </w:r>
    </w:p>
    <w:p w14:paraId="1E1C2ABA" w14:textId="77777777" w:rsidR="00DC49F4" w:rsidRPr="007C28F6" w:rsidRDefault="00DC49F4" w:rsidP="007C28F6">
      <w:r w:rsidRPr="007C28F6">
        <w:t xml:space="preserve">Uceda-Portillo, C., Talavera-Valverde, M.A., Souto-Gómez, A.I. and </w:t>
      </w:r>
      <w:proofErr w:type="spellStart"/>
      <w:r w:rsidRPr="007C28F6">
        <w:t>Moruno</w:t>
      </w:r>
      <w:proofErr w:type="spellEnd"/>
      <w:r w:rsidRPr="007C28F6">
        <w:t xml:space="preserve">-Miralles, P., </w:t>
      </w:r>
      <w:r>
        <w:t>(</w:t>
      </w:r>
      <w:r w:rsidRPr="007C28F6">
        <w:t>2025</w:t>
      </w:r>
      <w:r>
        <w:t>)</w:t>
      </w:r>
      <w:r w:rsidRPr="007C28F6">
        <w:t xml:space="preserve">. </w:t>
      </w:r>
      <w:r w:rsidRPr="007C28F6">
        <w:rPr>
          <w:i/>
          <w:iCs/>
        </w:rPr>
        <w:t>O</w:t>
      </w:r>
      <w:r w:rsidRPr="00F84B95">
        <w:t>ccupational therapy interventions to improve the quality of life of healthy older people living in nursing homes: Scoping review.</w:t>
      </w:r>
      <w:r w:rsidRPr="007C28F6">
        <w:t xml:space="preserve"> </w:t>
      </w:r>
      <w:r w:rsidRPr="00F84B95">
        <w:rPr>
          <w:i/>
          <w:iCs/>
        </w:rPr>
        <w:t>SAGE Open</w:t>
      </w:r>
      <w:r w:rsidRPr="007C28F6">
        <w:t>, 15(2), pp.1–16. DOI: 10.1177/21582440251340604.</w:t>
      </w:r>
    </w:p>
    <w:p w14:paraId="399FF63D" w14:textId="77777777" w:rsidR="00DC49F4" w:rsidRPr="007C28F6" w:rsidRDefault="00DC49F4" w:rsidP="007C28F6">
      <w:r w:rsidRPr="007C28F6">
        <w:t xml:space="preserve">Walla, P., Jensen, H., McGrath, C. and O’Connor, L., </w:t>
      </w:r>
      <w:r>
        <w:t>(</w:t>
      </w:r>
      <w:r w:rsidRPr="007C28F6">
        <w:t>2024</w:t>
      </w:r>
      <w:r>
        <w:t>)</w:t>
      </w:r>
      <w:r w:rsidRPr="007C28F6">
        <w:t xml:space="preserve">. </w:t>
      </w:r>
      <w:r w:rsidRPr="00F84B95">
        <w:t>Occupation-based interventions in hospital settings: a systematic review of time constraints and discharge planning.</w:t>
      </w:r>
      <w:r w:rsidRPr="007C28F6">
        <w:t xml:space="preserve"> </w:t>
      </w:r>
      <w:r w:rsidRPr="00F84B95">
        <w:rPr>
          <w:i/>
          <w:iCs/>
        </w:rPr>
        <w:t>Journal of Occupational Therapy Research</w:t>
      </w:r>
      <w:r w:rsidRPr="007C28F6">
        <w:t>, 37(2), pp.112–128. DOI: 10.1080/09602006.2024.1001123.</w:t>
      </w:r>
    </w:p>
    <w:p w14:paraId="48B665BD" w14:textId="77777777" w:rsidR="00DC49F4" w:rsidRPr="007C28F6" w:rsidRDefault="00DC49F4" w:rsidP="006E0317">
      <w:pPr>
        <w:pStyle w:val="NormalWeb"/>
        <w:rPr>
          <w:rFonts w:ascii="Calibri" w:hAnsi="Calibri" w:cs="Calibri"/>
          <w:color w:val="000000"/>
        </w:rPr>
      </w:pPr>
      <w:r w:rsidRPr="007C28F6">
        <w:rPr>
          <w:rFonts w:ascii="Calibri" w:hAnsi="Calibri" w:cs="Calibri"/>
          <w:color w:val="000000"/>
        </w:rPr>
        <w:t xml:space="preserve">Washington, S.E., Edwards, E., Fink, A. and Radocha, L., </w:t>
      </w:r>
      <w:r>
        <w:rPr>
          <w:rFonts w:ascii="Calibri" w:hAnsi="Calibri" w:cs="Calibri"/>
          <w:color w:val="000000"/>
        </w:rPr>
        <w:t>(</w:t>
      </w:r>
      <w:r w:rsidRPr="007C28F6">
        <w:rPr>
          <w:rFonts w:ascii="Calibri" w:hAnsi="Calibri" w:cs="Calibri"/>
          <w:color w:val="000000"/>
        </w:rPr>
        <w:t>2025</w:t>
      </w:r>
      <w:r>
        <w:rPr>
          <w:rFonts w:ascii="Calibri" w:hAnsi="Calibri" w:cs="Calibri"/>
          <w:color w:val="000000"/>
        </w:rPr>
        <w:t>).</w:t>
      </w:r>
      <w:r w:rsidRPr="007C28F6">
        <w:rPr>
          <w:rFonts w:ascii="Calibri" w:hAnsi="Calibri" w:cs="Calibri"/>
          <w:color w:val="000000"/>
        </w:rPr>
        <w:t xml:space="preserve"> </w:t>
      </w:r>
      <w:r w:rsidRPr="00F84B95">
        <w:rPr>
          <w:rFonts w:ascii="Calibri" w:hAnsi="Calibri" w:cs="Calibri"/>
          <w:color w:val="000000"/>
        </w:rPr>
        <w:t xml:space="preserve">Inclusive practices for aging in place: Environmental and home modifications for older adults. </w:t>
      </w:r>
      <w:r w:rsidRPr="00F84B95">
        <w:rPr>
          <w:rFonts w:ascii="Calibri" w:hAnsi="Calibri" w:cs="Calibri"/>
          <w:i/>
          <w:iCs/>
          <w:color w:val="000000"/>
        </w:rPr>
        <w:t>American Journal of Occupational Therapy,</w:t>
      </w:r>
      <w:r w:rsidRPr="007C28F6">
        <w:rPr>
          <w:rFonts w:ascii="Calibri" w:hAnsi="Calibri" w:cs="Calibri"/>
          <w:color w:val="000000"/>
        </w:rPr>
        <w:t xml:space="preserve"> 79(2), pp.1–12.</w:t>
      </w:r>
      <w:r w:rsidRPr="007C28F6">
        <w:rPr>
          <w:rFonts w:ascii="Calibri" w:hAnsi="Calibri" w:cs="Calibri"/>
          <w:color w:val="000000"/>
        </w:rPr>
        <w:br/>
        <w:t>DOI: 10.5014/ajot.2025.07902180220</w:t>
      </w:r>
    </w:p>
    <w:p w14:paraId="52BD9109" w14:textId="77777777" w:rsidR="00610040" w:rsidRDefault="00610040" w:rsidP="00610040">
      <w:pPr>
        <w:pStyle w:val="NormalWeb"/>
        <w:rPr>
          <w:rFonts w:ascii="Calibri" w:hAnsi="Calibri" w:cs="Calibri"/>
          <w:color w:val="000000"/>
          <w:sz w:val="27"/>
          <w:szCs w:val="27"/>
        </w:rPr>
      </w:pPr>
    </w:p>
    <w:p w14:paraId="28417AB8" w14:textId="77777777" w:rsidR="00610040" w:rsidRDefault="00610040" w:rsidP="00610040">
      <w:pPr>
        <w:pStyle w:val="NormalWeb"/>
        <w:rPr>
          <w:rFonts w:ascii="Calibri" w:hAnsi="Calibri" w:cs="Calibri"/>
          <w:color w:val="000000"/>
          <w:sz w:val="27"/>
          <w:szCs w:val="27"/>
        </w:rPr>
      </w:pPr>
    </w:p>
    <w:p w14:paraId="705C1CA0" w14:textId="77777777" w:rsidR="00610040" w:rsidRDefault="00610040" w:rsidP="00610040">
      <w:pPr>
        <w:pStyle w:val="NormalWeb"/>
        <w:rPr>
          <w:rFonts w:ascii="Calibri" w:hAnsi="Calibri" w:cs="Calibri"/>
          <w:color w:val="000000"/>
          <w:sz w:val="27"/>
          <w:szCs w:val="27"/>
        </w:rPr>
      </w:pPr>
    </w:p>
    <w:p w14:paraId="0E71DAFF" w14:textId="77777777" w:rsidR="00610040" w:rsidRDefault="00610040" w:rsidP="00610040">
      <w:pPr>
        <w:pStyle w:val="NormalWeb"/>
        <w:rPr>
          <w:rFonts w:ascii="Calibri" w:hAnsi="Calibri" w:cs="Calibri"/>
          <w:color w:val="000000"/>
          <w:sz w:val="27"/>
          <w:szCs w:val="27"/>
        </w:rPr>
      </w:pPr>
    </w:p>
    <w:p w14:paraId="14C80B8C" w14:textId="77777777" w:rsidR="00610040" w:rsidRDefault="00610040" w:rsidP="00610040">
      <w:pPr>
        <w:pStyle w:val="NormalWeb"/>
        <w:rPr>
          <w:rFonts w:ascii="Calibri" w:hAnsi="Calibri" w:cs="Calibri"/>
          <w:color w:val="000000"/>
          <w:sz w:val="27"/>
          <w:szCs w:val="27"/>
        </w:rPr>
      </w:pPr>
    </w:p>
    <w:p w14:paraId="3072BEB6" w14:textId="77777777" w:rsidR="00610040" w:rsidRDefault="00610040" w:rsidP="00610040">
      <w:pPr>
        <w:pStyle w:val="NormalWeb"/>
        <w:rPr>
          <w:rFonts w:ascii="Calibri" w:hAnsi="Calibri" w:cs="Calibri"/>
          <w:color w:val="000000"/>
          <w:sz w:val="27"/>
          <w:szCs w:val="27"/>
        </w:rPr>
      </w:pPr>
    </w:p>
    <w:p w14:paraId="6E772849" w14:textId="77777777" w:rsidR="00610040" w:rsidRDefault="00610040" w:rsidP="00610040">
      <w:pPr>
        <w:pStyle w:val="NormalWeb"/>
        <w:rPr>
          <w:rFonts w:ascii="Calibri" w:hAnsi="Calibri" w:cs="Calibri"/>
          <w:color w:val="000000"/>
          <w:sz w:val="27"/>
          <w:szCs w:val="27"/>
        </w:rPr>
      </w:pPr>
    </w:p>
    <w:p w14:paraId="0D4BFA7A" w14:textId="77777777" w:rsidR="00610040" w:rsidRDefault="00610040" w:rsidP="00610040">
      <w:pPr>
        <w:pStyle w:val="NormalWeb"/>
        <w:rPr>
          <w:rFonts w:ascii="Calibri" w:hAnsi="Calibri" w:cs="Calibri"/>
          <w:color w:val="000000"/>
          <w:sz w:val="27"/>
          <w:szCs w:val="27"/>
        </w:rPr>
      </w:pPr>
    </w:p>
    <w:p w14:paraId="1CF35C44" w14:textId="77777777" w:rsidR="00610040" w:rsidRDefault="00610040" w:rsidP="00610040">
      <w:pPr>
        <w:pStyle w:val="NormalWeb"/>
        <w:rPr>
          <w:rFonts w:ascii="Calibri" w:hAnsi="Calibri" w:cs="Calibri"/>
          <w:color w:val="000000"/>
          <w:sz w:val="27"/>
          <w:szCs w:val="27"/>
        </w:rPr>
      </w:pPr>
    </w:p>
    <w:p w14:paraId="6571E165" w14:textId="77777777" w:rsidR="00610040" w:rsidRDefault="00610040" w:rsidP="00610040">
      <w:pPr>
        <w:pStyle w:val="NormalWeb"/>
        <w:rPr>
          <w:rFonts w:ascii="Calibri" w:hAnsi="Calibri" w:cs="Calibri"/>
          <w:color w:val="000000"/>
          <w:sz w:val="27"/>
          <w:szCs w:val="27"/>
        </w:rPr>
      </w:pPr>
    </w:p>
    <w:p w14:paraId="40FFFAB7" w14:textId="77777777" w:rsidR="00610040" w:rsidRPr="00610040" w:rsidRDefault="00610040" w:rsidP="00610040">
      <w:pPr>
        <w:pStyle w:val="NormalWeb"/>
        <w:rPr>
          <w:rFonts w:ascii="Calibri" w:hAnsi="Calibri" w:cs="Calibri"/>
          <w:color w:val="000000"/>
          <w:sz w:val="27"/>
          <w:szCs w:val="27"/>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10040" w:rsidRPr="00610040" w14:paraId="7C55C2D9" w14:textId="77777777">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37420F67" w14:textId="77777777" w:rsidR="00610040" w:rsidRPr="00610040" w:rsidRDefault="00610040" w:rsidP="00610040">
            <w:pPr>
              <w:pStyle w:val="NormalWeb"/>
              <w:rPr>
                <w:rFonts w:ascii="Calibri" w:hAnsi="Calibri" w:cs="Calibri"/>
                <w:color w:val="000000"/>
                <w:sz w:val="27"/>
                <w:szCs w:val="27"/>
              </w:rPr>
            </w:pPr>
            <w:r w:rsidRPr="00610040">
              <w:rPr>
                <w:rFonts w:ascii="Calibri" w:hAnsi="Calibri" w:cs="Calibri"/>
                <w:color w:val="000000"/>
                <w:sz w:val="27"/>
                <w:szCs w:val="27"/>
              </w:rPr>
              <w:br w:type="page"/>
            </w:r>
            <w:r w:rsidRPr="00610040">
              <w:rPr>
                <w:rFonts w:ascii="Calibri" w:hAnsi="Calibri" w:cs="Calibri"/>
                <w:b/>
                <w:color w:val="000000"/>
                <w:sz w:val="27"/>
                <w:szCs w:val="27"/>
              </w:rPr>
              <w:t xml:space="preserve">     Student FEEDBACK FORM</w:t>
            </w:r>
          </w:p>
        </w:tc>
      </w:tr>
    </w:tbl>
    <w:p w14:paraId="0120F646" w14:textId="77777777" w:rsidR="00610040" w:rsidRPr="00610040" w:rsidRDefault="00610040" w:rsidP="00610040">
      <w:pPr>
        <w:pStyle w:val="NormalWeb"/>
        <w:rPr>
          <w:rFonts w:ascii="Calibri" w:hAnsi="Calibri" w:cs="Calibri"/>
          <w:color w:val="000000"/>
          <w:sz w:val="27"/>
          <w:szCs w:val="27"/>
        </w:rPr>
      </w:pPr>
    </w:p>
    <w:p w14:paraId="68947D38" w14:textId="77777777" w:rsidR="00610040" w:rsidRPr="00610040" w:rsidRDefault="00610040" w:rsidP="00610040">
      <w:pPr>
        <w:pStyle w:val="NormalWeb"/>
        <w:rPr>
          <w:rFonts w:ascii="Calibri" w:hAnsi="Calibri" w:cs="Calibri"/>
          <w:color w:val="000000"/>
          <w:sz w:val="27"/>
          <w:szCs w:val="27"/>
        </w:rPr>
      </w:pPr>
      <w:r w:rsidRPr="00610040">
        <w:rPr>
          <w:rFonts w:ascii="Calibri" w:hAnsi="Calibri" w:cs="Calibri"/>
          <w:color w:val="000000"/>
          <w:sz w:val="27"/>
          <w:szCs w:val="27"/>
        </w:rPr>
        <w:t xml:space="preserve">This section details the </w:t>
      </w:r>
      <w:r w:rsidRPr="00610040">
        <w:rPr>
          <w:rFonts w:ascii="Calibri" w:hAnsi="Calibri" w:cs="Calibri"/>
          <w:i/>
          <w:color w:val="000000"/>
          <w:sz w:val="27"/>
          <w:szCs w:val="27"/>
        </w:rPr>
        <w:t>extent</w:t>
      </w:r>
      <w:r w:rsidRPr="00610040">
        <w:rPr>
          <w:rFonts w:ascii="Calibri" w:hAnsi="Calibri" w:cs="Calibri"/>
          <w:color w:val="000000"/>
          <w:sz w:val="27"/>
          <w:szCs w:val="27"/>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94CA7A" w14:textId="77777777" w:rsidR="00610040" w:rsidRPr="00610040" w:rsidRDefault="00610040" w:rsidP="00610040">
      <w:pPr>
        <w:pStyle w:val="NormalWeb"/>
        <w:rPr>
          <w:rFonts w:ascii="Calibri" w:hAnsi="Calibri" w:cs="Calibri"/>
          <w:b/>
          <w:color w:val="000000"/>
          <w:sz w:val="27"/>
          <w:szCs w:val="27"/>
        </w:rPr>
        <w:sectPr w:rsidR="00610040" w:rsidRPr="00610040" w:rsidSect="00610040">
          <w:pgSz w:w="11894" w:h="16834"/>
          <w:pgMar w:top="720" w:right="720" w:bottom="720" w:left="720" w:header="706" w:footer="454" w:gutter="0"/>
          <w:paperSrc w:first="1" w:other="1"/>
          <w:cols w:space="720"/>
        </w:sectPr>
      </w:pPr>
    </w:p>
    <w:p w14:paraId="1E28764D" w14:textId="77777777" w:rsidR="00610040" w:rsidRPr="00610040" w:rsidRDefault="00610040" w:rsidP="00610040">
      <w:pPr>
        <w:pStyle w:val="NormalWeb"/>
        <w:rPr>
          <w:rFonts w:ascii="Calibri" w:hAnsi="Calibri" w:cs="Calibri"/>
          <w:b/>
          <w:color w:val="000000"/>
          <w:sz w:val="27"/>
          <w:szCs w:val="27"/>
        </w:rPr>
      </w:pPr>
    </w:p>
    <w:tbl>
      <w:tblPr>
        <w:tblW w:w="5000" w:type="pct"/>
        <w:tblLook w:val="04A0" w:firstRow="1" w:lastRow="0" w:firstColumn="1" w:lastColumn="0" w:noHBand="0" w:noVBand="1"/>
      </w:tblPr>
      <w:tblGrid>
        <w:gridCol w:w="7275"/>
        <w:gridCol w:w="561"/>
        <w:gridCol w:w="1180"/>
      </w:tblGrid>
      <w:tr w:rsidR="00610040" w:rsidRPr="00610040" w14:paraId="74E41144" w14:textId="77777777">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14F227F" w14:textId="77777777" w:rsidR="00610040" w:rsidRPr="00610040" w:rsidRDefault="00610040" w:rsidP="00610040">
            <w:pPr>
              <w:pStyle w:val="NormalWeb"/>
              <w:rPr>
                <w:rFonts w:ascii="Calibri" w:hAnsi="Calibri" w:cs="Calibri"/>
                <w:b/>
                <w:color w:val="000000"/>
                <w:sz w:val="27"/>
                <w:szCs w:val="27"/>
              </w:rPr>
            </w:pPr>
            <w:r w:rsidRPr="00610040">
              <w:rPr>
                <w:rFonts w:ascii="Calibri" w:hAnsi="Calibri" w:cs="Calibri"/>
                <w:b/>
                <w:color w:val="000000"/>
                <w:sz w:val="27"/>
                <w:szCs w:val="27"/>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23EB104B" w14:textId="77777777" w:rsidR="00610040" w:rsidRPr="00610040" w:rsidRDefault="00610040" w:rsidP="00610040">
            <w:pPr>
              <w:pStyle w:val="NormalWeb"/>
              <w:rPr>
                <w:rFonts w:ascii="Calibri" w:hAnsi="Calibri" w:cs="Calibri"/>
                <w:b/>
                <w:color w:val="000000"/>
                <w:sz w:val="27"/>
                <w:szCs w:val="27"/>
              </w:rPr>
            </w:pPr>
            <w:r w:rsidRPr="00610040">
              <w:rPr>
                <w:rFonts w:ascii="Calibri" w:hAnsi="Calibri" w:cs="Calibri"/>
                <w:b/>
                <w:color w:val="000000"/>
                <w:sz w:val="27"/>
                <w:szCs w:val="27"/>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0BDCE2E5" w14:textId="77777777" w:rsidR="00610040" w:rsidRPr="00610040" w:rsidRDefault="00610040" w:rsidP="00610040">
            <w:pPr>
              <w:pStyle w:val="NormalWeb"/>
              <w:rPr>
                <w:rFonts w:ascii="Calibri" w:hAnsi="Calibri" w:cs="Calibri"/>
                <w:b/>
                <w:color w:val="000000"/>
                <w:sz w:val="27"/>
                <w:szCs w:val="27"/>
              </w:rPr>
            </w:pPr>
            <w:r w:rsidRPr="00610040">
              <w:rPr>
                <w:rFonts w:ascii="Calibri" w:hAnsi="Calibri" w:cs="Calibri"/>
                <w:b/>
                <w:color w:val="000000"/>
                <w:sz w:val="27"/>
                <w:szCs w:val="27"/>
              </w:rPr>
              <w:t xml:space="preserve">Marks </w:t>
            </w:r>
          </w:p>
          <w:p w14:paraId="33F90FE8" w14:textId="77777777" w:rsidR="00610040" w:rsidRPr="00610040" w:rsidRDefault="00610040" w:rsidP="00610040">
            <w:pPr>
              <w:pStyle w:val="NormalWeb"/>
              <w:rPr>
                <w:rFonts w:ascii="Calibri" w:hAnsi="Calibri" w:cs="Calibri"/>
                <w:b/>
                <w:color w:val="000000"/>
                <w:sz w:val="27"/>
                <w:szCs w:val="27"/>
              </w:rPr>
            </w:pPr>
            <w:r w:rsidRPr="00610040">
              <w:rPr>
                <w:rFonts w:ascii="Calibri" w:hAnsi="Calibri" w:cs="Calibri"/>
                <w:b/>
                <w:color w:val="000000"/>
                <w:sz w:val="27"/>
                <w:szCs w:val="27"/>
              </w:rPr>
              <w:t>awarded</w:t>
            </w:r>
          </w:p>
        </w:tc>
      </w:tr>
      <w:tr w:rsidR="00610040" w:rsidRPr="00610040" w14:paraId="12378269"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6C7763AC" w14:textId="77777777" w:rsidR="00610040" w:rsidRPr="00610040" w:rsidRDefault="00610040" w:rsidP="00610040">
            <w:pPr>
              <w:pStyle w:val="NormalWeb"/>
              <w:rPr>
                <w:rFonts w:ascii="Calibri" w:hAnsi="Calibri" w:cs="Calibri"/>
                <w:b/>
                <w:color w:val="000000"/>
                <w:sz w:val="27"/>
                <w:szCs w:val="27"/>
              </w:rPr>
            </w:pPr>
            <w:r w:rsidRPr="00610040">
              <w:rPr>
                <w:rFonts w:ascii="Calibri" w:hAnsi="Calibri" w:cs="Calibri"/>
                <w:b/>
                <w:color w:val="000000"/>
                <w:sz w:val="27"/>
                <w:szCs w:val="27"/>
              </w:rPr>
              <w:t>1. Engagement with Literature Skills</w:t>
            </w:r>
          </w:p>
          <w:p w14:paraId="3B37B4FF" w14:textId="77777777" w:rsidR="00610040" w:rsidRPr="00610040" w:rsidRDefault="00610040" w:rsidP="00610040">
            <w:pPr>
              <w:pStyle w:val="NormalWeb"/>
              <w:rPr>
                <w:rFonts w:ascii="Calibri" w:hAnsi="Calibri" w:cs="Calibri"/>
                <w:color w:val="000000"/>
                <w:sz w:val="27"/>
                <w:szCs w:val="27"/>
              </w:rPr>
            </w:pPr>
            <w:r w:rsidRPr="00610040">
              <w:rPr>
                <w:rFonts w:ascii="Calibri" w:hAnsi="Calibri" w:cs="Calibri"/>
                <w:color w:val="000000"/>
                <w:sz w:val="27"/>
                <w:szCs w:val="27"/>
              </w:rPr>
              <w:t>.</w:t>
            </w:r>
          </w:p>
        </w:tc>
        <w:tc>
          <w:tcPr>
            <w:tcW w:w="416" w:type="pct"/>
            <w:tcBorders>
              <w:top w:val="single" w:sz="4" w:space="0" w:color="auto"/>
              <w:left w:val="single" w:sz="4" w:space="0" w:color="auto"/>
              <w:bottom w:val="nil"/>
              <w:right w:val="single" w:sz="4" w:space="0" w:color="auto"/>
            </w:tcBorders>
            <w:shd w:val="clear" w:color="auto" w:fill="D9D9D9"/>
          </w:tcPr>
          <w:p w14:paraId="632769AF"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E509D" w14:textId="77777777" w:rsidR="00610040" w:rsidRPr="00610040" w:rsidRDefault="00610040" w:rsidP="00610040">
            <w:pPr>
              <w:pStyle w:val="NormalWeb"/>
              <w:rPr>
                <w:rFonts w:ascii="Calibri" w:hAnsi="Calibri" w:cs="Calibri"/>
                <w:color w:val="000000"/>
                <w:sz w:val="27"/>
                <w:szCs w:val="27"/>
              </w:rPr>
            </w:pPr>
          </w:p>
        </w:tc>
      </w:tr>
      <w:tr w:rsidR="00610040" w:rsidRPr="00610040" w14:paraId="5D6C390D" w14:textId="7777777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692B4DB" w14:textId="77777777" w:rsidR="00610040" w:rsidRPr="00610040" w:rsidRDefault="00610040" w:rsidP="00610040">
            <w:pPr>
              <w:pStyle w:val="NormalWeb"/>
              <w:rPr>
                <w:rFonts w:ascii="Calibri" w:hAnsi="Calibri" w:cs="Calibri"/>
                <w:color w:val="000000"/>
                <w:sz w:val="27"/>
                <w:szCs w:val="27"/>
              </w:rPr>
            </w:pPr>
          </w:p>
          <w:p w14:paraId="75313708" w14:textId="77777777" w:rsidR="00610040" w:rsidRPr="00610040" w:rsidRDefault="00610040" w:rsidP="00610040">
            <w:pPr>
              <w:pStyle w:val="NormalWeb"/>
              <w:rPr>
                <w:rFonts w:ascii="Calibri" w:hAnsi="Calibri" w:cs="Calibri"/>
                <w:color w:val="000000"/>
                <w:sz w:val="27"/>
                <w:szCs w:val="27"/>
              </w:rPr>
            </w:pPr>
          </w:p>
          <w:p w14:paraId="7C19294F" w14:textId="77777777" w:rsidR="00610040" w:rsidRPr="00610040" w:rsidRDefault="00610040" w:rsidP="00610040">
            <w:pPr>
              <w:pStyle w:val="NormalWeb"/>
              <w:rPr>
                <w:rFonts w:ascii="Calibri" w:hAnsi="Calibri" w:cs="Calibri"/>
                <w:color w:val="000000"/>
                <w:sz w:val="27"/>
                <w:szCs w:val="27"/>
              </w:rPr>
            </w:pPr>
          </w:p>
          <w:p w14:paraId="6C52C231" w14:textId="77777777" w:rsidR="00610040" w:rsidRPr="00610040" w:rsidRDefault="00610040" w:rsidP="00610040">
            <w:pPr>
              <w:pStyle w:val="NormalWeb"/>
              <w:rPr>
                <w:rFonts w:ascii="Calibri" w:hAnsi="Calibri" w:cs="Calibri"/>
                <w:color w:val="000000"/>
                <w:sz w:val="27"/>
                <w:szCs w:val="27"/>
              </w:rPr>
            </w:pPr>
          </w:p>
          <w:p w14:paraId="3DF0D3CD" w14:textId="77777777" w:rsidR="00610040" w:rsidRPr="00610040" w:rsidRDefault="00610040" w:rsidP="00610040">
            <w:pPr>
              <w:pStyle w:val="NormalWeb"/>
              <w:rPr>
                <w:rFonts w:ascii="Calibri" w:hAnsi="Calibri" w:cs="Calibri"/>
                <w:color w:val="000000"/>
                <w:sz w:val="27"/>
                <w:szCs w:val="27"/>
              </w:rPr>
            </w:pPr>
          </w:p>
          <w:p w14:paraId="5AFA3F01"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nil"/>
              <w:right w:val="single" w:sz="4" w:space="0" w:color="auto"/>
            </w:tcBorders>
          </w:tcPr>
          <w:p w14:paraId="4D4FF9E8" w14:textId="77777777" w:rsidR="00610040" w:rsidRPr="00610040" w:rsidRDefault="00610040" w:rsidP="00610040">
            <w:pPr>
              <w:pStyle w:val="NormalWeb"/>
              <w:rPr>
                <w:rFonts w:ascii="Calibri" w:hAnsi="Calibri" w:cs="Calibri"/>
                <w:color w:val="000000"/>
                <w:sz w:val="27"/>
                <w:szCs w:val="27"/>
              </w:rPr>
            </w:pPr>
          </w:p>
          <w:p w14:paraId="10330C61" w14:textId="77777777" w:rsidR="00610040" w:rsidRPr="00610040" w:rsidRDefault="00610040" w:rsidP="00610040">
            <w:pPr>
              <w:pStyle w:val="NormalWeb"/>
              <w:rPr>
                <w:rFonts w:ascii="Calibri" w:hAnsi="Calibri" w:cs="Calibri"/>
                <w:color w:val="000000"/>
                <w:sz w:val="27"/>
                <w:szCs w:val="27"/>
              </w:rPr>
            </w:pPr>
            <w:r w:rsidRPr="00610040">
              <w:rPr>
                <w:rFonts w:ascii="Calibri" w:hAnsi="Calibri" w:cs="Calibri"/>
                <w:color w:val="000000"/>
                <w:sz w:val="27"/>
                <w:szCs w:val="27"/>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16EA993" w14:textId="77777777" w:rsidR="00610040" w:rsidRPr="00610040" w:rsidRDefault="00610040" w:rsidP="00610040">
            <w:pPr>
              <w:pStyle w:val="NormalWeb"/>
              <w:rPr>
                <w:rFonts w:ascii="Calibri" w:hAnsi="Calibri" w:cs="Calibri"/>
                <w:color w:val="000000"/>
                <w:sz w:val="27"/>
                <w:szCs w:val="27"/>
              </w:rPr>
            </w:pPr>
          </w:p>
        </w:tc>
      </w:tr>
      <w:tr w:rsidR="00610040" w:rsidRPr="00610040" w14:paraId="1E288860" w14:textId="7777777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D5A0F6" w14:textId="77777777" w:rsidR="00610040" w:rsidRPr="00610040" w:rsidRDefault="00610040" w:rsidP="00610040">
            <w:pPr>
              <w:pStyle w:val="NormalWeb"/>
              <w:rPr>
                <w:rFonts w:ascii="Calibri" w:hAnsi="Calibri" w:cs="Calibri"/>
                <w:color w:val="000000"/>
                <w:sz w:val="27"/>
                <w:szCs w:val="27"/>
              </w:rPr>
            </w:pPr>
          </w:p>
        </w:tc>
        <w:tc>
          <w:tcPr>
            <w:tcW w:w="416" w:type="pct"/>
            <w:tcBorders>
              <w:top w:val="nil"/>
              <w:left w:val="single" w:sz="4" w:space="0" w:color="auto"/>
              <w:bottom w:val="single" w:sz="4" w:space="0" w:color="auto"/>
              <w:right w:val="single" w:sz="4" w:space="0" w:color="auto"/>
            </w:tcBorders>
          </w:tcPr>
          <w:p w14:paraId="6D8CACCB" w14:textId="77777777" w:rsidR="00610040" w:rsidRPr="00610040" w:rsidRDefault="00610040" w:rsidP="00610040">
            <w:pPr>
              <w:pStyle w:val="NormalWeb"/>
              <w:rPr>
                <w:rFonts w:ascii="Calibri" w:hAnsi="Calibri" w:cs="Calibri"/>
                <w:color w:val="000000"/>
                <w:sz w:val="27"/>
                <w:szCs w:val="27"/>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CDE720" w14:textId="77777777" w:rsidR="00610040" w:rsidRPr="00610040" w:rsidRDefault="00610040" w:rsidP="00610040">
            <w:pPr>
              <w:pStyle w:val="NormalWeb"/>
              <w:rPr>
                <w:rFonts w:ascii="Calibri" w:hAnsi="Calibri" w:cs="Calibri"/>
                <w:color w:val="000000"/>
                <w:sz w:val="27"/>
                <w:szCs w:val="27"/>
              </w:rPr>
            </w:pPr>
          </w:p>
        </w:tc>
      </w:tr>
      <w:tr w:rsidR="00610040" w:rsidRPr="00610040" w14:paraId="6FBEDD46"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40484DF" w14:textId="77777777" w:rsidR="00610040" w:rsidRPr="00610040" w:rsidRDefault="00610040" w:rsidP="00610040">
            <w:pPr>
              <w:pStyle w:val="NormalWeb"/>
              <w:rPr>
                <w:rFonts w:ascii="Calibri" w:hAnsi="Calibri" w:cs="Calibri"/>
                <w:b/>
                <w:color w:val="000000"/>
                <w:sz w:val="27"/>
                <w:szCs w:val="27"/>
              </w:rPr>
            </w:pPr>
            <w:r w:rsidRPr="00610040">
              <w:rPr>
                <w:rFonts w:ascii="Calibri" w:hAnsi="Calibri" w:cs="Calibri"/>
                <w:b/>
                <w:color w:val="000000"/>
                <w:sz w:val="27"/>
                <w:szCs w:val="27"/>
              </w:rPr>
              <w:t>2. Knowledge and Understanding Skills</w:t>
            </w:r>
          </w:p>
          <w:p w14:paraId="0C6A291F"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nil"/>
              <w:right w:val="single" w:sz="4" w:space="0" w:color="auto"/>
            </w:tcBorders>
            <w:shd w:val="clear" w:color="auto" w:fill="D9D9D9"/>
          </w:tcPr>
          <w:p w14:paraId="5FB83006"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174500" w14:textId="77777777" w:rsidR="00610040" w:rsidRPr="00610040" w:rsidRDefault="00610040" w:rsidP="00610040">
            <w:pPr>
              <w:pStyle w:val="NormalWeb"/>
              <w:rPr>
                <w:rFonts w:ascii="Calibri" w:hAnsi="Calibri" w:cs="Calibri"/>
                <w:color w:val="000000"/>
                <w:sz w:val="27"/>
                <w:szCs w:val="27"/>
              </w:rPr>
            </w:pPr>
          </w:p>
        </w:tc>
      </w:tr>
      <w:tr w:rsidR="00610040" w:rsidRPr="00610040" w14:paraId="34F8EC9D" w14:textId="7777777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83BC330" w14:textId="77777777" w:rsidR="00610040" w:rsidRPr="00610040" w:rsidRDefault="00610040" w:rsidP="00610040">
            <w:pPr>
              <w:pStyle w:val="NormalWeb"/>
              <w:rPr>
                <w:rFonts w:ascii="Calibri" w:hAnsi="Calibri" w:cs="Calibri"/>
                <w:color w:val="000000"/>
                <w:sz w:val="27"/>
                <w:szCs w:val="27"/>
              </w:rPr>
            </w:pPr>
          </w:p>
          <w:p w14:paraId="77BBCC8B" w14:textId="77777777" w:rsidR="00610040" w:rsidRPr="00610040" w:rsidRDefault="00610040" w:rsidP="00610040">
            <w:pPr>
              <w:pStyle w:val="NormalWeb"/>
              <w:rPr>
                <w:rFonts w:ascii="Calibri" w:hAnsi="Calibri" w:cs="Calibri"/>
                <w:color w:val="000000"/>
                <w:sz w:val="27"/>
                <w:szCs w:val="27"/>
              </w:rPr>
            </w:pPr>
          </w:p>
          <w:p w14:paraId="7AA2F4F7" w14:textId="77777777" w:rsidR="00610040" w:rsidRPr="00610040" w:rsidRDefault="00610040" w:rsidP="00610040">
            <w:pPr>
              <w:pStyle w:val="NormalWeb"/>
              <w:rPr>
                <w:rFonts w:ascii="Calibri" w:hAnsi="Calibri" w:cs="Calibri"/>
                <w:color w:val="000000"/>
                <w:sz w:val="27"/>
                <w:szCs w:val="27"/>
              </w:rPr>
            </w:pPr>
          </w:p>
          <w:p w14:paraId="589CAD54" w14:textId="77777777" w:rsidR="00610040" w:rsidRPr="00610040" w:rsidRDefault="00610040" w:rsidP="00610040">
            <w:pPr>
              <w:pStyle w:val="NormalWeb"/>
              <w:rPr>
                <w:rFonts w:ascii="Calibri" w:hAnsi="Calibri" w:cs="Calibri"/>
                <w:color w:val="000000"/>
                <w:sz w:val="27"/>
                <w:szCs w:val="27"/>
              </w:rPr>
            </w:pPr>
          </w:p>
          <w:p w14:paraId="0DB24443" w14:textId="77777777" w:rsidR="00610040" w:rsidRPr="00610040" w:rsidRDefault="00610040" w:rsidP="00610040">
            <w:pPr>
              <w:pStyle w:val="NormalWeb"/>
              <w:rPr>
                <w:rFonts w:ascii="Calibri" w:hAnsi="Calibri" w:cs="Calibri"/>
                <w:color w:val="000000"/>
                <w:sz w:val="27"/>
                <w:szCs w:val="27"/>
              </w:rPr>
            </w:pPr>
          </w:p>
          <w:p w14:paraId="0AF18287"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nil"/>
              <w:right w:val="single" w:sz="4" w:space="0" w:color="auto"/>
            </w:tcBorders>
          </w:tcPr>
          <w:p w14:paraId="6E2933C1" w14:textId="77777777" w:rsidR="00610040" w:rsidRPr="00610040" w:rsidRDefault="00610040" w:rsidP="00610040">
            <w:pPr>
              <w:pStyle w:val="NormalWeb"/>
              <w:rPr>
                <w:rFonts w:ascii="Calibri" w:hAnsi="Calibri" w:cs="Calibri"/>
                <w:color w:val="000000"/>
                <w:sz w:val="27"/>
                <w:szCs w:val="27"/>
              </w:rPr>
            </w:pPr>
          </w:p>
          <w:p w14:paraId="3DB37497" w14:textId="77777777" w:rsidR="00610040" w:rsidRPr="00610040" w:rsidRDefault="00610040" w:rsidP="00610040">
            <w:pPr>
              <w:pStyle w:val="NormalWeb"/>
              <w:rPr>
                <w:rFonts w:ascii="Calibri" w:hAnsi="Calibri" w:cs="Calibri"/>
                <w:color w:val="000000"/>
                <w:sz w:val="27"/>
                <w:szCs w:val="27"/>
              </w:rPr>
            </w:pPr>
            <w:r w:rsidRPr="00610040">
              <w:rPr>
                <w:rFonts w:ascii="Calibri" w:hAnsi="Calibri" w:cs="Calibri"/>
                <w:color w:val="000000"/>
                <w:sz w:val="27"/>
                <w:szCs w:val="27"/>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88C99E7" w14:textId="77777777" w:rsidR="00610040" w:rsidRPr="00610040" w:rsidRDefault="00610040" w:rsidP="00610040">
            <w:pPr>
              <w:pStyle w:val="NormalWeb"/>
              <w:rPr>
                <w:rFonts w:ascii="Calibri" w:hAnsi="Calibri" w:cs="Calibri"/>
                <w:color w:val="000000"/>
                <w:sz w:val="27"/>
                <w:szCs w:val="27"/>
              </w:rPr>
            </w:pPr>
          </w:p>
        </w:tc>
      </w:tr>
      <w:tr w:rsidR="00610040" w:rsidRPr="00610040" w14:paraId="2180DDC9" w14:textId="7777777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A17A1" w14:textId="77777777" w:rsidR="00610040" w:rsidRPr="00610040" w:rsidRDefault="00610040" w:rsidP="00610040">
            <w:pPr>
              <w:pStyle w:val="NormalWeb"/>
              <w:rPr>
                <w:rFonts w:ascii="Calibri" w:hAnsi="Calibri" w:cs="Calibri"/>
                <w:color w:val="000000"/>
                <w:sz w:val="27"/>
                <w:szCs w:val="27"/>
              </w:rPr>
            </w:pPr>
          </w:p>
        </w:tc>
        <w:tc>
          <w:tcPr>
            <w:tcW w:w="416" w:type="pct"/>
            <w:tcBorders>
              <w:top w:val="nil"/>
              <w:left w:val="single" w:sz="4" w:space="0" w:color="auto"/>
              <w:bottom w:val="single" w:sz="4" w:space="0" w:color="auto"/>
              <w:right w:val="single" w:sz="4" w:space="0" w:color="auto"/>
            </w:tcBorders>
          </w:tcPr>
          <w:p w14:paraId="4E895819" w14:textId="77777777" w:rsidR="00610040" w:rsidRPr="00610040" w:rsidRDefault="00610040" w:rsidP="00610040">
            <w:pPr>
              <w:pStyle w:val="NormalWeb"/>
              <w:rPr>
                <w:rFonts w:ascii="Calibri" w:hAnsi="Calibri" w:cs="Calibri"/>
                <w:color w:val="000000"/>
                <w:sz w:val="27"/>
                <w:szCs w:val="27"/>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05A468" w14:textId="77777777" w:rsidR="00610040" w:rsidRPr="00610040" w:rsidRDefault="00610040" w:rsidP="00610040">
            <w:pPr>
              <w:pStyle w:val="NormalWeb"/>
              <w:rPr>
                <w:rFonts w:ascii="Calibri" w:hAnsi="Calibri" w:cs="Calibri"/>
                <w:color w:val="000000"/>
                <w:sz w:val="27"/>
                <w:szCs w:val="27"/>
              </w:rPr>
            </w:pPr>
          </w:p>
        </w:tc>
      </w:tr>
      <w:tr w:rsidR="00610040" w:rsidRPr="00610040" w14:paraId="23CD1774"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7C91DBE" w14:textId="77777777" w:rsidR="00610040" w:rsidRPr="00610040" w:rsidRDefault="00610040" w:rsidP="00610040">
            <w:pPr>
              <w:pStyle w:val="NormalWeb"/>
              <w:rPr>
                <w:rFonts w:ascii="Calibri" w:hAnsi="Calibri" w:cs="Calibri"/>
                <w:b/>
                <w:color w:val="000000"/>
                <w:sz w:val="27"/>
                <w:szCs w:val="27"/>
              </w:rPr>
            </w:pPr>
            <w:r w:rsidRPr="00610040">
              <w:rPr>
                <w:rFonts w:ascii="Calibri" w:hAnsi="Calibri" w:cs="Calibri"/>
                <w:b/>
                <w:color w:val="000000"/>
                <w:sz w:val="27"/>
                <w:szCs w:val="27"/>
              </w:rPr>
              <w:t>3. Cognitive and Intellectual Skills</w:t>
            </w:r>
          </w:p>
          <w:p w14:paraId="2986E4EE"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nil"/>
              <w:right w:val="single" w:sz="4" w:space="0" w:color="auto"/>
            </w:tcBorders>
            <w:shd w:val="clear" w:color="auto" w:fill="D9D9D9"/>
          </w:tcPr>
          <w:p w14:paraId="37094F4F"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346329" w14:textId="77777777" w:rsidR="00610040" w:rsidRPr="00610040" w:rsidRDefault="00610040" w:rsidP="00610040">
            <w:pPr>
              <w:pStyle w:val="NormalWeb"/>
              <w:rPr>
                <w:rFonts w:ascii="Calibri" w:hAnsi="Calibri" w:cs="Calibri"/>
                <w:color w:val="000000"/>
                <w:sz w:val="27"/>
                <w:szCs w:val="27"/>
              </w:rPr>
            </w:pPr>
          </w:p>
        </w:tc>
      </w:tr>
      <w:tr w:rsidR="00610040" w:rsidRPr="00610040" w14:paraId="70B989EC" w14:textId="7777777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E0984DA" w14:textId="77777777" w:rsidR="00610040" w:rsidRPr="00610040" w:rsidRDefault="00610040" w:rsidP="00610040">
            <w:pPr>
              <w:pStyle w:val="NormalWeb"/>
              <w:rPr>
                <w:rFonts w:ascii="Calibri" w:hAnsi="Calibri" w:cs="Calibri"/>
                <w:color w:val="000000"/>
                <w:sz w:val="27"/>
                <w:szCs w:val="27"/>
              </w:rPr>
            </w:pPr>
          </w:p>
          <w:p w14:paraId="1E3A4C28" w14:textId="77777777" w:rsidR="00610040" w:rsidRPr="00610040" w:rsidRDefault="00610040" w:rsidP="00610040">
            <w:pPr>
              <w:pStyle w:val="NormalWeb"/>
              <w:rPr>
                <w:rFonts w:ascii="Calibri" w:hAnsi="Calibri" w:cs="Calibri"/>
                <w:color w:val="000000"/>
                <w:sz w:val="27"/>
                <w:szCs w:val="27"/>
              </w:rPr>
            </w:pPr>
          </w:p>
          <w:p w14:paraId="3D884D68" w14:textId="77777777" w:rsidR="00610040" w:rsidRPr="00610040" w:rsidRDefault="00610040" w:rsidP="00610040">
            <w:pPr>
              <w:pStyle w:val="NormalWeb"/>
              <w:rPr>
                <w:rFonts w:ascii="Calibri" w:hAnsi="Calibri" w:cs="Calibri"/>
                <w:color w:val="000000"/>
                <w:sz w:val="27"/>
                <w:szCs w:val="27"/>
              </w:rPr>
            </w:pPr>
          </w:p>
          <w:p w14:paraId="310E756F" w14:textId="77777777" w:rsidR="00610040" w:rsidRPr="00610040" w:rsidRDefault="00610040" w:rsidP="00610040">
            <w:pPr>
              <w:pStyle w:val="NormalWeb"/>
              <w:rPr>
                <w:rFonts w:ascii="Calibri" w:hAnsi="Calibri" w:cs="Calibri"/>
                <w:color w:val="000000"/>
                <w:sz w:val="27"/>
                <w:szCs w:val="27"/>
              </w:rPr>
            </w:pPr>
          </w:p>
          <w:p w14:paraId="12BBF752" w14:textId="77777777" w:rsidR="00610040" w:rsidRPr="00610040" w:rsidRDefault="00610040" w:rsidP="00610040">
            <w:pPr>
              <w:pStyle w:val="NormalWeb"/>
              <w:rPr>
                <w:rFonts w:ascii="Calibri" w:hAnsi="Calibri" w:cs="Calibri"/>
                <w:color w:val="000000"/>
                <w:sz w:val="27"/>
                <w:szCs w:val="27"/>
              </w:rPr>
            </w:pPr>
          </w:p>
          <w:p w14:paraId="500BD004"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nil"/>
              <w:right w:val="single" w:sz="4" w:space="0" w:color="auto"/>
            </w:tcBorders>
          </w:tcPr>
          <w:p w14:paraId="70381160" w14:textId="77777777" w:rsidR="00610040" w:rsidRPr="00610040" w:rsidRDefault="00610040" w:rsidP="00610040">
            <w:pPr>
              <w:pStyle w:val="NormalWeb"/>
              <w:rPr>
                <w:rFonts w:ascii="Calibri" w:hAnsi="Calibri" w:cs="Calibri"/>
                <w:color w:val="000000"/>
                <w:sz w:val="27"/>
                <w:szCs w:val="27"/>
              </w:rPr>
            </w:pPr>
          </w:p>
          <w:p w14:paraId="31FF8D9B" w14:textId="77777777" w:rsidR="00610040" w:rsidRPr="00610040" w:rsidRDefault="00610040" w:rsidP="00610040">
            <w:pPr>
              <w:pStyle w:val="NormalWeb"/>
              <w:rPr>
                <w:rFonts w:ascii="Calibri" w:hAnsi="Calibri" w:cs="Calibri"/>
                <w:color w:val="000000"/>
                <w:sz w:val="27"/>
                <w:szCs w:val="27"/>
              </w:rPr>
            </w:pPr>
            <w:r w:rsidRPr="00610040">
              <w:rPr>
                <w:rFonts w:ascii="Calibri" w:hAnsi="Calibri" w:cs="Calibri"/>
                <w:color w:val="000000"/>
                <w:sz w:val="27"/>
                <w:szCs w:val="27"/>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3E8455B" w14:textId="77777777" w:rsidR="00610040" w:rsidRPr="00610040" w:rsidRDefault="00610040" w:rsidP="00610040">
            <w:pPr>
              <w:pStyle w:val="NormalWeb"/>
              <w:rPr>
                <w:rFonts w:ascii="Calibri" w:hAnsi="Calibri" w:cs="Calibri"/>
                <w:color w:val="000000"/>
                <w:sz w:val="27"/>
                <w:szCs w:val="27"/>
              </w:rPr>
            </w:pPr>
          </w:p>
        </w:tc>
      </w:tr>
      <w:tr w:rsidR="00610040" w:rsidRPr="00610040" w14:paraId="1EA284CF" w14:textId="77777777">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ED2915" w14:textId="77777777" w:rsidR="00610040" w:rsidRPr="00610040" w:rsidRDefault="00610040" w:rsidP="00610040">
            <w:pPr>
              <w:pStyle w:val="NormalWeb"/>
              <w:rPr>
                <w:rFonts w:ascii="Calibri" w:hAnsi="Calibri" w:cs="Calibri"/>
                <w:color w:val="000000"/>
                <w:sz w:val="27"/>
                <w:szCs w:val="27"/>
              </w:rPr>
            </w:pPr>
          </w:p>
        </w:tc>
        <w:tc>
          <w:tcPr>
            <w:tcW w:w="416" w:type="pct"/>
            <w:tcBorders>
              <w:top w:val="nil"/>
              <w:left w:val="single" w:sz="4" w:space="0" w:color="auto"/>
              <w:bottom w:val="single" w:sz="4" w:space="0" w:color="auto"/>
              <w:right w:val="single" w:sz="4" w:space="0" w:color="auto"/>
            </w:tcBorders>
          </w:tcPr>
          <w:p w14:paraId="5D4DD854" w14:textId="77777777" w:rsidR="00610040" w:rsidRPr="00610040" w:rsidRDefault="00610040" w:rsidP="00610040">
            <w:pPr>
              <w:pStyle w:val="NormalWeb"/>
              <w:rPr>
                <w:rFonts w:ascii="Calibri" w:hAnsi="Calibri" w:cs="Calibri"/>
                <w:color w:val="000000"/>
                <w:sz w:val="27"/>
                <w:szCs w:val="27"/>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70F638" w14:textId="77777777" w:rsidR="00610040" w:rsidRPr="00610040" w:rsidRDefault="00610040" w:rsidP="00610040">
            <w:pPr>
              <w:pStyle w:val="NormalWeb"/>
              <w:rPr>
                <w:rFonts w:ascii="Calibri" w:hAnsi="Calibri" w:cs="Calibri"/>
                <w:color w:val="000000"/>
                <w:sz w:val="27"/>
                <w:szCs w:val="27"/>
              </w:rPr>
            </w:pPr>
          </w:p>
        </w:tc>
      </w:tr>
      <w:tr w:rsidR="00610040" w:rsidRPr="00610040" w14:paraId="7EE985B4"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BCDB118" w14:textId="77777777" w:rsidR="00610040" w:rsidRPr="00610040" w:rsidRDefault="00610040" w:rsidP="00610040">
            <w:pPr>
              <w:pStyle w:val="NormalWeb"/>
              <w:rPr>
                <w:rFonts w:ascii="Calibri" w:hAnsi="Calibri" w:cs="Calibri"/>
                <w:b/>
                <w:color w:val="000000"/>
                <w:sz w:val="27"/>
                <w:szCs w:val="27"/>
              </w:rPr>
            </w:pPr>
            <w:r w:rsidRPr="00610040">
              <w:rPr>
                <w:rFonts w:ascii="Calibri" w:hAnsi="Calibri" w:cs="Calibri"/>
                <w:b/>
                <w:color w:val="000000"/>
                <w:sz w:val="27"/>
                <w:szCs w:val="27"/>
              </w:rPr>
              <w:t>4. Practical Application Skills</w:t>
            </w:r>
          </w:p>
          <w:p w14:paraId="7D0FD2E3"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nil"/>
              <w:right w:val="single" w:sz="4" w:space="0" w:color="auto"/>
            </w:tcBorders>
            <w:shd w:val="clear" w:color="auto" w:fill="D9D9D9"/>
          </w:tcPr>
          <w:p w14:paraId="631A4141"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463EF2" w14:textId="77777777" w:rsidR="00610040" w:rsidRPr="00610040" w:rsidRDefault="00610040" w:rsidP="00610040">
            <w:pPr>
              <w:pStyle w:val="NormalWeb"/>
              <w:rPr>
                <w:rFonts w:ascii="Calibri" w:hAnsi="Calibri" w:cs="Calibri"/>
                <w:color w:val="000000"/>
                <w:sz w:val="27"/>
                <w:szCs w:val="27"/>
              </w:rPr>
            </w:pPr>
          </w:p>
        </w:tc>
      </w:tr>
      <w:tr w:rsidR="00610040" w:rsidRPr="00610040" w14:paraId="17DD32FB" w14:textId="7777777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FBB48A5" w14:textId="77777777" w:rsidR="00610040" w:rsidRPr="00610040" w:rsidRDefault="00610040" w:rsidP="00610040">
            <w:pPr>
              <w:pStyle w:val="NormalWeb"/>
              <w:rPr>
                <w:rFonts w:ascii="Calibri" w:hAnsi="Calibri" w:cs="Calibri"/>
                <w:color w:val="000000"/>
                <w:sz w:val="27"/>
                <w:szCs w:val="27"/>
              </w:rPr>
            </w:pPr>
          </w:p>
          <w:p w14:paraId="2EDEC9DE" w14:textId="77777777" w:rsidR="00610040" w:rsidRPr="00610040" w:rsidRDefault="00610040" w:rsidP="00610040">
            <w:pPr>
              <w:pStyle w:val="NormalWeb"/>
              <w:rPr>
                <w:rFonts w:ascii="Calibri" w:hAnsi="Calibri" w:cs="Calibri"/>
                <w:color w:val="000000"/>
                <w:sz w:val="27"/>
                <w:szCs w:val="27"/>
              </w:rPr>
            </w:pPr>
          </w:p>
          <w:p w14:paraId="33F32104" w14:textId="77777777" w:rsidR="00610040" w:rsidRPr="00610040" w:rsidRDefault="00610040" w:rsidP="00610040">
            <w:pPr>
              <w:pStyle w:val="NormalWeb"/>
              <w:rPr>
                <w:rFonts w:ascii="Calibri" w:hAnsi="Calibri" w:cs="Calibri"/>
                <w:color w:val="000000"/>
                <w:sz w:val="27"/>
                <w:szCs w:val="27"/>
              </w:rPr>
            </w:pPr>
          </w:p>
          <w:p w14:paraId="1146685A" w14:textId="77777777" w:rsidR="00610040" w:rsidRPr="00610040" w:rsidRDefault="00610040" w:rsidP="00610040">
            <w:pPr>
              <w:pStyle w:val="NormalWeb"/>
              <w:rPr>
                <w:rFonts w:ascii="Calibri" w:hAnsi="Calibri" w:cs="Calibri"/>
                <w:color w:val="000000"/>
                <w:sz w:val="27"/>
                <w:szCs w:val="27"/>
              </w:rPr>
            </w:pPr>
          </w:p>
          <w:p w14:paraId="551E0CA0" w14:textId="77777777" w:rsidR="00610040" w:rsidRPr="00610040" w:rsidRDefault="00610040" w:rsidP="00610040">
            <w:pPr>
              <w:pStyle w:val="NormalWeb"/>
              <w:rPr>
                <w:rFonts w:ascii="Calibri" w:hAnsi="Calibri" w:cs="Calibri"/>
                <w:color w:val="000000"/>
                <w:sz w:val="27"/>
                <w:szCs w:val="27"/>
              </w:rPr>
            </w:pPr>
          </w:p>
          <w:p w14:paraId="7CD73E59"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nil"/>
              <w:right w:val="single" w:sz="4" w:space="0" w:color="auto"/>
            </w:tcBorders>
          </w:tcPr>
          <w:p w14:paraId="687FCF92" w14:textId="77777777" w:rsidR="00610040" w:rsidRPr="00610040" w:rsidRDefault="00610040" w:rsidP="00610040">
            <w:pPr>
              <w:pStyle w:val="NormalWeb"/>
              <w:rPr>
                <w:rFonts w:ascii="Calibri" w:hAnsi="Calibri" w:cs="Calibri"/>
                <w:color w:val="000000"/>
                <w:sz w:val="27"/>
                <w:szCs w:val="27"/>
              </w:rPr>
            </w:pPr>
          </w:p>
          <w:p w14:paraId="0A4AFBF8" w14:textId="77777777" w:rsidR="00610040" w:rsidRPr="00610040" w:rsidRDefault="00610040" w:rsidP="00610040">
            <w:pPr>
              <w:pStyle w:val="NormalWeb"/>
              <w:rPr>
                <w:rFonts w:ascii="Calibri" w:hAnsi="Calibri" w:cs="Calibri"/>
                <w:color w:val="000000"/>
                <w:sz w:val="27"/>
                <w:szCs w:val="27"/>
              </w:rPr>
            </w:pPr>
            <w:r w:rsidRPr="00610040">
              <w:rPr>
                <w:rFonts w:ascii="Calibri" w:hAnsi="Calibri" w:cs="Calibri"/>
                <w:color w:val="000000"/>
                <w:sz w:val="27"/>
                <w:szCs w:val="27"/>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10A18" w14:textId="77777777" w:rsidR="00610040" w:rsidRPr="00610040" w:rsidRDefault="00610040" w:rsidP="00610040">
            <w:pPr>
              <w:pStyle w:val="NormalWeb"/>
              <w:rPr>
                <w:rFonts w:ascii="Calibri" w:hAnsi="Calibri" w:cs="Calibri"/>
                <w:color w:val="000000"/>
                <w:sz w:val="27"/>
                <w:szCs w:val="27"/>
              </w:rPr>
            </w:pPr>
          </w:p>
        </w:tc>
      </w:tr>
      <w:tr w:rsidR="00610040" w:rsidRPr="00610040" w14:paraId="56D98075" w14:textId="7777777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F98F31" w14:textId="77777777" w:rsidR="00610040" w:rsidRPr="00610040" w:rsidRDefault="00610040" w:rsidP="00610040">
            <w:pPr>
              <w:pStyle w:val="NormalWeb"/>
              <w:rPr>
                <w:rFonts w:ascii="Calibri" w:hAnsi="Calibri" w:cs="Calibri"/>
                <w:color w:val="000000"/>
                <w:sz w:val="27"/>
                <w:szCs w:val="27"/>
              </w:rPr>
            </w:pPr>
          </w:p>
        </w:tc>
        <w:tc>
          <w:tcPr>
            <w:tcW w:w="416" w:type="pct"/>
            <w:tcBorders>
              <w:top w:val="nil"/>
              <w:left w:val="single" w:sz="4" w:space="0" w:color="auto"/>
              <w:bottom w:val="single" w:sz="4" w:space="0" w:color="auto"/>
              <w:right w:val="single" w:sz="4" w:space="0" w:color="auto"/>
            </w:tcBorders>
          </w:tcPr>
          <w:p w14:paraId="4FF713A1" w14:textId="77777777" w:rsidR="00610040" w:rsidRPr="00610040" w:rsidRDefault="00610040" w:rsidP="00610040">
            <w:pPr>
              <w:pStyle w:val="NormalWeb"/>
              <w:rPr>
                <w:rFonts w:ascii="Calibri" w:hAnsi="Calibri" w:cs="Calibri"/>
                <w:color w:val="000000"/>
                <w:sz w:val="27"/>
                <w:szCs w:val="27"/>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B8F69B" w14:textId="77777777" w:rsidR="00610040" w:rsidRPr="00610040" w:rsidRDefault="00610040" w:rsidP="00610040">
            <w:pPr>
              <w:pStyle w:val="NormalWeb"/>
              <w:rPr>
                <w:rFonts w:ascii="Calibri" w:hAnsi="Calibri" w:cs="Calibri"/>
                <w:color w:val="000000"/>
                <w:sz w:val="27"/>
                <w:szCs w:val="27"/>
              </w:rPr>
            </w:pPr>
          </w:p>
        </w:tc>
      </w:tr>
      <w:tr w:rsidR="00610040" w:rsidRPr="00610040" w14:paraId="349E7551" w14:textId="77777777">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121F4C6" w14:textId="77777777" w:rsidR="00610040" w:rsidRPr="00610040" w:rsidRDefault="00610040" w:rsidP="00610040">
            <w:pPr>
              <w:pStyle w:val="NormalWeb"/>
              <w:rPr>
                <w:rFonts w:ascii="Calibri" w:hAnsi="Calibri" w:cs="Calibri"/>
                <w:b/>
                <w:color w:val="000000"/>
                <w:sz w:val="27"/>
                <w:szCs w:val="27"/>
              </w:rPr>
            </w:pPr>
            <w:r w:rsidRPr="00610040">
              <w:rPr>
                <w:rFonts w:ascii="Calibri" w:hAnsi="Calibri" w:cs="Calibri"/>
                <w:b/>
                <w:color w:val="000000"/>
                <w:sz w:val="27"/>
                <w:szCs w:val="27"/>
              </w:rPr>
              <w:t>5. Transferable Skills for Life and Professional Practice</w:t>
            </w:r>
          </w:p>
          <w:p w14:paraId="3EB83BD4"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nil"/>
              <w:right w:val="single" w:sz="4" w:space="0" w:color="auto"/>
            </w:tcBorders>
            <w:shd w:val="clear" w:color="auto" w:fill="D9D9D9"/>
          </w:tcPr>
          <w:p w14:paraId="3CDBFD12"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87933" w14:textId="77777777" w:rsidR="00610040" w:rsidRPr="00610040" w:rsidRDefault="00610040" w:rsidP="00610040">
            <w:pPr>
              <w:pStyle w:val="NormalWeb"/>
              <w:rPr>
                <w:rFonts w:ascii="Calibri" w:hAnsi="Calibri" w:cs="Calibri"/>
                <w:color w:val="000000"/>
                <w:sz w:val="27"/>
                <w:szCs w:val="27"/>
              </w:rPr>
            </w:pPr>
          </w:p>
        </w:tc>
      </w:tr>
      <w:tr w:rsidR="00610040" w:rsidRPr="00610040" w14:paraId="1FB8B361" w14:textId="7777777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3E076B75" w14:textId="77777777" w:rsidR="00610040" w:rsidRPr="00610040" w:rsidRDefault="00610040" w:rsidP="00610040">
            <w:pPr>
              <w:pStyle w:val="NormalWeb"/>
              <w:rPr>
                <w:rFonts w:ascii="Calibri" w:hAnsi="Calibri" w:cs="Calibri"/>
                <w:color w:val="000000"/>
                <w:sz w:val="27"/>
                <w:szCs w:val="27"/>
              </w:rPr>
            </w:pPr>
          </w:p>
          <w:p w14:paraId="3DB248D6" w14:textId="77777777" w:rsidR="00610040" w:rsidRPr="00610040" w:rsidRDefault="00610040" w:rsidP="00610040">
            <w:pPr>
              <w:pStyle w:val="NormalWeb"/>
              <w:rPr>
                <w:rFonts w:ascii="Calibri" w:hAnsi="Calibri" w:cs="Calibri"/>
                <w:color w:val="000000"/>
                <w:sz w:val="27"/>
                <w:szCs w:val="27"/>
              </w:rPr>
            </w:pPr>
          </w:p>
          <w:p w14:paraId="7BA111B4" w14:textId="77777777" w:rsidR="00610040" w:rsidRPr="00610040" w:rsidRDefault="00610040" w:rsidP="00610040">
            <w:pPr>
              <w:pStyle w:val="NormalWeb"/>
              <w:rPr>
                <w:rFonts w:ascii="Calibri" w:hAnsi="Calibri" w:cs="Calibri"/>
                <w:color w:val="000000"/>
                <w:sz w:val="27"/>
                <w:szCs w:val="27"/>
              </w:rPr>
            </w:pPr>
          </w:p>
          <w:p w14:paraId="6D313008" w14:textId="77777777" w:rsidR="00610040" w:rsidRPr="00610040" w:rsidRDefault="00610040" w:rsidP="00610040">
            <w:pPr>
              <w:pStyle w:val="NormalWeb"/>
              <w:rPr>
                <w:rFonts w:ascii="Calibri" w:hAnsi="Calibri" w:cs="Calibri"/>
                <w:color w:val="000000"/>
                <w:sz w:val="27"/>
                <w:szCs w:val="27"/>
              </w:rPr>
            </w:pPr>
          </w:p>
        </w:tc>
        <w:tc>
          <w:tcPr>
            <w:tcW w:w="416" w:type="pct"/>
            <w:tcBorders>
              <w:top w:val="single" w:sz="4" w:space="0" w:color="auto"/>
              <w:left w:val="single" w:sz="4" w:space="0" w:color="auto"/>
              <w:bottom w:val="nil"/>
              <w:right w:val="single" w:sz="4" w:space="0" w:color="auto"/>
            </w:tcBorders>
          </w:tcPr>
          <w:p w14:paraId="130C96AC" w14:textId="77777777" w:rsidR="00610040" w:rsidRPr="00610040" w:rsidRDefault="00610040" w:rsidP="00610040">
            <w:pPr>
              <w:pStyle w:val="NormalWeb"/>
              <w:rPr>
                <w:rFonts w:ascii="Calibri" w:hAnsi="Calibri" w:cs="Calibri"/>
                <w:color w:val="000000"/>
                <w:sz w:val="27"/>
                <w:szCs w:val="27"/>
              </w:rPr>
            </w:pPr>
          </w:p>
          <w:p w14:paraId="64FD1063" w14:textId="77777777" w:rsidR="00610040" w:rsidRPr="00610040" w:rsidRDefault="00610040" w:rsidP="00610040">
            <w:pPr>
              <w:pStyle w:val="NormalWeb"/>
              <w:rPr>
                <w:rFonts w:ascii="Calibri" w:hAnsi="Calibri" w:cs="Calibri"/>
                <w:color w:val="000000"/>
                <w:sz w:val="27"/>
                <w:szCs w:val="27"/>
              </w:rPr>
            </w:pPr>
            <w:r w:rsidRPr="00610040">
              <w:rPr>
                <w:rFonts w:ascii="Calibri" w:hAnsi="Calibri" w:cs="Calibri"/>
                <w:color w:val="000000"/>
                <w:sz w:val="27"/>
                <w:szCs w:val="27"/>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B6A7FE1" w14:textId="77777777" w:rsidR="00610040" w:rsidRPr="00610040" w:rsidRDefault="00610040" w:rsidP="00610040">
            <w:pPr>
              <w:pStyle w:val="NormalWeb"/>
              <w:rPr>
                <w:rFonts w:ascii="Calibri" w:hAnsi="Calibri" w:cs="Calibri"/>
                <w:color w:val="000000"/>
                <w:sz w:val="27"/>
                <w:szCs w:val="27"/>
              </w:rPr>
            </w:pPr>
          </w:p>
        </w:tc>
      </w:tr>
      <w:tr w:rsidR="00610040" w:rsidRPr="00610040" w14:paraId="2939D1A0" w14:textId="77777777">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C66583" w14:textId="77777777" w:rsidR="00610040" w:rsidRPr="00610040" w:rsidRDefault="00610040" w:rsidP="00610040">
            <w:pPr>
              <w:pStyle w:val="NormalWeb"/>
              <w:rPr>
                <w:rFonts w:ascii="Calibri" w:hAnsi="Calibri" w:cs="Calibri"/>
                <w:color w:val="000000"/>
                <w:sz w:val="27"/>
                <w:szCs w:val="27"/>
              </w:rPr>
            </w:pPr>
          </w:p>
        </w:tc>
        <w:tc>
          <w:tcPr>
            <w:tcW w:w="416" w:type="pct"/>
            <w:tcBorders>
              <w:top w:val="nil"/>
              <w:left w:val="single" w:sz="4" w:space="0" w:color="auto"/>
              <w:bottom w:val="single" w:sz="4" w:space="0" w:color="auto"/>
              <w:right w:val="single" w:sz="4" w:space="0" w:color="auto"/>
            </w:tcBorders>
          </w:tcPr>
          <w:p w14:paraId="5530FAD3" w14:textId="77777777" w:rsidR="00610040" w:rsidRPr="00610040" w:rsidRDefault="00610040" w:rsidP="00610040">
            <w:pPr>
              <w:pStyle w:val="NormalWeb"/>
              <w:rPr>
                <w:rFonts w:ascii="Calibri" w:hAnsi="Calibri" w:cs="Calibri"/>
                <w:color w:val="000000"/>
                <w:sz w:val="27"/>
                <w:szCs w:val="27"/>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135F3F" w14:textId="77777777" w:rsidR="00610040" w:rsidRPr="00610040" w:rsidRDefault="00610040" w:rsidP="00610040">
            <w:pPr>
              <w:pStyle w:val="NormalWeb"/>
              <w:rPr>
                <w:rFonts w:ascii="Calibri" w:hAnsi="Calibri" w:cs="Calibri"/>
                <w:color w:val="000000"/>
                <w:sz w:val="27"/>
                <w:szCs w:val="27"/>
              </w:rPr>
            </w:pPr>
          </w:p>
        </w:tc>
      </w:tr>
    </w:tbl>
    <w:p w14:paraId="2A2BA385" w14:textId="77777777" w:rsidR="00610040" w:rsidRPr="00610040" w:rsidRDefault="00610040" w:rsidP="00610040">
      <w:pPr>
        <w:pStyle w:val="NormalWeb"/>
        <w:rPr>
          <w:rFonts w:ascii="Calibri" w:hAnsi="Calibri" w:cs="Calibri"/>
          <w:b/>
          <w:color w:val="000000"/>
          <w:sz w:val="27"/>
          <w:szCs w:val="27"/>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610040" w:rsidRPr="00610040" w14:paraId="3E259956" w14:textId="77777777">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672CE83A" w14:textId="77777777" w:rsidR="00610040" w:rsidRPr="00610040" w:rsidRDefault="00610040" w:rsidP="00610040">
            <w:pPr>
              <w:pStyle w:val="NormalWeb"/>
              <w:rPr>
                <w:rFonts w:ascii="Calibri" w:hAnsi="Calibri" w:cs="Calibri"/>
                <w:color w:val="000000"/>
                <w:sz w:val="27"/>
                <w:szCs w:val="27"/>
              </w:rPr>
            </w:pPr>
            <w:r w:rsidRPr="00610040">
              <w:rPr>
                <w:rFonts w:ascii="Calibri" w:hAnsi="Calibri" w:cs="Calibri"/>
                <w:b/>
                <w:bCs/>
                <w:color w:val="000000"/>
                <w:sz w:val="27"/>
                <w:szCs w:val="27"/>
              </w:rPr>
              <w:t xml:space="preserve">Assessment Mark </w:t>
            </w:r>
            <w:r w:rsidRPr="00610040">
              <w:rPr>
                <w:rFonts w:ascii="Calibri" w:hAnsi="Calibri" w:cs="Calibri"/>
                <w:bCs/>
                <w:color w:val="000000"/>
                <w:sz w:val="27"/>
                <w:szCs w:val="27"/>
              </w:rPr>
              <w:t>(</w:t>
            </w:r>
            <w:r w:rsidRPr="00610040">
              <w:rPr>
                <w:rFonts w:ascii="Calibri" w:hAnsi="Calibri" w:cs="Calibri"/>
                <w:color w:val="000000"/>
                <w:sz w:val="27"/>
                <w:szCs w:val="27"/>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40D5DAC7" w14:textId="77777777" w:rsidR="00610040" w:rsidRPr="00610040" w:rsidRDefault="00610040" w:rsidP="00610040">
            <w:pPr>
              <w:pStyle w:val="NormalWeb"/>
              <w:rPr>
                <w:rFonts w:ascii="Calibri" w:hAnsi="Calibri" w:cs="Calibri"/>
                <w:b/>
                <w:bCs/>
                <w:color w:val="000000"/>
                <w:sz w:val="27"/>
                <w:szCs w:val="27"/>
              </w:rPr>
            </w:pPr>
            <w:r w:rsidRPr="00610040">
              <w:rPr>
                <w:rFonts w:ascii="Calibri" w:hAnsi="Calibri" w:cs="Calibri"/>
                <w:b/>
                <w:color w:val="000000"/>
                <w:sz w:val="27"/>
                <w:szCs w:val="27"/>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6736D8BC" w14:textId="77777777" w:rsidR="00610040" w:rsidRPr="00610040" w:rsidRDefault="00610040" w:rsidP="00610040">
            <w:pPr>
              <w:pStyle w:val="NormalWeb"/>
              <w:rPr>
                <w:rFonts w:ascii="Calibri" w:hAnsi="Calibri" w:cs="Calibri"/>
                <w:b/>
                <w:bCs/>
                <w:color w:val="000000"/>
                <w:sz w:val="27"/>
                <w:szCs w:val="27"/>
              </w:rPr>
            </w:pPr>
            <w:r w:rsidRPr="00610040">
              <w:rPr>
                <w:rFonts w:ascii="Calibri" w:hAnsi="Calibri" w:cs="Calibri"/>
                <w:b/>
                <w:bCs/>
                <w:color w:val="000000"/>
                <w:sz w:val="27"/>
                <w:szCs w:val="27"/>
              </w:rPr>
              <w:t>%</w:t>
            </w:r>
          </w:p>
        </w:tc>
      </w:tr>
      <w:tr w:rsidR="00610040" w:rsidRPr="00610040" w14:paraId="36812E51" w14:textId="7777777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3784771" w14:textId="77777777" w:rsidR="00610040" w:rsidRPr="00610040" w:rsidRDefault="00610040" w:rsidP="00610040">
            <w:pPr>
              <w:pStyle w:val="NormalWeb"/>
              <w:rPr>
                <w:rFonts w:ascii="Calibri" w:hAnsi="Calibri" w:cs="Calibri"/>
                <w:color w:val="000000"/>
                <w:sz w:val="27"/>
                <w:szCs w:val="27"/>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85993A9" w14:textId="77777777" w:rsidR="00610040" w:rsidRPr="00610040" w:rsidRDefault="00610040" w:rsidP="00610040">
            <w:pPr>
              <w:pStyle w:val="NormalWeb"/>
              <w:rPr>
                <w:rFonts w:ascii="Calibri" w:hAnsi="Calibri" w:cs="Calibri"/>
                <w:b/>
                <w:bCs/>
                <w:color w:val="000000"/>
                <w:sz w:val="27"/>
                <w:szCs w:val="27"/>
              </w:rPr>
            </w:pPr>
            <w:r w:rsidRPr="00610040">
              <w:rPr>
                <w:rFonts w:ascii="Calibri" w:hAnsi="Calibri" w:cs="Calibri"/>
                <w:color w:val="000000"/>
                <w:sz w:val="27"/>
                <w:szCs w:val="27"/>
              </w:rPr>
              <w:t>Up to 1 week late (40% Max)</w:t>
            </w:r>
          </w:p>
        </w:tc>
        <w:tc>
          <w:tcPr>
            <w:tcW w:w="641" w:type="dxa"/>
            <w:tcBorders>
              <w:top w:val="single" w:sz="4" w:space="0" w:color="auto"/>
              <w:left w:val="single" w:sz="4" w:space="0" w:color="auto"/>
              <w:bottom w:val="single" w:sz="4" w:space="0" w:color="auto"/>
              <w:right w:val="single" w:sz="4" w:space="0" w:color="auto"/>
            </w:tcBorders>
            <w:vAlign w:val="bottom"/>
          </w:tcPr>
          <w:p w14:paraId="1F82C3E4" w14:textId="77777777" w:rsidR="00610040" w:rsidRPr="00610040" w:rsidRDefault="00610040" w:rsidP="00610040">
            <w:pPr>
              <w:pStyle w:val="NormalWeb"/>
              <w:rPr>
                <w:rFonts w:ascii="Calibri" w:hAnsi="Calibri" w:cs="Calibri"/>
                <w:color w:val="000000"/>
                <w:sz w:val="27"/>
                <w:szCs w:val="27"/>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6A1C14A" w14:textId="77777777" w:rsidR="00610040" w:rsidRPr="00610040" w:rsidRDefault="00610040" w:rsidP="00610040">
            <w:pPr>
              <w:pStyle w:val="NormalWeb"/>
              <w:rPr>
                <w:rFonts w:ascii="Calibri" w:hAnsi="Calibri" w:cs="Calibri"/>
                <w:b/>
                <w:bCs/>
                <w:color w:val="000000"/>
                <w:sz w:val="27"/>
                <w:szCs w:val="27"/>
              </w:rPr>
            </w:pPr>
          </w:p>
        </w:tc>
      </w:tr>
      <w:tr w:rsidR="00610040" w:rsidRPr="00610040" w14:paraId="78ACE450" w14:textId="77777777">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4DAABC6" w14:textId="77777777" w:rsidR="00610040" w:rsidRPr="00610040" w:rsidRDefault="00610040" w:rsidP="00610040">
            <w:pPr>
              <w:pStyle w:val="NormalWeb"/>
              <w:rPr>
                <w:rFonts w:ascii="Calibri" w:hAnsi="Calibri" w:cs="Calibri"/>
                <w:color w:val="000000"/>
                <w:sz w:val="27"/>
                <w:szCs w:val="27"/>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3FC964F" w14:textId="77777777" w:rsidR="00610040" w:rsidRPr="00610040" w:rsidRDefault="00610040" w:rsidP="00610040">
            <w:pPr>
              <w:pStyle w:val="NormalWeb"/>
              <w:rPr>
                <w:rFonts w:ascii="Calibri" w:hAnsi="Calibri" w:cs="Calibri"/>
                <w:b/>
                <w:bCs/>
                <w:color w:val="000000"/>
                <w:sz w:val="27"/>
                <w:szCs w:val="27"/>
              </w:rPr>
            </w:pPr>
            <w:r w:rsidRPr="00610040">
              <w:rPr>
                <w:rFonts w:ascii="Calibri" w:hAnsi="Calibri" w:cs="Calibri"/>
                <w:color w:val="000000"/>
                <w:sz w:val="27"/>
                <w:szCs w:val="27"/>
              </w:rPr>
              <w:t>Over 1 week late (0%)</w:t>
            </w:r>
          </w:p>
        </w:tc>
        <w:tc>
          <w:tcPr>
            <w:tcW w:w="641" w:type="dxa"/>
            <w:tcBorders>
              <w:top w:val="single" w:sz="4" w:space="0" w:color="auto"/>
              <w:left w:val="single" w:sz="4" w:space="0" w:color="auto"/>
              <w:bottom w:val="single" w:sz="4" w:space="0" w:color="auto"/>
              <w:right w:val="single" w:sz="4" w:space="0" w:color="auto"/>
            </w:tcBorders>
            <w:vAlign w:val="bottom"/>
          </w:tcPr>
          <w:p w14:paraId="2C1F2433" w14:textId="77777777" w:rsidR="00610040" w:rsidRPr="00610040" w:rsidRDefault="00610040" w:rsidP="00610040">
            <w:pPr>
              <w:pStyle w:val="NormalWeb"/>
              <w:rPr>
                <w:rFonts w:ascii="Calibri" w:hAnsi="Calibri" w:cs="Calibri"/>
                <w:color w:val="000000"/>
                <w:sz w:val="27"/>
                <w:szCs w:val="27"/>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1BC87A7" w14:textId="77777777" w:rsidR="00610040" w:rsidRPr="00610040" w:rsidRDefault="00610040" w:rsidP="00610040">
            <w:pPr>
              <w:pStyle w:val="NormalWeb"/>
              <w:rPr>
                <w:rFonts w:ascii="Calibri" w:hAnsi="Calibri" w:cs="Calibri"/>
                <w:b/>
                <w:bCs/>
                <w:color w:val="000000"/>
                <w:sz w:val="27"/>
                <w:szCs w:val="27"/>
              </w:rPr>
            </w:pPr>
          </w:p>
        </w:tc>
      </w:tr>
    </w:tbl>
    <w:p w14:paraId="06380948" w14:textId="77777777" w:rsidR="00610040" w:rsidRPr="00134F39" w:rsidRDefault="00610040" w:rsidP="00610040">
      <w:pPr>
        <w:pStyle w:val="NormalWeb"/>
        <w:rPr>
          <w:rFonts w:ascii="Calibri" w:hAnsi="Calibri" w:cs="Calibri"/>
          <w:color w:val="000000"/>
          <w:sz w:val="27"/>
          <w:szCs w:val="27"/>
        </w:rPr>
      </w:pPr>
    </w:p>
    <w:p w14:paraId="4A544F36" w14:textId="4A9CE76D" w:rsidR="002D2D49" w:rsidRDefault="002D2D49" w:rsidP="007C28F6">
      <w:pPr>
        <w:pStyle w:val="NormalWeb"/>
        <w:tabs>
          <w:tab w:val="left" w:pos="3661"/>
        </w:tabs>
        <w:ind w:left="360"/>
        <w:rPr>
          <w:rFonts w:ascii="Calibri" w:hAnsi="Calibri" w:cs="Calibri"/>
          <w:color w:val="000000"/>
          <w:sz w:val="27"/>
          <w:szCs w:val="27"/>
        </w:rPr>
      </w:pPr>
    </w:p>
    <w:p w14:paraId="4771B9A4" w14:textId="77777777" w:rsidR="00C14A28" w:rsidRPr="002D2D49" w:rsidRDefault="00C14A28" w:rsidP="002D2D49">
      <w:pPr>
        <w:pStyle w:val="NormalWeb"/>
        <w:ind w:left="360"/>
        <w:rPr>
          <w:rFonts w:ascii="Calibri" w:hAnsi="Calibri" w:cs="Calibri"/>
          <w:color w:val="000000"/>
          <w:sz w:val="27"/>
          <w:szCs w:val="27"/>
        </w:rPr>
      </w:pPr>
    </w:p>
    <w:sectPr w:rsidR="00C14A28" w:rsidRPr="002D2D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DBB"/>
    <w:multiLevelType w:val="multilevel"/>
    <w:tmpl w:val="3D30C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D680A"/>
    <w:multiLevelType w:val="multilevel"/>
    <w:tmpl w:val="34B0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F1BB3"/>
    <w:multiLevelType w:val="multilevel"/>
    <w:tmpl w:val="C436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B0E24"/>
    <w:multiLevelType w:val="multilevel"/>
    <w:tmpl w:val="7E1C8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CA09CA"/>
    <w:multiLevelType w:val="multilevel"/>
    <w:tmpl w:val="660A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DD2D23"/>
    <w:multiLevelType w:val="multilevel"/>
    <w:tmpl w:val="8416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463AB3"/>
    <w:multiLevelType w:val="multilevel"/>
    <w:tmpl w:val="2816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6E770C"/>
    <w:multiLevelType w:val="multilevel"/>
    <w:tmpl w:val="A964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DD2667"/>
    <w:multiLevelType w:val="multilevel"/>
    <w:tmpl w:val="E25A2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485781"/>
    <w:multiLevelType w:val="multilevel"/>
    <w:tmpl w:val="53A0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E84618"/>
    <w:multiLevelType w:val="multilevel"/>
    <w:tmpl w:val="8BA26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63044F"/>
    <w:multiLevelType w:val="multilevel"/>
    <w:tmpl w:val="F976B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7B3170"/>
    <w:multiLevelType w:val="multilevel"/>
    <w:tmpl w:val="8340B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8614A7"/>
    <w:multiLevelType w:val="multilevel"/>
    <w:tmpl w:val="E6841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91349F"/>
    <w:multiLevelType w:val="multilevel"/>
    <w:tmpl w:val="FB3C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501B84"/>
    <w:multiLevelType w:val="multilevel"/>
    <w:tmpl w:val="A97E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7419347">
    <w:abstractNumId w:val="12"/>
  </w:num>
  <w:num w:numId="2" w16cid:durableId="1624842633">
    <w:abstractNumId w:val="11"/>
  </w:num>
  <w:num w:numId="3" w16cid:durableId="1922368244">
    <w:abstractNumId w:val="3"/>
  </w:num>
  <w:num w:numId="4" w16cid:durableId="548683733">
    <w:abstractNumId w:val="10"/>
  </w:num>
  <w:num w:numId="5" w16cid:durableId="452020443">
    <w:abstractNumId w:val="0"/>
  </w:num>
  <w:num w:numId="6" w16cid:durableId="1054084336">
    <w:abstractNumId w:val="4"/>
  </w:num>
  <w:num w:numId="7" w16cid:durableId="783427084">
    <w:abstractNumId w:val="1"/>
  </w:num>
  <w:num w:numId="8" w16cid:durableId="927542372">
    <w:abstractNumId w:val="8"/>
  </w:num>
  <w:num w:numId="9" w16cid:durableId="1376806904">
    <w:abstractNumId w:val="6"/>
  </w:num>
  <w:num w:numId="10" w16cid:durableId="18244938">
    <w:abstractNumId w:val="15"/>
  </w:num>
  <w:num w:numId="11" w16cid:durableId="1155605426">
    <w:abstractNumId w:val="5"/>
  </w:num>
  <w:num w:numId="12" w16cid:durableId="2077236849">
    <w:abstractNumId w:val="9"/>
  </w:num>
  <w:num w:numId="13" w16cid:durableId="1887646715">
    <w:abstractNumId w:val="2"/>
  </w:num>
  <w:num w:numId="14" w16cid:durableId="1376660847">
    <w:abstractNumId w:val="7"/>
  </w:num>
  <w:num w:numId="15" w16cid:durableId="80882141">
    <w:abstractNumId w:val="13"/>
  </w:num>
  <w:num w:numId="16" w16cid:durableId="9770304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9FC"/>
    <w:rsid w:val="00027421"/>
    <w:rsid w:val="000368C1"/>
    <w:rsid w:val="000553BB"/>
    <w:rsid w:val="00070F71"/>
    <w:rsid w:val="00084C93"/>
    <w:rsid w:val="000E4B87"/>
    <w:rsid w:val="00134F39"/>
    <w:rsid w:val="001B3749"/>
    <w:rsid w:val="001C202B"/>
    <w:rsid w:val="0024588E"/>
    <w:rsid w:val="002628A1"/>
    <w:rsid w:val="002937FB"/>
    <w:rsid w:val="002D2D49"/>
    <w:rsid w:val="00303F62"/>
    <w:rsid w:val="00336525"/>
    <w:rsid w:val="00347192"/>
    <w:rsid w:val="003A650B"/>
    <w:rsid w:val="003D79DD"/>
    <w:rsid w:val="00403EEF"/>
    <w:rsid w:val="004319FC"/>
    <w:rsid w:val="00456333"/>
    <w:rsid w:val="00477349"/>
    <w:rsid w:val="004C77AC"/>
    <w:rsid w:val="004D7A2C"/>
    <w:rsid w:val="004F6843"/>
    <w:rsid w:val="005005B5"/>
    <w:rsid w:val="00501728"/>
    <w:rsid w:val="00512E58"/>
    <w:rsid w:val="005310C6"/>
    <w:rsid w:val="00541EDC"/>
    <w:rsid w:val="005A49FE"/>
    <w:rsid w:val="005A61ED"/>
    <w:rsid w:val="005C1897"/>
    <w:rsid w:val="005C6309"/>
    <w:rsid w:val="005C6386"/>
    <w:rsid w:val="005D4F91"/>
    <w:rsid w:val="005D6CF5"/>
    <w:rsid w:val="00610040"/>
    <w:rsid w:val="00617D4D"/>
    <w:rsid w:val="00621214"/>
    <w:rsid w:val="006717E0"/>
    <w:rsid w:val="0067569B"/>
    <w:rsid w:val="006C6800"/>
    <w:rsid w:val="006E0317"/>
    <w:rsid w:val="006E081B"/>
    <w:rsid w:val="0071754D"/>
    <w:rsid w:val="00726C4B"/>
    <w:rsid w:val="00745E3C"/>
    <w:rsid w:val="00755217"/>
    <w:rsid w:val="007560DE"/>
    <w:rsid w:val="00782A5F"/>
    <w:rsid w:val="00797C87"/>
    <w:rsid w:val="007A1521"/>
    <w:rsid w:val="007C2098"/>
    <w:rsid w:val="007C28F6"/>
    <w:rsid w:val="007E15B3"/>
    <w:rsid w:val="007E5407"/>
    <w:rsid w:val="0080122D"/>
    <w:rsid w:val="00823D9D"/>
    <w:rsid w:val="0086021A"/>
    <w:rsid w:val="00876D6B"/>
    <w:rsid w:val="0088586B"/>
    <w:rsid w:val="008B57BD"/>
    <w:rsid w:val="008F1901"/>
    <w:rsid w:val="00907D99"/>
    <w:rsid w:val="009147EC"/>
    <w:rsid w:val="00973660"/>
    <w:rsid w:val="009A1347"/>
    <w:rsid w:val="009C5B8E"/>
    <w:rsid w:val="009D339B"/>
    <w:rsid w:val="00A103A9"/>
    <w:rsid w:val="00A12DF6"/>
    <w:rsid w:val="00A601AD"/>
    <w:rsid w:val="00A60864"/>
    <w:rsid w:val="00A841BE"/>
    <w:rsid w:val="00A97E07"/>
    <w:rsid w:val="00AD058A"/>
    <w:rsid w:val="00AF3FB6"/>
    <w:rsid w:val="00AF4B3B"/>
    <w:rsid w:val="00B07E03"/>
    <w:rsid w:val="00B66687"/>
    <w:rsid w:val="00B7094C"/>
    <w:rsid w:val="00B723B9"/>
    <w:rsid w:val="00B740CE"/>
    <w:rsid w:val="00B86565"/>
    <w:rsid w:val="00B92DA5"/>
    <w:rsid w:val="00BA06BC"/>
    <w:rsid w:val="00BA5FF4"/>
    <w:rsid w:val="00C14A28"/>
    <w:rsid w:val="00C9057D"/>
    <w:rsid w:val="00CA5CBD"/>
    <w:rsid w:val="00CB7947"/>
    <w:rsid w:val="00CC5210"/>
    <w:rsid w:val="00CE1184"/>
    <w:rsid w:val="00CE7A7B"/>
    <w:rsid w:val="00CF6CA5"/>
    <w:rsid w:val="00D550DC"/>
    <w:rsid w:val="00D64F68"/>
    <w:rsid w:val="00D8171A"/>
    <w:rsid w:val="00DC49F4"/>
    <w:rsid w:val="00DE67B0"/>
    <w:rsid w:val="00E12F51"/>
    <w:rsid w:val="00E61B7B"/>
    <w:rsid w:val="00E76CE5"/>
    <w:rsid w:val="00E84873"/>
    <w:rsid w:val="00EB4FD0"/>
    <w:rsid w:val="00EC1256"/>
    <w:rsid w:val="00EF47FD"/>
    <w:rsid w:val="00F0241D"/>
    <w:rsid w:val="00F07CE1"/>
    <w:rsid w:val="00F31CE6"/>
    <w:rsid w:val="00F428F9"/>
    <w:rsid w:val="00F4370F"/>
    <w:rsid w:val="00F84B95"/>
    <w:rsid w:val="00F85E50"/>
    <w:rsid w:val="00FB2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0EC4C1"/>
  <w15:chartTrackingRefBased/>
  <w15:docId w15:val="{2CF75CB8-6DF9-4BC1-BCC4-305A8BB32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1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19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19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19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19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9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9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9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9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19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19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19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19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19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9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9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9FC"/>
    <w:rPr>
      <w:rFonts w:eastAsiaTheme="majorEastAsia" w:cstheme="majorBidi"/>
      <w:color w:val="272727" w:themeColor="text1" w:themeTint="D8"/>
    </w:rPr>
  </w:style>
  <w:style w:type="paragraph" w:styleId="Title">
    <w:name w:val="Title"/>
    <w:basedOn w:val="Normal"/>
    <w:next w:val="Normal"/>
    <w:link w:val="TitleChar"/>
    <w:uiPriority w:val="10"/>
    <w:qFormat/>
    <w:rsid w:val="00431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9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9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9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9FC"/>
    <w:pPr>
      <w:spacing w:before="160"/>
      <w:jc w:val="center"/>
    </w:pPr>
    <w:rPr>
      <w:i/>
      <w:iCs/>
      <w:color w:val="404040" w:themeColor="text1" w:themeTint="BF"/>
    </w:rPr>
  </w:style>
  <w:style w:type="character" w:customStyle="1" w:styleId="QuoteChar">
    <w:name w:val="Quote Char"/>
    <w:basedOn w:val="DefaultParagraphFont"/>
    <w:link w:val="Quote"/>
    <w:uiPriority w:val="29"/>
    <w:rsid w:val="004319FC"/>
    <w:rPr>
      <w:i/>
      <w:iCs/>
      <w:color w:val="404040" w:themeColor="text1" w:themeTint="BF"/>
    </w:rPr>
  </w:style>
  <w:style w:type="paragraph" w:styleId="ListParagraph">
    <w:name w:val="List Paragraph"/>
    <w:basedOn w:val="Normal"/>
    <w:uiPriority w:val="34"/>
    <w:qFormat/>
    <w:rsid w:val="004319FC"/>
    <w:pPr>
      <w:ind w:left="720"/>
      <w:contextualSpacing/>
    </w:pPr>
  </w:style>
  <w:style w:type="character" w:styleId="IntenseEmphasis">
    <w:name w:val="Intense Emphasis"/>
    <w:basedOn w:val="DefaultParagraphFont"/>
    <w:uiPriority w:val="21"/>
    <w:qFormat/>
    <w:rsid w:val="004319FC"/>
    <w:rPr>
      <w:i/>
      <w:iCs/>
      <w:color w:val="2F5496" w:themeColor="accent1" w:themeShade="BF"/>
    </w:rPr>
  </w:style>
  <w:style w:type="paragraph" w:styleId="IntenseQuote">
    <w:name w:val="Intense Quote"/>
    <w:basedOn w:val="Normal"/>
    <w:next w:val="Normal"/>
    <w:link w:val="IntenseQuoteChar"/>
    <w:uiPriority w:val="30"/>
    <w:qFormat/>
    <w:rsid w:val="00431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19FC"/>
    <w:rPr>
      <w:i/>
      <w:iCs/>
      <w:color w:val="2F5496" w:themeColor="accent1" w:themeShade="BF"/>
    </w:rPr>
  </w:style>
  <w:style w:type="character" w:styleId="IntenseReference">
    <w:name w:val="Intense Reference"/>
    <w:basedOn w:val="DefaultParagraphFont"/>
    <w:uiPriority w:val="32"/>
    <w:qFormat/>
    <w:rsid w:val="004319FC"/>
    <w:rPr>
      <w:b/>
      <w:bCs/>
      <w:smallCaps/>
      <w:color w:val="2F5496" w:themeColor="accent1" w:themeShade="BF"/>
      <w:spacing w:val="5"/>
    </w:rPr>
  </w:style>
  <w:style w:type="paragraph" w:styleId="NormalWeb">
    <w:name w:val="Normal (Web)"/>
    <w:basedOn w:val="Normal"/>
    <w:uiPriority w:val="99"/>
    <w:unhideWhenUsed/>
    <w:rsid w:val="007C209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C2098"/>
    <w:rPr>
      <w:i/>
      <w:iCs/>
    </w:rPr>
  </w:style>
  <w:style w:type="character" w:styleId="Hyperlink">
    <w:name w:val="Hyperlink"/>
    <w:basedOn w:val="DefaultParagraphFont"/>
    <w:uiPriority w:val="99"/>
    <w:unhideWhenUsed/>
    <w:rsid w:val="002D2D49"/>
    <w:rPr>
      <w:color w:val="0563C1" w:themeColor="hyperlink"/>
      <w:u w:val="single"/>
    </w:rPr>
  </w:style>
  <w:style w:type="character" w:styleId="UnresolvedMention">
    <w:name w:val="Unresolved Mention"/>
    <w:basedOn w:val="DefaultParagraphFont"/>
    <w:uiPriority w:val="99"/>
    <w:semiHidden/>
    <w:unhideWhenUsed/>
    <w:rsid w:val="002D2D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s.gov.uk" TargetMode="External"/><Relationship Id="rId5" Type="http://schemas.openxmlformats.org/officeDocument/2006/relationships/hyperlink" Target="https://ojs.unisa.edu.au/index.php/tahs/article/download/1683/106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4024</Words>
  <Characters>22940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Vernon</dc:creator>
  <cp:keywords/>
  <dc:description/>
  <cp:lastModifiedBy>Emily Vernon</cp:lastModifiedBy>
  <cp:revision>6</cp:revision>
  <dcterms:created xsi:type="dcterms:W3CDTF">2025-12-05T12:09:00Z</dcterms:created>
  <dcterms:modified xsi:type="dcterms:W3CDTF">2025-12-12T16:56:00Z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d575d04d-160a-4551-baa3-7ebb0baa4852</vt:lpwstr>
  </property>
</Properties>
</file>