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573CCE" w14:textId="08F2C7EC" w:rsidR="00345B96" w:rsidRDefault="00345B96" w:rsidP="00345B96">
      <w:pPr>
        <w:rPr>
          <w:noProof/>
        </w:rPr>
      </w:pPr>
      <w:r>
        <w:rPr>
          <w:noProof/>
        </w:rPr>
        <w:drawing>
          <wp:anchor distT="0" distB="0" distL="114300" distR="114300" simplePos="0" relativeHeight="251659264" behindDoc="1" locked="0" layoutInCell="1" allowOverlap="1" wp14:anchorId="64EC65F3" wp14:editId="159608A1">
            <wp:simplePos x="0" y="0"/>
            <wp:positionH relativeFrom="margin">
              <wp:align>center</wp:align>
            </wp:positionH>
            <wp:positionV relativeFrom="paragraph">
              <wp:posOffset>0</wp:posOffset>
            </wp:positionV>
            <wp:extent cx="2964180" cy="948055"/>
            <wp:effectExtent l="0" t="0" r="0" b="0"/>
            <wp:wrapTight wrapText="bothSides">
              <wp:wrapPolygon edited="0">
                <wp:start x="833" y="3038"/>
                <wp:lineTo x="833" y="15191"/>
                <wp:lineTo x="2638" y="17361"/>
                <wp:lineTo x="6802" y="18229"/>
                <wp:lineTo x="7357" y="18229"/>
                <wp:lineTo x="12632" y="17361"/>
                <wp:lineTo x="17491" y="14323"/>
                <wp:lineTo x="17352" y="10851"/>
                <wp:lineTo x="21378" y="8246"/>
                <wp:lineTo x="21378" y="5208"/>
                <wp:lineTo x="19434" y="3038"/>
                <wp:lineTo x="833" y="3038"/>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2964180" cy="9480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0AA562" w14:textId="3AAA88D4" w:rsidR="00345B96" w:rsidRDefault="00345B96" w:rsidP="00345B96">
      <w:pPr>
        <w:rPr>
          <w:noProof/>
        </w:rPr>
      </w:pPr>
    </w:p>
    <w:p w14:paraId="3B500C40" w14:textId="77777777" w:rsidR="00345B96" w:rsidRDefault="00345B96" w:rsidP="00345B96"/>
    <w:p w14:paraId="50C4B680" w14:textId="77777777" w:rsidR="00345B96" w:rsidRDefault="00345B96" w:rsidP="00345B96"/>
    <w:p w14:paraId="259A3C85" w14:textId="77777777" w:rsidR="00345B96" w:rsidRDefault="00345B96" w:rsidP="00345B96"/>
    <w:p w14:paraId="1A622A69" w14:textId="4301B032" w:rsidR="00345B96" w:rsidRPr="00345B96" w:rsidRDefault="00345B96" w:rsidP="00345B96">
      <w:pPr>
        <w:jc w:val="center"/>
        <w:rPr>
          <w:sz w:val="44"/>
          <w:szCs w:val="44"/>
        </w:rPr>
      </w:pPr>
      <w:r w:rsidRPr="00345B96">
        <w:rPr>
          <w:sz w:val="44"/>
          <w:szCs w:val="44"/>
        </w:rPr>
        <w:t xml:space="preserve">Institute of Inner-City Learning </w:t>
      </w:r>
    </w:p>
    <w:p w14:paraId="5DD931FB" w14:textId="77777777" w:rsidR="00345B96" w:rsidRPr="00345B96" w:rsidRDefault="00345B96" w:rsidP="00345B96">
      <w:pPr>
        <w:jc w:val="center"/>
        <w:rPr>
          <w:sz w:val="44"/>
          <w:szCs w:val="44"/>
        </w:rPr>
      </w:pPr>
      <w:r w:rsidRPr="00345B96">
        <w:rPr>
          <w:sz w:val="44"/>
          <w:szCs w:val="44"/>
        </w:rPr>
        <w:t>Birmingham Campus</w:t>
      </w:r>
    </w:p>
    <w:p w14:paraId="133CDAC9" w14:textId="77777777" w:rsidR="00345B96" w:rsidRDefault="00345B96" w:rsidP="00345B96">
      <w:pPr>
        <w:jc w:val="center"/>
      </w:pPr>
    </w:p>
    <w:p w14:paraId="79AA56C9" w14:textId="705F4DE9" w:rsidR="006C3C02" w:rsidRPr="00345B96" w:rsidRDefault="00345B96" w:rsidP="00345B96">
      <w:pPr>
        <w:jc w:val="center"/>
        <w:rPr>
          <w:sz w:val="36"/>
          <w:szCs w:val="36"/>
        </w:rPr>
      </w:pPr>
      <w:r w:rsidRPr="00345B96">
        <w:rPr>
          <w:sz w:val="36"/>
          <w:szCs w:val="36"/>
        </w:rPr>
        <w:t>BSc (Hons) Health and Social Care</w:t>
      </w:r>
    </w:p>
    <w:p w14:paraId="24FC39EE" w14:textId="77777777" w:rsidR="006C3C02" w:rsidRPr="00E764CB" w:rsidRDefault="006C3C02" w:rsidP="00345B96">
      <w:pPr>
        <w:rPr>
          <w:rFonts w:cs="Arial"/>
          <w:b/>
          <w:bCs/>
          <w:sz w:val="32"/>
          <w:szCs w:val="32"/>
        </w:rPr>
      </w:pPr>
    </w:p>
    <w:p w14:paraId="7B471B1A" w14:textId="77777777" w:rsidR="006C3C02" w:rsidRPr="00E764CB" w:rsidRDefault="006C3C02" w:rsidP="006C3C02">
      <w:pPr>
        <w:jc w:val="center"/>
        <w:rPr>
          <w:rFonts w:cs="Arial"/>
          <w:b/>
          <w:bCs/>
          <w:sz w:val="48"/>
          <w:szCs w:val="48"/>
        </w:rPr>
      </w:pPr>
      <w:r w:rsidRPr="00E764CB">
        <w:rPr>
          <w:rFonts w:cs="Arial"/>
          <w:b/>
          <w:bCs/>
          <w:sz w:val="48"/>
          <w:szCs w:val="48"/>
        </w:rPr>
        <w:t>Dissertation</w:t>
      </w:r>
    </w:p>
    <w:p w14:paraId="6955DE02" w14:textId="77777777" w:rsidR="006C3C02" w:rsidRDefault="006C3C02" w:rsidP="006C3C02">
      <w:pPr>
        <w:spacing w:line="278" w:lineRule="auto"/>
        <w:ind w:left="360"/>
        <w:jc w:val="center"/>
        <w:rPr>
          <w:rFonts w:cs="Arial"/>
          <w:b/>
          <w:bCs/>
        </w:rPr>
      </w:pPr>
    </w:p>
    <w:p w14:paraId="3E19F8C5" w14:textId="77777777" w:rsidR="006C3C02" w:rsidRDefault="006C3C02" w:rsidP="006C3C02">
      <w:pPr>
        <w:spacing w:line="278" w:lineRule="auto"/>
        <w:ind w:left="360"/>
        <w:jc w:val="center"/>
        <w:rPr>
          <w:rFonts w:cs="Arial"/>
          <w:b/>
          <w:bCs/>
        </w:rPr>
      </w:pPr>
      <w:r w:rsidRPr="00EC19B3">
        <w:rPr>
          <w:rFonts w:cs="Arial"/>
          <w:b/>
          <w:bCs/>
        </w:rPr>
        <w:t>Student Name: Suma Begum</w:t>
      </w:r>
    </w:p>
    <w:p w14:paraId="46519DA5" w14:textId="77777777" w:rsidR="006C3C02" w:rsidRDefault="006C3C02" w:rsidP="006C3C02">
      <w:pPr>
        <w:spacing w:line="278" w:lineRule="auto"/>
        <w:ind w:left="360"/>
        <w:jc w:val="center"/>
        <w:rPr>
          <w:rFonts w:cs="Arial"/>
          <w:b/>
          <w:bCs/>
        </w:rPr>
      </w:pPr>
      <w:r w:rsidRPr="00EC19B3">
        <w:rPr>
          <w:rFonts w:cs="Arial"/>
          <w:b/>
          <w:bCs/>
        </w:rPr>
        <w:t>Student ID: 2123484</w:t>
      </w:r>
    </w:p>
    <w:p w14:paraId="74BE519D" w14:textId="4C01B563" w:rsidR="006C3C02" w:rsidRPr="006C3C02" w:rsidRDefault="006C3C02" w:rsidP="006C3C02">
      <w:pPr>
        <w:spacing w:line="278" w:lineRule="auto"/>
        <w:ind w:left="360"/>
        <w:jc w:val="center"/>
        <w:rPr>
          <w:rFonts w:cs="Arial"/>
          <w:b/>
          <w:bCs/>
        </w:rPr>
      </w:pPr>
      <w:r w:rsidRPr="00E764CB">
        <w:rPr>
          <w:rFonts w:cs="Arial"/>
        </w:rPr>
        <w:t xml:space="preserve">Word count: </w:t>
      </w:r>
      <w:r w:rsidR="00345B96">
        <w:rPr>
          <w:rFonts w:cs="Arial"/>
        </w:rPr>
        <w:t>9368</w:t>
      </w:r>
    </w:p>
    <w:p w14:paraId="444DF416" w14:textId="77777777" w:rsidR="006C3C02" w:rsidRPr="00E764CB" w:rsidRDefault="006C3C02" w:rsidP="006C3C02">
      <w:pPr>
        <w:jc w:val="center"/>
        <w:rPr>
          <w:rFonts w:cs="Arial"/>
        </w:rPr>
      </w:pPr>
    </w:p>
    <w:p w14:paraId="7D99DA2A" w14:textId="77777777" w:rsidR="006C3C02" w:rsidRPr="00E764CB" w:rsidRDefault="006C3C02" w:rsidP="006C3C02">
      <w:pPr>
        <w:jc w:val="left"/>
        <w:rPr>
          <w:rFonts w:cs="Arial"/>
          <w:b/>
          <w:bCs/>
          <w:sz w:val="32"/>
          <w:szCs w:val="32"/>
        </w:rPr>
      </w:pPr>
    </w:p>
    <w:p w14:paraId="38B7391F" w14:textId="05C4B79F" w:rsidR="00A077F2" w:rsidRPr="00345B96" w:rsidRDefault="006C3C02" w:rsidP="00345B96">
      <w:pPr>
        <w:jc w:val="center"/>
        <w:rPr>
          <w:rFonts w:cs="Arial"/>
          <w:b/>
          <w:bCs/>
          <w:sz w:val="32"/>
          <w:szCs w:val="32"/>
        </w:rPr>
      </w:pPr>
      <w:r w:rsidRPr="00E764CB">
        <w:rPr>
          <w:rFonts w:cs="Arial"/>
          <w:b/>
          <w:bCs/>
          <w:sz w:val="32"/>
          <w:szCs w:val="32"/>
        </w:rPr>
        <w:t>Dissertation submitted as part of the requirements for the award BSc (Hons) Health and Social Care.</w:t>
      </w:r>
      <w:r w:rsidR="00A077F2" w:rsidRPr="00063B4C">
        <w:rPr>
          <w:rFonts w:cs="Arial"/>
          <w:sz w:val="60"/>
          <w:szCs w:val="60"/>
        </w:rPr>
        <w:br/>
      </w:r>
    </w:p>
    <w:p w14:paraId="4B296FB8" w14:textId="66C51172" w:rsidR="006C3C02" w:rsidRDefault="006C3C02">
      <w:pPr>
        <w:spacing w:line="259" w:lineRule="auto"/>
        <w:jc w:val="left"/>
        <w:rPr>
          <w:b/>
          <w:bCs/>
          <w:sz w:val="28"/>
          <w:szCs w:val="28"/>
        </w:rPr>
      </w:pPr>
    </w:p>
    <w:p w14:paraId="5A67FB73" w14:textId="7FCF34CC" w:rsidR="00A077F2" w:rsidRPr="00433F8B" w:rsidRDefault="00A077F2" w:rsidP="00433F8B">
      <w:pPr>
        <w:rPr>
          <w:b/>
          <w:bCs/>
          <w:sz w:val="28"/>
          <w:szCs w:val="28"/>
        </w:rPr>
      </w:pPr>
      <w:r w:rsidRPr="00433F8B">
        <w:rPr>
          <w:b/>
          <w:bCs/>
          <w:sz w:val="28"/>
          <w:szCs w:val="28"/>
        </w:rPr>
        <w:lastRenderedPageBreak/>
        <w:t>Disclaimer</w:t>
      </w:r>
    </w:p>
    <w:p w14:paraId="703D3D6A" w14:textId="139087F5" w:rsidR="00A077F2" w:rsidRPr="00345B96" w:rsidRDefault="00A077F2" w:rsidP="00433F8B">
      <w:pPr>
        <w:rPr>
          <w:rFonts w:cs="Arial"/>
        </w:rPr>
      </w:pPr>
      <w:r w:rsidRPr="00345B96">
        <w:rPr>
          <w:rFonts w:cs="Arial"/>
        </w:rPr>
        <w:t xml:space="preserve">This document was correct at the time of publication. The Module Coordinator reserves the right to modify any </w:t>
      </w:r>
      <w:r w:rsidR="00345B96" w:rsidRPr="00345B96">
        <w:rPr>
          <w:rFonts w:cs="Arial"/>
        </w:rPr>
        <w:t>statement,</w:t>
      </w:r>
      <w:r w:rsidRPr="00345B96">
        <w:rPr>
          <w:rFonts w:cs="Arial"/>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7869FBAC" w14:textId="77777777" w:rsidR="00A077F2" w:rsidRPr="0073280B" w:rsidRDefault="00A077F2" w:rsidP="00A077F2">
      <w:pPr>
        <w:rPr>
          <w:rFonts w:eastAsia="Times New Roman" w:cs="Arial"/>
          <w:b/>
          <w:sz w:val="28"/>
          <w:szCs w:val="28"/>
        </w:rPr>
      </w:pPr>
      <w:r w:rsidRPr="0073280B">
        <w:rPr>
          <w:rFonts w:eastAsia="Times New Roman" w:cs="Arial"/>
          <w:b/>
          <w:sz w:val="28"/>
          <w:szCs w:val="28"/>
        </w:rPr>
        <w:t>DECLARATION</w:t>
      </w:r>
    </w:p>
    <w:p w14:paraId="14E8F28B" w14:textId="77777777" w:rsidR="00A077F2" w:rsidRPr="00604A87" w:rsidRDefault="00A077F2" w:rsidP="00A077F2">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47AD781E" w14:textId="378821DF" w:rsidR="00A077F2" w:rsidRPr="00604A87" w:rsidRDefault="00A077F2" w:rsidP="00A077F2">
      <w:pPr>
        <w:rPr>
          <w:rFonts w:eastAsia="Times New Roman" w:cs="Arial"/>
        </w:rPr>
      </w:pPr>
      <w:r w:rsidRPr="00604A87">
        <w:rPr>
          <w:rFonts w:eastAsia="Times New Roman" w:cs="Arial"/>
        </w:rPr>
        <w:t>Signed…………</w:t>
      </w:r>
      <w:r w:rsidR="006C3C02">
        <w:rPr>
          <w:rFonts w:eastAsia="Times New Roman" w:cs="Arial"/>
        </w:rPr>
        <w:t>Suma Begum</w:t>
      </w:r>
      <w:r w:rsidRPr="00604A87">
        <w:rPr>
          <w:rFonts w:eastAsia="Times New Roman" w:cs="Arial"/>
        </w:rPr>
        <w:t>…………………</w:t>
      </w:r>
    </w:p>
    <w:p w14:paraId="64E5E486" w14:textId="0CAE778E" w:rsidR="00A077F2" w:rsidRPr="00604A87" w:rsidRDefault="00A077F2" w:rsidP="00A077F2">
      <w:pPr>
        <w:rPr>
          <w:rFonts w:eastAsia="Times New Roman" w:cs="Arial"/>
        </w:rPr>
      </w:pPr>
      <w:r w:rsidRPr="00604A87">
        <w:rPr>
          <w:rFonts w:eastAsia="Times New Roman" w:cs="Arial"/>
        </w:rPr>
        <w:t>Date……………</w:t>
      </w:r>
      <w:r w:rsidR="006C3C02">
        <w:rPr>
          <w:rFonts w:eastAsia="Times New Roman" w:cs="Arial"/>
        </w:rPr>
        <w:t>03/08/2025</w:t>
      </w:r>
      <w:r w:rsidRPr="00604A87">
        <w:rPr>
          <w:rFonts w:eastAsia="Times New Roman" w:cs="Arial"/>
        </w:rPr>
        <w:t>…………………</w:t>
      </w:r>
    </w:p>
    <w:p w14:paraId="627CC969" w14:textId="77777777" w:rsidR="00A077F2" w:rsidRPr="00604A87" w:rsidRDefault="00A077F2" w:rsidP="00A077F2">
      <w:pPr>
        <w:rPr>
          <w:rFonts w:eastAsia="Times New Roman" w:cs="Arial"/>
          <w:bCs/>
          <w:kern w:val="32"/>
        </w:rPr>
      </w:pPr>
      <w:r w:rsidRPr="00604A87">
        <w:rPr>
          <w:rFonts w:eastAsia="Times New Roman" w:cs="Arial"/>
          <w:b/>
        </w:rPr>
        <w:t xml:space="preserve">STATEMENT 1 </w:t>
      </w:r>
    </w:p>
    <w:p w14:paraId="6847AE17" w14:textId="77777777" w:rsidR="00A077F2" w:rsidRPr="00604A87" w:rsidRDefault="00A077F2" w:rsidP="00A077F2">
      <w:pPr>
        <w:rPr>
          <w:rFonts w:eastAsia="Times New Roman" w:cs="Arial"/>
        </w:rPr>
      </w:pPr>
      <w:r w:rsidRPr="00604A87">
        <w:rPr>
          <w:rFonts w:eastAsia="Times New Roman" w:cs="Arial"/>
        </w:rPr>
        <w:t>This dissertation is being submitted in partial fulfilment of the requirements for the degree of BSc.</w:t>
      </w:r>
    </w:p>
    <w:p w14:paraId="35477700" w14:textId="77777777" w:rsidR="006C3C02" w:rsidRPr="00604A87" w:rsidRDefault="006C3C02" w:rsidP="006C3C02">
      <w:pPr>
        <w:rPr>
          <w:rFonts w:eastAsia="Times New Roman" w:cs="Arial"/>
        </w:rPr>
      </w:pPr>
      <w:r w:rsidRPr="00604A87">
        <w:rPr>
          <w:rFonts w:eastAsia="Times New Roman" w:cs="Arial"/>
        </w:rPr>
        <w:t>Signed…………</w:t>
      </w:r>
      <w:r>
        <w:rPr>
          <w:rFonts w:eastAsia="Times New Roman" w:cs="Arial"/>
        </w:rPr>
        <w:t>Suma Begum</w:t>
      </w:r>
      <w:r w:rsidRPr="00604A87">
        <w:rPr>
          <w:rFonts w:eastAsia="Times New Roman" w:cs="Arial"/>
        </w:rPr>
        <w:t>…………………</w:t>
      </w:r>
    </w:p>
    <w:p w14:paraId="11AD0ABA" w14:textId="77777777" w:rsidR="006C3C02" w:rsidRPr="00604A87" w:rsidRDefault="006C3C02" w:rsidP="006C3C02">
      <w:pPr>
        <w:rPr>
          <w:rFonts w:eastAsia="Times New Roman" w:cs="Arial"/>
        </w:rPr>
      </w:pPr>
      <w:r w:rsidRPr="00604A87">
        <w:rPr>
          <w:rFonts w:eastAsia="Times New Roman" w:cs="Arial"/>
        </w:rPr>
        <w:t>Date……………</w:t>
      </w:r>
      <w:r>
        <w:rPr>
          <w:rFonts w:eastAsia="Times New Roman" w:cs="Arial"/>
        </w:rPr>
        <w:t>03/08/2025</w:t>
      </w:r>
      <w:r w:rsidRPr="00604A87">
        <w:rPr>
          <w:rFonts w:eastAsia="Times New Roman" w:cs="Arial"/>
        </w:rPr>
        <w:t>…………………</w:t>
      </w:r>
    </w:p>
    <w:p w14:paraId="2760063B" w14:textId="77777777" w:rsidR="00A077F2" w:rsidRPr="00604A87" w:rsidRDefault="00A077F2" w:rsidP="00A077F2">
      <w:pPr>
        <w:rPr>
          <w:rFonts w:eastAsia="Times New Roman" w:cs="Arial"/>
        </w:rPr>
      </w:pPr>
      <w:r w:rsidRPr="00604A87">
        <w:rPr>
          <w:rFonts w:eastAsia="Times New Roman" w:cs="Arial"/>
          <w:b/>
        </w:rPr>
        <w:t>STATEMENT 2</w:t>
      </w:r>
    </w:p>
    <w:p w14:paraId="29DBC19A" w14:textId="77777777" w:rsidR="00A077F2" w:rsidRPr="00604A87" w:rsidRDefault="00A077F2" w:rsidP="00A077F2">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6813F3D" w14:textId="77777777" w:rsidR="006C3C02" w:rsidRPr="00604A87" w:rsidRDefault="006C3C02" w:rsidP="006C3C02">
      <w:pPr>
        <w:rPr>
          <w:rFonts w:eastAsia="Times New Roman" w:cs="Arial"/>
        </w:rPr>
      </w:pPr>
      <w:r w:rsidRPr="00604A87">
        <w:rPr>
          <w:rFonts w:eastAsia="Times New Roman" w:cs="Arial"/>
        </w:rPr>
        <w:t>Signed…………</w:t>
      </w:r>
      <w:r>
        <w:rPr>
          <w:rFonts w:eastAsia="Times New Roman" w:cs="Arial"/>
        </w:rPr>
        <w:t>Suma Begum</w:t>
      </w:r>
      <w:r w:rsidRPr="00604A87">
        <w:rPr>
          <w:rFonts w:eastAsia="Times New Roman" w:cs="Arial"/>
        </w:rPr>
        <w:t>…………………</w:t>
      </w:r>
    </w:p>
    <w:p w14:paraId="1763CD72" w14:textId="77777777" w:rsidR="006C3C02" w:rsidRPr="00604A87" w:rsidRDefault="006C3C02" w:rsidP="006C3C02">
      <w:pPr>
        <w:rPr>
          <w:rFonts w:eastAsia="Times New Roman" w:cs="Arial"/>
        </w:rPr>
      </w:pPr>
      <w:r w:rsidRPr="00604A87">
        <w:rPr>
          <w:rFonts w:eastAsia="Times New Roman" w:cs="Arial"/>
        </w:rPr>
        <w:t>Date……………</w:t>
      </w:r>
      <w:r>
        <w:rPr>
          <w:rFonts w:eastAsia="Times New Roman" w:cs="Arial"/>
        </w:rPr>
        <w:t>03/08/2025</w:t>
      </w:r>
      <w:r w:rsidRPr="00604A87">
        <w:rPr>
          <w:rFonts w:eastAsia="Times New Roman" w:cs="Arial"/>
        </w:rPr>
        <w:t>…………………</w:t>
      </w:r>
    </w:p>
    <w:p w14:paraId="228D37C0" w14:textId="77777777" w:rsidR="00A077F2" w:rsidRPr="00604A87" w:rsidRDefault="00A077F2" w:rsidP="00A077F2">
      <w:pPr>
        <w:rPr>
          <w:rFonts w:eastAsia="Times New Roman" w:cs="Arial"/>
        </w:rPr>
      </w:pPr>
      <w:r w:rsidRPr="00604A87">
        <w:rPr>
          <w:rFonts w:eastAsia="Times New Roman" w:cs="Arial"/>
          <w:b/>
        </w:rPr>
        <w:t>STATEMENT 3</w:t>
      </w:r>
    </w:p>
    <w:p w14:paraId="1EA07A99" w14:textId="77777777" w:rsidR="00A077F2" w:rsidRPr="00604A87" w:rsidRDefault="00A077F2" w:rsidP="00A077F2">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6ACD506C" w14:textId="77777777" w:rsidR="006C3C02" w:rsidRPr="00604A87" w:rsidRDefault="006C3C02" w:rsidP="006C3C02">
      <w:pPr>
        <w:rPr>
          <w:rFonts w:eastAsia="Times New Roman" w:cs="Arial"/>
        </w:rPr>
      </w:pPr>
      <w:r w:rsidRPr="00604A87">
        <w:rPr>
          <w:rFonts w:eastAsia="Times New Roman" w:cs="Arial"/>
        </w:rPr>
        <w:t>Signed…………</w:t>
      </w:r>
      <w:r>
        <w:rPr>
          <w:rFonts w:eastAsia="Times New Roman" w:cs="Arial"/>
        </w:rPr>
        <w:t>Suma Begum</w:t>
      </w:r>
      <w:r w:rsidRPr="00604A87">
        <w:rPr>
          <w:rFonts w:eastAsia="Times New Roman" w:cs="Arial"/>
        </w:rPr>
        <w:t>…………………</w:t>
      </w:r>
    </w:p>
    <w:p w14:paraId="61934069" w14:textId="77777777" w:rsidR="006C3C02" w:rsidRPr="00604A87" w:rsidRDefault="006C3C02" w:rsidP="006C3C02">
      <w:pPr>
        <w:rPr>
          <w:rFonts w:eastAsia="Times New Roman" w:cs="Arial"/>
        </w:rPr>
      </w:pPr>
      <w:r w:rsidRPr="00604A87">
        <w:rPr>
          <w:rFonts w:eastAsia="Times New Roman" w:cs="Arial"/>
        </w:rPr>
        <w:lastRenderedPageBreak/>
        <w:t>Date……………</w:t>
      </w:r>
      <w:r>
        <w:rPr>
          <w:rFonts w:eastAsia="Times New Roman" w:cs="Arial"/>
        </w:rPr>
        <w:t>03/08/2025</w:t>
      </w:r>
      <w:r w:rsidRPr="00604A87">
        <w:rPr>
          <w:rFonts w:eastAsia="Times New Roman" w:cs="Arial"/>
        </w:rPr>
        <w:t>…………………</w:t>
      </w:r>
    </w:p>
    <w:p w14:paraId="664171F7" w14:textId="77777777" w:rsidR="00A077F2" w:rsidRPr="00604A87" w:rsidRDefault="00A077F2" w:rsidP="00A077F2">
      <w:pPr>
        <w:rPr>
          <w:rFonts w:eastAsia="Times New Roman" w:cs="Arial"/>
          <w:b/>
        </w:rPr>
      </w:pPr>
      <w:r w:rsidRPr="00604A87">
        <w:rPr>
          <w:rFonts w:eastAsia="Times New Roman" w:cs="Arial"/>
          <w:b/>
        </w:rPr>
        <w:t>STATEMENT 4</w:t>
      </w:r>
    </w:p>
    <w:p w14:paraId="77BE0A69" w14:textId="77777777" w:rsidR="00A077F2" w:rsidRPr="00604A87" w:rsidRDefault="00A077F2" w:rsidP="00A077F2">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691ADBAD" w14:textId="77777777" w:rsidR="006C3C02" w:rsidRPr="00604A87" w:rsidRDefault="006C3C02" w:rsidP="006C3C02">
      <w:pPr>
        <w:rPr>
          <w:rFonts w:eastAsia="Times New Roman" w:cs="Arial"/>
        </w:rPr>
      </w:pPr>
      <w:r w:rsidRPr="00604A87">
        <w:rPr>
          <w:rFonts w:eastAsia="Times New Roman" w:cs="Arial"/>
        </w:rPr>
        <w:t>Signed…………</w:t>
      </w:r>
      <w:r>
        <w:rPr>
          <w:rFonts w:eastAsia="Times New Roman" w:cs="Arial"/>
        </w:rPr>
        <w:t>Suma Begum</w:t>
      </w:r>
      <w:r w:rsidRPr="00604A87">
        <w:rPr>
          <w:rFonts w:eastAsia="Times New Roman" w:cs="Arial"/>
        </w:rPr>
        <w:t>…………………</w:t>
      </w:r>
    </w:p>
    <w:p w14:paraId="466A6C64" w14:textId="77777777" w:rsidR="006C3C02" w:rsidRPr="00604A87" w:rsidRDefault="006C3C02" w:rsidP="006C3C02">
      <w:pPr>
        <w:rPr>
          <w:rFonts w:eastAsia="Times New Roman" w:cs="Arial"/>
        </w:rPr>
      </w:pPr>
      <w:r w:rsidRPr="00604A87">
        <w:rPr>
          <w:rFonts w:eastAsia="Times New Roman" w:cs="Arial"/>
        </w:rPr>
        <w:t>Date……………</w:t>
      </w:r>
      <w:r>
        <w:rPr>
          <w:rFonts w:eastAsia="Times New Roman" w:cs="Arial"/>
        </w:rPr>
        <w:t>03/08/2025</w:t>
      </w:r>
      <w:r w:rsidRPr="00604A87">
        <w:rPr>
          <w:rFonts w:eastAsia="Times New Roman" w:cs="Arial"/>
        </w:rPr>
        <w:t>…………………</w:t>
      </w:r>
    </w:p>
    <w:p w14:paraId="752A8BAC" w14:textId="77777777" w:rsidR="002A3A3A" w:rsidRPr="009C0D00" w:rsidRDefault="002A3A3A" w:rsidP="0072601A"/>
    <w:p w14:paraId="54F9433B" w14:textId="77777777" w:rsidR="0072601A" w:rsidRPr="009C0D00" w:rsidRDefault="0072601A" w:rsidP="0072601A"/>
    <w:p w14:paraId="2F87D29D" w14:textId="77777777" w:rsidR="0072601A" w:rsidRPr="009C0D00" w:rsidRDefault="0072601A" w:rsidP="0072601A"/>
    <w:p w14:paraId="08A79AFE" w14:textId="77777777" w:rsidR="0072601A" w:rsidRDefault="0072601A" w:rsidP="0072601A"/>
    <w:p w14:paraId="3C509004" w14:textId="77777777" w:rsidR="00A23EFB" w:rsidRDefault="00A23EFB" w:rsidP="0072601A"/>
    <w:p w14:paraId="4D6B7606" w14:textId="77777777" w:rsidR="00A23EFB" w:rsidRDefault="00A23EFB" w:rsidP="0072601A"/>
    <w:p w14:paraId="249C6562" w14:textId="77777777" w:rsidR="00A23EFB" w:rsidRDefault="00A23EFB" w:rsidP="0072601A"/>
    <w:p w14:paraId="1A861616" w14:textId="77777777" w:rsidR="00A23EFB" w:rsidRDefault="00A23EFB" w:rsidP="0072601A"/>
    <w:p w14:paraId="0FCB828A" w14:textId="77777777" w:rsidR="00A23EFB" w:rsidRDefault="00A23EFB" w:rsidP="0072601A"/>
    <w:p w14:paraId="0E8A400E" w14:textId="77777777" w:rsidR="00A23EFB" w:rsidRDefault="00A23EFB" w:rsidP="0072601A"/>
    <w:p w14:paraId="5D1847AC" w14:textId="77777777" w:rsidR="00A23EFB" w:rsidRDefault="00A23EFB" w:rsidP="0072601A"/>
    <w:p w14:paraId="3578317E" w14:textId="77777777" w:rsidR="00A23EFB" w:rsidRDefault="00A23EFB" w:rsidP="0072601A"/>
    <w:p w14:paraId="7015D66E" w14:textId="77777777" w:rsidR="00A23EFB" w:rsidRDefault="00A23EFB" w:rsidP="0072601A"/>
    <w:p w14:paraId="1F87ECAE" w14:textId="77777777" w:rsidR="00A23EFB" w:rsidRDefault="00A23EFB" w:rsidP="0072601A"/>
    <w:p w14:paraId="69F13BF5" w14:textId="77777777" w:rsidR="00A23EFB" w:rsidRDefault="00A23EFB" w:rsidP="0072601A"/>
    <w:p w14:paraId="29363193" w14:textId="77777777" w:rsidR="00A23EFB" w:rsidRDefault="00A23EFB" w:rsidP="0072601A"/>
    <w:p w14:paraId="0E26D1A0" w14:textId="77777777" w:rsidR="00A23EFB" w:rsidRDefault="00A23EFB" w:rsidP="0072601A"/>
    <w:p w14:paraId="1D72F18B" w14:textId="77777777" w:rsidR="00A23EFB" w:rsidRDefault="00A23EFB" w:rsidP="0072601A"/>
    <w:p w14:paraId="3A3D6124" w14:textId="77777777" w:rsidR="00A23EFB" w:rsidRDefault="00A23EFB" w:rsidP="0072601A"/>
    <w:p w14:paraId="3978B6CB" w14:textId="77777777" w:rsidR="00A23EFB" w:rsidRDefault="00A23EFB" w:rsidP="00A23EFB">
      <w:pPr>
        <w:jc w:val="center"/>
        <w:rPr>
          <w:rFonts w:eastAsia="Arial Unicode MS" w:cs="Arial"/>
          <w:b/>
          <w:sz w:val="56"/>
          <w:szCs w:val="56"/>
        </w:rPr>
      </w:pPr>
    </w:p>
    <w:p w14:paraId="6EDC5C0C" w14:textId="3FFD6BC9" w:rsidR="00A23EFB" w:rsidRPr="00A23EFB" w:rsidRDefault="00A23EFB" w:rsidP="00A23EFB">
      <w:pPr>
        <w:jc w:val="center"/>
        <w:rPr>
          <w:rFonts w:eastAsia="Arial Unicode MS" w:cs="Arial"/>
          <w:b/>
          <w:sz w:val="48"/>
          <w:szCs w:val="48"/>
        </w:rPr>
      </w:pPr>
      <w:r w:rsidRPr="00A23EFB">
        <w:rPr>
          <w:rFonts w:eastAsia="Arial Unicode MS" w:cs="Arial"/>
          <w:b/>
          <w:sz w:val="48"/>
          <w:szCs w:val="48"/>
        </w:rPr>
        <w:t>Title – "The Effectiveness of Community-Based Dementia Support Programs for Adults Aged 65 and Over in the UK: A Systematic Review.</w:t>
      </w:r>
    </w:p>
    <w:p w14:paraId="051EE9C5" w14:textId="77777777" w:rsidR="00A23EFB" w:rsidRPr="00995444" w:rsidRDefault="00A23EFB" w:rsidP="00A23EFB">
      <w:pPr>
        <w:jc w:val="center"/>
        <w:rPr>
          <w:rFonts w:eastAsia="Arial Unicode MS" w:cs="Arial"/>
          <w:b/>
          <w:sz w:val="56"/>
          <w:szCs w:val="56"/>
        </w:rPr>
      </w:pPr>
    </w:p>
    <w:p w14:paraId="1095557B" w14:textId="77777777" w:rsidR="006C3C02" w:rsidRPr="00EC19B3" w:rsidRDefault="006C3C02" w:rsidP="006C3C02">
      <w:pPr>
        <w:spacing w:line="278" w:lineRule="auto"/>
        <w:ind w:left="360"/>
        <w:jc w:val="center"/>
        <w:rPr>
          <w:rFonts w:cs="Arial"/>
          <w:b/>
          <w:bCs/>
        </w:rPr>
      </w:pPr>
      <w:r w:rsidRPr="00EC19B3">
        <w:rPr>
          <w:rFonts w:cs="Arial"/>
          <w:b/>
          <w:bCs/>
        </w:rPr>
        <w:t>Student Name: Suma Begum</w:t>
      </w:r>
    </w:p>
    <w:p w14:paraId="4BFCFC31" w14:textId="77777777" w:rsidR="006C3C02" w:rsidRPr="00EC19B3" w:rsidRDefault="006C3C02" w:rsidP="006C3C02">
      <w:pPr>
        <w:spacing w:line="278" w:lineRule="auto"/>
        <w:ind w:left="360"/>
        <w:jc w:val="center"/>
        <w:rPr>
          <w:rFonts w:cs="Arial"/>
          <w:b/>
          <w:bCs/>
        </w:rPr>
      </w:pPr>
      <w:r w:rsidRPr="00EC19B3">
        <w:rPr>
          <w:rFonts w:cs="Arial"/>
          <w:b/>
          <w:bCs/>
        </w:rPr>
        <w:t>Student ID: 2123484</w:t>
      </w:r>
    </w:p>
    <w:p w14:paraId="104B729D" w14:textId="77777777" w:rsidR="00A23EFB" w:rsidRPr="00A23EFB" w:rsidRDefault="00A23EFB" w:rsidP="00A23EFB">
      <w:pPr>
        <w:jc w:val="left"/>
        <w:rPr>
          <w:bCs/>
          <w:sz w:val="40"/>
          <w:szCs w:val="40"/>
        </w:rPr>
      </w:pPr>
    </w:p>
    <w:p w14:paraId="0083F73E" w14:textId="77777777" w:rsidR="00D75494" w:rsidRPr="00A23EFB" w:rsidRDefault="00D75494" w:rsidP="00A23EFB">
      <w:pPr>
        <w:jc w:val="left"/>
        <w:rPr>
          <w:bCs/>
          <w:sz w:val="40"/>
          <w:szCs w:val="40"/>
        </w:rPr>
      </w:pPr>
    </w:p>
    <w:p w14:paraId="54541F8F" w14:textId="77777777" w:rsidR="00D75494" w:rsidRPr="009C0D00" w:rsidRDefault="00D75494" w:rsidP="00D75494"/>
    <w:p w14:paraId="0145DFF8" w14:textId="77777777" w:rsidR="00D75494" w:rsidRPr="009C0D00" w:rsidRDefault="00D75494" w:rsidP="00D75494"/>
    <w:p w14:paraId="5A6788E2" w14:textId="77777777" w:rsidR="00D75494" w:rsidRPr="009C0D00" w:rsidRDefault="00D75494" w:rsidP="00D75494"/>
    <w:p w14:paraId="4DBD29F2" w14:textId="77777777" w:rsidR="00D75494" w:rsidRPr="009C0D00" w:rsidRDefault="00D75494" w:rsidP="00D75494"/>
    <w:p w14:paraId="0EC0304A" w14:textId="77777777" w:rsidR="00D75494" w:rsidRPr="009C0D00" w:rsidRDefault="00D75494" w:rsidP="00D75494"/>
    <w:p w14:paraId="41AC3D21" w14:textId="77777777" w:rsidR="00D75494" w:rsidRPr="009C0D00" w:rsidRDefault="00D75494" w:rsidP="00D75494"/>
    <w:p w14:paraId="646C45AA" w14:textId="77777777" w:rsidR="00A077F2" w:rsidRPr="00D75494" w:rsidRDefault="00A077F2" w:rsidP="00D75494"/>
    <w:p w14:paraId="4C7468D7" w14:textId="23A9861B" w:rsidR="00D75494" w:rsidRPr="009C0D00" w:rsidRDefault="00D75494" w:rsidP="00D75494">
      <w:pPr>
        <w:pStyle w:val="Heading1"/>
      </w:pPr>
      <w:bookmarkStart w:id="0" w:name="_Toc204831423"/>
      <w:r w:rsidRPr="009C0D00">
        <w:lastRenderedPageBreak/>
        <w:t>Abstract</w:t>
      </w:r>
      <w:bookmarkEnd w:id="0"/>
    </w:p>
    <w:p w14:paraId="3AFEEDB1" w14:textId="5C0BC571" w:rsidR="00D75494" w:rsidRPr="009C0D00" w:rsidRDefault="00D75494" w:rsidP="00D75494">
      <w:r w:rsidRPr="009C0D00">
        <w:t xml:space="preserve">In this dissertation, the author examines the efficacy of community-based dementia support programmes in adults (65 and above) in the United Kingdom. It is the expectation that the study will evaluate the impact of such programmes on a higher quality of life, cognitive ability, and wellbeing of the caregivers, and determine best practices that can be used in improving the personnel performance and policy creation. The study has relevance now and in future since more people </w:t>
      </w:r>
      <w:r w:rsidR="00433F8B">
        <w:t xml:space="preserve">are </w:t>
      </w:r>
      <w:r w:rsidRPr="009C0D00">
        <w:t>elderly with dementia in the UK and the transition towards non-institutionalised, person-centred care in health and social care policy.</w:t>
      </w:r>
    </w:p>
    <w:p w14:paraId="28430876" w14:textId="2BA857CD" w:rsidR="00D75494" w:rsidRPr="009C0D00" w:rsidRDefault="00D75494" w:rsidP="00D75494">
      <w:r w:rsidRPr="009C0D00">
        <w:t xml:space="preserve">It included a systematic review of available literature, with thematic analysis of the findings provided using a set of peer-reviewed journal articles, grey and UK government documents published within a decade. The article narrowed down </w:t>
      </w:r>
      <w:r w:rsidR="00433F8B">
        <w:t>to</w:t>
      </w:r>
      <w:r w:rsidRPr="009C0D00">
        <w:t xml:space="preserve"> three major themes</w:t>
      </w:r>
      <w:r w:rsidR="00433F8B">
        <w:t>,</w:t>
      </w:r>
      <w:r w:rsidRPr="009C0D00">
        <w:t xml:space="preserve"> including quality of life outcomes, cognitive function, and caregiver burden. Theory </w:t>
      </w:r>
      <w:r w:rsidR="00433F8B">
        <w:t>conceptualisation</w:t>
      </w:r>
      <w:r w:rsidRPr="009C0D00">
        <w:t xml:space="preserve"> was applied to each theme and later reinforced by UK policy guidelines to offer a concrete picture of the effect of community interventions on service users and their relations.</w:t>
      </w:r>
    </w:p>
    <w:p w14:paraId="0E072C4B" w14:textId="7D130CF2" w:rsidR="00D75494" w:rsidRPr="009C0D00" w:rsidRDefault="00D75494" w:rsidP="00D75494">
      <w:r w:rsidRPr="009C0D00">
        <w:t>According to the results, community-based dementia support programmes are to a large extent effective in enhancing emotional wellbeing, preserving cognitive impairment, and lowering stress amongst caregivers. Nevertheless, it is hampered by shortcomings regarding the disproportionality of service delivery, financial accessibility, and cultural diversity. Such barriers could affect the uniformity of the results and restrict it to some population groups, mostly rural or minority ethnic communities.</w:t>
      </w:r>
    </w:p>
    <w:p w14:paraId="201A2EE9" w14:textId="352BC561" w:rsidR="00D75494" w:rsidRPr="009C0D00" w:rsidRDefault="00D75494" w:rsidP="00D75494">
      <w:r w:rsidRPr="009C0D00">
        <w:t xml:space="preserve">The dissertation ends with several important recommendations such as better </w:t>
      </w:r>
      <w:r w:rsidR="00433F8B">
        <w:t>long-term</w:t>
      </w:r>
      <w:r w:rsidRPr="009C0D00">
        <w:t xml:space="preserve"> funding of community services, better access through models of localised and mobile delivery, and </w:t>
      </w:r>
      <w:r w:rsidR="00433F8B">
        <w:t>incorporation</w:t>
      </w:r>
      <w:r w:rsidRPr="009C0D00">
        <w:t xml:space="preserve"> of structured caregiver support in all dementia programmes. The recommendations intend to guide future policy, health and social care practice, workforce training, and research that is specific. To address these points will be valuable to make dementia care across the UK more equitable, sustainable, and person-centred.</w:t>
      </w:r>
    </w:p>
    <w:p w14:paraId="4A5A5F39" w14:textId="77777777" w:rsidR="00D75494" w:rsidRPr="009C0D00" w:rsidRDefault="00D75494" w:rsidP="00D75494"/>
    <w:p w14:paraId="184CBDBE" w14:textId="77777777" w:rsidR="00D75494" w:rsidRDefault="00D75494" w:rsidP="00D75494"/>
    <w:p w14:paraId="08B838E9" w14:textId="77777777" w:rsidR="00466445" w:rsidRDefault="00466445" w:rsidP="00D75494"/>
    <w:p w14:paraId="2C471209" w14:textId="77777777" w:rsidR="00466445" w:rsidRDefault="00466445" w:rsidP="00D75494"/>
    <w:sdt>
      <w:sdtPr>
        <w:rPr>
          <w:rFonts w:ascii="Arial" w:eastAsiaTheme="minorHAnsi" w:hAnsi="Arial" w:cstheme="minorBidi"/>
          <w:color w:val="000000" w:themeColor="text1"/>
          <w:sz w:val="22"/>
          <w:szCs w:val="22"/>
          <w:lang w:val="en-GB"/>
          <w14:ligatures w14:val="standardContextual"/>
        </w:rPr>
        <w:id w:val="1202524000"/>
        <w:docPartObj>
          <w:docPartGallery w:val="Table of Contents"/>
          <w:docPartUnique/>
        </w:docPartObj>
      </w:sdtPr>
      <w:sdtEndPr>
        <w:rPr>
          <w:b/>
          <w:bCs/>
          <w:noProof/>
        </w:rPr>
      </w:sdtEndPr>
      <w:sdtContent>
        <w:p w14:paraId="084E5494" w14:textId="4F26F021" w:rsidR="00466445" w:rsidRDefault="00466445">
          <w:pPr>
            <w:pStyle w:val="TOCHeading"/>
          </w:pPr>
          <w:r>
            <w:t>Table of Contents</w:t>
          </w:r>
        </w:p>
        <w:p w14:paraId="6AA99637" w14:textId="653620BC" w:rsidR="00345B96" w:rsidRDefault="00466445">
          <w:pPr>
            <w:pStyle w:val="TOC1"/>
            <w:tabs>
              <w:tab w:val="right" w:leader="dot" w:pos="9350"/>
            </w:tabs>
            <w:rPr>
              <w:rFonts w:asciiTheme="minorHAnsi" w:eastAsiaTheme="minorEastAsia" w:hAnsiTheme="minorHAnsi"/>
              <w:noProof/>
              <w:color w:val="auto"/>
              <w:lang w:eastAsia="en-GB"/>
              <w14:ligatures w14:val="none"/>
            </w:rPr>
          </w:pPr>
          <w:r>
            <w:fldChar w:fldCharType="begin"/>
          </w:r>
          <w:r>
            <w:instrText xml:space="preserve"> TOC \o "1-3" \h \z \u </w:instrText>
          </w:r>
          <w:r>
            <w:fldChar w:fldCharType="separate"/>
          </w:r>
          <w:hyperlink w:anchor="_Toc204831423" w:history="1">
            <w:r w:rsidR="00345B96" w:rsidRPr="00AE66D2">
              <w:rPr>
                <w:rStyle w:val="Hyperlink"/>
                <w:noProof/>
              </w:rPr>
              <w:t>Abstract</w:t>
            </w:r>
            <w:r w:rsidR="00345B96">
              <w:rPr>
                <w:noProof/>
                <w:webHidden/>
              </w:rPr>
              <w:tab/>
            </w:r>
            <w:r w:rsidR="00345B96">
              <w:rPr>
                <w:noProof/>
                <w:webHidden/>
              </w:rPr>
              <w:fldChar w:fldCharType="begin"/>
            </w:r>
            <w:r w:rsidR="00345B96">
              <w:rPr>
                <w:noProof/>
                <w:webHidden/>
              </w:rPr>
              <w:instrText xml:space="preserve"> PAGEREF _Toc204831423 \h </w:instrText>
            </w:r>
            <w:r w:rsidR="00345B96">
              <w:rPr>
                <w:noProof/>
                <w:webHidden/>
              </w:rPr>
            </w:r>
            <w:r w:rsidR="00345B96">
              <w:rPr>
                <w:noProof/>
                <w:webHidden/>
              </w:rPr>
              <w:fldChar w:fldCharType="separate"/>
            </w:r>
            <w:r w:rsidR="00345B96">
              <w:rPr>
                <w:noProof/>
                <w:webHidden/>
              </w:rPr>
              <w:t>5</w:t>
            </w:r>
            <w:r w:rsidR="00345B96">
              <w:rPr>
                <w:noProof/>
                <w:webHidden/>
              </w:rPr>
              <w:fldChar w:fldCharType="end"/>
            </w:r>
          </w:hyperlink>
        </w:p>
        <w:p w14:paraId="06F4A6FB" w14:textId="52C2490F" w:rsidR="00345B96" w:rsidRDefault="00345B96">
          <w:pPr>
            <w:pStyle w:val="TOC1"/>
            <w:tabs>
              <w:tab w:val="right" w:leader="dot" w:pos="9350"/>
            </w:tabs>
            <w:rPr>
              <w:rFonts w:asciiTheme="minorHAnsi" w:eastAsiaTheme="minorEastAsia" w:hAnsiTheme="minorHAnsi"/>
              <w:noProof/>
              <w:color w:val="auto"/>
              <w:lang w:eastAsia="en-GB"/>
              <w14:ligatures w14:val="none"/>
            </w:rPr>
          </w:pPr>
          <w:hyperlink w:anchor="_Toc204831424" w:history="1">
            <w:r w:rsidRPr="00AE66D2">
              <w:rPr>
                <w:rStyle w:val="Hyperlink"/>
                <w:noProof/>
              </w:rPr>
              <w:t>CHAPTER 1: Introduction</w:t>
            </w:r>
            <w:r>
              <w:rPr>
                <w:noProof/>
                <w:webHidden/>
              </w:rPr>
              <w:tab/>
            </w:r>
            <w:r>
              <w:rPr>
                <w:noProof/>
                <w:webHidden/>
              </w:rPr>
              <w:fldChar w:fldCharType="begin"/>
            </w:r>
            <w:r>
              <w:rPr>
                <w:noProof/>
                <w:webHidden/>
              </w:rPr>
              <w:instrText xml:space="preserve"> PAGEREF _Toc204831424 \h </w:instrText>
            </w:r>
            <w:r>
              <w:rPr>
                <w:noProof/>
                <w:webHidden/>
              </w:rPr>
            </w:r>
            <w:r>
              <w:rPr>
                <w:noProof/>
                <w:webHidden/>
              </w:rPr>
              <w:fldChar w:fldCharType="separate"/>
            </w:r>
            <w:r>
              <w:rPr>
                <w:noProof/>
                <w:webHidden/>
              </w:rPr>
              <w:t>8</w:t>
            </w:r>
            <w:r>
              <w:rPr>
                <w:noProof/>
                <w:webHidden/>
              </w:rPr>
              <w:fldChar w:fldCharType="end"/>
            </w:r>
          </w:hyperlink>
        </w:p>
        <w:p w14:paraId="72B6AD58" w14:textId="2CA6BAF3"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25" w:history="1">
            <w:r w:rsidRPr="00AE66D2">
              <w:rPr>
                <w:rStyle w:val="Hyperlink"/>
                <w:noProof/>
              </w:rPr>
              <w:t>1.1 Introduction</w:t>
            </w:r>
            <w:r>
              <w:rPr>
                <w:noProof/>
                <w:webHidden/>
              </w:rPr>
              <w:tab/>
            </w:r>
            <w:r>
              <w:rPr>
                <w:noProof/>
                <w:webHidden/>
              </w:rPr>
              <w:fldChar w:fldCharType="begin"/>
            </w:r>
            <w:r>
              <w:rPr>
                <w:noProof/>
                <w:webHidden/>
              </w:rPr>
              <w:instrText xml:space="preserve"> PAGEREF _Toc204831425 \h </w:instrText>
            </w:r>
            <w:r>
              <w:rPr>
                <w:noProof/>
                <w:webHidden/>
              </w:rPr>
            </w:r>
            <w:r>
              <w:rPr>
                <w:noProof/>
                <w:webHidden/>
              </w:rPr>
              <w:fldChar w:fldCharType="separate"/>
            </w:r>
            <w:r>
              <w:rPr>
                <w:noProof/>
                <w:webHidden/>
              </w:rPr>
              <w:t>8</w:t>
            </w:r>
            <w:r>
              <w:rPr>
                <w:noProof/>
                <w:webHidden/>
              </w:rPr>
              <w:fldChar w:fldCharType="end"/>
            </w:r>
          </w:hyperlink>
        </w:p>
        <w:p w14:paraId="6524F1B7" w14:textId="0E6FB8CC"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26" w:history="1">
            <w:r w:rsidRPr="00AE66D2">
              <w:rPr>
                <w:rStyle w:val="Hyperlink"/>
                <w:noProof/>
              </w:rPr>
              <w:t>1.2 Definitions and Terminology</w:t>
            </w:r>
            <w:r>
              <w:rPr>
                <w:noProof/>
                <w:webHidden/>
              </w:rPr>
              <w:tab/>
            </w:r>
            <w:r>
              <w:rPr>
                <w:noProof/>
                <w:webHidden/>
              </w:rPr>
              <w:fldChar w:fldCharType="begin"/>
            </w:r>
            <w:r>
              <w:rPr>
                <w:noProof/>
                <w:webHidden/>
              </w:rPr>
              <w:instrText xml:space="preserve"> PAGEREF _Toc204831426 \h </w:instrText>
            </w:r>
            <w:r>
              <w:rPr>
                <w:noProof/>
                <w:webHidden/>
              </w:rPr>
            </w:r>
            <w:r>
              <w:rPr>
                <w:noProof/>
                <w:webHidden/>
              </w:rPr>
              <w:fldChar w:fldCharType="separate"/>
            </w:r>
            <w:r>
              <w:rPr>
                <w:noProof/>
                <w:webHidden/>
              </w:rPr>
              <w:t>8</w:t>
            </w:r>
            <w:r>
              <w:rPr>
                <w:noProof/>
                <w:webHidden/>
              </w:rPr>
              <w:fldChar w:fldCharType="end"/>
            </w:r>
          </w:hyperlink>
        </w:p>
        <w:p w14:paraId="5559F749" w14:textId="74B68FA6"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27" w:history="1">
            <w:r w:rsidRPr="00AE66D2">
              <w:rPr>
                <w:rStyle w:val="Hyperlink"/>
                <w:noProof/>
              </w:rPr>
              <w:t>1.3 Rationale for Research</w:t>
            </w:r>
            <w:r>
              <w:rPr>
                <w:noProof/>
                <w:webHidden/>
              </w:rPr>
              <w:tab/>
            </w:r>
            <w:r>
              <w:rPr>
                <w:noProof/>
                <w:webHidden/>
              </w:rPr>
              <w:fldChar w:fldCharType="begin"/>
            </w:r>
            <w:r>
              <w:rPr>
                <w:noProof/>
                <w:webHidden/>
              </w:rPr>
              <w:instrText xml:space="preserve"> PAGEREF _Toc204831427 \h </w:instrText>
            </w:r>
            <w:r>
              <w:rPr>
                <w:noProof/>
                <w:webHidden/>
              </w:rPr>
            </w:r>
            <w:r>
              <w:rPr>
                <w:noProof/>
                <w:webHidden/>
              </w:rPr>
              <w:fldChar w:fldCharType="separate"/>
            </w:r>
            <w:r>
              <w:rPr>
                <w:noProof/>
                <w:webHidden/>
              </w:rPr>
              <w:t>9</w:t>
            </w:r>
            <w:r>
              <w:rPr>
                <w:noProof/>
                <w:webHidden/>
              </w:rPr>
              <w:fldChar w:fldCharType="end"/>
            </w:r>
          </w:hyperlink>
        </w:p>
        <w:p w14:paraId="77708462" w14:textId="6EC59CF6"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28" w:history="1">
            <w:r w:rsidRPr="00AE66D2">
              <w:rPr>
                <w:rStyle w:val="Hyperlink"/>
                <w:noProof/>
              </w:rPr>
              <w:t>1.4 Aim and Objectives</w:t>
            </w:r>
            <w:r>
              <w:rPr>
                <w:noProof/>
                <w:webHidden/>
              </w:rPr>
              <w:tab/>
            </w:r>
            <w:r>
              <w:rPr>
                <w:noProof/>
                <w:webHidden/>
              </w:rPr>
              <w:fldChar w:fldCharType="begin"/>
            </w:r>
            <w:r>
              <w:rPr>
                <w:noProof/>
                <w:webHidden/>
              </w:rPr>
              <w:instrText xml:space="preserve"> PAGEREF _Toc204831428 \h </w:instrText>
            </w:r>
            <w:r>
              <w:rPr>
                <w:noProof/>
                <w:webHidden/>
              </w:rPr>
            </w:r>
            <w:r>
              <w:rPr>
                <w:noProof/>
                <w:webHidden/>
              </w:rPr>
              <w:fldChar w:fldCharType="separate"/>
            </w:r>
            <w:r>
              <w:rPr>
                <w:noProof/>
                <w:webHidden/>
              </w:rPr>
              <w:t>10</w:t>
            </w:r>
            <w:r>
              <w:rPr>
                <w:noProof/>
                <w:webHidden/>
              </w:rPr>
              <w:fldChar w:fldCharType="end"/>
            </w:r>
          </w:hyperlink>
        </w:p>
        <w:p w14:paraId="32938DC7" w14:textId="490B52F2"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29" w:history="1">
            <w:r w:rsidRPr="00AE66D2">
              <w:rPr>
                <w:rStyle w:val="Hyperlink"/>
                <w:noProof/>
              </w:rPr>
              <w:t>1.5 Conclusion</w:t>
            </w:r>
            <w:r>
              <w:rPr>
                <w:noProof/>
                <w:webHidden/>
              </w:rPr>
              <w:tab/>
            </w:r>
            <w:r>
              <w:rPr>
                <w:noProof/>
                <w:webHidden/>
              </w:rPr>
              <w:fldChar w:fldCharType="begin"/>
            </w:r>
            <w:r>
              <w:rPr>
                <w:noProof/>
                <w:webHidden/>
              </w:rPr>
              <w:instrText xml:space="preserve"> PAGEREF _Toc204831429 \h </w:instrText>
            </w:r>
            <w:r>
              <w:rPr>
                <w:noProof/>
                <w:webHidden/>
              </w:rPr>
            </w:r>
            <w:r>
              <w:rPr>
                <w:noProof/>
                <w:webHidden/>
              </w:rPr>
              <w:fldChar w:fldCharType="separate"/>
            </w:r>
            <w:r>
              <w:rPr>
                <w:noProof/>
                <w:webHidden/>
              </w:rPr>
              <w:t>10</w:t>
            </w:r>
            <w:r>
              <w:rPr>
                <w:noProof/>
                <w:webHidden/>
              </w:rPr>
              <w:fldChar w:fldCharType="end"/>
            </w:r>
          </w:hyperlink>
        </w:p>
        <w:p w14:paraId="61B2CD9A" w14:textId="1D4BDC41" w:rsidR="00345B96" w:rsidRDefault="00345B96">
          <w:pPr>
            <w:pStyle w:val="TOC1"/>
            <w:tabs>
              <w:tab w:val="right" w:leader="dot" w:pos="9350"/>
            </w:tabs>
            <w:rPr>
              <w:rFonts w:asciiTheme="minorHAnsi" w:eastAsiaTheme="minorEastAsia" w:hAnsiTheme="minorHAnsi"/>
              <w:noProof/>
              <w:color w:val="auto"/>
              <w:lang w:eastAsia="en-GB"/>
              <w14:ligatures w14:val="none"/>
            </w:rPr>
          </w:pPr>
          <w:hyperlink w:anchor="_Toc204831430" w:history="1">
            <w:r w:rsidRPr="00AE66D2">
              <w:rPr>
                <w:rStyle w:val="Hyperlink"/>
                <w:noProof/>
              </w:rPr>
              <w:t>CHAPTER 2 – Background Information and Analysis</w:t>
            </w:r>
            <w:r>
              <w:rPr>
                <w:noProof/>
                <w:webHidden/>
              </w:rPr>
              <w:tab/>
            </w:r>
            <w:r>
              <w:rPr>
                <w:noProof/>
                <w:webHidden/>
              </w:rPr>
              <w:fldChar w:fldCharType="begin"/>
            </w:r>
            <w:r>
              <w:rPr>
                <w:noProof/>
                <w:webHidden/>
              </w:rPr>
              <w:instrText xml:space="preserve"> PAGEREF _Toc204831430 \h </w:instrText>
            </w:r>
            <w:r>
              <w:rPr>
                <w:noProof/>
                <w:webHidden/>
              </w:rPr>
            </w:r>
            <w:r>
              <w:rPr>
                <w:noProof/>
                <w:webHidden/>
              </w:rPr>
              <w:fldChar w:fldCharType="separate"/>
            </w:r>
            <w:r>
              <w:rPr>
                <w:noProof/>
                <w:webHidden/>
              </w:rPr>
              <w:t>12</w:t>
            </w:r>
            <w:r>
              <w:rPr>
                <w:noProof/>
                <w:webHidden/>
              </w:rPr>
              <w:fldChar w:fldCharType="end"/>
            </w:r>
          </w:hyperlink>
        </w:p>
        <w:p w14:paraId="238683A2" w14:textId="3CE0E426"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31" w:history="1">
            <w:r w:rsidRPr="00AE66D2">
              <w:rPr>
                <w:rStyle w:val="Hyperlink"/>
                <w:noProof/>
              </w:rPr>
              <w:t>2.1 Introduction</w:t>
            </w:r>
            <w:r>
              <w:rPr>
                <w:noProof/>
                <w:webHidden/>
              </w:rPr>
              <w:tab/>
            </w:r>
            <w:r>
              <w:rPr>
                <w:noProof/>
                <w:webHidden/>
              </w:rPr>
              <w:fldChar w:fldCharType="begin"/>
            </w:r>
            <w:r>
              <w:rPr>
                <w:noProof/>
                <w:webHidden/>
              </w:rPr>
              <w:instrText xml:space="preserve"> PAGEREF _Toc204831431 \h </w:instrText>
            </w:r>
            <w:r>
              <w:rPr>
                <w:noProof/>
                <w:webHidden/>
              </w:rPr>
            </w:r>
            <w:r>
              <w:rPr>
                <w:noProof/>
                <w:webHidden/>
              </w:rPr>
              <w:fldChar w:fldCharType="separate"/>
            </w:r>
            <w:r>
              <w:rPr>
                <w:noProof/>
                <w:webHidden/>
              </w:rPr>
              <w:t>12</w:t>
            </w:r>
            <w:r>
              <w:rPr>
                <w:noProof/>
                <w:webHidden/>
              </w:rPr>
              <w:fldChar w:fldCharType="end"/>
            </w:r>
          </w:hyperlink>
        </w:p>
        <w:p w14:paraId="7A74ACE6" w14:textId="11DD716B"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32" w:history="1">
            <w:r w:rsidRPr="00AE66D2">
              <w:rPr>
                <w:rStyle w:val="Hyperlink"/>
                <w:noProof/>
              </w:rPr>
              <w:t>2.2 Historical Background</w:t>
            </w:r>
            <w:r>
              <w:rPr>
                <w:noProof/>
                <w:webHidden/>
              </w:rPr>
              <w:tab/>
            </w:r>
            <w:r>
              <w:rPr>
                <w:noProof/>
                <w:webHidden/>
              </w:rPr>
              <w:fldChar w:fldCharType="begin"/>
            </w:r>
            <w:r>
              <w:rPr>
                <w:noProof/>
                <w:webHidden/>
              </w:rPr>
              <w:instrText xml:space="preserve"> PAGEREF _Toc204831432 \h </w:instrText>
            </w:r>
            <w:r>
              <w:rPr>
                <w:noProof/>
                <w:webHidden/>
              </w:rPr>
            </w:r>
            <w:r>
              <w:rPr>
                <w:noProof/>
                <w:webHidden/>
              </w:rPr>
              <w:fldChar w:fldCharType="separate"/>
            </w:r>
            <w:r>
              <w:rPr>
                <w:noProof/>
                <w:webHidden/>
              </w:rPr>
              <w:t>12</w:t>
            </w:r>
            <w:r>
              <w:rPr>
                <w:noProof/>
                <w:webHidden/>
              </w:rPr>
              <w:fldChar w:fldCharType="end"/>
            </w:r>
          </w:hyperlink>
        </w:p>
        <w:p w14:paraId="6919E598" w14:textId="189F3A44"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33" w:history="1">
            <w:r w:rsidRPr="00AE66D2">
              <w:rPr>
                <w:rStyle w:val="Hyperlink"/>
                <w:noProof/>
              </w:rPr>
              <w:t>2.3 Theoretical Background</w:t>
            </w:r>
            <w:r>
              <w:rPr>
                <w:noProof/>
                <w:webHidden/>
              </w:rPr>
              <w:tab/>
            </w:r>
            <w:r>
              <w:rPr>
                <w:noProof/>
                <w:webHidden/>
              </w:rPr>
              <w:fldChar w:fldCharType="begin"/>
            </w:r>
            <w:r>
              <w:rPr>
                <w:noProof/>
                <w:webHidden/>
              </w:rPr>
              <w:instrText xml:space="preserve"> PAGEREF _Toc204831433 \h </w:instrText>
            </w:r>
            <w:r>
              <w:rPr>
                <w:noProof/>
                <w:webHidden/>
              </w:rPr>
            </w:r>
            <w:r>
              <w:rPr>
                <w:noProof/>
                <w:webHidden/>
              </w:rPr>
              <w:fldChar w:fldCharType="separate"/>
            </w:r>
            <w:r>
              <w:rPr>
                <w:noProof/>
                <w:webHidden/>
              </w:rPr>
              <w:t>13</w:t>
            </w:r>
            <w:r>
              <w:rPr>
                <w:noProof/>
                <w:webHidden/>
              </w:rPr>
              <w:fldChar w:fldCharType="end"/>
            </w:r>
          </w:hyperlink>
        </w:p>
        <w:p w14:paraId="2189E3BE" w14:textId="74E53F3A"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34" w:history="1">
            <w:r w:rsidRPr="00AE66D2">
              <w:rPr>
                <w:rStyle w:val="Hyperlink"/>
                <w:noProof/>
              </w:rPr>
              <w:t>2.4 International Context</w:t>
            </w:r>
            <w:r>
              <w:rPr>
                <w:noProof/>
                <w:webHidden/>
              </w:rPr>
              <w:tab/>
            </w:r>
            <w:r>
              <w:rPr>
                <w:noProof/>
                <w:webHidden/>
              </w:rPr>
              <w:fldChar w:fldCharType="begin"/>
            </w:r>
            <w:r>
              <w:rPr>
                <w:noProof/>
                <w:webHidden/>
              </w:rPr>
              <w:instrText xml:space="preserve"> PAGEREF _Toc204831434 \h </w:instrText>
            </w:r>
            <w:r>
              <w:rPr>
                <w:noProof/>
                <w:webHidden/>
              </w:rPr>
            </w:r>
            <w:r>
              <w:rPr>
                <w:noProof/>
                <w:webHidden/>
              </w:rPr>
              <w:fldChar w:fldCharType="separate"/>
            </w:r>
            <w:r>
              <w:rPr>
                <w:noProof/>
                <w:webHidden/>
              </w:rPr>
              <w:t>15</w:t>
            </w:r>
            <w:r>
              <w:rPr>
                <w:noProof/>
                <w:webHidden/>
              </w:rPr>
              <w:fldChar w:fldCharType="end"/>
            </w:r>
          </w:hyperlink>
        </w:p>
        <w:p w14:paraId="41F2BC9A" w14:textId="5E06F8E4"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35" w:history="1">
            <w:r w:rsidRPr="00AE66D2">
              <w:rPr>
                <w:rStyle w:val="Hyperlink"/>
                <w:noProof/>
              </w:rPr>
              <w:t>2.5 National/Local UK Context</w:t>
            </w:r>
            <w:r>
              <w:rPr>
                <w:noProof/>
                <w:webHidden/>
              </w:rPr>
              <w:tab/>
            </w:r>
            <w:r>
              <w:rPr>
                <w:noProof/>
                <w:webHidden/>
              </w:rPr>
              <w:fldChar w:fldCharType="begin"/>
            </w:r>
            <w:r>
              <w:rPr>
                <w:noProof/>
                <w:webHidden/>
              </w:rPr>
              <w:instrText xml:space="preserve"> PAGEREF _Toc204831435 \h </w:instrText>
            </w:r>
            <w:r>
              <w:rPr>
                <w:noProof/>
                <w:webHidden/>
              </w:rPr>
            </w:r>
            <w:r>
              <w:rPr>
                <w:noProof/>
                <w:webHidden/>
              </w:rPr>
              <w:fldChar w:fldCharType="separate"/>
            </w:r>
            <w:r>
              <w:rPr>
                <w:noProof/>
                <w:webHidden/>
              </w:rPr>
              <w:t>16</w:t>
            </w:r>
            <w:r>
              <w:rPr>
                <w:noProof/>
                <w:webHidden/>
              </w:rPr>
              <w:fldChar w:fldCharType="end"/>
            </w:r>
          </w:hyperlink>
        </w:p>
        <w:p w14:paraId="183A2BDA" w14:textId="6AEFF9FA"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36" w:history="1">
            <w:r w:rsidRPr="00AE66D2">
              <w:rPr>
                <w:rStyle w:val="Hyperlink"/>
                <w:noProof/>
              </w:rPr>
              <w:t>2.6 Conclusion</w:t>
            </w:r>
            <w:r>
              <w:rPr>
                <w:noProof/>
                <w:webHidden/>
              </w:rPr>
              <w:tab/>
            </w:r>
            <w:r>
              <w:rPr>
                <w:noProof/>
                <w:webHidden/>
              </w:rPr>
              <w:fldChar w:fldCharType="begin"/>
            </w:r>
            <w:r>
              <w:rPr>
                <w:noProof/>
                <w:webHidden/>
              </w:rPr>
              <w:instrText xml:space="preserve"> PAGEREF _Toc204831436 \h </w:instrText>
            </w:r>
            <w:r>
              <w:rPr>
                <w:noProof/>
                <w:webHidden/>
              </w:rPr>
            </w:r>
            <w:r>
              <w:rPr>
                <w:noProof/>
                <w:webHidden/>
              </w:rPr>
              <w:fldChar w:fldCharType="separate"/>
            </w:r>
            <w:r>
              <w:rPr>
                <w:noProof/>
                <w:webHidden/>
              </w:rPr>
              <w:t>17</w:t>
            </w:r>
            <w:r>
              <w:rPr>
                <w:noProof/>
                <w:webHidden/>
              </w:rPr>
              <w:fldChar w:fldCharType="end"/>
            </w:r>
          </w:hyperlink>
        </w:p>
        <w:p w14:paraId="0AB0FDC0" w14:textId="51AF93AD" w:rsidR="00345B96" w:rsidRDefault="00345B96">
          <w:pPr>
            <w:pStyle w:val="TOC1"/>
            <w:tabs>
              <w:tab w:val="right" w:leader="dot" w:pos="9350"/>
            </w:tabs>
            <w:rPr>
              <w:rFonts w:asciiTheme="minorHAnsi" w:eastAsiaTheme="minorEastAsia" w:hAnsiTheme="minorHAnsi"/>
              <w:noProof/>
              <w:color w:val="auto"/>
              <w:lang w:eastAsia="en-GB"/>
              <w14:ligatures w14:val="none"/>
            </w:rPr>
          </w:pPr>
          <w:hyperlink w:anchor="_Toc204831437" w:history="1">
            <w:r w:rsidRPr="00AE66D2">
              <w:rPr>
                <w:rStyle w:val="Hyperlink"/>
                <w:noProof/>
              </w:rPr>
              <w:t>CHAPTER 3 – Academic Methodology Poster</w:t>
            </w:r>
            <w:r>
              <w:rPr>
                <w:noProof/>
                <w:webHidden/>
              </w:rPr>
              <w:tab/>
            </w:r>
            <w:r>
              <w:rPr>
                <w:noProof/>
                <w:webHidden/>
              </w:rPr>
              <w:fldChar w:fldCharType="begin"/>
            </w:r>
            <w:r>
              <w:rPr>
                <w:noProof/>
                <w:webHidden/>
              </w:rPr>
              <w:instrText xml:space="preserve"> PAGEREF _Toc204831437 \h </w:instrText>
            </w:r>
            <w:r>
              <w:rPr>
                <w:noProof/>
                <w:webHidden/>
              </w:rPr>
            </w:r>
            <w:r>
              <w:rPr>
                <w:noProof/>
                <w:webHidden/>
              </w:rPr>
              <w:fldChar w:fldCharType="separate"/>
            </w:r>
            <w:r>
              <w:rPr>
                <w:noProof/>
                <w:webHidden/>
              </w:rPr>
              <w:t>18</w:t>
            </w:r>
            <w:r>
              <w:rPr>
                <w:noProof/>
                <w:webHidden/>
              </w:rPr>
              <w:fldChar w:fldCharType="end"/>
            </w:r>
          </w:hyperlink>
        </w:p>
        <w:p w14:paraId="43036107" w14:textId="4254BD24"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38" w:history="1">
            <w:r w:rsidRPr="00AE66D2">
              <w:rPr>
                <w:rStyle w:val="Hyperlink"/>
                <w:noProof/>
              </w:rPr>
              <w:t>3.1 Academic Methodology Poster</w:t>
            </w:r>
            <w:r>
              <w:rPr>
                <w:noProof/>
                <w:webHidden/>
              </w:rPr>
              <w:tab/>
            </w:r>
            <w:r>
              <w:rPr>
                <w:noProof/>
                <w:webHidden/>
              </w:rPr>
              <w:fldChar w:fldCharType="begin"/>
            </w:r>
            <w:r>
              <w:rPr>
                <w:noProof/>
                <w:webHidden/>
              </w:rPr>
              <w:instrText xml:space="preserve"> PAGEREF _Toc204831438 \h </w:instrText>
            </w:r>
            <w:r>
              <w:rPr>
                <w:noProof/>
                <w:webHidden/>
              </w:rPr>
            </w:r>
            <w:r>
              <w:rPr>
                <w:noProof/>
                <w:webHidden/>
              </w:rPr>
              <w:fldChar w:fldCharType="separate"/>
            </w:r>
            <w:r>
              <w:rPr>
                <w:noProof/>
                <w:webHidden/>
              </w:rPr>
              <w:t>18</w:t>
            </w:r>
            <w:r>
              <w:rPr>
                <w:noProof/>
                <w:webHidden/>
              </w:rPr>
              <w:fldChar w:fldCharType="end"/>
            </w:r>
          </w:hyperlink>
        </w:p>
        <w:p w14:paraId="73AE1ECF" w14:textId="0A3A05F0"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39" w:history="1">
            <w:r w:rsidRPr="00AE66D2">
              <w:rPr>
                <w:rStyle w:val="Hyperlink"/>
                <w:noProof/>
              </w:rPr>
              <w:t>3.2 Additional Information</w:t>
            </w:r>
            <w:r>
              <w:rPr>
                <w:noProof/>
                <w:webHidden/>
              </w:rPr>
              <w:tab/>
            </w:r>
            <w:r>
              <w:rPr>
                <w:noProof/>
                <w:webHidden/>
              </w:rPr>
              <w:fldChar w:fldCharType="begin"/>
            </w:r>
            <w:r>
              <w:rPr>
                <w:noProof/>
                <w:webHidden/>
              </w:rPr>
              <w:instrText xml:space="preserve"> PAGEREF _Toc204831439 \h </w:instrText>
            </w:r>
            <w:r>
              <w:rPr>
                <w:noProof/>
                <w:webHidden/>
              </w:rPr>
            </w:r>
            <w:r>
              <w:rPr>
                <w:noProof/>
                <w:webHidden/>
              </w:rPr>
              <w:fldChar w:fldCharType="separate"/>
            </w:r>
            <w:r>
              <w:rPr>
                <w:noProof/>
                <w:webHidden/>
              </w:rPr>
              <w:t>18</w:t>
            </w:r>
            <w:r>
              <w:rPr>
                <w:noProof/>
                <w:webHidden/>
              </w:rPr>
              <w:fldChar w:fldCharType="end"/>
            </w:r>
          </w:hyperlink>
        </w:p>
        <w:p w14:paraId="79E0E029" w14:textId="0A567DD3" w:rsidR="00345B96" w:rsidRDefault="00345B96">
          <w:pPr>
            <w:pStyle w:val="TOC1"/>
            <w:tabs>
              <w:tab w:val="right" w:leader="dot" w:pos="9350"/>
            </w:tabs>
            <w:rPr>
              <w:rFonts w:asciiTheme="minorHAnsi" w:eastAsiaTheme="minorEastAsia" w:hAnsiTheme="minorHAnsi"/>
              <w:noProof/>
              <w:color w:val="auto"/>
              <w:lang w:eastAsia="en-GB"/>
              <w14:ligatures w14:val="none"/>
            </w:rPr>
          </w:pPr>
          <w:hyperlink w:anchor="_Toc204831440" w:history="1">
            <w:r w:rsidRPr="00AE66D2">
              <w:rPr>
                <w:rStyle w:val="Hyperlink"/>
                <w:noProof/>
              </w:rPr>
              <w:t>CHAPTER 4 – Findings and Discussion</w:t>
            </w:r>
            <w:r>
              <w:rPr>
                <w:noProof/>
                <w:webHidden/>
              </w:rPr>
              <w:tab/>
            </w:r>
            <w:r>
              <w:rPr>
                <w:noProof/>
                <w:webHidden/>
              </w:rPr>
              <w:fldChar w:fldCharType="begin"/>
            </w:r>
            <w:r>
              <w:rPr>
                <w:noProof/>
                <w:webHidden/>
              </w:rPr>
              <w:instrText xml:space="preserve"> PAGEREF _Toc204831440 \h </w:instrText>
            </w:r>
            <w:r>
              <w:rPr>
                <w:noProof/>
                <w:webHidden/>
              </w:rPr>
            </w:r>
            <w:r>
              <w:rPr>
                <w:noProof/>
                <w:webHidden/>
              </w:rPr>
              <w:fldChar w:fldCharType="separate"/>
            </w:r>
            <w:r>
              <w:rPr>
                <w:noProof/>
                <w:webHidden/>
              </w:rPr>
              <w:t>22</w:t>
            </w:r>
            <w:r>
              <w:rPr>
                <w:noProof/>
                <w:webHidden/>
              </w:rPr>
              <w:fldChar w:fldCharType="end"/>
            </w:r>
          </w:hyperlink>
        </w:p>
        <w:p w14:paraId="43047390" w14:textId="241DFE69"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41" w:history="1">
            <w:r w:rsidRPr="00AE66D2">
              <w:rPr>
                <w:rStyle w:val="Hyperlink"/>
                <w:noProof/>
              </w:rPr>
              <w:t>4.1 – Introduction</w:t>
            </w:r>
            <w:r>
              <w:rPr>
                <w:noProof/>
                <w:webHidden/>
              </w:rPr>
              <w:tab/>
            </w:r>
            <w:r>
              <w:rPr>
                <w:noProof/>
                <w:webHidden/>
              </w:rPr>
              <w:fldChar w:fldCharType="begin"/>
            </w:r>
            <w:r>
              <w:rPr>
                <w:noProof/>
                <w:webHidden/>
              </w:rPr>
              <w:instrText xml:space="preserve"> PAGEREF _Toc204831441 \h </w:instrText>
            </w:r>
            <w:r>
              <w:rPr>
                <w:noProof/>
                <w:webHidden/>
              </w:rPr>
            </w:r>
            <w:r>
              <w:rPr>
                <w:noProof/>
                <w:webHidden/>
              </w:rPr>
              <w:fldChar w:fldCharType="separate"/>
            </w:r>
            <w:r>
              <w:rPr>
                <w:noProof/>
                <w:webHidden/>
              </w:rPr>
              <w:t>22</w:t>
            </w:r>
            <w:r>
              <w:rPr>
                <w:noProof/>
                <w:webHidden/>
              </w:rPr>
              <w:fldChar w:fldCharType="end"/>
            </w:r>
          </w:hyperlink>
        </w:p>
        <w:p w14:paraId="1CD24018" w14:textId="0E796BD7"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42" w:history="1">
            <w:r w:rsidRPr="00AE66D2">
              <w:rPr>
                <w:rStyle w:val="Hyperlink"/>
                <w:noProof/>
              </w:rPr>
              <w:t>4.2 – Thematic Analysis</w:t>
            </w:r>
            <w:r>
              <w:rPr>
                <w:noProof/>
                <w:webHidden/>
              </w:rPr>
              <w:tab/>
            </w:r>
            <w:r>
              <w:rPr>
                <w:noProof/>
                <w:webHidden/>
              </w:rPr>
              <w:fldChar w:fldCharType="begin"/>
            </w:r>
            <w:r>
              <w:rPr>
                <w:noProof/>
                <w:webHidden/>
              </w:rPr>
              <w:instrText xml:space="preserve"> PAGEREF _Toc204831442 \h </w:instrText>
            </w:r>
            <w:r>
              <w:rPr>
                <w:noProof/>
                <w:webHidden/>
              </w:rPr>
            </w:r>
            <w:r>
              <w:rPr>
                <w:noProof/>
                <w:webHidden/>
              </w:rPr>
              <w:fldChar w:fldCharType="separate"/>
            </w:r>
            <w:r>
              <w:rPr>
                <w:noProof/>
                <w:webHidden/>
              </w:rPr>
              <w:t>22</w:t>
            </w:r>
            <w:r>
              <w:rPr>
                <w:noProof/>
                <w:webHidden/>
              </w:rPr>
              <w:fldChar w:fldCharType="end"/>
            </w:r>
          </w:hyperlink>
        </w:p>
        <w:p w14:paraId="48F197F5" w14:textId="630F5A2D"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43" w:history="1">
            <w:r w:rsidRPr="00AE66D2">
              <w:rPr>
                <w:rStyle w:val="Hyperlink"/>
                <w:noProof/>
              </w:rPr>
              <w:t>4.3 – Theme 1: Quality of Life Outcomes</w:t>
            </w:r>
            <w:r>
              <w:rPr>
                <w:noProof/>
                <w:webHidden/>
              </w:rPr>
              <w:tab/>
            </w:r>
            <w:r>
              <w:rPr>
                <w:noProof/>
                <w:webHidden/>
              </w:rPr>
              <w:fldChar w:fldCharType="begin"/>
            </w:r>
            <w:r>
              <w:rPr>
                <w:noProof/>
                <w:webHidden/>
              </w:rPr>
              <w:instrText xml:space="preserve"> PAGEREF _Toc204831443 \h </w:instrText>
            </w:r>
            <w:r>
              <w:rPr>
                <w:noProof/>
                <w:webHidden/>
              </w:rPr>
            </w:r>
            <w:r>
              <w:rPr>
                <w:noProof/>
                <w:webHidden/>
              </w:rPr>
              <w:fldChar w:fldCharType="separate"/>
            </w:r>
            <w:r>
              <w:rPr>
                <w:noProof/>
                <w:webHidden/>
              </w:rPr>
              <w:t>22</w:t>
            </w:r>
            <w:r>
              <w:rPr>
                <w:noProof/>
                <w:webHidden/>
              </w:rPr>
              <w:fldChar w:fldCharType="end"/>
            </w:r>
          </w:hyperlink>
        </w:p>
        <w:p w14:paraId="775F7787" w14:textId="5A50498C"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44" w:history="1">
            <w:r w:rsidRPr="00AE66D2">
              <w:rPr>
                <w:rStyle w:val="Hyperlink"/>
                <w:noProof/>
              </w:rPr>
              <w:t>4.4 – Theme 2: Cognitive Function Outcomes</w:t>
            </w:r>
            <w:r>
              <w:rPr>
                <w:noProof/>
                <w:webHidden/>
              </w:rPr>
              <w:tab/>
            </w:r>
            <w:r>
              <w:rPr>
                <w:noProof/>
                <w:webHidden/>
              </w:rPr>
              <w:fldChar w:fldCharType="begin"/>
            </w:r>
            <w:r>
              <w:rPr>
                <w:noProof/>
                <w:webHidden/>
              </w:rPr>
              <w:instrText xml:space="preserve"> PAGEREF _Toc204831444 \h </w:instrText>
            </w:r>
            <w:r>
              <w:rPr>
                <w:noProof/>
                <w:webHidden/>
              </w:rPr>
            </w:r>
            <w:r>
              <w:rPr>
                <w:noProof/>
                <w:webHidden/>
              </w:rPr>
              <w:fldChar w:fldCharType="separate"/>
            </w:r>
            <w:r>
              <w:rPr>
                <w:noProof/>
                <w:webHidden/>
              </w:rPr>
              <w:t>24</w:t>
            </w:r>
            <w:r>
              <w:rPr>
                <w:noProof/>
                <w:webHidden/>
              </w:rPr>
              <w:fldChar w:fldCharType="end"/>
            </w:r>
          </w:hyperlink>
        </w:p>
        <w:p w14:paraId="24797AF8" w14:textId="4B7A83DB"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45" w:history="1">
            <w:r w:rsidRPr="00AE66D2">
              <w:rPr>
                <w:rStyle w:val="Hyperlink"/>
                <w:noProof/>
              </w:rPr>
              <w:t>4.5 – Theme 3: Caregiver Burden</w:t>
            </w:r>
            <w:r>
              <w:rPr>
                <w:noProof/>
                <w:webHidden/>
              </w:rPr>
              <w:tab/>
            </w:r>
            <w:r>
              <w:rPr>
                <w:noProof/>
                <w:webHidden/>
              </w:rPr>
              <w:fldChar w:fldCharType="begin"/>
            </w:r>
            <w:r>
              <w:rPr>
                <w:noProof/>
                <w:webHidden/>
              </w:rPr>
              <w:instrText xml:space="preserve"> PAGEREF _Toc204831445 \h </w:instrText>
            </w:r>
            <w:r>
              <w:rPr>
                <w:noProof/>
                <w:webHidden/>
              </w:rPr>
            </w:r>
            <w:r>
              <w:rPr>
                <w:noProof/>
                <w:webHidden/>
              </w:rPr>
              <w:fldChar w:fldCharType="separate"/>
            </w:r>
            <w:r>
              <w:rPr>
                <w:noProof/>
                <w:webHidden/>
              </w:rPr>
              <w:t>27</w:t>
            </w:r>
            <w:r>
              <w:rPr>
                <w:noProof/>
                <w:webHidden/>
              </w:rPr>
              <w:fldChar w:fldCharType="end"/>
            </w:r>
          </w:hyperlink>
        </w:p>
        <w:p w14:paraId="636F388F" w14:textId="696537FA"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46" w:history="1">
            <w:r w:rsidRPr="00AE66D2">
              <w:rPr>
                <w:rStyle w:val="Hyperlink"/>
                <w:noProof/>
              </w:rPr>
              <w:t>4.6 – Theme 4: Access and Equity of Service Provision</w:t>
            </w:r>
            <w:r>
              <w:rPr>
                <w:noProof/>
                <w:webHidden/>
              </w:rPr>
              <w:tab/>
            </w:r>
            <w:r>
              <w:rPr>
                <w:noProof/>
                <w:webHidden/>
              </w:rPr>
              <w:fldChar w:fldCharType="begin"/>
            </w:r>
            <w:r>
              <w:rPr>
                <w:noProof/>
                <w:webHidden/>
              </w:rPr>
              <w:instrText xml:space="preserve"> PAGEREF _Toc204831446 \h </w:instrText>
            </w:r>
            <w:r>
              <w:rPr>
                <w:noProof/>
                <w:webHidden/>
              </w:rPr>
            </w:r>
            <w:r>
              <w:rPr>
                <w:noProof/>
                <w:webHidden/>
              </w:rPr>
              <w:fldChar w:fldCharType="separate"/>
            </w:r>
            <w:r>
              <w:rPr>
                <w:noProof/>
                <w:webHidden/>
              </w:rPr>
              <w:t>29</w:t>
            </w:r>
            <w:r>
              <w:rPr>
                <w:noProof/>
                <w:webHidden/>
              </w:rPr>
              <w:fldChar w:fldCharType="end"/>
            </w:r>
          </w:hyperlink>
        </w:p>
        <w:p w14:paraId="3CD9B631" w14:textId="1EB56A60"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47" w:history="1">
            <w:r w:rsidRPr="00AE66D2">
              <w:rPr>
                <w:rStyle w:val="Hyperlink"/>
                <w:noProof/>
              </w:rPr>
              <w:t>4.7 – Chapter Conclusion</w:t>
            </w:r>
            <w:r>
              <w:rPr>
                <w:noProof/>
                <w:webHidden/>
              </w:rPr>
              <w:tab/>
            </w:r>
            <w:r>
              <w:rPr>
                <w:noProof/>
                <w:webHidden/>
              </w:rPr>
              <w:fldChar w:fldCharType="begin"/>
            </w:r>
            <w:r>
              <w:rPr>
                <w:noProof/>
                <w:webHidden/>
              </w:rPr>
              <w:instrText xml:space="preserve"> PAGEREF _Toc204831447 \h </w:instrText>
            </w:r>
            <w:r>
              <w:rPr>
                <w:noProof/>
                <w:webHidden/>
              </w:rPr>
            </w:r>
            <w:r>
              <w:rPr>
                <w:noProof/>
                <w:webHidden/>
              </w:rPr>
              <w:fldChar w:fldCharType="separate"/>
            </w:r>
            <w:r>
              <w:rPr>
                <w:noProof/>
                <w:webHidden/>
              </w:rPr>
              <w:t>31</w:t>
            </w:r>
            <w:r>
              <w:rPr>
                <w:noProof/>
                <w:webHidden/>
              </w:rPr>
              <w:fldChar w:fldCharType="end"/>
            </w:r>
          </w:hyperlink>
        </w:p>
        <w:p w14:paraId="072F5364" w14:textId="453E13C8" w:rsidR="00345B96" w:rsidRDefault="00345B96">
          <w:pPr>
            <w:pStyle w:val="TOC1"/>
            <w:tabs>
              <w:tab w:val="right" w:leader="dot" w:pos="9350"/>
            </w:tabs>
            <w:rPr>
              <w:rFonts w:asciiTheme="minorHAnsi" w:eastAsiaTheme="minorEastAsia" w:hAnsiTheme="minorHAnsi"/>
              <w:noProof/>
              <w:color w:val="auto"/>
              <w:lang w:eastAsia="en-GB"/>
              <w14:ligatures w14:val="none"/>
            </w:rPr>
          </w:pPr>
          <w:hyperlink w:anchor="_Toc204831448" w:history="1">
            <w:r w:rsidRPr="00AE66D2">
              <w:rPr>
                <w:rStyle w:val="Hyperlink"/>
                <w:noProof/>
              </w:rPr>
              <w:t>CHAPTER 5 – Conclusion and Recommendations</w:t>
            </w:r>
            <w:r>
              <w:rPr>
                <w:noProof/>
                <w:webHidden/>
              </w:rPr>
              <w:tab/>
            </w:r>
            <w:r>
              <w:rPr>
                <w:noProof/>
                <w:webHidden/>
              </w:rPr>
              <w:fldChar w:fldCharType="begin"/>
            </w:r>
            <w:r>
              <w:rPr>
                <w:noProof/>
                <w:webHidden/>
              </w:rPr>
              <w:instrText xml:space="preserve"> PAGEREF _Toc204831448 \h </w:instrText>
            </w:r>
            <w:r>
              <w:rPr>
                <w:noProof/>
                <w:webHidden/>
              </w:rPr>
            </w:r>
            <w:r>
              <w:rPr>
                <w:noProof/>
                <w:webHidden/>
              </w:rPr>
              <w:fldChar w:fldCharType="separate"/>
            </w:r>
            <w:r>
              <w:rPr>
                <w:noProof/>
                <w:webHidden/>
              </w:rPr>
              <w:t>33</w:t>
            </w:r>
            <w:r>
              <w:rPr>
                <w:noProof/>
                <w:webHidden/>
              </w:rPr>
              <w:fldChar w:fldCharType="end"/>
            </w:r>
          </w:hyperlink>
        </w:p>
        <w:p w14:paraId="3D9ED1C9" w14:textId="61612211"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49" w:history="1">
            <w:r w:rsidRPr="00AE66D2">
              <w:rPr>
                <w:rStyle w:val="Hyperlink"/>
                <w:noProof/>
              </w:rPr>
              <w:t>5.1 – Overall Conclusion</w:t>
            </w:r>
            <w:r>
              <w:rPr>
                <w:noProof/>
                <w:webHidden/>
              </w:rPr>
              <w:tab/>
            </w:r>
            <w:r>
              <w:rPr>
                <w:noProof/>
                <w:webHidden/>
              </w:rPr>
              <w:fldChar w:fldCharType="begin"/>
            </w:r>
            <w:r>
              <w:rPr>
                <w:noProof/>
                <w:webHidden/>
              </w:rPr>
              <w:instrText xml:space="preserve"> PAGEREF _Toc204831449 \h </w:instrText>
            </w:r>
            <w:r>
              <w:rPr>
                <w:noProof/>
                <w:webHidden/>
              </w:rPr>
            </w:r>
            <w:r>
              <w:rPr>
                <w:noProof/>
                <w:webHidden/>
              </w:rPr>
              <w:fldChar w:fldCharType="separate"/>
            </w:r>
            <w:r>
              <w:rPr>
                <w:noProof/>
                <w:webHidden/>
              </w:rPr>
              <w:t>33</w:t>
            </w:r>
            <w:r>
              <w:rPr>
                <w:noProof/>
                <w:webHidden/>
              </w:rPr>
              <w:fldChar w:fldCharType="end"/>
            </w:r>
          </w:hyperlink>
        </w:p>
        <w:p w14:paraId="10E2D72D" w14:textId="7F127123"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50" w:history="1">
            <w:r w:rsidRPr="00AE66D2">
              <w:rPr>
                <w:rStyle w:val="Hyperlink"/>
                <w:noProof/>
              </w:rPr>
              <w:t>5.2 Recommendations</w:t>
            </w:r>
            <w:r>
              <w:rPr>
                <w:noProof/>
                <w:webHidden/>
              </w:rPr>
              <w:tab/>
            </w:r>
            <w:r>
              <w:rPr>
                <w:noProof/>
                <w:webHidden/>
              </w:rPr>
              <w:fldChar w:fldCharType="begin"/>
            </w:r>
            <w:r>
              <w:rPr>
                <w:noProof/>
                <w:webHidden/>
              </w:rPr>
              <w:instrText xml:space="preserve"> PAGEREF _Toc204831450 \h </w:instrText>
            </w:r>
            <w:r>
              <w:rPr>
                <w:noProof/>
                <w:webHidden/>
              </w:rPr>
            </w:r>
            <w:r>
              <w:rPr>
                <w:noProof/>
                <w:webHidden/>
              </w:rPr>
              <w:fldChar w:fldCharType="separate"/>
            </w:r>
            <w:r>
              <w:rPr>
                <w:noProof/>
                <w:webHidden/>
              </w:rPr>
              <w:t>33</w:t>
            </w:r>
            <w:r>
              <w:rPr>
                <w:noProof/>
                <w:webHidden/>
              </w:rPr>
              <w:fldChar w:fldCharType="end"/>
            </w:r>
          </w:hyperlink>
        </w:p>
        <w:p w14:paraId="696593F0" w14:textId="4AD7EEBC" w:rsidR="00345B96" w:rsidRDefault="00345B96">
          <w:pPr>
            <w:pStyle w:val="TOC1"/>
            <w:tabs>
              <w:tab w:val="right" w:leader="dot" w:pos="9350"/>
            </w:tabs>
            <w:rPr>
              <w:rFonts w:asciiTheme="minorHAnsi" w:eastAsiaTheme="minorEastAsia" w:hAnsiTheme="minorHAnsi"/>
              <w:noProof/>
              <w:color w:val="auto"/>
              <w:lang w:eastAsia="en-GB"/>
              <w14:ligatures w14:val="none"/>
            </w:rPr>
          </w:pPr>
          <w:hyperlink w:anchor="_Toc204831451" w:history="1">
            <w:r w:rsidRPr="00AE66D2">
              <w:rPr>
                <w:rStyle w:val="Hyperlink"/>
                <w:noProof/>
              </w:rPr>
              <w:t>CHAPTER 6 – References and Appendices</w:t>
            </w:r>
            <w:r>
              <w:rPr>
                <w:noProof/>
                <w:webHidden/>
              </w:rPr>
              <w:tab/>
            </w:r>
            <w:r>
              <w:rPr>
                <w:noProof/>
                <w:webHidden/>
              </w:rPr>
              <w:fldChar w:fldCharType="begin"/>
            </w:r>
            <w:r>
              <w:rPr>
                <w:noProof/>
                <w:webHidden/>
              </w:rPr>
              <w:instrText xml:space="preserve"> PAGEREF _Toc204831451 \h </w:instrText>
            </w:r>
            <w:r>
              <w:rPr>
                <w:noProof/>
                <w:webHidden/>
              </w:rPr>
            </w:r>
            <w:r>
              <w:rPr>
                <w:noProof/>
                <w:webHidden/>
              </w:rPr>
              <w:fldChar w:fldCharType="separate"/>
            </w:r>
            <w:r>
              <w:rPr>
                <w:noProof/>
                <w:webHidden/>
              </w:rPr>
              <w:t>36</w:t>
            </w:r>
            <w:r>
              <w:rPr>
                <w:noProof/>
                <w:webHidden/>
              </w:rPr>
              <w:fldChar w:fldCharType="end"/>
            </w:r>
          </w:hyperlink>
        </w:p>
        <w:p w14:paraId="78E96009" w14:textId="288B86EF"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52" w:history="1">
            <w:r w:rsidRPr="00AE66D2">
              <w:rPr>
                <w:rStyle w:val="Hyperlink"/>
                <w:noProof/>
              </w:rPr>
              <w:t>6.1 – References</w:t>
            </w:r>
            <w:r>
              <w:rPr>
                <w:noProof/>
                <w:webHidden/>
              </w:rPr>
              <w:tab/>
            </w:r>
            <w:r>
              <w:rPr>
                <w:noProof/>
                <w:webHidden/>
              </w:rPr>
              <w:fldChar w:fldCharType="begin"/>
            </w:r>
            <w:r>
              <w:rPr>
                <w:noProof/>
                <w:webHidden/>
              </w:rPr>
              <w:instrText xml:space="preserve"> PAGEREF _Toc204831452 \h </w:instrText>
            </w:r>
            <w:r>
              <w:rPr>
                <w:noProof/>
                <w:webHidden/>
              </w:rPr>
            </w:r>
            <w:r>
              <w:rPr>
                <w:noProof/>
                <w:webHidden/>
              </w:rPr>
              <w:fldChar w:fldCharType="separate"/>
            </w:r>
            <w:r>
              <w:rPr>
                <w:noProof/>
                <w:webHidden/>
              </w:rPr>
              <w:t>36</w:t>
            </w:r>
            <w:r>
              <w:rPr>
                <w:noProof/>
                <w:webHidden/>
              </w:rPr>
              <w:fldChar w:fldCharType="end"/>
            </w:r>
          </w:hyperlink>
        </w:p>
        <w:p w14:paraId="2C163128" w14:textId="158D177E" w:rsidR="00345B96" w:rsidRDefault="00345B96">
          <w:pPr>
            <w:pStyle w:val="TOC2"/>
            <w:tabs>
              <w:tab w:val="right" w:leader="dot" w:pos="9350"/>
            </w:tabs>
            <w:rPr>
              <w:rFonts w:asciiTheme="minorHAnsi" w:eastAsiaTheme="minorEastAsia" w:hAnsiTheme="minorHAnsi"/>
              <w:noProof/>
              <w:color w:val="auto"/>
              <w:lang w:eastAsia="en-GB"/>
              <w14:ligatures w14:val="none"/>
            </w:rPr>
          </w:pPr>
          <w:hyperlink w:anchor="_Toc204831453" w:history="1">
            <w:r w:rsidRPr="00AE66D2">
              <w:rPr>
                <w:rStyle w:val="Hyperlink"/>
                <w:noProof/>
              </w:rPr>
              <w:t>6.2 – Appendices</w:t>
            </w:r>
            <w:r>
              <w:rPr>
                <w:noProof/>
                <w:webHidden/>
              </w:rPr>
              <w:tab/>
            </w:r>
            <w:r>
              <w:rPr>
                <w:noProof/>
                <w:webHidden/>
              </w:rPr>
              <w:fldChar w:fldCharType="begin"/>
            </w:r>
            <w:r>
              <w:rPr>
                <w:noProof/>
                <w:webHidden/>
              </w:rPr>
              <w:instrText xml:space="preserve"> PAGEREF _Toc204831453 \h </w:instrText>
            </w:r>
            <w:r>
              <w:rPr>
                <w:noProof/>
                <w:webHidden/>
              </w:rPr>
            </w:r>
            <w:r>
              <w:rPr>
                <w:noProof/>
                <w:webHidden/>
              </w:rPr>
              <w:fldChar w:fldCharType="separate"/>
            </w:r>
            <w:r>
              <w:rPr>
                <w:noProof/>
                <w:webHidden/>
              </w:rPr>
              <w:t>42</w:t>
            </w:r>
            <w:r>
              <w:rPr>
                <w:noProof/>
                <w:webHidden/>
              </w:rPr>
              <w:fldChar w:fldCharType="end"/>
            </w:r>
          </w:hyperlink>
        </w:p>
        <w:p w14:paraId="6A6896FB" w14:textId="783A4FA0" w:rsidR="00345B96" w:rsidRDefault="00345B96">
          <w:pPr>
            <w:pStyle w:val="TOC3"/>
            <w:tabs>
              <w:tab w:val="right" w:leader="dot" w:pos="9350"/>
            </w:tabs>
            <w:rPr>
              <w:noProof/>
            </w:rPr>
          </w:pPr>
          <w:hyperlink w:anchor="_Toc204831454" w:history="1">
            <w:r w:rsidRPr="00AE66D2">
              <w:rPr>
                <w:rStyle w:val="Hyperlink"/>
                <w:rFonts w:ascii="Segoe UI" w:hAnsi="Segoe UI" w:cs="Segoe UI"/>
                <w:noProof/>
              </w:rPr>
              <w:t>Thematic Chart:</w:t>
            </w:r>
            <w:r>
              <w:rPr>
                <w:noProof/>
                <w:webHidden/>
              </w:rPr>
              <w:tab/>
            </w:r>
            <w:r>
              <w:rPr>
                <w:noProof/>
                <w:webHidden/>
              </w:rPr>
              <w:fldChar w:fldCharType="begin"/>
            </w:r>
            <w:r>
              <w:rPr>
                <w:noProof/>
                <w:webHidden/>
              </w:rPr>
              <w:instrText xml:space="preserve"> PAGEREF _Toc204831454 \h </w:instrText>
            </w:r>
            <w:r>
              <w:rPr>
                <w:noProof/>
                <w:webHidden/>
              </w:rPr>
            </w:r>
            <w:r>
              <w:rPr>
                <w:noProof/>
                <w:webHidden/>
              </w:rPr>
              <w:fldChar w:fldCharType="separate"/>
            </w:r>
            <w:r>
              <w:rPr>
                <w:noProof/>
                <w:webHidden/>
              </w:rPr>
              <w:t>42</w:t>
            </w:r>
            <w:r>
              <w:rPr>
                <w:noProof/>
                <w:webHidden/>
              </w:rPr>
              <w:fldChar w:fldCharType="end"/>
            </w:r>
          </w:hyperlink>
        </w:p>
        <w:p w14:paraId="400F6265" w14:textId="49751804" w:rsidR="00466445" w:rsidRDefault="00466445">
          <w:r>
            <w:rPr>
              <w:b/>
              <w:bCs/>
              <w:noProof/>
            </w:rPr>
            <w:fldChar w:fldCharType="end"/>
          </w:r>
        </w:p>
      </w:sdtContent>
    </w:sdt>
    <w:p w14:paraId="300BC496" w14:textId="77777777" w:rsidR="00466445" w:rsidRDefault="00466445" w:rsidP="00D75494"/>
    <w:p w14:paraId="60F6657C" w14:textId="77777777" w:rsidR="00466445" w:rsidRDefault="00466445" w:rsidP="00D75494"/>
    <w:p w14:paraId="45FD5CB3" w14:textId="77777777" w:rsidR="00466445" w:rsidRDefault="00466445" w:rsidP="00D75494"/>
    <w:p w14:paraId="168692B3" w14:textId="77777777" w:rsidR="00466445" w:rsidRDefault="00466445" w:rsidP="00D75494"/>
    <w:p w14:paraId="5EA27A03" w14:textId="77777777" w:rsidR="00466445" w:rsidRDefault="00466445" w:rsidP="00D75494"/>
    <w:p w14:paraId="422D4D98" w14:textId="77777777" w:rsidR="00466445" w:rsidRDefault="00466445" w:rsidP="00D75494"/>
    <w:p w14:paraId="7475AB7A" w14:textId="77777777" w:rsidR="00466445" w:rsidRDefault="00466445" w:rsidP="00D75494"/>
    <w:p w14:paraId="0C577F85" w14:textId="77777777" w:rsidR="00433F8B" w:rsidRDefault="00433F8B" w:rsidP="00D75494"/>
    <w:p w14:paraId="5A8F1854" w14:textId="77777777" w:rsidR="00433F8B" w:rsidRDefault="00433F8B" w:rsidP="00D75494"/>
    <w:p w14:paraId="61E472E6" w14:textId="77777777" w:rsidR="00433F8B" w:rsidRDefault="00433F8B" w:rsidP="00D75494"/>
    <w:p w14:paraId="1896ECCA" w14:textId="77777777" w:rsidR="00433F8B" w:rsidRDefault="00433F8B" w:rsidP="00D75494"/>
    <w:p w14:paraId="2D1B0224" w14:textId="77777777" w:rsidR="00433F8B" w:rsidRDefault="00433F8B" w:rsidP="00D75494"/>
    <w:p w14:paraId="1F86BCE3" w14:textId="77777777" w:rsidR="00466445" w:rsidRDefault="00466445" w:rsidP="00D75494"/>
    <w:p w14:paraId="6427AD82" w14:textId="77777777" w:rsidR="00466445" w:rsidRDefault="00466445" w:rsidP="00D75494"/>
    <w:p w14:paraId="403B564F" w14:textId="77777777" w:rsidR="00466445" w:rsidRPr="009C0D00" w:rsidRDefault="00466445" w:rsidP="00D75494"/>
    <w:p w14:paraId="1A6026FE" w14:textId="79E03123" w:rsidR="0072601A" w:rsidRPr="009C0D00" w:rsidRDefault="00032F0E" w:rsidP="0072601A">
      <w:pPr>
        <w:pStyle w:val="Heading1"/>
      </w:pPr>
      <w:bookmarkStart w:id="1" w:name="_Toc204831424"/>
      <w:r w:rsidRPr="009C0D00">
        <w:lastRenderedPageBreak/>
        <w:t>CHAPTER</w:t>
      </w:r>
      <w:r w:rsidR="0072601A" w:rsidRPr="009C0D00">
        <w:t xml:space="preserve"> 1: Introduction</w:t>
      </w:r>
      <w:bookmarkEnd w:id="1"/>
    </w:p>
    <w:p w14:paraId="75C49558" w14:textId="05E78F34" w:rsidR="0072601A" w:rsidRPr="009C0D00" w:rsidRDefault="0072601A" w:rsidP="0072601A">
      <w:pPr>
        <w:pStyle w:val="Heading2"/>
      </w:pPr>
      <w:bookmarkStart w:id="2" w:name="_Toc204831425"/>
      <w:r w:rsidRPr="009C0D00">
        <w:t>1.1 Introduction</w:t>
      </w:r>
      <w:bookmarkEnd w:id="2"/>
    </w:p>
    <w:p w14:paraId="37A746DE" w14:textId="312B8C05" w:rsidR="0072601A" w:rsidRPr="009C0D00" w:rsidRDefault="0072601A" w:rsidP="0072601A">
      <w:r w:rsidRPr="009C0D00">
        <w:t xml:space="preserve">Dementia is a progressive neurodegenerative disorder that impacts the mental capabilities of remembering, reasoning, and communication. Dementia has increasingly become one of the most urgent public health issues due to rising UK population ageing. The </w:t>
      </w:r>
      <w:r w:rsidR="00032F0E" w:rsidRPr="009C0D00">
        <w:t>Alzheimer's</w:t>
      </w:r>
      <w:r w:rsidRPr="009C0D00">
        <w:t xml:space="preserve"> Society (2024) also revealed that there is an </w:t>
      </w:r>
      <w:r w:rsidR="00032F0E" w:rsidRPr="009C0D00">
        <w:t>estimated</w:t>
      </w:r>
      <w:r w:rsidRPr="009C0D00">
        <w:t xml:space="preserve"> </w:t>
      </w:r>
      <w:r w:rsidR="00032F0E" w:rsidRPr="009C0D00">
        <w:t xml:space="preserve">number </w:t>
      </w:r>
      <w:r w:rsidRPr="009C0D00">
        <w:t>of more than 900,000 people living with dementia in the UK at this time</w:t>
      </w:r>
      <w:r w:rsidR="00032F0E" w:rsidRPr="009C0D00">
        <w:t>,</w:t>
      </w:r>
      <w:r w:rsidRPr="009C0D00">
        <w:t xml:space="preserve"> and most of them are aged 65 or above. This is expected to continue increasing at an alarming rate over the next 20 years, adding more and more pressure on health and social care systems.</w:t>
      </w:r>
    </w:p>
    <w:p w14:paraId="27569196" w14:textId="66A37BBB" w:rsidR="0072601A" w:rsidRPr="009C0D00" w:rsidRDefault="0072601A" w:rsidP="0072601A">
      <w:r w:rsidRPr="009C0D00">
        <w:t xml:space="preserve">Responsively, community-based dementia support programmes have been identified as very important interventions that help to improve the quality of life, improve independence, and decrease the burden on carers and formal healthcare provision. The most common services usually integrated into these programmes are memory cafes, day care centres, befriending services, and activity-based interventions that should take place in local settings. Although there is an increasing policy and financial support in favour of community-based care, the data concerning the success of these programmes </w:t>
      </w:r>
      <w:r w:rsidR="00032F0E" w:rsidRPr="009C0D00">
        <w:t>is</w:t>
      </w:r>
      <w:r w:rsidRPr="009C0D00">
        <w:t xml:space="preserve"> scattered.</w:t>
      </w:r>
    </w:p>
    <w:p w14:paraId="3F1BE04A" w14:textId="329D1302" w:rsidR="0072601A" w:rsidRPr="009C0D00" w:rsidRDefault="0072601A" w:rsidP="0072601A">
      <w:r w:rsidRPr="009C0D00">
        <w:t xml:space="preserve">The purpose of the present dissertation is to conduct a systematic review of existing studies to evaluate the effectiveness of community-based dementia support interventions on people aged 65 and </w:t>
      </w:r>
      <w:r w:rsidR="00032F0E" w:rsidRPr="009C0D00">
        <w:t>older</w:t>
      </w:r>
      <w:r w:rsidRPr="009C0D00">
        <w:t xml:space="preserve"> in the UK. The proposed study should allow me to establish any best practices that could be used in the development of future services and the policy creation. The review specifically comes at a good time when there has been rising concern in person-centred care and transition towards integrated community health approaches in dementia care continuums.</w:t>
      </w:r>
    </w:p>
    <w:p w14:paraId="0F28C1F2" w14:textId="6C39F325" w:rsidR="0072601A" w:rsidRPr="009C0D00" w:rsidRDefault="0072601A" w:rsidP="0072601A">
      <w:pPr>
        <w:pStyle w:val="Heading2"/>
      </w:pPr>
      <w:bookmarkStart w:id="3" w:name="_Toc204831426"/>
      <w:r w:rsidRPr="009C0D00">
        <w:t>1.2 Definitions and Terminology</w:t>
      </w:r>
      <w:bookmarkEnd w:id="3"/>
    </w:p>
    <w:p w14:paraId="15EDD269" w14:textId="0B1AC82B" w:rsidR="0072601A" w:rsidRPr="009C0D00" w:rsidRDefault="00032F0E" w:rsidP="0072601A">
      <w:r w:rsidRPr="009C0D00">
        <w:t>To</w:t>
      </w:r>
      <w:r w:rsidR="0072601A" w:rsidRPr="009C0D00">
        <w:t xml:space="preserve"> make them easily understood, some of the important terms and concepts applied in this dissertation have been defined as under:</w:t>
      </w:r>
    </w:p>
    <w:p w14:paraId="5FADB652" w14:textId="1FC1B585" w:rsidR="0072601A" w:rsidRPr="009C0D00" w:rsidRDefault="0072601A" w:rsidP="0072601A">
      <w:r w:rsidRPr="009C0D00">
        <w:rPr>
          <w:b/>
          <w:bCs/>
        </w:rPr>
        <w:t>Dementia:</w:t>
      </w:r>
      <w:r w:rsidRPr="009C0D00">
        <w:t xml:space="preserve"> A </w:t>
      </w:r>
      <w:r w:rsidR="00032F0E" w:rsidRPr="009C0D00">
        <w:t>general</w:t>
      </w:r>
      <w:r w:rsidRPr="009C0D00">
        <w:t xml:space="preserve"> term </w:t>
      </w:r>
      <w:r w:rsidR="00032F0E" w:rsidRPr="009C0D00">
        <w:t>for</w:t>
      </w:r>
      <w:r w:rsidRPr="009C0D00">
        <w:t xml:space="preserve"> degenerative neural conditions that interfere with memory, reasoning and behaviour. The most widespread kind of dementia is </w:t>
      </w:r>
      <w:r w:rsidR="00032F0E" w:rsidRPr="009C0D00">
        <w:t>Alzheimer's</w:t>
      </w:r>
      <w:r w:rsidRPr="009C0D00">
        <w:t xml:space="preserve"> disease.</w:t>
      </w:r>
    </w:p>
    <w:p w14:paraId="26386020" w14:textId="29306655" w:rsidR="0072601A" w:rsidRPr="009C0D00" w:rsidRDefault="0072601A" w:rsidP="0072601A">
      <w:r w:rsidRPr="009C0D00">
        <w:rPr>
          <w:b/>
          <w:bCs/>
        </w:rPr>
        <w:t>Community-based support programmes:</w:t>
      </w:r>
      <w:r w:rsidRPr="009C0D00">
        <w:t xml:space="preserve"> are nonclinical, person-centred interventions that take place in community settings rather than hospital or residential care settings. These include day centres, memory cafes, support groups, and home visiting schemes.</w:t>
      </w:r>
    </w:p>
    <w:p w14:paraId="5BCC7A86" w14:textId="77777777" w:rsidR="0072601A" w:rsidRPr="009C0D00" w:rsidRDefault="0072601A" w:rsidP="0072601A">
      <w:r w:rsidRPr="009C0D00">
        <w:rPr>
          <w:b/>
          <w:bCs/>
        </w:rPr>
        <w:lastRenderedPageBreak/>
        <w:t>Older population:</w:t>
      </w:r>
      <w:r w:rsidRPr="009C0D00">
        <w:t xml:space="preserve"> In this research, this term describes persons aged 65 and above.</w:t>
      </w:r>
    </w:p>
    <w:p w14:paraId="4E854AC9" w14:textId="77777777" w:rsidR="0072601A" w:rsidRPr="009C0D00" w:rsidRDefault="0072601A" w:rsidP="0072601A">
      <w:r w:rsidRPr="009C0D00">
        <w:rPr>
          <w:b/>
          <w:bCs/>
        </w:rPr>
        <w:t>Caregiver burden:</w:t>
      </w:r>
      <w:r w:rsidRPr="009C0D00">
        <w:t xml:space="preserve"> Physical, emotional, and financial stress of caregivers and caretakers, who are currently helping their loved ones with dementia.</w:t>
      </w:r>
    </w:p>
    <w:p w14:paraId="6A92CE45" w14:textId="32C5C843" w:rsidR="0072601A" w:rsidRPr="009C0D00" w:rsidRDefault="0072601A" w:rsidP="0072601A">
      <w:r w:rsidRPr="009C0D00">
        <w:rPr>
          <w:b/>
          <w:bCs/>
        </w:rPr>
        <w:t>Quality of life (QoL):</w:t>
      </w:r>
      <w:r w:rsidRPr="009C0D00">
        <w:t xml:space="preserve"> It is a multi-dimensional term encompassing physical health, psychological well-being, social </w:t>
      </w:r>
      <w:r w:rsidR="00032F0E" w:rsidRPr="009C0D00">
        <w:t>relations</w:t>
      </w:r>
      <w:r w:rsidRPr="009C0D00">
        <w:t>, and environmental conditions.</w:t>
      </w:r>
    </w:p>
    <w:p w14:paraId="5670BC6F" w14:textId="77777777" w:rsidR="0072601A" w:rsidRPr="009C0D00" w:rsidRDefault="0072601A" w:rsidP="0072601A">
      <w:r w:rsidRPr="009C0D00">
        <w:rPr>
          <w:b/>
          <w:bCs/>
        </w:rPr>
        <w:t>Acronyms and Abbreviations:</w:t>
      </w:r>
    </w:p>
    <w:p w14:paraId="3DF9D461" w14:textId="77777777" w:rsidR="0072601A" w:rsidRPr="009C0D00" w:rsidRDefault="0072601A" w:rsidP="0072601A">
      <w:r w:rsidRPr="009C0D00">
        <w:rPr>
          <w:b/>
          <w:bCs/>
        </w:rPr>
        <w:t>NHS</w:t>
      </w:r>
      <w:r w:rsidRPr="009C0D00">
        <w:t>: National Health Service</w:t>
      </w:r>
    </w:p>
    <w:p w14:paraId="34554FDA" w14:textId="77777777" w:rsidR="0072601A" w:rsidRPr="009C0D00" w:rsidRDefault="0072601A" w:rsidP="0072601A">
      <w:r w:rsidRPr="009C0D00">
        <w:rPr>
          <w:b/>
          <w:bCs/>
        </w:rPr>
        <w:t>QoL</w:t>
      </w:r>
      <w:r w:rsidRPr="009C0D00">
        <w:t>: Quality of Life</w:t>
      </w:r>
    </w:p>
    <w:p w14:paraId="47E52407" w14:textId="77777777" w:rsidR="0072601A" w:rsidRPr="009C0D00" w:rsidRDefault="0072601A" w:rsidP="0072601A">
      <w:r w:rsidRPr="009C0D00">
        <w:rPr>
          <w:b/>
          <w:bCs/>
        </w:rPr>
        <w:t>UK</w:t>
      </w:r>
      <w:r w:rsidRPr="009C0D00">
        <w:t>: United Kingdom</w:t>
      </w:r>
    </w:p>
    <w:p w14:paraId="3CA40579" w14:textId="77777777" w:rsidR="0072601A" w:rsidRPr="009C0D00" w:rsidRDefault="0072601A" w:rsidP="0072601A">
      <w:r w:rsidRPr="009C0D00">
        <w:rPr>
          <w:b/>
          <w:bCs/>
        </w:rPr>
        <w:t>CBSPs</w:t>
      </w:r>
      <w:r w:rsidRPr="009C0D00">
        <w:t>: Community-Based Support Programmes</w:t>
      </w:r>
    </w:p>
    <w:p w14:paraId="7B72C021" w14:textId="77777777" w:rsidR="0072601A" w:rsidRPr="009C0D00" w:rsidRDefault="0072601A" w:rsidP="0072601A">
      <w:r w:rsidRPr="009C0D00">
        <w:rPr>
          <w:b/>
          <w:bCs/>
        </w:rPr>
        <w:t>RCT</w:t>
      </w:r>
      <w:r w:rsidRPr="009C0D00">
        <w:t>: Randomised Controlled Trial</w:t>
      </w:r>
    </w:p>
    <w:p w14:paraId="334A4204" w14:textId="71F8075C" w:rsidR="0072601A" w:rsidRPr="009C0D00" w:rsidRDefault="0072601A" w:rsidP="0072601A">
      <w:r w:rsidRPr="009C0D00">
        <w:t xml:space="preserve">These definitions offer the guideline of consistent analysis in the dissertation. It is important to understand such terms to </w:t>
      </w:r>
      <w:r w:rsidR="00032F0E" w:rsidRPr="009C0D00">
        <w:t>realise</w:t>
      </w:r>
      <w:r w:rsidRPr="009C0D00">
        <w:t xml:space="preserve"> the effect of the interventions on a sensitive and complicated area of care.</w:t>
      </w:r>
    </w:p>
    <w:p w14:paraId="0FED8592" w14:textId="77777777" w:rsidR="0072601A" w:rsidRPr="009C0D00" w:rsidRDefault="0072601A" w:rsidP="0072601A">
      <w:pPr>
        <w:pStyle w:val="Heading2"/>
      </w:pPr>
      <w:bookmarkStart w:id="4" w:name="_Toc204831427"/>
      <w:r w:rsidRPr="009C0D00">
        <w:t>1.3 Rationale for Research</w:t>
      </w:r>
      <w:bookmarkEnd w:id="4"/>
    </w:p>
    <w:p w14:paraId="7D46DC85" w14:textId="3494212F" w:rsidR="0072601A" w:rsidRPr="009C0D00" w:rsidRDefault="0072601A" w:rsidP="0072601A">
      <w:r w:rsidRPr="009C0D00">
        <w:t xml:space="preserve">This research is proposed </w:t>
      </w:r>
      <w:r w:rsidR="00032F0E" w:rsidRPr="009C0D00">
        <w:t>based on</w:t>
      </w:r>
      <w:r w:rsidRPr="009C0D00">
        <w:t xml:space="preserve"> a joint interaction of demographic patterns, priority topics of healthcare policy, and the lack of comprehensive existing sources in academic literature. The UK population is also ageing at an unprecedented rate, thereby raising the rates of incidence and prevalence of dementia, which will bring additional pressure on institutional care facilities (Prince et al., 2015). Community-based measures are more sustainable and </w:t>
      </w:r>
      <w:r w:rsidR="00032F0E" w:rsidRPr="009C0D00">
        <w:t>cost-effective</w:t>
      </w:r>
      <w:r w:rsidRPr="009C0D00">
        <w:t xml:space="preserve"> besides being person-centred and dignified.</w:t>
      </w:r>
    </w:p>
    <w:p w14:paraId="2286D068" w14:textId="586D5D41" w:rsidR="0072601A" w:rsidRPr="009C0D00" w:rsidRDefault="0072601A" w:rsidP="0072601A">
      <w:r w:rsidRPr="009C0D00">
        <w:t xml:space="preserve">Despite policy support on a broad level (e.g. the </w:t>
      </w:r>
      <w:r w:rsidR="00032F0E" w:rsidRPr="009C0D00">
        <w:t>Long-Term</w:t>
      </w:r>
      <w:r w:rsidRPr="009C0D00">
        <w:t xml:space="preserve"> Plan of the NHS England), there is a scarcity of systematic evidence that determines the effectiveness of such treatments, the availability of services and the long-term feasibility. Previous research tends to concentrate either in </w:t>
      </w:r>
      <w:r w:rsidR="00032F0E" w:rsidRPr="009C0D00">
        <w:t xml:space="preserve">a </w:t>
      </w:r>
      <w:r w:rsidRPr="009C0D00">
        <w:t xml:space="preserve">clinical context or remains unsuccessful </w:t>
      </w:r>
      <w:r w:rsidR="00032F0E" w:rsidRPr="009C0D00">
        <w:t>in separating</w:t>
      </w:r>
      <w:r w:rsidRPr="009C0D00">
        <w:t xml:space="preserve"> the results of any particular community-based program (Greenfield </w:t>
      </w:r>
      <w:r w:rsidR="005F1735">
        <w:t>and</w:t>
      </w:r>
      <w:r w:rsidRPr="009C0D00">
        <w:t xml:space="preserve"> Mauldin, 2017). This constrains the evidence-based decisions that can be made by the service providers and policymakers.</w:t>
      </w:r>
    </w:p>
    <w:p w14:paraId="77E81CD2" w14:textId="77777777" w:rsidR="0072601A" w:rsidRPr="009C0D00" w:rsidRDefault="0072601A" w:rsidP="0072601A">
      <w:r w:rsidRPr="009C0D00">
        <w:lastRenderedPageBreak/>
        <w:t>Moreover, service delivery gaps which include geographical differences and culture sensitivity have not been aggressively tackled. Such a gap will be addressed with a systematic review collecting and synthesising the existing evidence on CBSPs, building on which improvements to care delivery models, service innovation advice, and advocacy efforts on equitable access to dementia support in communities can be made.</w:t>
      </w:r>
    </w:p>
    <w:p w14:paraId="2DEB7F87" w14:textId="63B8983A" w:rsidR="0072601A" w:rsidRPr="009C0D00" w:rsidRDefault="0072601A" w:rsidP="0072601A">
      <w:pPr>
        <w:pStyle w:val="Heading2"/>
      </w:pPr>
      <w:bookmarkStart w:id="5" w:name="_Toc204831428"/>
      <w:r w:rsidRPr="009C0D00">
        <w:t>1.4 Aim and Objectives</w:t>
      </w:r>
      <w:bookmarkEnd w:id="5"/>
    </w:p>
    <w:p w14:paraId="3E88309D" w14:textId="77777777" w:rsidR="0072601A" w:rsidRPr="009C0D00" w:rsidRDefault="0072601A" w:rsidP="0072601A">
      <w:r w:rsidRPr="009C0D00">
        <w:rPr>
          <w:b/>
          <w:bCs/>
        </w:rPr>
        <w:t>Research Aim:</w:t>
      </w:r>
    </w:p>
    <w:p w14:paraId="361060B3" w14:textId="77777777" w:rsidR="00032F0E" w:rsidRPr="009C0D00" w:rsidRDefault="00032F0E" w:rsidP="00032F0E">
      <w:bookmarkStart w:id="6" w:name="_Hlk204582775"/>
      <w:r w:rsidRPr="009C0D00">
        <w:t>To conduct a systematic review of the evidence on the effectiveness of community-based dementia support programmes with adults aged 65 and over in the UK to describe the best practices enhancing subsequent service improvement and development, as well as policy formulation.</w:t>
      </w:r>
    </w:p>
    <w:bookmarkEnd w:id="6"/>
    <w:p w14:paraId="52FA27ED" w14:textId="77777777" w:rsidR="0072601A" w:rsidRPr="009C0D00" w:rsidRDefault="0072601A" w:rsidP="0072601A">
      <w:r w:rsidRPr="009C0D00">
        <w:rPr>
          <w:b/>
          <w:bCs/>
        </w:rPr>
        <w:t>Research Objectives:</w:t>
      </w:r>
    </w:p>
    <w:p w14:paraId="1FF918BF" w14:textId="349F90CE" w:rsidR="00032F0E" w:rsidRPr="009C0D00" w:rsidRDefault="0072601A" w:rsidP="0072601A">
      <w:r w:rsidRPr="009C0D00">
        <w:rPr>
          <w:b/>
          <w:bCs/>
        </w:rPr>
        <w:t>Objective 1</w:t>
      </w:r>
      <w:r w:rsidRPr="009C0D00">
        <w:t xml:space="preserve">: </w:t>
      </w:r>
      <w:r w:rsidR="00032F0E" w:rsidRPr="009C0D00">
        <w:t>Define and examine the range, nature and format of the existing community-based dementia support programmes in the UK that are offered to older people.</w:t>
      </w:r>
    </w:p>
    <w:p w14:paraId="0AEEC7DA" w14:textId="40C482D5" w:rsidR="00032F0E" w:rsidRPr="009C0D00" w:rsidRDefault="0072601A" w:rsidP="0072601A">
      <w:r w:rsidRPr="009C0D00">
        <w:rPr>
          <w:b/>
          <w:bCs/>
        </w:rPr>
        <w:t>Objective 2</w:t>
      </w:r>
      <w:r w:rsidRPr="009C0D00">
        <w:t xml:space="preserve">: </w:t>
      </w:r>
      <w:r w:rsidR="00032F0E" w:rsidRPr="009C0D00">
        <w:t>Analyse the effects of these programs on cognitive outcomes, quality of life, caregiver burden and accessibility of services in people aged 65 Years and above.</w:t>
      </w:r>
    </w:p>
    <w:p w14:paraId="49115825" w14:textId="7A071C22" w:rsidR="00032F0E" w:rsidRPr="009C0D00" w:rsidRDefault="0072601A" w:rsidP="0072601A">
      <w:r w:rsidRPr="009C0D00">
        <w:rPr>
          <w:b/>
          <w:bCs/>
        </w:rPr>
        <w:t>Objective 3</w:t>
      </w:r>
      <w:r w:rsidRPr="009C0D00">
        <w:t xml:space="preserve">: </w:t>
      </w:r>
      <w:r w:rsidR="00032F0E" w:rsidRPr="009C0D00">
        <w:t>Evaluate the quality of methodology and the results of current research studies concerning the interventions for dementia in the community setting.</w:t>
      </w:r>
    </w:p>
    <w:p w14:paraId="509ABC6A" w14:textId="0F656677" w:rsidR="00032F0E" w:rsidRPr="009C0D00" w:rsidRDefault="0072601A" w:rsidP="0072601A">
      <w:r w:rsidRPr="009C0D00">
        <w:rPr>
          <w:b/>
          <w:bCs/>
        </w:rPr>
        <w:t>Objective 4</w:t>
      </w:r>
      <w:r w:rsidRPr="009C0D00">
        <w:t xml:space="preserve">: </w:t>
      </w:r>
      <w:r w:rsidR="00032F0E" w:rsidRPr="009C0D00">
        <w:t>Provide recommendations on ways to improve the design, delivery, and sustainability of community-based dementia support services based on the review findings.</w:t>
      </w:r>
    </w:p>
    <w:p w14:paraId="6E470394" w14:textId="77777777" w:rsidR="00032F0E" w:rsidRPr="009C0D00" w:rsidRDefault="00032F0E" w:rsidP="00032F0E">
      <w:r w:rsidRPr="009C0D00">
        <w:t>These goals are connected and all directed toward a final goal of generating a total picture of the efficacy and future of community-based dementia support within the setting of the UK.</w:t>
      </w:r>
    </w:p>
    <w:p w14:paraId="356130AA" w14:textId="64605230" w:rsidR="00032F0E" w:rsidRPr="009C0D00" w:rsidRDefault="00032F0E" w:rsidP="00032F0E">
      <w:pPr>
        <w:pStyle w:val="Heading2"/>
      </w:pPr>
      <w:bookmarkStart w:id="7" w:name="_Toc204831429"/>
      <w:r w:rsidRPr="009C0D00">
        <w:t>1.5 Conclusion</w:t>
      </w:r>
      <w:bookmarkEnd w:id="7"/>
    </w:p>
    <w:p w14:paraId="6C94B2CF" w14:textId="00570CAD" w:rsidR="00032F0E" w:rsidRPr="009C0D00" w:rsidRDefault="00032F0E" w:rsidP="00032F0E">
      <w:r w:rsidRPr="009C0D00">
        <w:t xml:space="preserve">This chapter has brought up the issue of community-based support of dementia in older adults in the UK, which specifies the necessity of research on the topic of the effectiveness of interventions provided. The chapter has provided a good basis through the systematic review by defining important terminologies in the research, and indicating research gaps. The aims and objectives presented will inform the path of the research, and it will be dedicated to the identification of best </w:t>
      </w:r>
      <w:r w:rsidRPr="009C0D00">
        <w:lastRenderedPageBreak/>
        <w:t>practices, assessing the available evidence, and providing the respective policy and services recommendations.</w:t>
      </w:r>
    </w:p>
    <w:p w14:paraId="16D78596" w14:textId="79A53C07" w:rsidR="0072601A" w:rsidRPr="009C0D00" w:rsidRDefault="00032F0E" w:rsidP="0072601A">
      <w:r w:rsidRPr="009C0D00">
        <w:t>Chapter 2: Literature Review shall entail a detailed analysis of literature and theories that exist concerning community-based dementia care. It will place the present research in perspective in the larger academic and policy circles, and it will propose the prominent themes and findings that shall guide the following days of the research process.</w:t>
      </w:r>
    </w:p>
    <w:p w14:paraId="652C8183" w14:textId="77777777" w:rsidR="0072601A" w:rsidRDefault="0072601A" w:rsidP="0072601A"/>
    <w:p w14:paraId="7E1DA7C4" w14:textId="77777777" w:rsidR="00433F8B" w:rsidRDefault="00433F8B" w:rsidP="0072601A"/>
    <w:p w14:paraId="43BB741B" w14:textId="77777777" w:rsidR="00433F8B" w:rsidRDefault="00433F8B" w:rsidP="0072601A"/>
    <w:p w14:paraId="467B28AB" w14:textId="77777777" w:rsidR="00433F8B" w:rsidRDefault="00433F8B" w:rsidP="0072601A"/>
    <w:p w14:paraId="7487DA18" w14:textId="77777777" w:rsidR="00433F8B" w:rsidRDefault="00433F8B" w:rsidP="0072601A"/>
    <w:p w14:paraId="2D52E4A7" w14:textId="77777777" w:rsidR="00433F8B" w:rsidRDefault="00433F8B" w:rsidP="0072601A"/>
    <w:p w14:paraId="641CE2AA" w14:textId="77777777" w:rsidR="00433F8B" w:rsidRDefault="00433F8B" w:rsidP="0072601A"/>
    <w:p w14:paraId="59B42F81" w14:textId="77777777" w:rsidR="00433F8B" w:rsidRDefault="00433F8B" w:rsidP="0072601A"/>
    <w:p w14:paraId="7769EFA1" w14:textId="77777777" w:rsidR="00433F8B" w:rsidRDefault="00433F8B" w:rsidP="0072601A"/>
    <w:p w14:paraId="170B2DA5" w14:textId="77777777" w:rsidR="00433F8B" w:rsidRDefault="00433F8B" w:rsidP="0072601A"/>
    <w:p w14:paraId="6274FC6E" w14:textId="77777777" w:rsidR="00433F8B" w:rsidRDefault="00433F8B" w:rsidP="0072601A"/>
    <w:p w14:paraId="12C41509" w14:textId="77777777" w:rsidR="00433F8B" w:rsidRDefault="00433F8B" w:rsidP="0072601A"/>
    <w:p w14:paraId="61462138" w14:textId="77777777" w:rsidR="00433F8B" w:rsidRDefault="00433F8B" w:rsidP="0072601A"/>
    <w:p w14:paraId="628159E3" w14:textId="77777777" w:rsidR="00433F8B" w:rsidRDefault="00433F8B" w:rsidP="0072601A"/>
    <w:p w14:paraId="2F44F7D4" w14:textId="77777777" w:rsidR="00433F8B" w:rsidRDefault="00433F8B" w:rsidP="0072601A"/>
    <w:p w14:paraId="1246B9AF" w14:textId="77777777" w:rsidR="00433F8B" w:rsidRPr="009C0D00" w:rsidRDefault="00433F8B" w:rsidP="0072601A"/>
    <w:p w14:paraId="77717D5E" w14:textId="678367AF" w:rsidR="0072601A" w:rsidRPr="009C0D00" w:rsidRDefault="0072601A" w:rsidP="00032F0E">
      <w:pPr>
        <w:pStyle w:val="Heading1"/>
      </w:pPr>
      <w:bookmarkStart w:id="8" w:name="_Toc204831430"/>
      <w:r w:rsidRPr="009C0D00">
        <w:lastRenderedPageBreak/>
        <w:t>CHAPTER 2 – Background Information and Analysis</w:t>
      </w:r>
      <w:bookmarkEnd w:id="8"/>
    </w:p>
    <w:p w14:paraId="57E365E0" w14:textId="55EEFE9B" w:rsidR="0072601A" w:rsidRPr="009C0D00" w:rsidRDefault="0072601A" w:rsidP="00032F0E">
      <w:pPr>
        <w:pStyle w:val="Heading2"/>
      </w:pPr>
      <w:bookmarkStart w:id="9" w:name="_Toc204831431"/>
      <w:r w:rsidRPr="009C0D00">
        <w:t>2.1 Introduction</w:t>
      </w:r>
      <w:bookmarkEnd w:id="9"/>
    </w:p>
    <w:p w14:paraId="0D752D79" w14:textId="2D693B0B" w:rsidR="00C30863" w:rsidRPr="009C0D00" w:rsidRDefault="00C30863" w:rsidP="00C30863">
      <w:r w:rsidRPr="009C0D00">
        <w:t xml:space="preserve">The given chapter forms the contextual background of the research as it provides </w:t>
      </w:r>
      <w:r w:rsidR="007D3EDF" w:rsidRPr="009C0D00">
        <w:t>a</w:t>
      </w:r>
      <w:r w:rsidRPr="009C0D00">
        <w:t xml:space="preserve"> comprehensive analysis of the historical transformation, theoretical vision, the international and national advancements, which are related to the chosen issue. This background chapter is intended to give the reader some knowledge of the development of the research area over time, what theoretical bases can be drawn on in the research area, </w:t>
      </w:r>
      <w:r w:rsidR="007D3EDF" w:rsidRPr="009C0D00">
        <w:t xml:space="preserve">and </w:t>
      </w:r>
      <w:r w:rsidRPr="009C0D00">
        <w:t xml:space="preserve">how the area becomes contextualised at the global level and the UK level. In this way, this chapter preconditions the further section devoted to methodology as it helps to explain why the selected form of research is adequate in terms of the more reasonable perception of the subject under consideration. This discussion </w:t>
      </w:r>
      <w:r w:rsidR="007D3EDF" w:rsidRPr="009C0D00">
        <w:t>also does not</w:t>
      </w:r>
      <w:r w:rsidRPr="009C0D00">
        <w:t xml:space="preserve"> concentrate on themes which shall be understood deeply in Chapter 4. Rather, it provides general information on the genesis and situational standpoint of </w:t>
      </w:r>
      <w:r w:rsidR="007D3EDF" w:rsidRPr="009C0D00">
        <w:t xml:space="preserve">the </w:t>
      </w:r>
      <w:r w:rsidRPr="009C0D00">
        <w:t xml:space="preserve">question, which </w:t>
      </w:r>
      <w:r w:rsidR="007D3EDF" w:rsidRPr="009C0D00">
        <w:t>helps</w:t>
      </w:r>
      <w:r w:rsidRPr="009C0D00">
        <w:t xml:space="preserve"> understand the scope and importance of the latter.</w:t>
      </w:r>
    </w:p>
    <w:p w14:paraId="1C656C61" w14:textId="34CD7518" w:rsidR="00C30863" w:rsidRPr="009C0D00" w:rsidRDefault="0072601A" w:rsidP="00C30863">
      <w:pPr>
        <w:pStyle w:val="Heading2"/>
      </w:pPr>
      <w:bookmarkStart w:id="10" w:name="_Toc204831432"/>
      <w:r w:rsidRPr="009C0D00">
        <w:t>2.2 Historical Background</w:t>
      </w:r>
      <w:bookmarkEnd w:id="10"/>
    </w:p>
    <w:p w14:paraId="42A5AFDF" w14:textId="5CB6AEB9" w:rsidR="00C30863" w:rsidRPr="009C0D00" w:rsidRDefault="00C30863" w:rsidP="00C30863">
      <w:r w:rsidRPr="009C0D00">
        <w:t>The history of the development of the given research topic dates back to the development of the early decades of the 20th century when the basic theories and infrastructure of institutions were being formed. In this era, a large number of Western societies, especially in post-World War I and II societies, began to institutionalise welfare and promote more general social policy agendas. As one such example, in the UK, the Beveridge Report of 1942 was a landmark of the modern welfare state, which argued in favour of an elaborate social insurance scheme and institutional change to counter the existent “five giants”: want, disease, ignorance, squalor, and idleness (Thane, 20</w:t>
      </w:r>
      <w:r w:rsidR="00D94267">
        <w:t>16</w:t>
      </w:r>
      <w:r w:rsidRPr="009C0D00">
        <w:t>). The developments created lasting frameworks that still have a bearing in modern-day public policy and service delivery.</w:t>
      </w:r>
    </w:p>
    <w:p w14:paraId="117D0AF0" w14:textId="51D25404" w:rsidR="00C30863" w:rsidRPr="009C0D00" w:rsidRDefault="00C30863" w:rsidP="00C30863">
      <w:r w:rsidRPr="009C0D00">
        <w:t>The neoliberal ideologies came to influence governance more particularly in the 1980s and 1990s</w:t>
      </w:r>
      <w:r w:rsidR="0004004B">
        <w:t>,</w:t>
      </w:r>
      <w:r w:rsidRPr="009C0D00">
        <w:t xml:space="preserve"> in the second half of the 20th century. As the focus on market-based strategies, efficiency, and individual accountability increased, the reforms of the public services presented a challenge to the conventional models of welfare (Brown</w:t>
      </w:r>
      <w:r w:rsidR="0004004B">
        <w:t xml:space="preserve"> et al.</w:t>
      </w:r>
      <w:r w:rsidRPr="009C0D00">
        <w:t>, 20</w:t>
      </w:r>
      <w:r w:rsidR="0004004B">
        <w:t>22</w:t>
      </w:r>
      <w:r w:rsidRPr="009C0D00">
        <w:t>). These philosophical changes had transformed the concept of state and citizenship and affected how people received the services that the research focus dwells on.</w:t>
      </w:r>
    </w:p>
    <w:p w14:paraId="38091723" w14:textId="09A1BCA8" w:rsidR="00C30863" w:rsidRPr="009C0D00" w:rsidRDefault="00C30863" w:rsidP="00C30863">
      <w:r w:rsidRPr="009C0D00">
        <w:t xml:space="preserve">Exciting intellectual contributions of this time also </w:t>
      </w:r>
      <w:r w:rsidR="0004004B">
        <w:t>laid</w:t>
      </w:r>
      <w:r w:rsidRPr="009C0D00">
        <w:t xml:space="preserve"> important theoretical foundations. Philosophers like Michel Foucault raised serious and critical arguments against the power of </w:t>
      </w:r>
      <w:r w:rsidRPr="009C0D00">
        <w:lastRenderedPageBreak/>
        <w:t>institutions, monitoring, and various configurations related to control, especially in the medical dispensation, schools, and governmental systems (Foucault, 1977). His discussion provided a means of interpreting how systems of control and knowledge production create norms in a society. At the same time, the capabilities approach formulated by Amartya Sen shifted the perspective to the level of individual agency, freedom, and conditions that allow people to lead a good life (Sen, 1999).</w:t>
      </w:r>
    </w:p>
    <w:p w14:paraId="7B3E0477" w14:textId="6739E08A" w:rsidR="00C30863" w:rsidRPr="009C0D00" w:rsidRDefault="00C30863" w:rsidP="00C30863">
      <w:r w:rsidRPr="009C0D00">
        <w:t xml:space="preserve">The late 20th and early 21st century digital revolution brought up </w:t>
      </w:r>
      <w:r w:rsidR="0016709E">
        <w:t>a</w:t>
      </w:r>
      <w:r w:rsidRPr="009C0D00">
        <w:t xml:space="preserve"> new paradigm in the sphere of delivering public services. Advancements in information and communication aspects of technology (ICT) changed the way data was handled, delivered services, and interacted with the citizens (</w:t>
      </w:r>
      <w:r w:rsidR="00BD6E8E" w:rsidRPr="00BD6E8E">
        <w:t>Bucci</w:t>
      </w:r>
      <w:r w:rsidRPr="009C0D00">
        <w:t xml:space="preserve"> et al., 201</w:t>
      </w:r>
      <w:r w:rsidR="00BD6E8E">
        <w:t>9</w:t>
      </w:r>
      <w:r w:rsidRPr="009C0D00">
        <w:t>). Nevertheless, issues like the 2008 world financial crisis revealed the flaws in these new systems and demonstrated the role of resilience and inclusiveness in policy making (Taylor-Gooby, 2013).</w:t>
      </w:r>
    </w:p>
    <w:p w14:paraId="02777B0A" w14:textId="1C2AE60B" w:rsidR="00C30863" w:rsidRPr="009C0D00" w:rsidRDefault="00C30863" w:rsidP="00C30863">
      <w:r w:rsidRPr="009C0D00">
        <w:t>Besides, the rising globalisation and migration during the last few decades required innovative methods of addressing diversity and equity in the sphere of public services. Policymakers were forced to deal with intricate demographic shifts and transitioning anticipations in multicultural and multi-ethnic societies (</w:t>
      </w:r>
      <w:r w:rsidR="0004004B" w:rsidRPr="0004004B">
        <w:t>De Haas</w:t>
      </w:r>
      <w:r w:rsidRPr="009C0D00">
        <w:t xml:space="preserve"> et al., 201</w:t>
      </w:r>
      <w:r w:rsidR="0004004B">
        <w:t>9</w:t>
      </w:r>
      <w:r w:rsidRPr="009C0D00">
        <w:t>). On the whole, this historical development demonstrates the way that theory, policy, and practice have been interacting over time, producing the current situation of the subject of the research.</w:t>
      </w:r>
    </w:p>
    <w:p w14:paraId="25297C17" w14:textId="4D5BE916" w:rsidR="0072601A" w:rsidRPr="009C0D00" w:rsidRDefault="0072601A" w:rsidP="00C30863">
      <w:pPr>
        <w:pStyle w:val="Heading2"/>
      </w:pPr>
      <w:bookmarkStart w:id="11" w:name="_Toc204831433"/>
      <w:r w:rsidRPr="009C0D00">
        <w:t>2.3 Theoretical Background</w:t>
      </w:r>
      <w:bookmarkEnd w:id="11"/>
    </w:p>
    <w:p w14:paraId="35F18AD3" w14:textId="77777777" w:rsidR="006E05CC" w:rsidRDefault="006E05CC" w:rsidP="006E05CC">
      <w:r>
        <w:t>Multiple theories are employed as the basis of this subject to offer a multidimensional approach through which one comes to terms with social, behavioural and policy-driven items. Among them, one can note Bronfenbrenner and Ecological Systems Theory (1979), where individuals are sealed in the system of systems, the so-called interrelated systems represented by the closest surroundings, family and school (microsystem), on the one hand, and community and policies (macrosystem), on the other hand. The theory has been extensively applied to research that has worked on child development, public health and social policy. To exemplify, the personal experiences are predetermined by the institutional framework and the broad socio-economic factors. McTavish et al. (2022) managed to employ this model successfully to examine the interventions of child welfare and demonstrated how a specified systemic intervention impacts the outcomes negatively or positively.</w:t>
      </w:r>
    </w:p>
    <w:p w14:paraId="30E0C53F" w14:textId="14188C79" w:rsidR="00C30863" w:rsidRPr="009C0D00" w:rsidRDefault="006E05CC" w:rsidP="006E05CC">
      <w:r>
        <w:t xml:space="preserve">A Hierarchy of Needs (Maslow, 1943) is one of the simplest models to explain why human beings think about motivation and well-being. </w:t>
      </w:r>
      <w:r w:rsidR="00C30863" w:rsidRPr="009C0D00">
        <w:t xml:space="preserve">It implies that physiological needs lead to self-actualisation. </w:t>
      </w:r>
      <w:r w:rsidR="00C30863" w:rsidRPr="009C0D00">
        <w:lastRenderedPageBreak/>
        <w:t>Although still widely popular, the model has been criticised due to its cultural bias as well as its linear nature, which implies that the needs will be satisfied one by one, but this may not necessarily be the case in various socio-economic and cultural realities. As another example, Tay and Diener (2011) claimed that individuals in less affluent settings can avail themselves to pursuing higher-order needs at a time when their needs are still not met.</w:t>
      </w:r>
    </w:p>
    <w:p w14:paraId="0E3D5F57" w14:textId="075342C1" w:rsidR="00C30863" w:rsidRPr="009C0D00" w:rsidRDefault="00FF06E4" w:rsidP="00C30863">
      <w:r w:rsidRPr="009C0D00">
        <w:t>Ryan</w:t>
      </w:r>
      <w:r>
        <w:t xml:space="preserve"> and </w:t>
      </w:r>
      <w:r w:rsidR="00C30863" w:rsidRPr="009C0D00">
        <w:t>Deci</w:t>
      </w:r>
      <w:r>
        <w:t xml:space="preserve"> </w:t>
      </w:r>
      <w:r w:rsidR="00C30863" w:rsidRPr="009C0D00">
        <w:t xml:space="preserve">(2000) created the Self-Determination Theory (SDT), which avoids the shortcomings of the classical theories of motivation based on the three most critical psychological needs that should be met: autonomy, competence, </w:t>
      </w:r>
      <w:r>
        <w:t xml:space="preserve">and </w:t>
      </w:r>
      <w:r w:rsidR="00C30863" w:rsidRPr="009C0D00">
        <w:t>relatedness. SDT has been applied to policies and policy formulation as well, with prominence in such fields as education and mental health, where individual agency and intrinsic motivation have become regarded as decisive factors in long-term success. Its advantages as an empirical theory are its focus on relating motivation to measurable behavioural outputs; however, it may overemphasise individual agency at the cost of structural constraints.</w:t>
      </w:r>
    </w:p>
    <w:p w14:paraId="252607A7" w14:textId="58C258ED" w:rsidR="00C30863" w:rsidRPr="009C0D00" w:rsidRDefault="00C30863" w:rsidP="00C30863">
      <w:r w:rsidRPr="009C0D00">
        <w:t xml:space="preserve">Social Capital Theory, especially as expounded by Putnam (2000), provides much useful insight as to how networks, civic engagement and trust promote community wellbeing and resilience. The theory has been found important in the study of the effects of localised social networks on the accessibility to resources and service support to the community and health outcomes (Campbell </w:t>
      </w:r>
      <w:r w:rsidR="005F1735">
        <w:t>and</w:t>
      </w:r>
      <w:r w:rsidRPr="009C0D00">
        <w:t xml:space="preserve"> </w:t>
      </w:r>
      <w:proofErr w:type="spellStart"/>
      <w:r w:rsidRPr="009C0D00">
        <w:t>Jovchelovitch</w:t>
      </w:r>
      <w:proofErr w:type="spellEnd"/>
      <w:r w:rsidRPr="009C0D00">
        <w:t>, 2000). Yet it has been criticised as romanticising unity within communities, ignoring power relationships or ignoring social exclusions.</w:t>
      </w:r>
    </w:p>
    <w:p w14:paraId="0E1ACC8C" w14:textId="79F8754D" w:rsidR="00C30863" w:rsidRPr="009C0D00" w:rsidRDefault="00C30863" w:rsidP="00C30863">
      <w:r w:rsidRPr="009C0D00">
        <w:t>Finally, and last but not least, one must mention Intersectionality Theory (Crenshaw, 1989), which highlighted the way shared social identities, like race, gender, class, and disability, interact in the formation of intricate patterns of privilege and discrimination. Although the concept of intersectionality had its origin in legal and feminist studies, it has become a relevant topic in the sphere of public policies, as well as the fields of education and healthcare research (Doyle et al., 2016). Nevertheless, it is worth noting that despite the discussed methodological issues, such as its adoption through the adaptation of quantitative models (</w:t>
      </w:r>
      <w:proofErr w:type="spellStart"/>
      <w:r w:rsidRPr="009C0D00">
        <w:t>Hankivsky</w:t>
      </w:r>
      <w:proofErr w:type="spellEnd"/>
      <w:r w:rsidRPr="009C0D00">
        <w:t>, 2014), the concept of intersectionality is critical when considering and managing structural inequalities.</w:t>
      </w:r>
    </w:p>
    <w:p w14:paraId="3525DE7E" w14:textId="77777777" w:rsidR="00C30863" w:rsidRPr="009C0D00" w:rsidRDefault="00C30863" w:rsidP="00C30863">
      <w:r w:rsidRPr="009C0D00">
        <w:t>The combination of these theories has given a very proper analytical background which guides in the interpretation of the research topic as well as giving critical context to research questions.</w:t>
      </w:r>
    </w:p>
    <w:p w14:paraId="765E7910" w14:textId="6E22CF08" w:rsidR="006151C0" w:rsidRPr="009C0D00" w:rsidRDefault="0072601A" w:rsidP="006151C0">
      <w:pPr>
        <w:pStyle w:val="Heading2"/>
      </w:pPr>
      <w:bookmarkStart w:id="12" w:name="_Toc204831434"/>
      <w:r w:rsidRPr="009C0D00">
        <w:lastRenderedPageBreak/>
        <w:t>2.4 International Context</w:t>
      </w:r>
      <w:bookmarkEnd w:id="12"/>
    </w:p>
    <w:p w14:paraId="2B3AE904" w14:textId="4E380686" w:rsidR="006151C0" w:rsidRPr="009C0D00" w:rsidRDefault="006151C0" w:rsidP="006151C0">
      <w:r w:rsidRPr="009C0D00">
        <w:t>Everywhere in the world, the issue is viewed through different glasses where each country has its socio-economic track of development, political direction, institutional capability and cultural inclination. In the Scandinavian nations - Sweden, Norway, and Denmark, there is a commitment to inclusive and universal liability to state-funded welfare systems that can be said to support such a stance. Based on social democratic values, these models focus on equality, accessibility, and comprehensive support systems</w:t>
      </w:r>
      <w:r w:rsidR="00827C58" w:rsidRPr="009C0D00">
        <w:t>,</w:t>
      </w:r>
      <w:r w:rsidRPr="009C0D00">
        <w:t xml:space="preserve"> and they typically lead to greater satisfaction levels as well as health and social outcomes (Esping-Andersen, 1999). In comparison, the United States and other countries have a more market-differentiated, individualistic model in which getting access to the various public services depends upon income, employment, or insurance, all with a neoliberal accent (Fraser </w:t>
      </w:r>
      <w:r w:rsidR="005F1735">
        <w:t>and</w:t>
      </w:r>
      <w:r w:rsidRPr="009C0D00">
        <w:t xml:space="preserve"> Gordon, 1994).</w:t>
      </w:r>
    </w:p>
    <w:p w14:paraId="34A6232B" w14:textId="6E2E18E9" w:rsidR="006151C0" w:rsidRPr="009C0D00" w:rsidRDefault="00827C58" w:rsidP="006151C0">
      <w:r w:rsidRPr="009C0D00">
        <w:t>Foreign</w:t>
      </w:r>
      <w:r w:rsidR="006151C0" w:rsidRPr="009C0D00">
        <w:t xml:space="preserve"> organisations like the United Nations or the World Health </w:t>
      </w:r>
      <w:r w:rsidRPr="009C0D00">
        <w:t>Organisation</w:t>
      </w:r>
      <w:r w:rsidR="006151C0" w:rsidRPr="009C0D00">
        <w:t xml:space="preserve"> (WHO) have greatly impacted the human conversation. The UN Sustainable Development Goals (SDGs) in Goal 3 (Good Health and Wellbeing) and 10 (Reduced Inequalities), in particular, highlight the importance of domain covered by the research to be offered in a universal, equitable form and demonstrate the significance of the topic on a global, universal scale (UN, 2015). These global structures that the WHO promotes through universal health coverage and digital health strategies frameworks </w:t>
      </w:r>
      <w:r w:rsidRPr="009C0D00">
        <w:t>emphasise</w:t>
      </w:r>
      <w:r w:rsidR="006151C0" w:rsidRPr="009C0D00">
        <w:t xml:space="preserve"> access and innovation without consideration of the national income level.</w:t>
      </w:r>
    </w:p>
    <w:p w14:paraId="68D062F1" w14:textId="1A660FDD" w:rsidR="006151C0" w:rsidRPr="009C0D00" w:rsidRDefault="006151C0" w:rsidP="006151C0">
      <w:r w:rsidRPr="009C0D00">
        <w:t>Systemic issues faced by public service provision</w:t>
      </w:r>
      <w:r w:rsidR="00827C58" w:rsidRPr="009C0D00">
        <w:t>,</w:t>
      </w:r>
      <w:r w:rsidRPr="009C0D00">
        <w:t xml:space="preserve"> such as rapid urbanisation, underfunding, constraints on infrastructures, and political instabilities</w:t>
      </w:r>
      <w:r w:rsidR="00827C58" w:rsidRPr="009C0D00">
        <w:t>,</w:t>
      </w:r>
      <w:r w:rsidRPr="009C0D00">
        <w:t xml:space="preserve"> are some of the issues present in the low- and middle-income countries (LMICs). However, </w:t>
      </w:r>
      <w:r w:rsidR="00827C58" w:rsidRPr="009C0D00">
        <w:t>several</w:t>
      </w:r>
      <w:r w:rsidRPr="009C0D00">
        <w:t xml:space="preserve"> new things have been introduced. The Aadhaar biometric identification system of India is aimed at digitalising and connecting social services, but the issues of privacy, exclusion, and monitoring are still present (Rao, 2019). One such program is Brazil Bolsa Familia</w:t>
      </w:r>
      <w:r w:rsidR="00827C58" w:rsidRPr="009C0D00">
        <w:t>,</w:t>
      </w:r>
      <w:r w:rsidRPr="009C0D00">
        <w:t xml:space="preserve"> </w:t>
      </w:r>
      <w:r w:rsidR="00827C58" w:rsidRPr="009C0D00">
        <w:t>which</w:t>
      </w:r>
      <w:r w:rsidRPr="009C0D00">
        <w:t xml:space="preserve"> is a conditional cash transfer program that has achieved international attention through poverty reduction and getting the </w:t>
      </w:r>
      <w:r w:rsidR="00827C58" w:rsidRPr="009C0D00">
        <w:t>low-income</w:t>
      </w:r>
      <w:r w:rsidRPr="009C0D00">
        <w:t xml:space="preserve"> families to attend school and get health check-ups (Lindert et al., 2007).</w:t>
      </w:r>
    </w:p>
    <w:p w14:paraId="081B1ABB" w14:textId="6D23EAD3" w:rsidR="006151C0" w:rsidRPr="009C0D00" w:rsidRDefault="006151C0" w:rsidP="006151C0">
      <w:r w:rsidRPr="009C0D00">
        <w:t xml:space="preserve">Comparative studies bring forth different rates of success in different systems. The Scandinavian models are highly touted as being equitable, effective, and causing satisfaction among citizens, but systems based on the market may lead to high access disparities and access to care problems (OECD, 2020). Other international cases are the community-based approach of eldercare in Japan and the </w:t>
      </w:r>
      <w:r w:rsidR="00827C58" w:rsidRPr="009C0D00">
        <w:t>utilisation</w:t>
      </w:r>
      <w:r w:rsidRPr="009C0D00">
        <w:t xml:space="preserve"> of robotic help in dealing with the </w:t>
      </w:r>
      <w:r w:rsidR="00827C58" w:rsidRPr="009C0D00">
        <w:t>ageing</w:t>
      </w:r>
      <w:r w:rsidRPr="009C0D00">
        <w:t xml:space="preserve"> population (Long, 2014) and </w:t>
      </w:r>
      <w:r w:rsidRPr="009C0D00">
        <w:lastRenderedPageBreak/>
        <w:t>the community-based health insurance used in Rwanda that has provided a boost in access to health care in remote areas (Lu et al., 2012).</w:t>
      </w:r>
    </w:p>
    <w:p w14:paraId="12DD1C0D" w14:textId="271E1356" w:rsidR="006151C0" w:rsidRPr="009C0D00" w:rsidRDefault="006151C0" w:rsidP="006151C0">
      <w:r w:rsidRPr="009C0D00">
        <w:t xml:space="preserve">On the one hand, the good cases exist, even though there are universal challenges (including privacy issues in data variety, financial issues, political instability, and uneven access to technology). Such a complex environment of the global landscape can be </w:t>
      </w:r>
      <w:r w:rsidR="00827C58" w:rsidRPr="009C0D00">
        <w:t>characterised</w:t>
      </w:r>
      <w:r w:rsidRPr="009C0D00">
        <w:t xml:space="preserve"> by innovation, inequality and changing international cooperation.</w:t>
      </w:r>
    </w:p>
    <w:p w14:paraId="57CB1E34" w14:textId="65D80705" w:rsidR="006151C0" w:rsidRPr="009C0D00" w:rsidRDefault="0072601A" w:rsidP="006151C0">
      <w:pPr>
        <w:pStyle w:val="Heading2"/>
      </w:pPr>
      <w:bookmarkStart w:id="13" w:name="_Toc204831435"/>
      <w:r w:rsidRPr="009C0D00">
        <w:t>2.5 National/Local UK Context</w:t>
      </w:r>
      <w:bookmarkEnd w:id="13"/>
    </w:p>
    <w:p w14:paraId="48E8AADD" w14:textId="15D8D1AB" w:rsidR="006151C0" w:rsidRPr="009C0D00" w:rsidRDefault="006151C0" w:rsidP="006151C0">
      <w:r w:rsidRPr="009C0D00">
        <w:t xml:space="preserve">The study of this topic in </w:t>
      </w:r>
      <w:r w:rsidR="00827C58" w:rsidRPr="009C0D00">
        <w:t xml:space="preserve">the </w:t>
      </w:r>
      <w:r w:rsidRPr="009C0D00">
        <w:t>United Kingdom is also strongly influenced by the heritage of the welfare state and the inception of the National Health Service (NHS) in 1948</w:t>
      </w:r>
      <w:r w:rsidR="00827C58" w:rsidRPr="009C0D00">
        <w:t>,</w:t>
      </w:r>
      <w:r w:rsidRPr="009C0D00">
        <w:t xml:space="preserve"> that are often a representation of the post-war dedication of the country to universal services. Such institutions preconditioned equity in the access to health care and social care based on the principles of universality and the comprehensiveness of the coverage. However, as time has progressed, especially since the 1980s, different governments have moved away from the more universalist mind-set to something more individual- and market-based in terms of welfare (Hill, 2017).</w:t>
      </w:r>
    </w:p>
    <w:p w14:paraId="2648C05F" w14:textId="0AFA6EF1" w:rsidR="006151C0" w:rsidRPr="009C0D00" w:rsidRDefault="006151C0" w:rsidP="006151C0">
      <w:r w:rsidRPr="009C0D00">
        <w:t xml:space="preserve">With the implementation of austerity measures which started after the 2010 financial crisis, public services in </w:t>
      </w:r>
      <w:r w:rsidR="00827C58" w:rsidRPr="009C0D00">
        <w:t xml:space="preserve">the </w:t>
      </w:r>
      <w:r w:rsidRPr="009C0D00">
        <w:t xml:space="preserve">UK </w:t>
      </w:r>
      <w:r w:rsidR="00827C58" w:rsidRPr="009C0D00">
        <w:t>have</w:t>
      </w:r>
      <w:r w:rsidRPr="009C0D00">
        <w:t xml:space="preserve"> changed completely as they have seen a decrease in funding, reduction in number of workers</w:t>
      </w:r>
      <w:r w:rsidR="00827C58" w:rsidRPr="009C0D00">
        <w:t>,</w:t>
      </w:r>
      <w:r w:rsidRPr="009C0D00">
        <w:t xml:space="preserve"> as well as more pressure </w:t>
      </w:r>
      <w:r w:rsidR="00827C58" w:rsidRPr="009C0D00">
        <w:t>on</w:t>
      </w:r>
      <w:r w:rsidRPr="009C0D00">
        <w:t xml:space="preserve"> local authorities (Blyth, 2013). Such alterations have affected the access and quality of services</w:t>
      </w:r>
      <w:r w:rsidR="00827C58" w:rsidRPr="009C0D00">
        <w:t>,</w:t>
      </w:r>
      <w:r w:rsidRPr="009C0D00">
        <w:t xml:space="preserve"> especially in the regions of high deprivation. The **Care Act 2014**, **Equality Act 2010** and **Children Act 1989** and others still form valuable statutory underpinnings within the service provision and user entitlements (</w:t>
      </w:r>
      <w:proofErr w:type="spellStart"/>
      <w:r w:rsidRPr="009C0D00">
        <w:t>Lymbery</w:t>
      </w:r>
      <w:proofErr w:type="spellEnd"/>
      <w:r w:rsidRPr="009C0D00">
        <w:t>, 2012). These legislations endorse values of dignity, anti-discrimination, and protection which direct practice in statutory and voluntary sectors.</w:t>
      </w:r>
    </w:p>
    <w:p w14:paraId="794B8375" w14:textId="36C88CF6" w:rsidR="006151C0" w:rsidRPr="009C0D00" w:rsidRDefault="006151C0" w:rsidP="006151C0">
      <w:r w:rsidRPr="009C0D00">
        <w:t>The national landscape is also changing under the influence of demographic and social trends. Healthcare has been overwhelmed by a rising aged population, increasing ethnic diversity and the continued pattern of internal and international movements and migration in the UK, which adds to complexity and demand in the service delivery (ONS, 2021). In a bid to alleviate this situation, the structural changes to increase coordination among health, social care and community services are implemented, including the introduction of Integrated Care Systems (ICS) (NHS England, 2020).</w:t>
      </w:r>
    </w:p>
    <w:p w14:paraId="3500450E" w14:textId="3E0491A9" w:rsidR="006151C0" w:rsidRPr="009C0D00" w:rsidRDefault="006151C0" w:rsidP="006151C0">
      <w:r w:rsidRPr="009C0D00">
        <w:t xml:space="preserve">On a local level, it is highly differentiated by geography, funding and political leadership. Devolution contracts like that of Manchester have led to one of the first models of health and </w:t>
      </w:r>
      <w:r w:rsidRPr="009C0D00">
        <w:lastRenderedPageBreak/>
        <w:t>social care delivery, which are also valuable lessons to learn because of their strong elements of innovation and autonomy (Walshe et al., 2018). There are, nonetheless, still major impediments in a rural and remote area, such as labour shortage and poor infrastructure.</w:t>
      </w:r>
    </w:p>
    <w:p w14:paraId="725FA570" w14:textId="728994F6" w:rsidR="006151C0" w:rsidRPr="009C0D00" w:rsidRDefault="006151C0" w:rsidP="006151C0">
      <w:r w:rsidRPr="009C0D00">
        <w:t>The voluntary and community sector also has a significant role in filling in the gaps left by the statutory services. Organisations like Age UK, Mind and Shelter provide advocacy and advice and support, especially to vulnerable or marginalised groups. The COVID-19 pandemic also served to reveal the underlying inequality and progress in the use of digital service solutions simultaneously (Burch et al., 2020).</w:t>
      </w:r>
    </w:p>
    <w:p w14:paraId="6F689908" w14:textId="08BC3B84" w:rsidR="0072601A" w:rsidRPr="009C0D00" w:rsidRDefault="0072601A" w:rsidP="006151C0">
      <w:pPr>
        <w:pStyle w:val="Heading2"/>
      </w:pPr>
      <w:bookmarkStart w:id="14" w:name="_Toc204831436"/>
      <w:r w:rsidRPr="009C0D00">
        <w:t>2.6 Conclusion</w:t>
      </w:r>
      <w:bookmarkEnd w:id="14"/>
    </w:p>
    <w:p w14:paraId="79BAA060" w14:textId="2FAA9CA7" w:rsidR="006151C0" w:rsidRPr="009C0D00" w:rsidRDefault="006151C0" w:rsidP="006151C0">
      <w:r w:rsidRPr="009C0D00">
        <w:t>The chapter has outlined a complete background to the research topic by addressing the historical development of the topic, its theoretical background, and intercontinental and national context of the topic. It has discussed some of the major developments, important contributions, international comparisons and the trends and policies in the UK. This complex background is necessary to place the study in a broader discussion to undertake a more meaningful study.</w:t>
      </w:r>
    </w:p>
    <w:p w14:paraId="13A96B9F" w14:textId="2E30C9CA" w:rsidR="006151C0" w:rsidRPr="009C0D00" w:rsidRDefault="006151C0" w:rsidP="0072601A">
      <w:r w:rsidRPr="009C0D00">
        <w:t>The historical and theoretical study presented in the given paper justifies the selected research perspective, and the contextual overview makes it relevant and applicable. These realisations will directly influence the following chapter, Methodology and have a direct impact on the research design, development of the questions and assisting in the selection of the methods and sampling techniques. In that way, this chapter can be seen as a platform on which the subsequent methodological choice will rest as well as a bridge leading to it.</w:t>
      </w:r>
    </w:p>
    <w:p w14:paraId="6FEEC9AB" w14:textId="77777777" w:rsidR="00BC7F33" w:rsidRDefault="00BC7F33">
      <w:pPr>
        <w:spacing w:line="259" w:lineRule="auto"/>
        <w:jc w:val="left"/>
        <w:rPr>
          <w:rFonts w:eastAsiaTheme="majorEastAsia" w:cstheme="majorBidi"/>
          <w:b/>
          <w:sz w:val="32"/>
          <w:szCs w:val="40"/>
        </w:rPr>
      </w:pPr>
      <w:r>
        <w:br w:type="page"/>
      </w:r>
    </w:p>
    <w:p w14:paraId="631D9872" w14:textId="28701BFF" w:rsidR="00BC7F33" w:rsidRPr="009C0D00" w:rsidRDefault="00BC7F33" w:rsidP="00BC7F33">
      <w:pPr>
        <w:pStyle w:val="Heading1"/>
      </w:pPr>
      <w:bookmarkStart w:id="15" w:name="_Toc204831437"/>
      <w:r w:rsidRPr="009C0D00">
        <w:lastRenderedPageBreak/>
        <w:t>CHAPTER 3 – Academic Methodology Poster</w:t>
      </w:r>
      <w:bookmarkEnd w:id="15"/>
    </w:p>
    <w:p w14:paraId="1D718E63" w14:textId="36BBA2A0" w:rsidR="00BC7F33" w:rsidRPr="00BC7F33" w:rsidRDefault="00BC7F33" w:rsidP="00BC7F33">
      <w:pPr>
        <w:pStyle w:val="Heading2"/>
      </w:pPr>
      <w:bookmarkStart w:id="16" w:name="_Toc204831438"/>
      <w:r w:rsidRPr="009C0D00">
        <w:t>3.1 Academic Methodology Poster</w:t>
      </w:r>
      <w:bookmarkEnd w:id="16"/>
    </w:p>
    <w:p w14:paraId="051B43C5" w14:textId="77777777" w:rsidR="00BC7F33" w:rsidRDefault="00BC7F33" w:rsidP="0072601A">
      <w:r>
        <w:rPr>
          <w:noProof/>
        </w:rPr>
        <w:drawing>
          <wp:inline distT="0" distB="0" distL="0" distR="0" wp14:anchorId="6CC01D4C" wp14:editId="6A94DE2C">
            <wp:extent cx="5943600" cy="33705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70580"/>
                    </a:xfrm>
                    <a:prstGeom prst="rect">
                      <a:avLst/>
                    </a:prstGeom>
                  </pic:spPr>
                </pic:pic>
              </a:graphicData>
            </a:graphic>
          </wp:inline>
        </w:drawing>
      </w:r>
    </w:p>
    <w:p w14:paraId="4681BECA" w14:textId="77777777" w:rsidR="00BC7F33" w:rsidRPr="00D75494" w:rsidRDefault="00BC7F33" w:rsidP="00BC7F33">
      <w:pPr>
        <w:pStyle w:val="Heading2"/>
      </w:pPr>
      <w:bookmarkStart w:id="17" w:name="_Toc204831439"/>
      <w:r w:rsidRPr="009C0D00">
        <w:t>3.2 Additional Information</w:t>
      </w:r>
      <w:bookmarkEnd w:id="17"/>
    </w:p>
    <w:p w14:paraId="7A8116D5" w14:textId="77777777" w:rsidR="00BC7F33" w:rsidRPr="009C0D00" w:rsidRDefault="00BC7F33" w:rsidP="00BC7F33">
      <w:pPr>
        <w:rPr>
          <w:b/>
          <w:bCs/>
        </w:rPr>
      </w:pPr>
      <w:r w:rsidRPr="00D75494">
        <w:rPr>
          <w:b/>
          <w:bCs/>
        </w:rPr>
        <w:t>3.2.1 – Introduction</w:t>
      </w:r>
    </w:p>
    <w:p w14:paraId="06D30874" w14:textId="42B8D3AD" w:rsidR="00BC7F33" w:rsidRDefault="00BC7F33" w:rsidP="0072601A">
      <w:r w:rsidRPr="009C0D00">
        <w:t>This passage backs up the methodology shown in the scholarly poster by giving further depth and understanding. It provides a sketch of the rationale, the structure and the particular procedures undertaken in completing a systematic review on the effectiveness of community-based dementia support programmes to older adults in the UK. Since dementia is an increasing issue in terms of community health, especially the adults aged 65 and over, community-based support is essential. The provisions of a clear description of the search, selection, analysis, and ethical procedures implemented demonstrate the transparency, academic rigour, and validity of research findings guiding the practice and policy formul</w:t>
      </w:r>
      <w:r>
        <w:t>ation.</w:t>
      </w:r>
    </w:p>
    <w:p w14:paraId="3889D1E8" w14:textId="2757C138" w:rsidR="006707CF" w:rsidRPr="009C0D00" w:rsidRDefault="006707CF" w:rsidP="006707CF">
      <w:pPr>
        <w:rPr>
          <w:b/>
          <w:bCs/>
        </w:rPr>
      </w:pPr>
      <w:r w:rsidRPr="009C0D00">
        <w:rPr>
          <w:b/>
          <w:bCs/>
        </w:rPr>
        <w:t>3.2.2 Search Strategy</w:t>
      </w:r>
    </w:p>
    <w:p w14:paraId="0A23294F" w14:textId="3A23AC8A" w:rsidR="006707CF" w:rsidRPr="009C0D00" w:rsidRDefault="006707CF" w:rsidP="006707CF">
      <w:r w:rsidRPr="009C0D00">
        <w:t xml:space="preserve">There must be a </w:t>
      </w:r>
      <w:r w:rsidR="00580FEC" w:rsidRPr="009C0D00">
        <w:t>well-organised</w:t>
      </w:r>
      <w:r w:rsidRPr="009C0D00">
        <w:t xml:space="preserve"> and duplicable search strategy to be able to retrieve high-quality literature. </w:t>
      </w:r>
      <w:r w:rsidR="00580FEC" w:rsidRPr="009C0D00">
        <w:t>The most</w:t>
      </w:r>
      <w:r w:rsidRPr="009C0D00">
        <w:t xml:space="preserve"> significant databases which were used in this review were the CINAHL, PubMed and the Cochrane </w:t>
      </w:r>
      <w:r w:rsidR="00580FEC" w:rsidRPr="009C0D00">
        <w:t>Library</w:t>
      </w:r>
      <w:r w:rsidRPr="009C0D00">
        <w:t xml:space="preserve">. The basis of the research aim was used to create the search </w:t>
      </w:r>
      <w:r w:rsidRPr="009C0D00">
        <w:lastRenderedPageBreak/>
        <w:t xml:space="preserve">terms with combinations of keywords, including but not limited to dementia, community support, UK, older adults, and effectiveness. The searches were refined by using </w:t>
      </w:r>
      <w:r w:rsidR="00580FEC" w:rsidRPr="009C0D00">
        <w:t>Boolean</w:t>
      </w:r>
      <w:r w:rsidRPr="009C0D00">
        <w:t xml:space="preserve"> operators (AND, OR) as well as the truncation methods. Limiters filters were </w:t>
      </w:r>
      <w:r w:rsidR="00580FEC" w:rsidRPr="009C0D00">
        <w:t>used</w:t>
      </w:r>
      <w:r w:rsidRPr="009C0D00">
        <w:t xml:space="preserve"> to limit the research to full-text, English language and 10 </w:t>
      </w:r>
      <w:r w:rsidR="00580FEC" w:rsidRPr="009C0D00">
        <w:t>10-year</w:t>
      </w:r>
      <w:r w:rsidRPr="009C0D00">
        <w:t xml:space="preserve"> publication limit. This guaranteed the arousal of breadth and significance to the research question (</w:t>
      </w:r>
      <w:proofErr w:type="spellStart"/>
      <w:r w:rsidRPr="009C0D00">
        <w:t>Jesson</w:t>
      </w:r>
      <w:proofErr w:type="spellEnd"/>
      <w:r w:rsidRPr="009C0D00">
        <w:t xml:space="preserve">, Matheson </w:t>
      </w:r>
      <w:r w:rsidR="005F1735">
        <w:t>and</w:t>
      </w:r>
      <w:r w:rsidRPr="009C0D00">
        <w:t xml:space="preserve"> Lacey, 2011).</w:t>
      </w:r>
    </w:p>
    <w:p w14:paraId="1A4677F1" w14:textId="77777777" w:rsidR="006707CF" w:rsidRPr="00D75494" w:rsidRDefault="006707CF" w:rsidP="006707CF">
      <w:pPr>
        <w:rPr>
          <w:b/>
          <w:bCs/>
        </w:rPr>
      </w:pPr>
      <w:r w:rsidRPr="00D75494">
        <w:rPr>
          <w:b/>
          <w:bCs/>
        </w:rPr>
        <w:t>3.2.3 – Searching for Information</w:t>
      </w:r>
    </w:p>
    <w:p w14:paraId="088371E8" w14:textId="1905B88D" w:rsidR="006707CF" w:rsidRPr="009C0D00" w:rsidRDefault="00580FEC" w:rsidP="006707CF">
      <w:r w:rsidRPr="009C0D00">
        <w:t>The information</w:t>
      </w:r>
      <w:r w:rsidR="006707CF" w:rsidRPr="009C0D00">
        <w:t xml:space="preserve"> retrieval process started by using exploratory keyword queries by trying to locate appropriate terminologies. Relevance was enhanced by the use of controlled vocabulary, e.g. </w:t>
      </w:r>
      <w:proofErr w:type="spellStart"/>
      <w:r w:rsidR="006707CF" w:rsidRPr="009C0D00">
        <w:t>MeSH</w:t>
      </w:r>
      <w:proofErr w:type="spellEnd"/>
      <w:r w:rsidR="006707CF" w:rsidRPr="009C0D00">
        <w:t xml:space="preserve"> terms in PubMed and CINAHL Subject Headings. The Boolean operators (e.g. community care AND dementia AND UK AND elderly) were used to narrow down the search strings.</w:t>
      </w:r>
    </w:p>
    <w:p w14:paraId="35B58FD9" w14:textId="22557E60" w:rsidR="006707CF" w:rsidRPr="009C0D00" w:rsidRDefault="006707CF" w:rsidP="006707CF">
      <w:r w:rsidRPr="009C0D00">
        <w:t xml:space="preserve">Every search was recorded in order to make </w:t>
      </w:r>
      <w:r w:rsidR="00580FEC" w:rsidRPr="009C0D00">
        <w:t>it</w:t>
      </w:r>
      <w:r w:rsidRPr="009C0D00">
        <w:t xml:space="preserve"> transparent and reproducible. The inclusion of grey literature was regarded as a way to obtain NHS reports, social care </w:t>
      </w:r>
      <w:r w:rsidR="00580FEC" w:rsidRPr="009C0D00">
        <w:t>evaluations</w:t>
      </w:r>
      <w:r w:rsidRPr="009C0D00">
        <w:t xml:space="preserve">, and programme reviews that were not </w:t>
      </w:r>
      <w:r w:rsidR="00580FEC" w:rsidRPr="009C0D00">
        <w:t>peer-reviewed</w:t>
      </w:r>
      <w:r w:rsidRPr="009C0D00">
        <w:t>. The relevant policy documents were accessed on Google Scholar and government websites (such as NICE and NHS England).</w:t>
      </w:r>
    </w:p>
    <w:p w14:paraId="115C4503" w14:textId="77777777" w:rsidR="006707CF" w:rsidRPr="009C0D00" w:rsidRDefault="006707CF" w:rsidP="006707CF">
      <w:r w:rsidRPr="009C0D00">
        <w:t>Inclusion and exclusion criteria were used to screen articles both on title and abstract then full text. Information was stored, tagged and organised in Zotero. The refinement of the search was an iterative process, i.e. in case some terms produced too many irrelevant results, those were changed or reconfigured.</w:t>
      </w:r>
    </w:p>
    <w:p w14:paraId="1BD03B04" w14:textId="5523B5C5" w:rsidR="006707CF" w:rsidRPr="009C0D00" w:rsidRDefault="006707CF" w:rsidP="006707CF">
      <w:r w:rsidRPr="009C0D00">
        <w:t>The search ended up with 25 articles that were to be reviewed in detail. The variety of sources of information made the overview balanced by means of lowering publication bias. With the help of effective searching, it was possible to identify evidence-based outcomes and connect them to areas that informed about cognitive improvement, accessibility of the services, and social impact of dementia interventions (</w:t>
      </w:r>
      <w:r w:rsidR="00D21E83" w:rsidRPr="00D21E83">
        <w:t>Papaioannou</w:t>
      </w:r>
      <w:r w:rsidRPr="009C0D00">
        <w:t xml:space="preserve"> et al., 2016).</w:t>
      </w:r>
    </w:p>
    <w:p w14:paraId="487AF74C" w14:textId="06A49CA9" w:rsidR="006707CF" w:rsidRPr="00D75494" w:rsidRDefault="006707CF" w:rsidP="006707CF">
      <w:pPr>
        <w:rPr>
          <w:b/>
          <w:bCs/>
        </w:rPr>
      </w:pPr>
      <w:r w:rsidRPr="00D75494">
        <w:rPr>
          <w:b/>
          <w:bCs/>
        </w:rPr>
        <w:t>3.2.4 – Research Validation</w:t>
      </w:r>
    </w:p>
    <w:p w14:paraId="3CE102C3" w14:textId="1B95593C" w:rsidR="006707CF" w:rsidRPr="009C0D00" w:rsidRDefault="006707CF" w:rsidP="006707CF">
      <w:r w:rsidRPr="009C0D00">
        <w:t xml:space="preserve">The importance of validation of sources in secondary research is to establish the reliability, credibility and </w:t>
      </w:r>
      <w:r w:rsidR="00580FEC" w:rsidRPr="009C0D00">
        <w:t>academicism</w:t>
      </w:r>
      <w:r w:rsidRPr="009C0D00">
        <w:t xml:space="preserve"> of the research. The automatic quality appraisal of each study involved in the review has been performed by using an essential quality appraisal checklist based on the Critical Appraisal Skills Programme (CASP) based on study design, ethical approval, findings clarity, and population relevance.</w:t>
      </w:r>
    </w:p>
    <w:p w14:paraId="1F33B60E" w14:textId="77777777" w:rsidR="006707CF" w:rsidRPr="009C0D00" w:rsidRDefault="006707CF" w:rsidP="006707CF">
      <w:r w:rsidRPr="009C0D00">
        <w:lastRenderedPageBreak/>
        <w:t>The requirements were consistency with people aged above 65 (oldest old) participating in any study, and community interventions conducted in the UK. The studies were excluded that have low sample size, unclear reporting of outcomes or lacks methodological transparency.</w:t>
      </w:r>
    </w:p>
    <w:p w14:paraId="1A85B3AF" w14:textId="4D2A0265" w:rsidR="006707CF" w:rsidRPr="009C0D00" w:rsidRDefault="006707CF" w:rsidP="006707CF">
      <w:r w:rsidRPr="009C0D00">
        <w:t xml:space="preserve">Submission of government publications that are not peer-reviewed was possible provided that they were published by an official and authoritative body like NHS England or the Public Health England. Any possible conflict of interest, funding bias or poor transparency was also considered in the review. The systematic review was kept honest by employing approved appraisal models and creating good inclusion boundaries (Noble </w:t>
      </w:r>
      <w:r w:rsidR="005F1735">
        <w:t>and</w:t>
      </w:r>
      <w:r w:rsidRPr="009C0D00">
        <w:t xml:space="preserve"> Smith, 2015). This validating process allowed justifying all the explanations gained based on the solid and trustworthy information.</w:t>
      </w:r>
    </w:p>
    <w:p w14:paraId="164AF8C6" w14:textId="6202D38C" w:rsidR="006707CF" w:rsidRPr="009C0D00" w:rsidRDefault="006707CF" w:rsidP="006707CF">
      <w:pPr>
        <w:rPr>
          <w:b/>
          <w:bCs/>
        </w:rPr>
      </w:pPr>
      <w:r w:rsidRPr="009C0D00">
        <w:rPr>
          <w:b/>
          <w:bCs/>
        </w:rPr>
        <w:t>3.2.5 -Inclusion and Exclusion Criteria</w:t>
      </w:r>
    </w:p>
    <w:p w14:paraId="5536803F" w14:textId="77777777" w:rsidR="006707CF" w:rsidRPr="009C0D00" w:rsidRDefault="006707CF" w:rsidP="006707CF">
      <w:pPr>
        <w:rPr>
          <w:b/>
          <w:bCs/>
        </w:rPr>
      </w:pPr>
      <w:r w:rsidRPr="009C0D00">
        <w:rPr>
          <w:b/>
          <w:bCs/>
        </w:rPr>
        <w:t>Inclusion criteria:</w:t>
      </w:r>
    </w:p>
    <w:p w14:paraId="26E2D332" w14:textId="7DBA4D3E" w:rsidR="006707CF" w:rsidRPr="009C0D00" w:rsidRDefault="006707CF" w:rsidP="006707CF">
      <w:pPr>
        <w:pStyle w:val="ListParagraph"/>
        <w:numPr>
          <w:ilvl w:val="0"/>
          <w:numId w:val="13"/>
        </w:numPr>
      </w:pPr>
      <w:r w:rsidRPr="009C0D00">
        <w:t xml:space="preserve">Publications 2014 </w:t>
      </w:r>
      <w:r w:rsidR="00345B96">
        <w:t xml:space="preserve">to </w:t>
      </w:r>
      <w:r w:rsidRPr="009C0D00">
        <w:t>202</w:t>
      </w:r>
      <w:r w:rsidR="00345B96">
        <w:t>5</w:t>
      </w:r>
    </w:p>
    <w:p w14:paraId="66CCE4A0" w14:textId="34EFB6A6" w:rsidR="006707CF" w:rsidRPr="009C0D00" w:rsidRDefault="006707CF" w:rsidP="006707CF">
      <w:pPr>
        <w:pStyle w:val="ListParagraph"/>
        <w:numPr>
          <w:ilvl w:val="0"/>
          <w:numId w:val="13"/>
        </w:numPr>
      </w:pPr>
      <w:r w:rsidRPr="009C0D00">
        <w:t>Publications that have been peer reviewed or published as a government policy paper</w:t>
      </w:r>
    </w:p>
    <w:p w14:paraId="5D6BC88E" w14:textId="77777777" w:rsidR="006707CF" w:rsidRPr="009C0D00" w:rsidRDefault="006707CF" w:rsidP="006707CF">
      <w:pPr>
        <w:pStyle w:val="ListParagraph"/>
        <w:numPr>
          <w:ilvl w:val="0"/>
          <w:numId w:val="13"/>
        </w:numPr>
      </w:pPr>
      <w:r w:rsidRPr="009C0D00">
        <w:t>Target population is persons 65+, with dementia</w:t>
      </w:r>
    </w:p>
    <w:p w14:paraId="0AF9E826" w14:textId="51BD172B" w:rsidR="006707CF" w:rsidRPr="009C0D00" w:rsidRDefault="006707CF" w:rsidP="006707CF">
      <w:pPr>
        <w:pStyle w:val="ListParagraph"/>
        <w:numPr>
          <w:ilvl w:val="0"/>
          <w:numId w:val="13"/>
        </w:numPr>
      </w:pPr>
      <w:r w:rsidRPr="009C0D00">
        <w:t>Non-resident community-based support was tested</w:t>
      </w:r>
    </w:p>
    <w:p w14:paraId="304BB73F" w14:textId="77777777" w:rsidR="006707CF" w:rsidRPr="009C0D00" w:rsidRDefault="006707CF" w:rsidP="006707CF">
      <w:pPr>
        <w:pStyle w:val="ListParagraph"/>
        <w:numPr>
          <w:ilvl w:val="0"/>
          <w:numId w:val="13"/>
        </w:numPr>
      </w:pPr>
      <w:r w:rsidRPr="009C0D00">
        <w:t>It is written in English and in full text</w:t>
      </w:r>
    </w:p>
    <w:p w14:paraId="63C1C3A0" w14:textId="77777777" w:rsidR="006707CF" w:rsidRPr="009C0D00" w:rsidRDefault="006707CF" w:rsidP="006707CF">
      <w:pPr>
        <w:rPr>
          <w:b/>
          <w:bCs/>
        </w:rPr>
      </w:pPr>
      <w:r w:rsidRPr="009C0D00">
        <w:rPr>
          <w:b/>
          <w:bCs/>
        </w:rPr>
        <w:t>Exclusion criteria:</w:t>
      </w:r>
    </w:p>
    <w:p w14:paraId="1B7AC5DE" w14:textId="2C6A43B8" w:rsidR="006707CF" w:rsidRPr="009C0D00" w:rsidRDefault="006707CF" w:rsidP="006707CF">
      <w:pPr>
        <w:pStyle w:val="ListParagraph"/>
        <w:numPr>
          <w:ilvl w:val="0"/>
          <w:numId w:val="16"/>
        </w:numPr>
      </w:pPr>
      <w:r w:rsidRPr="009C0D00">
        <w:t>Studies from more than 10 years ago</w:t>
      </w:r>
    </w:p>
    <w:p w14:paraId="500588F9" w14:textId="2D4989A8" w:rsidR="006707CF" w:rsidRPr="009C0D00" w:rsidRDefault="006707CF" w:rsidP="006707CF">
      <w:pPr>
        <w:pStyle w:val="ListParagraph"/>
        <w:numPr>
          <w:ilvl w:val="0"/>
          <w:numId w:val="16"/>
        </w:numPr>
      </w:pPr>
      <w:r w:rsidRPr="009C0D00">
        <w:t>Non-UK-based interventions</w:t>
      </w:r>
    </w:p>
    <w:p w14:paraId="7F64A28D" w14:textId="68784A2D" w:rsidR="006707CF" w:rsidRPr="009C0D00" w:rsidRDefault="006707CF" w:rsidP="006707CF">
      <w:pPr>
        <w:pStyle w:val="ListParagraph"/>
        <w:numPr>
          <w:ilvl w:val="0"/>
          <w:numId w:val="16"/>
        </w:numPr>
      </w:pPr>
      <w:r w:rsidRPr="009C0D00">
        <w:t>Research carried out in a hospital, a nursing home or an institutional setting</w:t>
      </w:r>
    </w:p>
    <w:p w14:paraId="52BD0337" w14:textId="23163B1B" w:rsidR="006707CF" w:rsidRPr="009C0D00" w:rsidRDefault="006707CF" w:rsidP="006707CF">
      <w:pPr>
        <w:pStyle w:val="ListParagraph"/>
        <w:numPr>
          <w:ilvl w:val="0"/>
          <w:numId w:val="16"/>
        </w:numPr>
      </w:pPr>
      <w:r w:rsidRPr="009C0D00">
        <w:t>Unethical, transparent, and unrestricted articles</w:t>
      </w:r>
    </w:p>
    <w:p w14:paraId="2EB3FF32" w14:textId="01725291" w:rsidR="006707CF" w:rsidRPr="009C0D00" w:rsidRDefault="006707CF" w:rsidP="006707CF">
      <w:r w:rsidRPr="009C0D00">
        <w:t>These requirements enabled the review to be selective, relevant to UK policy and practice, and to see the alignment with the needs of the target population (Aveyard, 20</w:t>
      </w:r>
      <w:r w:rsidR="00D21E83">
        <w:t>23</w:t>
      </w:r>
      <w:r w:rsidRPr="009C0D00">
        <w:t>).</w:t>
      </w:r>
    </w:p>
    <w:p w14:paraId="43934401" w14:textId="3AED8474" w:rsidR="006707CF" w:rsidRPr="009C0D00" w:rsidRDefault="006707CF" w:rsidP="006707CF">
      <w:pPr>
        <w:rPr>
          <w:b/>
          <w:bCs/>
        </w:rPr>
      </w:pPr>
      <w:r w:rsidRPr="00D75494">
        <w:rPr>
          <w:b/>
          <w:bCs/>
        </w:rPr>
        <w:t>3.2.6 – Analysing Research</w:t>
      </w:r>
    </w:p>
    <w:p w14:paraId="468A3C44" w14:textId="7BC8A725" w:rsidR="006707CF" w:rsidRPr="009C0D00" w:rsidRDefault="006707CF" w:rsidP="006707CF">
      <w:r w:rsidRPr="009C0D00">
        <w:t xml:space="preserve">They used thematic analysis on the reviews to give </w:t>
      </w:r>
      <w:r w:rsidR="00295E27" w:rsidRPr="009C0D00">
        <w:t xml:space="preserve">an </w:t>
      </w:r>
      <w:r w:rsidRPr="009C0D00">
        <w:t xml:space="preserve">interpretation </w:t>
      </w:r>
      <w:r w:rsidR="00295E27" w:rsidRPr="009C0D00">
        <w:t>of</w:t>
      </w:r>
      <w:r w:rsidRPr="009C0D00">
        <w:t xml:space="preserve"> a qualitative and quantitative study. There were key themes such as:</w:t>
      </w:r>
    </w:p>
    <w:p w14:paraId="4036CA8E" w14:textId="77777777" w:rsidR="006707CF" w:rsidRPr="009C0D00" w:rsidRDefault="006707CF" w:rsidP="006707CF">
      <w:r w:rsidRPr="009C0D00">
        <w:t>1.</w:t>
      </w:r>
      <w:r w:rsidRPr="009C0D00">
        <w:tab/>
        <w:t>Increases in the quality of life</w:t>
      </w:r>
    </w:p>
    <w:p w14:paraId="110578DD" w14:textId="77777777" w:rsidR="006707CF" w:rsidRPr="009C0D00" w:rsidRDefault="006707CF" w:rsidP="006707CF">
      <w:r w:rsidRPr="009C0D00">
        <w:t>2.</w:t>
      </w:r>
      <w:r w:rsidRPr="009C0D00">
        <w:tab/>
        <w:t>Cognitive stimulation outcomes</w:t>
      </w:r>
    </w:p>
    <w:p w14:paraId="19FA7082" w14:textId="77777777" w:rsidR="006707CF" w:rsidRPr="009C0D00" w:rsidRDefault="006707CF" w:rsidP="006707CF">
      <w:r w:rsidRPr="009C0D00">
        <w:t>3.</w:t>
      </w:r>
      <w:r w:rsidRPr="009C0D00">
        <w:tab/>
        <w:t>Reduction of caregiver burden</w:t>
      </w:r>
    </w:p>
    <w:p w14:paraId="37BAE3E0" w14:textId="77777777" w:rsidR="006707CF" w:rsidRPr="009C0D00" w:rsidRDefault="006707CF" w:rsidP="006707CF">
      <w:r w:rsidRPr="009C0D00">
        <w:lastRenderedPageBreak/>
        <w:t>4.</w:t>
      </w:r>
      <w:r w:rsidRPr="009C0D00">
        <w:tab/>
        <w:t>Accessibility and equity in service delivery</w:t>
      </w:r>
    </w:p>
    <w:p w14:paraId="17C4C824" w14:textId="77777777" w:rsidR="006707CF" w:rsidRPr="009C0D00" w:rsidRDefault="006707CF" w:rsidP="006707CF">
      <w:r w:rsidRPr="009C0D00">
        <w:t>All articles were coded by hand with emergent themes being recorded and frequency noted in excel. The articles were organized according to the themes and cross-examined to determine similarities or differences. This enabled the development of complex results into comprehensible groups.</w:t>
      </w:r>
    </w:p>
    <w:p w14:paraId="733ED6A8" w14:textId="77777777" w:rsidR="006707CF" w:rsidRPr="009C0D00" w:rsidRDefault="006707CF" w:rsidP="006707CF">
      <w:r w:rsidRPr="009C0D00">
        <w:t>As an example, several studies exhibited that dementia cafes and befriending programmes were effective in reducing social isolation and other programmes were mixed with positive effects on memory functions.</w:t>
      </w:r>
    </w:p>
    <w:p w14:paraId="4CBDD31B" w14:textId="77777777" w:rsidR="006707CF" w:rsidRPr="009C0D00" w:rsidRDefault="006707CF" w:rsidP="006707CF">
      <w:r w:rsidRPr="009C0D00">
        <w:t>It was through the thematic analysis that key insights were gained not just of what worked but when these programmes worked best (Nowell et al., 2017). Chapter 4 will include themes and recommendations based on Chapter 4 to help in the development of services and policy.</w:t>
      </w:r>
    </w:p>
    <w:p w14:paraId="46D33A0F" w14:textId="4C8F09D7" w:rsidR="006707CF" w:rsidRPr="009C0D00" w:rsidRDefault="006707CF" w:rsidP="006707CF">
      <w:pPr>
        <w:rPr>
          <w:b/>
          <w:bCs/>
        </w:rPr>
      </w:pPr>
      <w:r w:rsidRPr="009C0D00">
        <w:rPr>
          <w:b/>
          <w:bCs/>
        </w:rPr>
        <w:t>3.2.7 Ethical Considerations</w:t>
      </w:r>
    </w:p>
    <w:p w14:paraId="30673C60" w14:textId="25462D50" w:rsidR="006707CF" w:rsidRPr="009C0D00" w:rsidRDefault="006707CF" w:rsidP="006707CF">
      <w:r w:rsidRPr="009C0D00">
        <w:t>Ethical principles were observed in the study. Since this type of research is secondary, there was no direct interaction with human subjects, thereby reducing the ethical risk. Every single source was cited respectively in line with UWTSD Harvard style, and plagiarism was eliminated by critical synthesis and paraphrasing.</w:t>
      </w:r>
    </w:p>
    <w:p w14:paraId="0383EA13" w14:textId="14E75A7C" w:rsidR="006707CF" w:rsidRPr="009C0D00" w:rsidRDefault="006707CF" w:rsidP="006707CF">
      <w:r w:rsidRPr="009C0D00">
        <w:t>Only the sources available publicly (academic and governmental) were used as the source of data, making it open. Ethical principles of research that were used include respect for authorship and data integrity, and non-maleficence (Resnik, 2020). Also, an effort was made to identify and point out the offset or possible prejudices in the first-hand sources to indicate an honest and fair presentation.</w:t>
      </w:r>
    </w:p>
    <w:p w14:paraId="090B5B86" w14:textId="77777777" w:rsidR="006707CF" w:rsidRPr="00D75494" w:rsidRDefault="006707CF" w:rsidP="006707CF">
      <w:pPr>
        <w:rPr>
          <w:b/>
          <w:bCs/>
        </w:rPr>
      </w:pPr>
      <w:r w:rsidRPr="00D75494">
        <w:rPr>
          <w:b/>
          <w:bCs/>
        </w:rPr>
        <w:t>3.2.8 – Chapter Conclusion</w:t>
      </w:r>
    </w:p>
    <w:p w14:paraId="0C793C3F" w14:textId="77777777" w:rsidR="006707CF" w:rsidRPr="009C0D00" w:rsidRDefault="006707CF" w:rsidP="006707CF">
      <w:r w:rsidRPr="009C0D00">
        <w:t>This chapter outlined the methodology taken in detail during the systematic review. The study had a strong search strategy with narrow inclusion and exclusion criteria and a comprehensive thematic analysis protocol, which created the credibility and validity of the results. Ethical concerns were also woven in it to facilitate transparency and the integrity of academics.</w:t>
      </w:r>
    </w:p>
    <w:p w14:paraId="75260942" w14:textId="73634AA9" w:rsidR="00433F8B" w:rsidRDefault="006707CF" w:rsidP="00D75494">
      <w:r w:rsidRPr="009C0D00">
        <w:t>The process has been indicating positive approaches and service gaps in community dementia support. Such experiences will lead to the development of evidence-based suggestions to enhance the work with persons with dementia living in the UK. Chapter 4 of the dissertation will lay down the findings.</w:t>
      </w:r>
    </w:p>
    <w:p w14:paraId="1B954534" w14:textId="0AC3B304" w:rsidR="00D75494" w:rsidRPr="009C0D00" w:rsidRDefault="00D75494" w:rsidP="00D75494">
      <w:pPr>
        <w:pStyle w:val="Heading1"/>
      </w:pPr>
      <w:bookmarkStart w:id="18" w:name="_Toc204831440"/>
      <w:r w:rsidRPr="009C0D00">
        <w:lastRenderedPageBreak/>
        <w:t>CHAPTER 4 – Findings and Discussion</w:t>
      </w:r>
      <w:bookmarkEnd w:id="18"/>
    </w:p>
    <w:p w14:paraId="488CA432" w14:textId="0AF32FF7" w:rsidR="00D75494" w:rsidRPr="009C0D00" w:rsidRDefault="00D75494" w:rsidP="00D75494">
      <w:pPr>
        <w:pStyle w:val="Heading2"/>
      </w:pPr>
      <w:bookmarkStart w:id="19" w:name="_Toc204831441"/>
      <w:r w:rsidRPr="009C0D00">
        <w:t>4.1 – Introduction</w:t>
      </w:r>
      <w:bookmarkEnd w:id="19"/>
    </w:p>
    <w:p w14:paraId="384690CE" w14:textId="591BE630" w:rsidR="00D75494" w:rsidRPr="00D75494" w:rsidRDefault="00D75494" w:rsidP="00D75494">
      <w:r w:rsidRPr="009C0D00">
        <w:t xml:space="preserve">The chapter provides a report of the effectiveness of the community-based dementia support programmes among older adults in the UK through </w:t>
      </w:r>
      <w:r w:rsidR="009A3077" w:rsidRPr="009C0D00">
        <w:t>a</w:t>
      </w:r>
      <w:r w:rsidRPr="009C0D00">
        <w:t xml:space="preserve"> systematic review carried out on it. It is arranged in such a way that the discussion follows the thematic analysis of peer-reviewed and policy-based literature discussions. The purpose is to understand the effects of such programmes on quality of life, cognitive functioning, accessibility and the burden of the caregiver. Validity of the themes will be critically analysed and merged with theoretical perspective, </w:t>
      </w:r>
      <w:r w:rsidR="009A3077" w:rsidRPr="009C0D00">
        <w:t>statistical</w:t>
      </w:r>
      <w:r w:rsidRPr="009C0D00">
        <w:t xml:space="preserve"> information and </w:t>
      </w:r>
      <w:r w:rsidR="009A3077" w:rsidRPr="009C0D00">
        <w:t>UK-based</w:t>
      </w:r>
      <w:r w:rsidRPr="009C0D00">
        <w:t xml:space="preserve"> policy formulations. This chapter starts with an explanation of the thematic analysis process</w:t>
      </w:r>
      <w:r w:rsidR="009A3077" w:rsidRPr="009C0D00">
        <w:t>,</w:t>
      </w:r>
      <w:r w:rsidRPr="009C0D00">
        <w:t xml:space="preserve"> after which each theme is discussed in </w:t>
      </w:r>
      <w:r w:rsidR="009A3077" w:rsidRPr="009C0D00">
        <w:t>detail</w:t>
      </w:r>
      <w:r w:rsidRPr="009C0D00">
        <w:t xml:space="preserve"> will </w:t>
      </w:r>
      <w:r w:rsidR="009A3077" w:rsidRPr="009C0D00">
        <w:t>starting</w:t>
      </w:r>
      <w:r w:rsidRPr="009C0D00">
        <w:t xml:space="preserve"> by looking at quality of life outcomes in in-depth detail.</w:t>
      </w:r>
    </w:p>
    <w:p w14:paraId="2CB6B773" w14:textId="62D06516" w:rsidR="00D75494" w:rsidRPr="009C0D00" w:rsidRDefault="00D75494" w:rsidP="00D75494">
      <w:pPr>
        <w:pStyle w:val="Heading2"/>
      </w:pPr>
      <w:bookmarkStart w:id="20" w:name="_Toc204831442"/>
      <w:r w:rsidRPr="009C0D00">
        <w:t>4.2 – Thematic Analysis</w:t>
      </w:r>
      <w:bookmarkEnd w:id="20"/>
    </w:p>
    <w:p w14:paraId="6DBBBABD" w14:textId="651E7829" w:rsidR="00D75494" w:rsidRPr="00D75494" w:rsidRDefault="00D75494" w:rsidP="00D75494">
      <w:r w:rsidRPr="009C0D00">
        <w:t xml:space="preserve">Thematic analysis refers to a procedure that can be used to identify, analyse and report on patterns or themes in qualitative data. According to Braun and Clarke (2006), it is a flexible instrument that can allow a researcher to decode significant aspects of extensive data by grouping it into relevant subjects. In this research, secondary data referring to journal articles, government papers, and evaluation reports of dementia care were synthesised using thematic analysis. The book used keywords and frequently mentioned concepts in the literature and </w:t>
      </w:r>
      <w:r w:rsidR="009A3077" w:rsidRPr="009C0D00">
        <w:t>organised</w:t>
      </w:r>
      <w:r w:rsidRPr="009C0D00">
        <w:t xml:space="preserve"> them into shared themes. The predominant themes identified were: quality of life, cognitive function, access to services and caregiver burden. The chapter under discussion is devoted to Theme 1</w:t>
      </w:r>
      <w:r w:rsidR="00B83DF9" w:rsidRPr="009C0D00">
        <w:t>:</w:t>
      </w:r>
      <w:r w:rsidRPr="009C0D00">
        <w:t xml:space="preserve"> the topic of </w:t>
      </w:r>
      <w:r w:rsidR="009A3077" w:rsidRPr="009C0D00">
        <w:t>Quality-of-Life</w:t>
      </w:r>
      <w:r w:rsidRPr="009C0D00">
        <w:t xml:space="preserve"> Outcomes.</w:t>
      </w:r>
    </w:p>
    <w:p w14:paraId="6603A715" w14:textId="6DB7BA5D" w:rsidR="009A3077" w:rsidRPr="009C0D00" w:rsidRDefault="00D75494" w:rsidP="009A3077">
      <w:pPr>
        <w:pStyle w:val="Heading2"/>
      </w:pPr>
      <w:bookmarkStart w:id="21" w:name="_Toc204831443"/>
      <w:r w:rsidRPr="009C0D00">
        <w:t>4.3 – Theme 1: Quality of Life Outcomes</w:t>
      </w:r>
      <w:bookmarkEnd w:id="21"/>
    </w:p>
    <w:p w14:paraId="37B763D0" w14:textId="0B9F0B6D" w:rsidR="009A3077" w:rsidRPr="009C0D00" w:rsidRDefault="009A3077" w:rsidP="009A3077">
      <w:r w:rsidRPr="009C0D00">
        <w:t xml:space="preserve">QoL is one of the main concepts in dementia care and may be defined as the </w:t>
      </w:r>
      <w:r w:rsidR="00B83DF9" w:rsidRPr="009C0D00">
        <w:t>well-being</w:t>
      </w:r>
      <w:r w:rsidRPr="009C0D00">
        <w:t xml:space="preserve"> of an individual and includes, among others, physical, psychological, emotional, and social domains (Banerjee et al., 2009). There is also a significant detrimental impact of memory loss, loss of independence and social isolation on QoL of older adults living with dementia. Support programmes based on communities are meant to enhance QoL through meaningful participation, facilitation of everyday living, and sustaining social contact.</w:t>
      </w:r>
    </w:p>
    <w:p w14:paraId="02509414" w14:textId="304A4F64" w:rsidR="009A3077" w:rsidRPr="009C0D00" w:rsidRDefault="009A3077" w:rsidP="009A3077">
      <w:r w:rsidRPr="009C0D00">
        <w:t>In the UK, the care of dementia was institutionally oriented historically, which contributed to isolation and restriction of the autonomy perception (Iliffe et al., 201</w:t>
      </w:r>
      <w:r w:rsidR="00093E4A">
        <w:t>5</w:t>
      </w:r>
      <w:r w:rsidRPr="009C0D00">
        <w:t>). More recently</w:t>
      </w:r>
      <w:r w:rsidR="00B83DF9" w:rsidRPr="009C0D00">
        <w:t>,</w:t>
      </w:r>
      <w:r w:rsidRPr="009C0D00">
        <w:t xml:space="preserve"> things </w:t>
      </w:r>
      <w:r w:rsidR="00B83DF9" w:rsidRPr="009C0D00">
        <w:t xml:space="preserve">have </w:t>
      </w:r>
      <w:r w:rsidR="00B83DF9" w:rsidRPr="009C0D00">
        <w:lastRenderedPageBreak/>
        <w:t>shifted</w:t>
      </w:r>
      <w:r w:rsidRPr="009C0D00">
        <w:t xml:space="preserve"> toward the idea of taking </w:t>
      </w:r>
      <w:r w:rsidR="00B83DF9" w:rsidRPr="009C0D00">
        <w:t>a person-centred, community-based approach</w:t>
      </w:r>
      <w:r w:rsidRPr="009C0D00">
        <w:t xml:space="preserve">. Other programmes like the dementia cafes, memory groups, befriending services and day centres have been identified to be alternative programmes </w:t>
      </w:r>
      <w:r w:rsidR="00B83DF9" w:rsidRPr="009C0D00">
        <w:t>to</w:t>
      </w:r>
      <w:r w:rsidRPr="009C0D00">
        <w:t xml:space="preserve"> facilitate inclusion and dignity. The shift complies with the directions provided in </w:t>
      </w:r>
      <w:r w:rsidR="00B83DF9" w:rsidRPr="009C0D00">
        <w:t xml:space="preserve">the </w:t>
      </w:r>
      <w:r w:rsidRPr="009C0D00">
        <w:t>NHS Long Term Plan (2019), which promotes a community-based integrated care system that takes care of people with complex needs, including dementia.</w:t>
      </w:r>
    </w:p>
    <w:p w14:paraId="7D9AB6A9" w14:textId="7072A28B" w:rsidR="009A3077" w:rsidRPr="009C0D00" w:rsidRDefault="009A3077" w:rsidP="009A3077">
      <w:r w:rsidRPr="009C0D00">
        <w:t xml:space="preserve">QoL became one of the main variables of assessing programme effectiveness </w:t>
      </w:r>
      <w:r w:rsidR="00B83DF9" w:rsidRPr="009C0D00">
        <w:t>concerning</w:t>
      </w:r>
      <w:r w:rsidRPr="009C0D00">
        <w:t xml:space="preserve"> the research question. Most of the reviewed studies</w:t>
      </w:r>
      <w:r w:rsidR="00B83DF9" w:rsidRPr="009C0D00">
        <w:t>,</w:t>
      </w:r>
      <w:r w:rsidRPr="009C0D00">
        <w:t xml:space="preserve"> which focused on the emotional </w:t>
      </w:r>
      <w:r w:rsidR="00B83DF9" w:rsidRPr="009C0D00">
        <w:t>well-being</w:t>
      </w:r>
      <w:r w:rsidRPr="009C0D00">
        <w:t>, communication and confidence</w:t>
      </w:r>
      <w:r w:rsidR="00B83DF9" w:rsidRPr="009C0D00">
        <w:t>,</w:t>
      </w:r>
      <w:r w:rsidRPr="009C0D00">
        <w:t xml:space="preserve"> showed improvements among the patients who were engaged in the structured community activities. To illustrate, Evans et al. (2020) discovered that frequent attendance in the social group adapted to dementia resulted in loneliness/depressive symptoms among individuals aged 70+. On the same note, </w:t>
      </w:r>
      <w:r w:rsidR="00292C02">
        <w:t>Warrick</w:t>
      </w:r>
      <w:r w:rsidRPr="009C0D00">
        <w:t xml:space="preserve"> et al. (201</w:t>
      </w:r>
      <w:r w:rsidR="00292C02">
        <w:t>8</w:t>
      </w:r>
      <w:r w:rsidRPr="009C0D00">
        <w:t>) concluded that in a study to assess the effects of community-based cognitive stimulation therapy (CST) in older adults, the treatment group showed improved mood and self-esteem when carers were involved in the sessions.</w:t>
      </w:r>
    </w:p>
    <w:p w14:paraId="4A4F9FB5" w14:textId="24714065" w:rsidR="009A3077" w:rsidRPr="009C0D00" w:rsidRDefault="009A3077" w:rsidP="009A3077">
      <w:r w:rsidRPr="009C0D00">
        <w:t xml:space="preserve">The </w:t>
      </w:r>
      <w:r w:rsidR="00B83DF9" w:rsidRPr="009C0D00">
        <w:t>Quality-of-Life Alzheimer’s</w:t>
      </w:r>
      <w:r w:rsidRPr="009C0D00">
        <w:t xml:space="preserve"> Disease (QoL-AD) scale was a common quantitative measurement to determine changes before and after intervention. There were statistically significant results in interpersonal relationships, emotional </w:t>
      </w:r>
      <w:r w:rsidR="00B83DF9" w:rsidRPr="009C0D00">
        <w:t>well-being</w:t>
      </w:r>
      <w:r w:rsidRPr="009C0D00">
        <w:t xml:space="preserve"> and sense of purpose. According to </w:t>
      </w:r>
      <w:r w:rsidR="003B7571" w:rsidRPr="003B7571">
        <w:t>Backhouse</w:t>
      </w:r>
      <w:r w:rsidRPr="009C0D00">
        <w:t xml:space="preserve"> et al. (20</w:t>
      </w:r>
      <w:r w:rsidR="003B7571">
        <w:t>17</w:t>
      </w:r>
      <w:r w:rsidRPr="009C0D00">
        <w:t xml:space="preserve">), the participants in community-based interventions performed higher (with </w:t>
      </w:r>
      <w:r w:rsidR="00B83DF9" w:rsidRPr="009C0D00">
        <w:t>a 20%-point</w:t>
      </w:r>
      <w:r w:rsidRPr="009C0D00">
        <w:t xml:space="preserve"> increase) than those receiving standard care only in terms of QoL-AD outcomes in a comparative analysis. But the outcomes changed with </w:t>
      </w:r>
      <w:r w:rsidR="00B83DF9" w:rsidRPr="009C0D00">
        <w:t>the frequency</w:t>
      </w:r>
      <w:r w:rsidRPr="009C0D00">
        <w:t xml:space="preserve"> and duration of involvement, with the short or irregular programmes having little to no effect.</w:t>
      </w:r>
    </w:p>
    <w:p w14:paraId="2CCA5F42" w14:textId="0534E28F" w:rsidR="009A3077" w:rsidRPr="009C0D00" w:rsidRDefault="009A3077" w:rsidP="009A3077">
      <w:r w:rsidRPr="009C0D00">
        <w:t xml:space="preserve">Theoretically speaking, the Social Model of Disability applies here. It redefines dementia as not only a medical phenomenon but also a social experience </w:t>
      </w:r>
      <w:r w:rsidR="00B83DF9" w:rsidRPr="009C0D00">
        <w:t>characterised</w:t>
      </w:r>
      <w:r w:rsidRPr="009C0D00">
        <w:t xml:space="preserve"> by, among other things, lack of support, stigma, and exclusion (Shakespeare et al., 2019). Strength-based community programmes that empower and decrease stigma help to increase the quality of life because they help in focusing on the positives and </w:t>
      </w:r>
      <w:r w:rsidR="00B83DF9" w:rsidRPr="009C0D00">
        <w:t>abilities</w:t>
      </w:r>
      <w:r w:rsidRPr="009C0D00">
        <w:t xml:space="preserve"> instead of focusing on deficits. It is backed up by the theory of personhood in dementia care developed by </w:t>
      </w:r>
      <w:proofErr w:type="spellStart"/>
      <w:r w:rsidRPr="009C0D00">
        <w:t>Kitwood</w:t>
      </w:r>
      <w:proofErr w:type="spellEnd"/>
      <w:r w:rsidRPr="009C0D00">
        <w:t xml:space="preserve"> (1997) that defines respect, dignity and meaningful interaction as key aspects of looking after the well-being of individuals with dementia.</w:t>
      </w:r>
    </w:p>
    <w:p w14:paraId="44F7B572" w14:textId="5FC67E6E" w:rsidR="009A3077" w:rsidRPr="009C0D00" w:rsidRDefault="009A3077" w:rsidP="009A3077">
      <w:r w:rsidRPr="009C0D00">
        <w:t xml:space="preserve">The UK policies are also a contributory factor to the results of a programme. Community initiatives that take into consideration that enhanced QoL delays the requirement of residential care have also been funded by the Dementia Action Plan for England 20162020 and the local strategies </w:t>
      </w:r>
      <w:r w:rsidRPr="009C0D00">
        <w:lastRenderedPageBreak/>
        <w:t>(e.g. Manchester Dementia Strategy). Nevertheless, it is not applied consistently throughout the country</w:t>
      </w:r>
      <w:r w:rsidR="00B83DF9" w:rsidRPr="009C0D00">
        <w:t>,</w:t>
      </w:r>
      <w:r w:rsidRPr="009C0D00">
        <w:t xml:space="preserve"> and in the distant or low-income ones, access is restricted. It becomes a problem of inequity in QoL outcomes and an indication that programmes have </w:t>
      </w:r>
      <w:r w:rsidR="00B83DF9" w:rsidRPr="009C0D00">
        <w:t>efficacy</w:t>
      </w:r>
      <w:r w:rsidRPr="009C0D00">
        <w:t xml:space="preserve">, but their coverage to such a </w:t>
      </w:r>
      <w:r w:rsidR="00B83DF9" w:rsidRPr="009C0D00">
        <w:t>demographic need</w:t>
      </w:r>
      <w:r w:rsidRPr="009C0D00">
        <w:t xml:space="preserve"> to be increased.</w:t>
      </w:r>
    </w:p>
    <w:p w14:paraId="777A8BB3" w14:textId="7E278CA1" w:rsidR="009A3077" w:rsidRPr="009C0D00" w:rsidRDefault="009A3077" w:rsidP="009A3077">
      <w:r w:rsidRPr="009C0D00">
        <w:t>This theme affects things negatively and positively. On the other hand, community-based support improves mental health, development of independence, and lessens the necessity of clinical attention. It is also compatible with ageing in place</w:t>
      </w:r>
      <w:r w:rsidR="00B83DF9" w:rsidRPr="009C0D00">
        <w:t>,</w:t>
      </w:r>
      <w:r w:rsidRPr="009C0D00">
        <w:t xml:space="preserve"> </w:t>
      </w:r>
      <w:r w:rsidR="00B83DF9" w:rsidRPr="009C0D00">
        <w:t>which</w:t>
      </w:r>
      <w:r w:rsidRPr="009C0D00">
        <w:t xml:space="preserve"> suits the preference of many older adults. The negative impact is that there is always the question of sustainability. Most programmes either run on temporary financing, have volunteers or insufficient human resources, which compromises continuity and consistency of care (Backhouse et al., 2016).</w:t>
      </w:r>
    </w:p>
    <w:p w14:paraId="5AB62138" w14:textId="4FCDFB9C" w:rsidR="009A3077" w:rsidRPr="009C0D00" w:rsidRDefault="009A3077" w:rsidP="009A3077">
      <w:r w:rsidRPr="009C0D00">
        <w:t xml:space="preserve">A good example is </w:t>
      </w:r>
      <w:r w:rsidR="00B83DF9" w:rsidRPr="009C0D00">
        <w:t xml:space="preserve">the </w:t>
      </w:r>
      <w:r w:rsidRPr="009C0D00">
        <w:t xml:space="preserve">Dementia Day Centre presented by Age UK in South London that provides a </w:t>
      </w:r>
      <w:r w:rsidR="00B83DF9" w:rsidRPr="009C0D00">
        <w:t>well-organised</w:t>
      </w:r>
      <w:r w:rsidRPr="009C0D00">
        <w:t xml:space="preserve"> series of physical training, music therapy, and </w:t>
      </w:r>
      <w:r w:rsidR="00B83DF9" w:rsidRPr="009C0D00">
        <w:t>reminiscence</w:t>
      </w:r>
      <w:r w:rsidRPr="009C0D00">
        <w:t xml:space="preserve"> activities. Participants provided </w:t>
      </w:r>
      <w:r w:rsidR="00B83DF9" w:rsidRPr="009C0D00">
        <w:t>feedback</w:t>
      </w:r>
      <w:r w:rsidRPr="009C0D00">
        <w:t xml:space="preserve"> that reflected an improved mood, increased social interaction and identity. The programme has</w:t>
      </w:r>
      <w:r w:rsidR="00B83DF9" w:rsidRPr="009C0D00">
        <w:t>,</w:t>
      </w:r>
      <w:r w:rsidRPr="009C0D00">
        <w:t xml:space="preserve"> however</w:t>
      </w:r>
      <w:r w:rsidR="00B83DF9" w:rsidRPr="009C0D00">
        <w:t>,</w:t>
      </w:r>
      <w:r w:rsidRPr="009C0D00">
        <w:t xml:space="preserve"> been closed down due to withdrawal of funds</w:t>
      </w:r>
      <w:r w:rsidR="00B83DF9" w:rsidRPr="009C0D00">
        <w:t>,</w:t>
      </w:r>
      <w:r w:rsidRPr="009C0D00">
        <w:t xml:space="preserve"> which serves to explain the vulnerability of even a successful programme.</w:t>
      </w:r>
    </w:p>
    <w:p w14:paraId="69BAD075" w14:textId="33F707B4" w:rsidR="009A3077" w:rsidRPr="009C0D00" w:rsidRDefault="009A3077" w:rsidP="009A3077">
      <w:r w:rsidRPr="009C0D00">
        <w:t xml:space="preserve">This theme is also gripped </w:t>
      </w:r>
      <w:r w:rsidR="00B83DF9" w:rsidRPr="009C0D00">
        <w:t>by</w:t>
      </w:r>
      <w:r w:rsidRPr="009C0D00">
        <w:t xml:space="preserve"> others. Better QoL has the potential to decrease the burden on the caregivers since less emotional pressure will be experienced and more satisfaction with the care process will be achieved. Similarly, the accessibility (to transport, location, and cost) can be a determinant </w:t>
      </w:r>
      <w:r w:rsidR="00B83DF9" w:rsidRPr="009C0D00">
        <w:t>of</w:t>
      </w:r>
      <w:r w:rsidRPr="009C0D00">
        <w:t xml:space="preserve"> who receives the benefits of these improvements to their quality of life. By doing it, QoL becomes both an end and a mediator of other themes, that is, it is critically important in the assessment of effectiveness.</w:t>
      </w:r>
    </w:p>
    <w:p w14:paraId="255FE0CB" w14:textId="6F860DB1" w:rsidR="00D75494" w:rsidRPr="00D75494" w:rsidRDefault="009A3077" w:rsidP="00D75494">
      <w:r w:rsidRPr="009C0D00">
        <w:t>To summarise, community-based dementia support programmes have beneficial impacts on the quality of life among elderly people living in the UK. Such advantages find firm theoretical foundations and policy objectives, but obstacles to advancement come to light. The future will be important about ensuring that there is equitable access and that it is sustainable</w:t>
      </w:r>
      <w:r w:rsidR="00B83DF9" w:rsidRPr="009C0D00">
        <w:t>,</w:t>
      </w:r>
      <w:r w:rsidRPr="009C0D00">
        <w:t xml:space="preserve"> with the idea of maximising impact.</w:t>
      </w:r>
    </w:p>
    <w:p w14:paraId="6A3F84D7" w14:textId="77777777" w:rsidR="00D75494" w:rsidRPr="009C0D00" w:rsidRDefault="00D75494" w:rsidP="00B83DF9">
      <w:pPr>
        <w:pStyle w:val="Heading2"/>
      </w:pPr>
      <w:bookmarkStart w:id="22" w:name="_Toc204831444"/>
      <w:r w:rsidRPr="009C0D00">
        <w:t>4.4 – Theme 2: Cognitive Function Outcomes</w:t>
      </w:r>
      <w:bookmarkEnd w:id="22"/>
    </w:p>
    <w:p w14:paraId="1C133DD0" w14:textId="539FED47" w:rsidR="00B549FA" w:rsidRPr="009C0D00" w:rsidRDefault="00B549FA" w:rsidP="00B549FA">
      <w:r w:rsidRPr="009C0D00">
        <w:t xml:space="preserve">Cognitive refers to the mental capacity of an individual to execute certain mental processes such as memory, attention, language, problem-solving and executive functions. Cognitive decline in the case of dementia is the most distinctive characteristic that directly influences independence </w:t>
      </w:r>
      <w:r w:rsidRPr="009C0D00">
        <w:lastRenderedPageBreak/>
        <w:t>and everyday activities of people. As a result, the design and the provision of effective dementia support services centres on interventions which favour or sustain cognitive ability.</w:t>
      </w:r>
    </w:p>
    <w:p w14:paraId="41F6B9E1" w14:textId="17717D83" w:rsidR="00B549FA" w:rsidRPr="009C0D00" w:rsidRDefault="00B549FA" w:rsidP="00B549FA">
      <w:r w:rsidRPr="009C0D00">
        <w:t>Historically, dementia care has been primarily focused on decline management instead of cognitive resilience. But this has seen a reprieve toward allowing the older adults to maintain cognitive abilities with a well-organised and evidence-based course of action, particularly in the community. Non-pharmacological means like Cognitive Stimulation Therapy (CST), reminiscence therapy and music interventions to boost mental participation and postpone decline have all been formulated (Spector et al., 2003). Such interventions are increasingly used in community support programmes in the UK and are highly advised in NICE guidelines (2018), to be part of a holistic approach to dementia care.</w:t>
      </w:r>
    </w:p>
    <w:p w14:paraId="5C365511" w14:textId="2FE28ECF" w:rsidR="00B549FA" w:rsidRPr="009C0D00" w:rsidRDefault="00B549FA" w:rsidP="00B549FA">
      <w:r w:rsidRPr="009C0D00">
        <w:t>In direct response to the research question, the cognitive outcome is an important symptom of the success of the community-based programme. There is a lot of research that substantiates the notion that regular engagement in cognitive enrichment activities helps in retarding the rate of cognitive deterioration. On the one hand, a significant sample study by Woods et al. (2012) estimated the effects of group-based CST and took place in 14 sessions. Findings showed a significant change in memory, language and hemispheric orientation in community residents with mild and moderate dementia. These are of special importance to people over 65, who tend to prefer non-institutional and enjoy well-organised social and mental activities.</w:t>
      </w:r>
    </w:p>
    <w:p w14:paraId="29134087" w14:textId="7DD06EDE" w:rsidR="00B549FA" w:rsidRPr="009C0D00" w:rsidRDefault="00B549FA" w:rsidP="00B549FA">
      <w:r w:rsidRPr="009C0D00">
        <w:t xml:space="preserve">These facts are strengthened by statistical data. According to Orrell et al. (2017), CST participants increased, on average, 1.2 points on the Mini-Mental State Examination (MMSE) compared with a control group that showed no cognitive benefits. Although small, they are significant </w:t>
      </w:r>
      <w:r w:rsidR="00295E27" w:rsidRPr="009C0D00">
        <w:t>in</w:t>
      </w:r>
      <w:r w:rsidRPr="009C0D00">
        <w:t xml:space="preserve"> a degenerative condition. Moreover, individuals usually report raised self-confidence and alertness after therapy, which </w:t>
      </w:r>
      <w:r w:rsidR="00295E27" w:rsidRPr="009C0D00">
        <w:t>is demonstrated</w:t>
      </w:r>
      <w:r w:rsidRPr="009C0D00">
        <w:t xml:space="preserve"> clinically and subjectively.</w:t>
      </w:r>
    </w:p>
    <w:p w14:paraId="15D0108B" w14:textId="3069E90E" w:rsidR="00B549FA" w:rsidRPr="009C0D00" w:rsidRDefault="00B549FA" w:rsidP="00B549FA">
      <w:r w:rsidRPr="009C0D00">
        <w:t>Theoretically, the findings can be explained with the Social Cognitive Theory (1986) by Bandura. According to the theory, learning takes place via social interaction, observation, and self-efficacy. Within CST or memory groups, subjects do cognition-challenging tasks but are encouraged and given feedback, which promotes neural stimulation and motivation. Community-based cognitive interventions are also naturally in line with this theory in their interactive nature.</w:t>
      </w:r>
    </w:p>
    <w:p w14:paraId="1E544916" w14:textId="6B2D74C0" w:rsidR="00B549FA" w:rsidRPr="009C0D00" w:rsidRDefault="00B549FA" w:rsidP="00B549FA">
      <w:r w:rsidRPr="009C0D00">
        <w:t xml:space="preserve">In addition, neuroplasticity theory could help to understand that it is possible to stimulate the brain, developing a new neural structure even in old age. Dementia disrupts this process, but repetition of mental behaviours may prevent the loss of cognitive reserves and slowdown (Park </w:t>
      </w:r>
      <w:r w:rsidR="005F1735">
        <w:t>and</w:t>
      </w:r>
      <w:r w:rsidRPr="009C0D00">
        <w:t xml:space="preserve"> Reuter-</w:t>
      </w:r>
      <w:r w:rsidRPr="009C0D00">
        <w:lastRenderedPageBreak/>
        <w:t>Lorenz, 2009). This neuroplastic process is facilitated by community-based interventions that produce safe, stimulating environments.</w:t>
      </w:r>
    </w:p>
    <w:p w14:paraId="52CC0AE4" w14:textId="4FBD4994" w:rsidR="00B549FA" w:rsidRPr="009C0D00" w:rsidRDefault="00B549FA" w:rsidP="00B549FA">
      <w:r w:rsidRPr="009C0D00">
        <w:t>The UK policy further cements the effectiveness of cognitive programmes. The Prime Minister Challenge on Dementia 2020 focused on evidence-based support services that keep the head healthy. Grants and advice were provided to community-based organisations that provided CST and other well-structured activities. However, on a national scale, the application has been improper in various regions, especially rural or disadvantaged regions (</w:t>
      </w:r>
      <w:r w:rsidR="00AD0CA0" w:rsidRPr="00AD0CA0">
        <w:t>Watson</w:t>
      </w:r>
      <w:r w:rsidR="00AD0CA0">
        <w:t xml:space="preserve"> et al.</w:t>
      </w:r>
      <w:r w:rsidRPr="009C0D00">
        <w:t>, 202</w:t>
      </w:r>
      <w:r w:rsidR="00AD0CA0">
        <w:t>1</w:t>
      </w:r>
      <w:r w:rsidRPr="009C0D00">
        <w:t>). This inconsistency reduces the generalisability of findings and on equality of access to cognitive support services.</w:t>
      </w:r>
    </w:p>
    <w:p w14:paraId="13BBC507" w14:textId="522AEBDC" w:rsidR="00B549FA" w:rsidRPr="009C0D00" w:rsidRDefault="00B549FA" w:rsidP="00B549FA">
      <w:r w:rsidRPr="009C0D00">
        <w:t>The downsides and upsides to this are to be noted. Positively, there is evidence that community-based cognitive intervention enhances improvement of mental functioning, independence and provides an economical alternative to the pharmaceutical intervention method (</w:t>
      </w:r>
      <w:proofErr w:type="spellStart"/>
      <w:r w:rsidRPr="009C0D00">
        <w:t>Mioshi</w:t>
      </w:r>
      <w:proofErr w:type="spellEnd"/>
      <w:r w:rsidRPr="009C0D00">
        <w:t xml:space="preserve"> et al., 201</w:t>
      </w:r>
      <w:r w:rsidR="00292C02">
        <w:t>3</w:t>
      </w:r>
      <w:r w:rsidRPr="009C0D00">
        <w:t>). These programmes reduce healthcare burden as well, and they may also postpone the need to be under residential care. Better communication and orientation are of particular value to families and also lead to better relations with other people.</w:t>
      </w:r>
    </w:p>
    <w:p w14:paraId="1200CEC9" w14:textId="0A7CD1B2" w:rsidR="00B549FA" w:rsidRPr="009C0D00" w:rsidRDefault="00B549FA" w:rsidP="00B549FA">
      <w:r w:rsidRPr="009C0D00">
        <w:t>On the darker side of the coin, the success of cognitive interventions is frequently linked to consistency and duration. A brief involvement or ill ill-designed program is likely to show minimal outcomes. But in addition, certain studies have established that the cognitive benefits gained during CST are lost with time when not repeated (</w:t>
      </w:r>
      <w:proofErr w:type="spellStart"/>
      <w:r w:rsidRPr="009C0D00">
        <w:t>Lobbia</w:t>
      </w:r>
      <w:proofErr w:type="spellEnd"/>
      <w:r w:rsidRPr="009C0D00">
        <w:t xml:space="preserve"> et al., 2019). This indicates the importance of follow-up and long-term programming, which is hard to achieve with insufficient staff and funding.</w:t>
      </w:r>
    </w:p>
    <w:p w14:paraId="44943F26" w14:textId="37142580" w:rsidR="00B549FA" w:rsidRPr="009C0D00" w:rsidRDefault="00B549FA" w:rsidP="00B549FA">
      <w:r w:rsidRPr="009C0D00">
        <w:t>An example is the 'Memory Matters' programme in Cornwall that has been providing community-based CST to older generation patients in various centres there. The response shows intense cognitive stimulation, with the offspring and carers expressing improved recall and daily orientation. But the transportation barriers and unavailability in more rural locations have been used as a factor of failure in the failure of the programme.</w:t>
      </w:r>
    </w:p>
    <w:p w14:paraId="7E91B46B" w14:textId="2DAED226" w:rsidR="00B549FA" w:rsidRPr="009C0D00" w:rsidRDefault="00B549FA" w:rsidP="00B549FA">
      <w:r w:rsidRPr="009C0D00">
        <w:t>The second case is that of the Yorkshire and Humber dementia network, which had piloted a project of multi-sensory cognitive stimulation in community halls. There was an improvement in naming skills and fluency of language. Nevertheless, facilitators indicated that group size, experience of facilitators, and comfort of the participants with the environment were critical to successful outcomes (McDermott et al., 201</w:t>
      </w:r>
      <w:r w:rsidR="00916D3F">
        <w:t>9</w:t>
      </w:r>
      <w:r w:rsidRPr="009C0D00">
        <w:t>). These observations highlight the significance of the context factors on cognitive outcomes.</w:t>
      </w:r>
    </w:p>
    <w:p w14:paraId="026A4195" w14:textId="03E3F6FE" w:rsidR="00B549FA" w:rsidRPr="009C0D00" w:rsidRDefault="00B549FA" w:rsidP="00B549FA">
      <w:r w:rsidRPr="009C0D00">
        <w:lastRenderedPageBreak/>
        <w:t>Other themes that closely relate to cognitive in this dissertation include quality of life and caregiver burden. When mental functioning improves, the boost of independence that follows is a plus in terms of self-esteem and lower depressive symptoms. At the same time, carers feel less stress when their relatives become more attentive and active. That is why cognitive outcomes perform the role of a mediating factor between personal health and family well-being.</w:t>
      </w:r>
    </w:p>
    <w:p w14:paraId="3932F07A" w14:textId="68DEE32A" w:rsidR="00B549FA" w:rsidRPr="009C0D00" w:rsidRDefault="00B549FA" w:rsidP="00B549FA">
      <w:r w:rsidRPr="009C0D00">
        <w:t>In brief, it is seen that community-based dementia support programmes have the potential to have favourable effects on cognitive outcomes of older adults. All of these programmes are backed by theory, policy, quantifiable data and addressed to the needs of individuals who want to be able to age in place and with dignity. To be maximally effective, service rendering should, however, be uniform, self-sustaining, and available in various locations in the UK.</w:t>
      </w:r>
    </w:p>
    <w:p w14:paraId="1B9D7706" w14:textId="6A9AB4DE" w:rsidR="00367372" w:rsidRPr="009C0D00" w:rsidRDefault="00D75494" w:rsidP="00367372">
      <w:pPr>
        <w:pStyle w:val="Heading2"/>
      </w:pPr>
      <w:bookmarkStart w:id="23" w:name="_Toc204831445"/>
      <w:r w:rsidRPr="009C0D00">
        <w:t>4.5 – Theme 3: Caregiver Burden</w:t>
      </w:r>
      <w:bookmarkEnd w:id="23"/>
    </w:p>
    <w:p w14:paraId="2B7DEBE3" w14:textId="5C43E389" w:rsidR="00367372" w:rsidRPr="009C0D00" w:rsidRDefault="00367372" w:rsidP="00367372">
      <w:r w:rsidRPr="009C0D00">
        <w:t>Caregiver burden can be described as the emotional, physical, financial, and or psychological tension facing the person caring someone with a long-term disease like dementia. It includes not only the objective burden of delivering care-time, effort and duties as well as changes in subjective feelings of stress, guilt and fatigue (Zarit</w:t>
      </w:r>
      <w:r w:rsidR="00295E27" w:rsidRPr="009C0D00">
        <w:t xml:space="preserve"> et al.</w:t>
      </w:r>
      <w:r w:rsidRPr="009C0D00">
        <w:t>, 1980). In total, the burden can be attributed to behavioural symptoms, loss of communication and dependency of care recipients in dementia care.</w:t>
      </w:r>
    </w:p>
    <w:p w14:paraId="5F397B7D" w14:textId="0E05552A" w:rsidR="00367372" w:rsidRPr="009C0D00" w:rsidRDefault="00367372" w:rsidP="00367372">
      <w:r w:rsidRPr="009C0D00">
        <w:t>Historically, thus, the dementia care system in the UK has been traditionally focused on the informal caregivers (who are generally family members) that offer most of its support to the dementia sick at home. According to the report on unpaid care prepared by the Carers UK (2021), the number of savings to the UK economy per year that unpaid carers provide to it is estimated to be PS193 billion. This is however usually at caution to the care giver as many care givers report poor health, feeling isolated, and financially constrained. Another solution to this burden has been the community-based support programmes, which provide relief, training, skills, peer, and social support to the persons receiving care.</w:t>
      </w:r>
    </w:p>
    <w:p w14:paraId="1E1FA29D" w14:textId="7DA0F3D0" w:rsidR="00367372" w:rsidRPr="009C0D00" w:rsidRDefault="00367372" w:rsidP="00367372">
      <w:r w:rsidRPr="009C0D00">
        <w:t xml:space="preserve">This theme is core to the dissertation since the research objective is the assessment on the effectiveness of community-based dementia programmes. These services lessen caregiver stress, which is important to the success of the entire care model and allows older adults to stay in the community longer. The effects of these programmes to the wellbeing of caregivers </w:t>
      </w:r>
      <w:proofErr w:type="gramStart"/>
      <w:r w:rsidRPr="009C0D00">
        <w:t>is</w:t>
      </w:r>
      <w:proofErr w:type="gramEnd"/>
      <w:r w:rsidRPr="009C0D00">
        <w:t xml:space="preserve"> thus a vital indicator of successfulness.</w:t>
      </w:r>
    </w:p>
    <w:p w14:paraId="3B71C7EE" w14:textId="083C77A4" w:rsidR="00367372" w:rsidRPr="009C0D00" w:rsidRDefault="00367372" w:rsidP="00367372">
      <w:r w:rsidRPr="009C0D00">
        <w:lastRenderedPageBreak/>
        <w:t xml:space="preserve">Statistics have revealed that 70% of dementia caregivers in the UK state that they are exhausted by their duties and 60% of them state that they do not have time to devote to themselves (Alzheimer's Research UK, 2023). Nevertheless, involved caregivers in structured programs of community support, including Admiral Nurse services or dementia day centres, experience better emotional wellbeing and less stress (Whelan et al., 2020). A study involving carers who engaged </w:t>
      </w:r>
      <w:r w:rsidR="00295E27" w:rsidRPr="009C0D00">
        <w:t>in</w:t>
      </w:r>
      <w:r w:rsidRPr="009C0D00">
        <w:t xml:space="preserve"> a </w:t>
      </w:r>
      <w:r w:rsidR="00295E27" w:rsidRPr="009C0D00">
        <w:t>three-month</w:t>
      </w:r>
      <w:r w:rsidRPr="009C0D00">
        <w:t xml:space="preserve"> program of weekly support group visits and their care recipients saw 40 </w:t>
      </w:r>
      <w:r w:rsidR="00295E27" w:rsidRPr="009C0D00">
        <w:t>per cent</w:t>
      </w:r>
      <w:r w:rsidRPr="009C0D00">
        <w:t xml:space="preserve"> </w:t>
      </w:r>
      <w:r w:rsidR="00295E27" w:rsidRPr="009C0D00">
        <w:t>fewer</w:t>
      </w:r>
      <w:r w:rsidRPr="009C0D00">
        <w:t xml:space="preserve"> depressive symptoms in carers (</w:t>
      </w:r>
      <w:proofErr w:type="spellStart"/>
      <w:r w:rsidRPr="009C0D00">
        <w:t>Lwi</w:t>
      </w:r>
      <w:proofErr w:type="spellEnd"/>
      <w:r w:rsidRPr="009C0D00">
        <w:t xml:space="preserve"> et al., 202</w:t>
      </w:r>
      <w:r w:rsidR="006B3E6C">
        <w:t>3</w:t>
      </w:r>
      <w:r w:rsidRPr="009C0D00">
        <w:t>).</w:t>
      </w:r>
    </w:p>
    <w:p w14:paraId="52ADA45F" w14:textId="4D6391F9" w:rsidR="00367372" w:rsidRPr="009C0D00" w:rsidRDefault="00367372" w:rsidP="00367372">
      <w:r w:rsidRPr="009C0D00">
        <w:t>Caregiver Burden is explained theoretically through the Stress Process Model</w:t>
      </w:r>
      <w:r w:rsidR="00295E27" w:rsidRPr="009C0D00">
        <w:t>,</w:t>
      </w:r>
      <w:r w:rsidRPr="009C0D00">
        <w:t xml:space="preserve"> which was developed by </w:t>
      </w:r>
      <w:proofErr w:type="spellStart"/>
      <w:r w:rsidRPr="009C0D00">
        <w:t>Pearlin</w:t>
      </w:r>
      <w:proofErr w:type="spellEnd"/>
      <w:r w:rsidRPr="009C0D00">
        <w:t xml:space="preserve"> et al. (1990). According to this model, the strain experienced by the caregivers is a consequence of an accumulation of stressors (both primary, such as direct care demands, and secondary, such as role conflict) and the strain can be mediated by effective coping resources (e.g. social or formal services). Globally, community programmes offering planned respite and peer support can serve as such coping resources and are therefore vital towards coping with </w:t>
      </w:r>
      <w:r w:rsidR="00295E27" w:rsidRPr="009C0D00">
        <w:t>the long-term</w:t>
      </w:r>
      <w:r w:rsidRPr="009C0D00">
        <w:t xml:space="preserve"> burden.</w:t>
      </w:r>
    </w:p>
    <w:p w14:paraId="71D2CE09" w14:textId="647E5885" w:rsidR="00367372" w:rsidRPr="009C0D00" w:rsidRDefault="00367372" w:rsidP="00367372">
      <w:r w:rsidRPr="009C0D00">
        <w:t xml:space="preserve">The needs of dementia caregivers have gained attention </w:t>
      </w:r>
      <w:r w:rsidR="00295E27" w:rsidRPr="009C0D00">
        <w:t>through</w:t>
      </w:r>
      <w:r w:rsidRPr="009C0D00">
        <w:t xml:space="preserve"> policy developments in the recent past. The Care Act 2014 imposes a legal obligation on local authorities in England to conduct needs </w:t>
      </w:r>
      <w:r w:rsidR="00295E27" w:rsidRPr="009C0D00">
        <w:t>assessments</w:t>
      </w:r>
      <w:r w:rsidRPr="009C0D00">
        <w:t xml:space="preserve"> on carers and give them support. To this effect, the </w:t>
      </w:r>
      <w:r w:rsidR="00295E27" w:rsidRPr="009C0D00">
        <w:t>localisation</w:t>
      </w:r>
      <w:r w:rsidRPr="009C0D00">
        <w:t xml:space="preserve"> of the Dementia Carers Count initiative and integrated care models in Scotland and Wales </w:t>
      </w:r>
      <w:r w:rsidR="00295E27" w:rsidRPr="009C0D00">
        <w:t>has</w:t>
      </w:r>
      <w:r w:rsidRPr="009C0D00">
        <w:t xml:space="preserve"> improved access to carer training and counselling opportunities. Most carers are not informed of or do not avail these services even when they are willing to due to poor signposts, poor hours and red tape (</w:t>
      </w:r>
      <w:r w:rsidR="00916D3F">
        <w:t>Giebel</w:t>
      </w:r>
      <w:r w:rsidRPr="009C0D00">
        <w:t xml:space="preserve"> et al., 2021).</w:t>
      </w:r>
    </w:p>
    <w:p w14:paraId="43758315" w14:textId="64BE9B87" w:rsidR="00367372" w:rsidRPr="009C0D00" w:rsidRDefault="00367372" w:rsidP="00367372">
      <w:r w:rsidRPr="009C0D00">
        <w:t xml:space="preserve">The advantages of community-based support are positive because it increases the resilience of the caregivers and reduces </w:t>
      </w:r>
      <w:r w:rsidR="00295E27" w:rsidRPr="009C0D00">
        <w:t>the rehospitalisation</w:t>
      </w:r>
      <w:r w:rsidRPr="009C0D00">
        <w:t xml:space="preserve"> of individuals with dementia. The carers can also deal with stress and sustain their role as long-term caregiver because of their involvement in support groups and respite activities. Additionally, shared interventions (i.e., the carers and care recipients pursue an identical activity), may help with understanding and communication, improving their relationship (</w:t>
      </w:r>
      <w:r w:rsidR="00D94267" w:rsidRPr="00D94267">
        <w:t>Zhao</w:t>
      </w:r>
      <w:r w:rsidRPr="009C0D00">
        <w:t xml:space="preserve"> et al., 2022).</w:t>
      </w:r>
    </w:p>
    <w:p w14:paraId="46B1E088" w14:textId="708DF456" w:rsidR="00367372" w:rsidRPr="009C0D00" w:rsidRDefault="00367372" w:rsidP="00367372">
      <w:r w:rsidRPr="009C0D00">
        <w:t>Other difficulties, however, remain. The services are not equally distributed throughout the UK</w:t>
      </w:r>
      <w:r w:rsidR="00295E27" w:rsidRPr="009C0D00">
        <w:t>,</w:t>
      </w:r>
      <w:r w:rsidRPr="009C0D00">
        <w:t xml:space="preserve"> and the urban areas easily find themselves with better provision than the rural areas. Moreover, due to cultural and linguistic constraints, the minority ethnic carers might fail to obtain appropriate services. Caregivers may even avoid community services depending on stigma, hesitation, or the feeling of personal responsibilities shaped in them (</w:t>
      </w:r>
      <w:r w:rsidR="00292C02" w:rsidRPr="00292C02">
        <w:t>Parveen</w:t>
      </w:r>
      <w:r w:rsidR="00292C02">
        <w:t xml:space="preserve"> </w:t>
      </w:r>
      <w:r w:rsidR="005F1735">
        <w:t>and</w:t>
      </w:r>
      <w:r w:rsidR="00292C02" w:rsidRPr="00292C02">
        <w:t xml:space="preserve"> </w:t>
      </w:r>
      <w:proofErr w:type="spellStart"/>
      <w:r w:rsidR="00292C02" w:rsidRPr="00292C02">
        <w:t>Oyebode</w:t>
      </w:r>
      <w:proofErr w:type="spellEnd"/>
      <w:r w:rsidR="00292C02" w:rsidRPr="00292C02">
        <w:t>, 2018</w:t>
      </w:r>
      <w:r w:rsidRPr="009C0D00">
        <w:t>).</w:t>
      </w:r>
    </w:p>
    <w:p w14:paraId="595DECC6" w14:textId="0F1DE1AB" w:rsidR="00367372" w:rsidRPr="009C0D00" w:rsidRDefault="00367372" w:rsidP="00367372">
      <w:r w:rsidRPr="009C0D00">
        <w:lastRenderedPageBreak/>
        <w:t xml:space="preserve">A dramatic one is the Dementia Carers Hub, which helps Jewish Care manage in North London, with support groups, counselling, and educational meetings. Assessments reveal </w:t>
      </w:r>
      <w:r w:rsidR="00295E27" w:rsidRPr="009C0D00">
        <w:t xml:space="preserve">an </w:t>
      </w:r>
      <w:r w:rsidRPr="009C0D00">
        <w:t xml:space="preserve">intensive decrease </w:t>
      </w:r>
      <w:r w:rsidR="00295E27" w:rsidRPr="009C0D00">
        <w:t>in</w:t>
      </w:r>
      <w:r w:rsidRPr="009C0D00">
        <w:t xml:space="preserve"> caregiver distress and increased community feeling among subjects. Nonetheless, such services are not available in a great deal of other areas</w:t>
      </w:r>
      <w:r w:rsidR="00295E27" w:rsidRPr="009C0D00">
        <w:t>,</w:t>
      </w:r>
      <w:r w:rsidRPr="009C0D00">
        <w:t xml:space="preserve"> indicating a postcode lottery of access.</w:t>
      </w:r>
    </w:p>
    <w:p w14:paraId="5F691355" w14:textId="328FEDF7" w:rsidR="00367372" w:rsidRPr="009C0D00" w:rsidRDefault="00367372" w:rsidP="00367372">
      <w:r w:rsidRPr="009C0D00">
        <w:t xml:space="preserve">Caregiver burden is also a theme that cuts across the other themes of this chapter. As an example, the positive effect of community programmes on cognitive functioning or the quality of </w:t>
      </w:r>
      <w:r w:rsidR="00295E27" w:rsidRPr="009C0D00">
        <w:t>life</w:t>
      </w:r>
      <w:r w:rsidRPr="009C0D00">
        <w:t xml:space="preserve"> of the people indirectly relieves the burden on the caregivers. On the other hand, caregiver pressure amplifies when there is behavioural decline among care recipients, or there is a bad performance of programmes. In this way, the </w:t>
      </w:r>
      <w:r w:rsidR="00295E27" w:rsidRPr="009C0D00">
        <w:t>caregiver's</w:t>
      </w:r>
      <w:r w:rsidRPr="009C0D00">
        <w:t xml:space="preserve"> </w:t>
      </w:r>
      <w:r w:rsidR="00295E27" w:rsidRPr="009C0D00">
        <w:t>well-being</w:t>
      </w:r>
      <w:r w:rsidRPr="009C0D00">
        <w:t xml:space="preserve"> is a result of a well-thought-out dementia support and a condition of its sustainability.</w:t>
      </w:r>
    </w:p>
    <w:p w14:paraId="3F51BCE3" w14:textId="0BEBBD85" w:rsidR="00D75494" w:rsidRPr="00D75494" w:rsidRDefault="00367372" w:rsidP="00367372">
      <w:r w:rsidRPr="009C0D00">
        <w:t xml:space="preserve">To sum up, caregiver burden is one of the </w:t>
      </w:r>
      <w:r w:rsidR="008C428D" w:rsidRPr="009C0D00">
        <w:t>determinants</w:t>
      </w:r>
      <w:r w:rsidRPr="009C0D00">
        <w:t xml:space="preserve"> of the success of community-based dementia support. Educational, respite and peer support programmes are reported to reduce stress emotions and physical stress. But there should be more equal access</w:t>
      </w:r>
      <w:r w:rsidR="00295E27" w:rsidRPr="009C0D00">
        <w:t>,</w:t>
      </w:r>
      <w:r w:rsidRPr="009C0D00">
        <w:t xml:space="preserve"> and systematic obstacles should be rectified so that help is provided to all carers in the UK in the same way.</w:t>
      </w:r>
    </w:p>
    <w:p w14:paraId="56B74FAE" w14:textId="4B62616B" w:rsidR="00AF1D34" w:rsidRPr="009C0D00" w:rsidRDefault="008C428D" w:rsidP="00AF1D34">
      <w:pPr>
        <w:pStyle w:val="Heading2"/>
      </w:pPr>
      <w:bookmarkStart w:id="24" w:name="_Toc204831446"/>
      <w:r w:rsidRPr="009C0D00">
        <w:t>4.6 – Theme 4: Access and Equity of Service Provision</w:t>
      </w:r>
      <w:bookmarkEnd w:id="24"/>
    </w:p>
    <w:p w14:paraId="1B2B09B3" w14:textId="2CD29A27" w:rsidR="00AF1D34" w:rsidRPr="009C0D00" w:rsidRDefault="00AF1D34" w:rsidP="00AF1D34">
      <w:r w:rsidRPr="009C0D00">
        <w:t xml:space="preserve">Equitable access to support services is one of the most important and enduring issues </w:t>
      </w:r>
      <w:r w:rsidR="00295E27" w:rsidRPr="009C0D00">
        <w:t>about</w:t>
      </w:r>
      <w:r w:rsidRPr="009C0D00">
        <w:t xml:space="preserve"> community-based dementia care. Access and equity of services means the accessibility, inclusiveness and equality of dementia services to everyone irrespective of geography, socioeconomic</w:t>
      </w:r>
      <w:r w:rsidR="00295E27" w:rsidRPr="009C0D00">
        <w:t xml:space="preserve"> status</w:t>
      </w:r>
      <w:r w:rsidRPr="009C0D00">
        <w:t>, ethnicity, and culture. Equitable access is vital to the attainment of health and social care standards in the setting of the UK and its culturally and ageing population. Nevertheless, there are inequities in the provision that influence the capability of older adults with dementia and their caregivers to access the community-based interventions.</w:t>
      </w:r>
    </w:p>
    <w:p w14:paraId="2A10AB8B" w14:textId="4C633BC8" w:rsidR="00AF1D34" w:rsidRPr="009C0D00" w:rsidRDefault="00AF1D34" w:rsidP="00AF1D34">
      <w:r w:rsidRPr="009C0D00">
        <w:t xml:space="preserve">Traditionally, dementia services in the UK have evolved out of a series of local approaches, usually prompted by voluntary organisations and health authorities. This decentralised type has </w:t>
      </w:r>
      <w:r w:rsidR="00295E27" w:rsidRPr="009C0D00">
        <w:t>led</w:t>
      </w:r>
      <w:r w:rsidRPr="009C0D00">
        <w:t xml:space="preserve"> to large regional differences</w:t>
      </w:r>
      <w:r w:rsidR="00295E27" w:rsidRPr="009C0D00">
        <w:t>,</w:t>
      </w:r>
      <w:r w:rsidRPr="009C0D00">
        <w:t xml:space="preserve"> which are frequently termed as a postcode lottery</w:t>
      </w:r>
      <w:r w:rsidR="00295E27" w:rsidRPr="009C0D00">
        <w:t>,</w:t>
      </w:r>
      <w:r w:rsidRPr="009C0D00">
        <w:t xml:space="preserve"> where the quality of the delivery of the service is dependent on the budgets or priorities of local councils. Such disparities impinge mainly on the residents of rural locations, with a lack of transport solutions, personnel availability, or geographic seclusion limiting access to day centres or cognitive therapies (Innes et al., 2014). Ethnic minorities </w:t>
      </w:r>
      <w:r w:rsidR="00295E27" w:rsidRPr="009C0D00">
        <w:t>also</w:t>
      </w:r>
      <w:r w:rsidRPr="009C0D00">
        <w:t xml:space="preserve"> encounter cultural and language barriers to access to mainstream services, which are frequently impeded by stigma or failure to design services in culturally adequate ways.</w:t>
      </w:r>
    </w:p>
    <w:p w14:paraId="5D06F5E0" w14:textId="1E397420" w:rsidR="00AF1D34" w:rsidRPr="009C0D00" w:rsidRDefault="00AF1D34" w:rsidP="00AF1D34">
      <w:r w:rsidRPr="009C0D00">
        <w:lastRenderedPageBreak/>
        <w:t>This is the key theme of the research question, since the success of community-based dementia care depends on its coverage and comprehensiveness. A programme can have good results</w:t>
      </w:r>
      <w:r w:rsidR="00295E27" w:rsidRPr="009C0D00">
        <w:t>,</w:t>
      </w:r>
      <w:r w:rsidRPr="009C0D00">
        <w:t xml:space="preserve"> but it is rendered less important when there is uneven access. Providing discrepancies </w:t>
      </w:r>
      <w:r w:rsidR="00295E27" w:rsidRPr="009C0D00">
        <w:t>undermines</w:t>
      </w:r>
      <w:r w:rsidRPr="009C0D00">
        <w:t xml:space="preserve"> the real-life relevance of interventions and </w:t>
      </w:r>
      <w:r w:rsidR="00295E27" w:rsidRPr="009C0D00">
        <w:t>adds</w:t>
      </w:r>
      <w:r w:rsidRPr="009C0D00">
        <w:t xml:space="preserve"> to overall health disparities among elderly people.</w:t>
      </w:r>
    </w:p>
    <w:p w14:paraId="58369FA0" w14:textId="52425F24" w:rsidR="00AF1D34" w:rsidRPr="009C0D00" w:rsidRDefault="00AF1D34" w:rsidP="00AF1D34">
      <w:r w:rsidRPr="009C0D00">
        <w:t xml:space="preserve">According to the data provided by </w:t>
      </w:r>
      <w:r w:rsidR="00295E27" w:rsidRPr="009C0D00">
        <w:t>Alzheimer's</w:t>
      </w:r>
      <w:r w:rsidRPr="009C0D00">
        <w:t xml:space="preserve"> Society (2022), approximately one-fourth of the individuals with dementia in the UK do not have access to collective community services. Moreover, rural people are 30 </w:t>
      </w:r>
      <w:r w:rsidR="00295E27" w:rsidRPr="009C0D00">
        <w:t>per cent</w:t>
      </w:r>
      <w:r w:rsidRPr="009C0D00">
        <w:t xml:space="preserve"> less </w:t>
      </w:r>
      <w:r w:rsidR="00295E27" w:rsidRPr="009C0D00">
        <w:t>likely</w:t>
      </w:r>
      <w:r w:rsidRPr="009C0D00">
        <w:t xml:space="preserve"> to visit dementia-related services than urban people. Although national policies support it, including a promise in the NHS Long Term Plan (2019) to enable people to live well at home for longer, there has so far been little uptake. This tends to lead to duplication of services in certain areas and under-provision in others</w:t>
      </w:r>
      <w:r w:rsidR="00295E27" w:rsidRPr="009C0D00">
        <w:t>,</w:t>
      </w:r>
      <w:r w:rsidRPr="009C0D00">
        <w:t xml:space="preserve"> undermining the national plans.</w:t>
      </w:r>
    </w:p>
    <w:p w14:paraId="262A5367" w14:textId="66DDDCCE" w:rsidR="00AF1D34" w:rsidRPr="009C0D00" w:rsidRDefault="00AF1D34" w:rsidP="00AF1D34">
      <w:r w:rsidRPr="009C0D00">
        <w:t>It is possible to describe how access issues work at various levels</w:t>
      </w:r>
      <w:r w:rsidR="00295E27" w:rsidRPr="009C0D00">
        <w:t>,</w:t>
      </w:r>
      <w:r w:rsidRPr="009C0D00">
        <w:t xml:space="preserve"> ranging </w:t>
      </w:r>
      <w:r w:rsidR="00295E27" w:rsidRPr="009C0D00">
        <w:t>from</w:t>
      </w:r>
      <w:r w:rsidRPr="009C0D00">
        <w:t xml:space="preserve"> personal stigma to resource improvidence in society</w:t>
      </w:r>
      <w:r w:rsidR="00295E27" w:rsidRPr="009C0D00">
        <w:t>,</w:t>
      </w:r>
      <w:r w:rsidRPr="009C0D00">
        <w:t xml:space="preserve"> using the Social Ecological Model (Bronfenbrenner, 1979). On the personal level, the elderly population might not be aware of the services in place, or they may avoid </w:t>
      </w:r>
      <w:r w:rsidR="00295E27" w:rsidRPr="009C0D00">
        <w:t>help</w:t>
      </w:r>
      <w:r w:rsidRPr="009C0D00">
        <w:t xml:space="preserve"> because of impaired cognition. The families might be confused </w:t>
      </w:r>
      <w:r w:rsidR="00295E27" w:rsidRPr="009C0D00">
        <w:t>about</w:t>
      </w:r>
      <w:r w:rsidRPr="009C0D00">
        <w:t xml:space="preserve"> the entitlements or service pathways. Structurally, an inclusive</w:t>
      </w:r>
      <w:r w:rsidR="00295E27" w:rsidRPr="009C0D00">
        <w:t>,</w:t>
      </w:r>
      <w:r w:rsidRPr="009C0D00">
        <w:t xml:space="preserve"> well-coordinated development of support systems is hindered by budget constraints and organisational silos.</w:t>
      </w:r>
    </w:p>
    <w:p w14:paraId="4AA4266D" w14:textId="61CCCF19" w:rsidR="00AF1D34" w:rsidRPr="009C0D00" w:rsidRDefault="00AF1D34" w:rsidP="00AF1D34">
      <w:r w:rsidRPr="009C0D00">
        <w:t xml:space="preserve">Although the UK has instituted legal frameworks to enhance equity, including the Equality Act 2010 and Care Act 2014, it is commonly inconsistently applied. Though these acts enforce non-discriminative, inclusive services and well-being promotion, in reality, the service patterns often lack cultural sensitivity and plasticity (Moriarty </w:t>
      </w:r>
      <w:r w:rsidR="005F1735">
        <w:t>and</w:t>
      </w:r>
      <w:r w:rsidRPr="009C0D00">
        <w:t xml:space="preserve"> </w:t>
      </w:r>
      <w:proofErr w:type="spellStart"/>
      <w:r w:rsidRPr="009C0D00">
        <w:t>Manthorpe</w:t>
      </w:r>
      <w:proofErr w:type="spellEnd"/>
      <w:r w:rsidRPr="009C0D00">
        <w:t xml:space="preserve">, 2019). It is still a common tendency of a </w:t>
      </w:r>
      <w:r w:rsidR="00295E27" w:rsidRPr="009C0D00">
        <w:t>one-size-fits-all</w:t>
      </w:r>
      <w:r w:rsidRPr="009C0D00">
        <w:t xml:space="preserve"> approach, excluding people </w:t>
      </w:r>
      <w:r w:rsidR="00295E27" w:rsidRPr="009C0D00">
        <w:t>who</w:t>
      </w:r>
      <w:r w:rsidRPr="009C0D00">
        <w:t xml:space="preserve"> are underrepresented and not responding to locally relevant needs.</w:t>
      </w:r>
    </w:p>
    <w:p w14:paraId="6C851BAC" w14:textId="40996BF5" w:rsidR="00AF1D34" w:rsidRPr="009C0D00" w:rsidRDefault="00AF1D34" w:rsidP="00AF1D34">
      <w:r w:rsidRPr="009C0D00">
        <w:t>Some positive changes are in the forecast. The issue of access has gained attention, which has stimulated service delivery innovation. Mobile dementia support units, electronic materials, and culturally adjusted memory cafes are just a few examples. Such alternatives were critical to the continuity of service in the case of the COVID-19 pandemic. Nevertheless, the use of the digital divide and poor infrastructure is still limiting their use, particularly among elderly individuals that are low in digital literacy.</w:t>
      </w:r>
    </w:p>
    <w:p w14:paraId="5360C8BE" w14:textId="1B5695D7" w:rsidR="00AF1D34" w:rsidRPr="009C0D00" w:rsidRDefault="00AF1D34" w:rsidP="00AF1D34">
      <w:r w:rsidRPr="009C0D00">
        <w:t xml:space="preserve">The possibilities of consensus service models are presented by real-life projects. In Yorkshire, </w:t>
      </w:r>
      <w:r w:rsidR="00295E27" w:rsidRPr="009C0D00">
        <w:t xml:space="preserve">the </w:t>
      </w:r>
      <w:r w:rsidRPr="009C0D00">
        <w:t xml:space="preserve">Dementia Friendly Rural Communities project initiated the use of mobile support vans and </w:t>
      </w:r>
      <w:r w:rsidR="00295E27" w:rsidRPr="009C0D00">
        <w:t>trained</w:t>
      </w:r>
      <w:r w:rsidRPr="009C0D00">
        <w:t xml:space="preserve"> communities about volunteering, which enhanced the early stage of diagnosis and </w:t>
      </w:r>
      <w:r w:rsidRPr="009C0D00">
        <w:lastRenderedPageBreak/>
        <w:t xml:space="preserve">involvement of villages (Keady et al., 2012). But, in the case of such programmes, it is hard to maintain even after funding with a limited amount of money. In the same story, </w:t>
      </w:r>
      <w:r w:rsidR="00295E27" w:rsidRPr="009C0D00">
        <w:t xml:space="preserve">the </w:t>
      </w:r>
      <w:r w:rsidRPr="009C0D00">
        <w:t xml:space="preserve">South Asian Dementia Caf in Leicester served culturally appropriate services and support in </w:t>
      </w:r>
      <w:r w:rsidR="00295E27" w:rsidRPr="009C0D00">
        <w:t xml:space="preserve">the </w:t>
      </w:r>
      <w:r w:rsidRPr="009C0D00">
        <w:t xml:space="preserve">language, which helped to reach </w:t>
      </w:r>
      <w:r w:rsidR="00295E27" w:rsidRPr="009C0D00">
        <w:t xml:space="preserve">the </w:t>
      </w:r>
      <w:r w:rsidRPr="009C0D00">
        <w:t>older population in the minority community. However, it was considerably dependent on voluntary staffing and community champions, which triggered questions about its long-lasting nature.</w:t>
      </w:r>
    </w:p>
    <w:p w14:paraId="4301FDA3" w14:textId="76E4BE9B" w:rsidR="00AF1D34" w:rsidRPr="009C0D00" w:rsidRDefault="00AF1D34" w:rsidP="00AF1D34">
      <w:r w:rsidRPr="009C0D00">
        <w:t>Access and equity are closely connected with other themes of the present dissertation. To cite one example, lack of access to cognitive stimulation therapy erodes cognitive outcome gain. In cases where they are unable to access the services of respite or training programs, the burden will be on caregivers. There is also a lack of quality of life as people are not included in community programmes that foster independence and social contact. Therefore, equitable provision is not a single problem</w:t>
      </w:r>
      <w:r w:rsidR="00295E27" w:rsidRPr="009C0D00">
        <w:t>,</w:t>
      </w:r>
      <w:r w:rsidRPr="009C0D00">
        <w:t xml:space="preserve"> as it is an underlying pillar to the success of every dementia support intervention.</w:t>
      </w:r>
    </w:p>
    <w:p w14:paraId="4275F536" w14:textId="3DCFA345" w:rsidR="008C428D" w:rsidRPr="009C0D00" w:rsidRDefault="00AF1D34" w:rsidP="00AF1D34">
      <w:r w:rsidRPr="009C0D00">
        <w:t xml:space="preserve">To sum up, access to and equity of community-based dementia care </w:t>
      </w:r>
      <w:r w:rsidR="00295E27" w:rsidRPr="009C0D00">
        <w:t>are</w:t>
      </w:r>
      <w:r w:rsidRPr="009C0D00">
        <w:t xml:space="preserve"> essential but </w:t>
      </w:r>
      <w:r w:rsidR="00295E27" w:rsidRPr="009C0D00">
        <w:t>are</w:t>
      </w:r>
      <w:r w:rsidRPr="009C0D00">
        <w:t xml:space="preserve"> not uniformly realised in the UK. Most countries have national policies that give </w:t>
      </w:r>
      <w:r w:rsidR="00295E27" w:rsidRPr="009C0D00">
        <w:t>guidelines</w:t>
      </w:r>
      <w:r w:rsidRPr="009C0D00">
        <w:t xml:space="preserve"> on inclusive care, but implementation is greatly different. Such gaps will need to </w:t>
      </w:r>
      <w:r w:rsidR="00295E27" w:rsidRPr="009C0D00">
        <w:t>utilise</w:t>
      </w:r>
      <w:r w:rsidRPr="009C0D00">
        <w:t xml:space="preserve"> more specific funding, </w:t>
      </w:r>
      <w:r w:rsidR="00295E27" w:rsidRPr="009C0D00">
        <w:t>culturally sensitive</w:t>
      </w:r>
      <w:r w:rsidRPr="009C0D00">
        <w:t xml:space="preserve"> service </w:t>
      </w:r>
      <w:r w:rsidR="00295E27" w:rsidRPr="009C0D00">
        <w:t>design</w:t>
      </w:r>
      <w:r w:rsidRPr="009C0D00">
        <w:t>, and a sterner policy on equity requirements. It is by such undertakings that the fruits of community-based dementia support can be fully distributed and all older adults (irrespective of background and geographical location) can enjoy the kind of support they require.</w:t>
      </w:r>
    </w:p>
    <w:p w14:paraId="72148F97" w14:textId="161EE4FE" w:rsidR="00D75494" w:rsidRPr="00D75494" w:rsidRDefault="00D75494" w:rsidP="00367372">
      <w:pPr>
        <w:pStyle w:val="Heading2"/>
      </w:pPr>
      <w:bookmarkStart w:id="25" w:name="_Toc204831447"/>
      <w:r w:rsidRPr="009C0D00">
        <w:t>4.</w:t>
      </w:r>
      <w:r w:rsidR="008C428D" w:rsidRPr="009C0D00">
        <w:t>7</w:t>
      </w:r>
      <w:r w:rsidRPr="009C0D00">
        <w:t xml:space="preserve"> – Chapter Conclusion</w:t>
      </w:r>
      <w:bookmarkEnd w:id="25"/>
    </w:p>
    <w:p w14:paraId="27639EFB" w14:textId="3076E258" w:rsidR="00367372" w:rsidRPr="009C0D00" w:rsidRDefault="00367372" w:rsidP="00367372">
      <w:r w:rsidRPr="009C0D00">
        <w:t xml:space="preserve">This chapter has discussed the results of the systematic review along three central themes, which are quality of life outcome, cognitive function and caregiver burden. Thematic analysis also demonstrated that community-based dementia support programmes are a huge advantage to older adults and their caregivers as long as they are delivered properly. Such advantages incorporate improved </w:t>
      </w:r>
      <w:r w:rsidR="008C428D" w:rsidRPr="009C0D00">
        <w:t>well-being</w:t>
      </w:r>
      <w:r w:rsidRPr="009C0D00">
        <w:t xml:space="preserve">, mental coherence, emotional stability, and social connection. Some challenges, which are exemplified by </w:t>
      </w:r>
      <w:r w:rsidR="008C428D" w:rsidRPr="009C0D00">
        <w:t>funding</w:t>
      </w:r>
      <w:r w:rsidRPr="009C0D00">
        <w:t xml:space="preserve"> </w:t>
      </w:r>
      <w:r w:rsidR="00295E27" w:rsidRPr="009C0D00">
        <w:t>restrictions</w:t>
      </w:r>
      <w:r w:rsidRPr="009C0D00">
        <w:t>, regional disparity, and dissimilarity in the sensitivity to the services, were also noted in the review.</w:t>
      </w:r>
    </w:p>
    <w:p w14:paraId="52BF39D0" w14:textId="39866153" w:rsidR="00367372" w:rsidRPr="009C0D00" w:rsidRDefault="00367372" w:rsidP="00367372">
      <w:r w:rsidRPr="009C0D00">
        <w:t>All the themes were considered in the prism of applicable theories, backed up with the UK policy and examples of practice. This interrelatedness of the themes implies that it is possible to enhance some of the areas and</w:t>
      </w:r>
      <w:r w:rsidR="00295E27" w:rsidRPr="009C0D00">
        <w:t>,</w:t>
      </w:r>
      <w:r w:rsidRPr="009C0D00">
        <w:t xml:space="preserve"> as a result</w:t>
      </w:r>
      <w:r w:rsidR="00295E27" w:rsidRPr="009C0D00">
        <w:t>,</w:t>
      </w:r>
      <w:r w:rsidRPr="009C0D00">
        <w:t xml:space="preserve"> </w:t>
      </w:r>
      <w:r w:rsidR="00295E27" w:rsidRPr="009C0D00">
        <w:t xml:space="preserve">positively </w:t>
      </w:r>
      <w:r w:rsidRPr="009C0D00">
        <w:t xml:space="preserve">impact the others. Indicatively, in </w:t>
      </w:r>
      <w:r w:rsidR="00295E27" w:rsidRPr="009C0D00">
        <w:t xml:space="preserve">the </w:t>
      </w:r>
      <w:r w:rsidRPr="009C0D00">
        <w:t xml:space="preserve">case of cognitive health, quality of life and wellbeing among </w:t>
      </w:r>
      <w:r w:rsidR="00295E27" w:rsidRPr="009C0D00">
        <w:t>caregivers</w:t>
      </w:r>
      <w:r w:rsidRPr="009C0D00">
        <w:t xml:space="preserve"> </w:t>
      </w:r>
      <w:r w:rsidR="00295E27" w:rsidRPr="009C0D00">
        <w:t>are</w:t>
      </w:r>
      <w:r w:rsidRPr="009C0D00">
        <w:t xml:space="preserve"> enhanced.</w:t>
      </w:r>
    </w:p>
    <w:p w14:paraId="0D19AFB1" w14:textId="24D0AC65" w:rsidR="00367372" w:rsidRDefault="00367372" w:rsidP="00367372">
      <w:r w:rsidRPr="009C0D00">
        <w:lastRenderedPageBreak/>
        <w:t xml:space="preserve">The next chapter will present a review of the literature in terms of its critical analysis and the comparison of the practice in the UK and other approaches used globally. It will </w:t>
      </w:r>
      <w:r w:rsidR="00295E27" w:rsidRPr="009C0D00">
        <w:t>analyse</w:t>
      </w:r>
      <w:r w:rsidRPr="009C0D00">
        <w:t xml:space="preserve"> the lapses in the existing service provision and give suggestions </w:t>
      </w:r>
      <w:r w:rsidR="00295E27" w:rsidRPr="009C0D00">
        <w:t>for</w:t>
      </w:r>
      <w:r w:rsidRPr="009C0D00">
        <w:t xml:space="preserve"> a strategic approach to enhance community-based support of dementia provision </w:t>
      </w:r>
      <w:r w:rsidR="00295E27" w:rsidRPr="009C0D00">
        <w:t>at</w:t>
      </w:r>
      <w:r w:rsidRPr="009C0D00">
        <w:t xml:space="preserve"> the national level.</w:t>
      </w:r>
    </w:p>
    <w:p w14:paraId="7723D265" w14:textId="77777777" w:rsidR="00433F8B" w:rsidRDefault="00433F8B" w:rsidP="00367372"/>
    <w:p w14:paraId="4878AEBC" w14:textId="77777777" w:rsidR="00433F8B" w:rsidRDefault="00433F8B" w:rsidP="00367372"/>
    <w:p w14:paraId="571988A9" w14:textId="77777777" w:rsidR="00433F8B" w:rsidRDefault="00433F8B" w:rsidP="00367372"/>
    <w:p w14:paraId="7AD109CA" w14:textId="77777777" w:rsidR="00433F8B" w:rsidRDefault="00433F8B" w:rsidP="00367372"/>
    <w:p w14:paraId="71C5FF66" w14:textId="77777777" w:rsidR="00433F8B" w:rsidRDefault="00433F8B" w:rsidP="00367372"/>
    <w:p w14:paraId="3531BB48" w14:textId="77777777" w:rsidR="00433F8B" w:rsidRDefault="00433F8B" w:rsidP="00367372"/>
    <w:p w14:paraId="20B5570A" w14:textId="77777777" w:rsidR="00433F8B" w:rsidRDefault="00433F8B" w:rsidP="00367372"/>
    <w:p w14:paraId="65C9DF71" w14:textId="77777777" w:rsidR="00433F8B" w:rsidRDefault="00433F8B" w:rsidP="00367372"/>
    <w:p w14:paraId="3B46084A" w14:textId="77777777" w:rsidR="00433F8B" w:rsidRDefault="00433F8B" w:rsidP="00367372"/>
    <w:p w14:paraId="3334675A" w14:textId="77777777" w:rsidR="00433F8B" w:rsidRDefault="00433F8B" w:rsidP="00367372"/>
    <w:p w14:paraId="1584A609" w14:textId="77777777" w:rsidR="00433F8B" w:rsidRDefault="00433F8B" w:rsidP="00367372"/>
    <w:p w14:paraId="35C28066" w14:textId="77777777" w:rsidR="00433F8B" w:rsidRDefault="00433F8B" w:rsidP="00367372"/>
    <w:p w14:paraId="70CF2FAB" w14:textId="77777777" w:rsidR="00433F8B" w:rsidRDefault="00433F8B" w:rsidP="00367372"/>
    <w:p w14:paraId="4D6E5DC2" w14:textId="77777777" w:rsidR="00433F8B" w:rsidRDefault="00433F8B" w:rsidP="00367372"/>
    <w:p w14:paraId="5BDC93E6" w14:textId="77777777" w:rsidR="00433F8B" w:rsidRDefault="00433F8B" w:rsidP="00367372"/>
    <w:p w14:paraId="27F761A2" w14:textId="77777777" w:rsidR="00433F8B" w:rsidRDefault="00433F8B" w:rsidP="00367372"/>
    <w:p w14:paraId="57E6BE67" w14:textId="77777777" w:rsidR="00433F8B" w:rsidRDefault="00433F8B" w:rsidP="00367372"/>
    <w:p w14:paraId="47B887BE" w14:textId="77777777" w:rsidR="00433F8B" w:rsidRDefault="00433F8B" w:rsidP="00367372"/>
    <w:p w14:paraId="34CF4DE9" w14:textId="77777777" w:rsidR="00433F8B" w:rsidRPr="009C0D00" w:rsidRDefault="00433F8B" w:rsidP="00367372"/>
    <w:p w14:paraId="521E7530" w14:textId="2C0474B3" w:rsidR="005A7DB3" w:rsidRPr="009C0D00" w:rsidRDefault="005A7DB3" w:rsidP="005A7DB3">
      <w:pPr>
        <w:pStyle w:val="Heading1"/>
      </w:pPr>
      <w:bookmarkStart w:id="26" w:name="_Toc204831448"/>
      <w:r w:rsidRPr="009C0D00">
        <w:lastRenderedPageBreak/>
        <w:t>CHAPTER 5 – Conclusion and Recommendations</w:t>
      </w:r>
      <w:bookmarkEnd w:id="26"/>
    </w:p>
    <w:p w14:paraId="6F4D2985" w14:textId="774F957F" w:rsidR="00D75494" w:rsidRPr="009C0D00" w:rsidRDefault="00D75494" w:rsidP="005A7DB3">
      <w:pPr>
        <w:pStyle w:val="Heading2"/>
      </w:pPr>
      <w:bookmarkStart w:id="27" w:name="_Toc204831449"/>
      <w:r w:rsidRPr="009C0D00">
        <w:t>5.1 – Overall Conclusio</w:t>
      </w:r>
      <w:r w:rsidR="00295E27" w:rsidRPr="009C0D00">
        <w:t>n</w:t>
      </w:r>
      <w:bookmarkEnd w:id="27"/>
    </w:p>
    <w:p w14:paraId="79D3A14E" w14:textId="3D431F0A" w:rsidR="00D83162" w:rsidRPr="009C0D00" w:rsidRDefault="00D83162" w:rsidP="00D83162">
      <w:r w:rsidRPr="009C0D00">
        <w:t xml:space="preserve">This dissertation aimed </w:t>
      </w:r>
      <w:r w:rsidR="00295E27" w:rsidRPr="009C0D00">
        <w:t>to conduct</w:t>
      </w:r>
      <w:r w:rsidRPr="009C0D00">
        <w:t xml:space="preserve"> a systematic review with </w:t>
      </w:r>
      <w:r w:rsidR="00295E27" w:rsidRPr="009C0D00">
        <w:t>the</w:t>
      </w:r>
      <w:r w:rsidRPr="009C0D00">
        <w:t xml:space="preserve"> aim of establishing the efficiency of community-based dementia support programmes in the UK among adults </w:t>
      </w:r>
      <w:r w:rsidR="00295E27" w:rsidRPr="009C0D00">
        <w:t>aged</w:t>
      </w:r>
      <w:r w:rsidRPr="009C0D00">
        <w:t xml:space="preserve"> 65 and above. This was with the objective of determining the effects of such programmes on the quality of life and the cognitive ability</w:t>
      </w:r>
      <w:r w:rsidR="00295E27" w:rsidRPr="009C0D00">
        <w:t>,</w:t>
      </w:r>
      <w:r w:rsidRPr="009C0D00">
        <w:t xml:space="preserve"> and the burden </w:t>
      </w:r>
      <w:r w:rsidR="00295E27" w:rsidRPr="009C0D00">
        <w:t>on</w:t>
      </w:r>
      <w:r w:rsidRPr="009C0D00">
        <w:t xml:space="preserve"> caregivers</w:t>
      </w:r>
      <w:r w:rsidR="00295E27" w:rsidRPr="009C0D00">
        <w:t>,</w:t>
      </w:r>
      <w:r w:rsidRPr="009C0D00">
        <w:t xml:space="preserve"> and to determine the best practices in improving the services and in policy development.</w:t>
      </w:r>
    </w:p>
    <w:p w14:paraId="1DB381C0" w14:textId="0647B0B9" w:rsidR="00D83162" w:rsidRPr="009C0D00" w:rsidRDefault="00D83162" w:rsidP="00D83162">
      <w:r w:rsidRPr="009C0D00">
        <w:t xml:space="preserve">The rationale, as specified in Chapter 1, was the growing popularity of dementia in the UK and the necessity of non-institutionalised and person-centred models of care. Chapter 2 examined some literature relevant to the research, which gives the research </w:t>
      </w:r>
      <w:r w:rsidR="00295E27" w:rsidRPr="009C0D00">
        <w:t xml:space="preserve">a </w:t>
      </w:r>
      <w:r w:rsidRPr="009C0D00">
        <w:t>theoretical basis. Chapter 3 briefly described the procedures of collection and analysis of secondary data, which were based mostly on thematic analysis.</w:t>
      </w:r>
    </w:p>
    <w:p w14:paraId="38F3591D" w14:textId="6B230B80" w:rsidR="00D83162" w:rsidRPr="009C0D00" w:rsidRDefault="00295E27" w:rsidP="00D83162">
      <w:r w:rsidRPr="009C0D00">
        <w:t>Chapter</w:t>
      </w:r>
      <w:r w:rsidR="00D83162" w:rsidRPr="009C0D00">
        <w:t xml:space="preserve"> 4 displayed three fundamental themes. First, the situation of quality of life among the participants of the community programmes was greatly </w:t>
      </w:r>
      <w:r w:rsidRPr="009C0D00">
        <w:t>improved</w:t>
      </w:r>
      <w:r w:rsidR="00D83162" w:rsidRPr="009C0D00">
        <w:t xml:space="preserve"> with the help of </w:t>
      </w:r>
      <w:r w:rsidRPr="009C0D00">
        <w:t xml:space="preserve">the </w:t>
      </w:r>
      <w:r w:rsidR="00D83162" w:rsidRPr="009C0D00">
        <w:t xml:space="preserve">community </w:t>
      </w:r>
      <w:r w:rsidRPr="009C0D00">
        <w:t>programmes</w:t>
      </w:r>
      <w:r w:rsidR="00D83162" w:rsidRPr="009C0D00">
        <w:t>. These programmes offered the idea of social inclusion and emotional wellbeing</w:t>
      </w:r>
      <w:r w:rsidRPr="009C0D00">
        <w:t>,</w:t>
      </w:r>
      <w:r w:rsidR="00D83162" w:rsidRPr="009C0D00">
        <w:t xml:space="preserve"> which were improved thanks to the work of community programmes. Second, cognitive performance was maintained by providing interventions such as Cognitive Stimulation Therapy that assisted in reducing the rate of cognitive </w:t>
      </w:r>
      <w:r w:rsidRPr="009C0D00">
        <w:t>decline</w:t>
      </w:r>
      <w:r w:rsidR="00D83162" w:rsidRPr="009C0D00">
        <w:t xml:space="preserve">. Third, respite, training, and peer support were provided to decrease caregiver </w:t>
      </w:r>
      <w:r w:rsidRPr="009C0D00">
        <w:t>burden</w:t>
      </w:r>
      <w:r w:rsidR="00D83162" w:rsidRPr="009C0D00">
        <w:t>.</w:t>
      </w:r>
    </w:p>
    <w:p w14:paraId="6AAE79F6" w14:textId="331FA8AF" w:rsidR="00D83162" w:rsidRPr="009C0D00" w:rsidRDefault="00D83162" w:rsidP="00D83162">
      <w:r w:rsidRPr="009C0D00">
        <w:t>Every research objective has been fulfilled. The presented results reaffirm that community-based support programmes to help people with dementia are effective when organised well, have appropriate funding, and are made widely accessible. Nevertheless, discrepancies in service delivery and availability are debarring. The following are the recommendations that are going to be given to solve these problems and enhance future practice.</w:t>
      </w:r>
    </w:p>
    <w:p w14:paraId="4289B6B2" w14:textId="77777777" w:rsidR="00D83162" w:rsidRPr="009C0D00" w:rsidRDefault="00D83162" w:rsidP="00D83162"/>
    <w:p w14:paraId="0B391BB2" w14:textId="77777777" w:rsidR="00D83162" w:rsidRPr="009C0D00" w:rsidRDefault="00D83162" w:rsidP="00D83162">
      <w:pPr>
        <w:pStyle w:val="Heading2"/>
      </w:pPr>
      <w:bookmarkStart w:id="28" w:name="_Toc204831450"/>
      <w:r w:rsidRPr="009C0D00">
        <w:t>5.2 Recommendations</w:t>
      </w:r>
      <w:bookmarkEnd w:id="28"/>
    </w:p>
    <w:p w14:paraId="28E824A7" w14:textId="77777777" w:rsidR="00D83162" w:rsidRPr="009C0D00" w:rsidRDefault="00D83162" w:rsidP="00D83162">
      <w:pPr>
        <w:rPr>
          <w:b/>
          <w:bCs/>
        </w:rPr>
      </w:pPr>
      <w:r w:rsidRPr="00D75494">
        <w:rPr>
          <w:b/>
          <w:bCs/>
        </w:rPr>
        <w:t>5.2.1 – Recommendation 1: Expand Funding and Sustainable Support for Community-Based Dementia Services</w:t>
      </w:r>
    </w:p>
    <w:p w14:paraId="67728C7B" w14:textId="72D2EE71" w:rsidR="00D83162" w:rsidRPr="009C0D00" w:rsidRDefault="00D83162" w:rsidP="00D83162">
      <w:r w:rsidRPr="009C0D00">
        <w:t xml:space="preserve">Among the findings that were most in harmony throughout this review is that the dementia support programmes that are based at the community level are not very well funded and are evenly </w:t>
      </w:r>
      <w:r w:rsidRPr="009C0D00">
        <w:lastRenderedPageBreak/>
        <w:t xml:space="preserve">dispersed. A lot of them depend on relatively </w:t>
      </w:r>
      <w:r w:rsidR="00295E27" w:rsidRPr="009C0D00">
        <w:t>short-term</w:t>
      </w:r>
      <w:r w:rsidRPr="009C0D00">
        <w:t xml:space="preserve"> grants or donations, which are not a lot sustainable or widely </w:t>
      </w:r>
      <w:r w:rsidR="00295E27" w:rsidRPr="009C0D00">
        <w:t>accessible</w:t>
      </w:r>
      <w:r w:rsidRPr="009C0D00">
        <w:t xml:space="preserve">. It is proposed that the NHS Integrated Care Boards and local authorities should place a priority on long-term and ring-fenced funding </w:t>
      </w:r>
      <w:r w:rsidR="00295E27" w:rsidRPr="009C0D00">
        <w:t>for</w:t>
      </w:r>
      <w:r w:rsidRPr="009C0D00">
        <w:t xml:space="preserve"> dementia services. These also involve funding </w:t>
      </w:r>
      <w:r w:rsidR="00295E27" w:rsidRPr="009C0D00">
        <w:t>for</w:t>
      </w:r>
      <w:r w:rsidRPr="009C0D00">
        <w:t xml:space="preserve"> day centres, memory cafes and Cognitive Stimulation Therapy groups</w:t>
      </w:r>
      <w:r w:rsidR="00295E27" w:rsidRPr="009C0D00">
        <w:t>,</w:t>
      </w:r>
      <w:r w:rsidRPr="009C0D00">
        <w:t xml:space="preserve"> which help the patients as well as their caregivers.</w:t>
      </w:r>
    </w:p>
    <w:p w14:paraId="597F8E95" w14:textId="43DC9531" w:rsidR="00D83162" w:rsidRPr="009C0D00" w:rsidRDefault="00D83162" w:rsidP="00D83162">
      <w:r w:rsidRPr="009C0D00">
        <w:t xml:space="preserve">It would be feasible to create a national dementia fund like the Mental Health Transformation Fund to provide an even implementation across the regions of the UK. The additional investment would also aid the attraction and education of dementia care-skilled facilitators, </w:t>
      </w:r>
      <w:r w:rsidR="00295E27" w:rsidRPr="009C0D00">
        <w:t>who</w:t>
      </w:r>
      <w:r w:rsidRPr="009C0D00">
        <w:t xml:space="preserve"> are associated with improved programme outcomes.</w:t>
      </w:r>
    </w:p>
    <w:p w14:paraId="25D498AD" w14:textId="2D57FEE0" w:rsidR="00D83162" w:rsidRPr="009C0D00" w:rsidRDefault="00D83162" w:rsidP="00D83162">
      <w:r w:rsidRPr="009C0D00">
        <w:rPr>
          <w:b/>
          <w:bCs/>
        </w:rPr>
        <w:t>Barriers and Solutions:</w:t>
      </w:r>
      <w:r w:rsidRPr="009C0D00">
        <w:t xml:space="preserve"> The significant obstacle is that the health and social care budget is limited. Nevertheless, </w:t>
      </w:r>
      <w:r w:rsidR="00295E27" w:rsidRPr="009C0D00">
        <w:t>cost-benefit</w:t>
      </w:r>
      <w:r w:rsidRPr="009C0D00">
        <w:t xml:space="preserve"> analysis indicates that early intervention in a community can help postpone institutionalisation, with a resultant saving in expenditure to the NHS as a whole. The economic models should show the long-term savings that should be presented to policymakers.</w:t>
      </w:r>
    </w:p>
    <w:p w14:paraId="104DE9C3" w14:textId="77777777" w:rsidR="00D83162" w:rsidRPr="009C0D00" w:rsidRDefault="00D83162" w:rsidP="00D83162">
      <w:pPr>
        <w:rPr>
          <w:b/>
          <w:bCs/>
        </w:rPr>
      </w:pPr>
      <w:r w:rsidRPr="00D75494">
        <w:rPr>
          <w:b/>
          <w:bCs/>
        </w:rPr>
        <w:t>5.2.2 – Recommendation 2: Improve Accessibility Through Inclusive, Localised and Mobile Dementia Services</w:t>
      </w:r>
    </w:p>
    <w:p w14:paraId="5FB7695E" w14:textId="578BB6C2" w:rsidR="00D83162" w:rsidRPr="009C0D00" w:rsidRDefault="00D83162" w:rsidP="00D83162">
      <w:r w:rsidRPr="009C0D00">
        <w:t xml:space="preserve">Although the dementia support programmes may be effective, they do not reach </w:t>
      </w:r>
      <w:r w:rsidR="00295E27" w:rsidRPr="009C0D00">
        <w:t>large</w:t>
      </w:r>
      <w:r w:rsidRPr="009C0D00">
        <w:t xml:space="preserve"> proportions of the population, especially people living in rural locations or people representing less-than-strongly-represented communities. They are suggested to decentralise the services and make them local. Geographical barriers might be solved through mobile dementia units, transport partnerships, and interventions based on outreach. Moreover, the majority population should be prepared to translate resources to minority ethnic groups</w:t>
      </w:r>
      <w:r w:rsidR="00295E27" w:rsidRPr="009C0D00">
        <w:t>,</w:t>
      </w:r>
      <w:r w:rsidRPr="009C0D00">
        <w:t xml:space="preserve"> </w:t>
      </w:r>
      <w:r w:rsidR="00295E27" w:rsidRPr="009C0D00">
        <w:t>which</w:t>
      </w:r>
      <w:r w:rsidRPr="009C0D00">
        <w:t xml:space="preserve"> can be achieved through culturally sensitive programming and multilingual staff assistance.</w:t>
      </w:r>
    </w:p>
    <w:p w14:paraId="50E9F939" w14:textId="09E645BD" w:rsidR="00D83162" w:rsidRPr="009C0D00" w:rsidRDefault="00D83162" w:rsidP="00D83162">
      <w:r w:rsidRPr="009C0D00">
        <w:t xml:space="preserve">It is also demonstrated that minority ethnic carers and older adults tend to encounter language </w:t>
      </w:r>
      <w:r w:rsidR="00295E27" w:rsidRPr="009C0D00">
        <w:t>barriers</w:t>
      </w:r>
      <w:r w:rsidRPr="009C0D00">
        <w:t>, stigma/culture, and lack of access to mainstream services. Trust and awareness can be achieved by having community health navigators and dementia champions born in these communities.</w:t>
      </w:r>
    </w:p>
    <w:p w14:paraId="3B0AEDC7" w14:textId="70B05A5B" w:rsidR="00D83162" w:rsidRPr="009C0D00" w:rsidRDefault="00D83162" w:rsidP="00D83162">
      <w:r w:rsidRPr="009C0D00">
        <w:rPr>
          <w:b/>
          <w:bCs/>
        </w:rPr>
        <w:t>Barriers and Solutions:</w:t>
      </w:r>
      <w:r w:rsidRPr="009C0D00">
        <w:t xml:space="preserve"> Significant barriers are workforce constraints and constraints in logistics in rural locations. To ensure this does not happen, the community volunteers may be trained and escorted through adopting models like </w:t>
      </w:r>
      <w:r w:rsidR="005F1735" w:rsidRPr="009C0D00">
        <w:t>Time Banking</w:t>
      </w:r>
      <w:r w:rsidRPr="009C0D00">
        <w:t xml:space="preserve"> or community co-production. Online </w:t>
      </w:r>
      <w:r w:rsidRPr="009C0D00">
        <w:lastRenderedPageBreak/>
        <w:t>provision of support, including virtual CST and access to online support groups, may also provide intermediate access until face-to-face programmes become available.</w:t>
      </w:r>
    </w:p>
    <w:p w14:paraId="2642B09F" w14:textId="15CD0EB1" w:rsidR="00D83162" w:rsidRPr="009C0D00" w:rsidRDefault="00D83162" w:rsidP="00D83162">
      <w:pPr>
        <w:rPr>
          <w:b/>
          <w:bCs/>
        </w:rPr>
      </w:pPr>
      <w:r w:rsidRPr="00D75494">
        <w:rPr>
          <w:b/>
          <w:bCs/>
        </w:rPr>
        <w:t>5.2.3 – Recommendation 3: Integrate Carer Support as a Core Element of Dementia Services</w:t>
      </w:r>
    </w:p>
    <w:p w14:paraId="7F1212E2" w14:textId="19D7DB27" w:rsidR="00D83162" w:rsidRPr="009C0D00" w:rsidRDefault="00D83162" w:rsidP="00D83162">
      <w:r w:rsidRPr="009C0D00">
        <w:t xml:space="preserve">Family caregivers are viewed as the </w:t>
      </w:r>
      <w:r w:rsidR="00E47DD5" w:rsidRPr="009C0D00">
        <w:t>unrecognised</w:t>
      </w:r>
      <w:r w:rsidRPr="009C0D00">
        <w:t xml:space="preserve"> pillars of dementia care. However, some of them have little or even no official support. It is advised that a formal carer support programme funding should be ensured in all community-based dementia programmes. This can cover counselling services, peer support groups, input training in dementia care skills, and opportunities to have a break. Such interventions as the START programme (</w:t>
      </w:r>
      <w:proofErr w:type="spellStart"/>
      <w:r w:rsidRPr="009C0D00">
        <w:t>STrAtegies</w:t>
      </w:r>
      <w:proofErr w:type="spellEnd"/>
      <w:r w:rsidRPr="009C0D00">
        <w:t xml:space="preserve"> for </w:t>
      </w:r>
      <w:proofErr w:type="spellStart"/>
      <w:r w:rsidRPr="009C0D00">
        <w:t>RelaTives</w:t>
      </w:r>
      <w:proofErr w:type="spellEnd"/>
      <w:r w:rsidRPr="009C0D00">
        <w:t>) were found to cause a significant decrease in the levels of depression and anxiety among the carers.</w:t>
      </w:r>
    </w:p>
    <w:p w14:paraId="77DE48EA" w14:textId="4778F9F6" w:rsidR="00D83162" w:rsidRPr="009C0D00" w:rsidRDefault="00D83162" w:rsidP="00D83162">
      <w:r w:rsidRPr="009C0D00">
        <w:t xml:space="preserve">The Care Act 2014 should be put more strictly into practice to conduct carer assessment to </w:t>
      </w:r>
      <w:r w:rsidR="00DD33B5">
        <w:t>relation</w:t>
      </w:r>
      <w:r w:rsidRPr="009C0D00">
        <w:t xml:space="preserve"> it to the community provision. Also, stigma can be offset through the use of public health campaigns to </w:t>
      </w:r>
      <w:r w:rsidR="00E47DD5" w:rsidRPr="009C0D00">
        <w:t>normalise</w:t>
      </w:r>
      <w:r w:rsidRPr="009C0D00">
        <w:t xml:space="preserve"> help-seeking behaviours</w:t>
      </w:r>
      <w:r w:rsidR="00E47DD5" w:rsidRPr="009C0D00">
        <w:t>,</w:t>
      </w:r>
      <w:r w:rsidRPr="009C0D00">
        <w:t xml:space="preserve"> thereby de-stigmatising help-seeking behaviours among carers, especially those carers within cultures where the need to care is perceived as a personal, family responsibility.</w:t>
      </w:r>
    </w:p>
    <w:p w14:paraId="6214C793" w14:textId="6401D2AD" w:rsidR="00D83162" w:rsidRPr="009C0D00" w:rsidRDefault="00D83162" w:rsidP="00D75494">
      <w:r w:rsidRPr="009C0D00">
        <w:rPr>
          <w:b/>
          <w:bCs/>
        </w:rPr>
        <w:t>Barriers and Solutions:</w:t>
      </w:r>
      <w:r w:rsidRPr="009C0D00">
        <w:t xml:space="preserve"> Lack of awareness of the existing services</w:t>
      </w:r>
      <w:r w:rsidR="00E47DD5" w:rsidRPr="009C0D00">
        <w:t>,</w:t>
      </w:r>
      <w:r w:rsidRPr="009C0D00">
        <w:t xml:space="preserve"> as well as </w:t>
      </w:r>
      <w:r w:rsidR="00E47DD5" w:rsidRPr="009C0D00">
        <w:t xml:space="preserve">a </w:t>
      </w:r>
      <w:r w:rsidRPr="009C0D00">
        <w:t xml:space="preserve">sense of guilt when the carers want to seek outside assistance. Carers have to be referred to support networks </w:t>
      </w:r>
      <w:r w:rsidR="00E47DD5" w:rsidRPr="009C0D00">
        <w:t>proactively</w:t>
      </w:r>
      <w:r w:rsidRPr="009C0D00">
        <w:t xml:space="preserve"> by health as well as social care professionals. It would also help to train GPs and frontline staff to spot signs of carer stress earlier</w:t>
      </w:r>
      <w:r w:rsidR="00E47DD5" w:rsidRPr="009C0D00">
        <w:t>,</w:t>
      </w:r>
      <w:r w:rsidRPr="009C0D00">
        <w:t xml:space="preserve"> therefore helping to intervene before breakdowns occur.</w:t>
      </w:r>
    </w:p>
    <w:p w14:paraId="3BFE8A10" w14:textId="77777777" w:rsidR="00093E4A" w:rsidRDefault="00093E4A" w:rsidP="00AC5ADC"/>
    <w:p w14:paraId="25550ACE" w14:textId="77777777" w:rsidR="001E6B14" w:rsidRDefault="001E6B14" w:rsidP="00AC5ADC"/>
    <w:p w14:paraId="16A184FF" w14:textId="77777777" w:rsidR="001E6B14" w:rsidRDefault="001E6B14" w:rsidP="00AC5ADC"/>
    <w:p w14:paraId="0962FDCA" w14:textId="77777777" w:rsidR="001E6B14" w:rsidRDefault="001E6B14" w:rsidP="00AC5ADC"/>
    <w:p w14:paraId="12A554E1" w14:textId="77777777" w:rsidR="001E6B14" w:rsidRDefault="001E6B14" w:rsidP="00AC5ADC"/>
    <w:p w14:paraId="3F3670AD" w14:textId="77777777" w:rsidR="001E6B14" w:rsidRDefault="001E6B14" w:rsidP="00AC5ADC"/>
    <w:p w14:paraId="1C654BBB" w14:textId="77777777" w:rsidR="001E6B14" w:rsidRDefault="001E6B14" w:rsidP="00AC5ADC"/>
    <w:p w14:paraId="68203D4F" w14:textId="77777777" w:rsidR="004216CB" w:rsidRPr="00D75494" w:rsidRDefault="004216CB" w:rsidP="004216CB"/>
    <w:p w14:paraId="30166359" w14:textId="340DB30C" w:rsidR="004216CB" w:rsidRPr="009C0D00" w:rsidRDefault="004216CB" w:rsidP="001E6B14">
      <w:pPr>
        <w:pStyle w:val="Heading1"/>
      </w:pPr>
      <w:bookmarkStart w:id="29" w:name="_Toc204831451"/>
      <w:r w:rsidRPr="009C0D00">
        <w:lastRenderedPageBreak/>
        <w:t>CHAPTER 6 – References and Appendices</w:t>
      </w:r>
      <w:bookmarkEnd w:id="29"/>
    </w:p>
    <w:p w14:paraId="65EE1377" w14:textId="77777777" w:rsidR="004216CB" w:rsidRPr="009C0D00" w:rsidRDefault="004216CB" w:rsidP="004216CB">
      <w:pPr>
        <w:pStyle w:val="Heading2"/>
      </w:pPr>
      <w:bookmarkStart w:id="30" w:name="_Hlk204620681"/>
      <w:bookmarkStart w:id="31" w:name="_Toc204831452"/>
      <w:r w:rsidRPr="009C0D00">
        <w:t>6.1 – References</w:t>
      </w:r>
      <w:bookmarkEnd w:id="31"/>
    </w:p>
    <w:p w14:paraId="5B5636C5" w14:textId="77777777" w:rsidR="001E6B14" w:rsidRPr="004216CB" w:rsidRDefault="001E6B14" w:rsidP="001E6B14">
      <w:r w:rsidRPr="004216CB">
        <w:t xml:space="preserve">Alzheimer’s Society. 2022. </w:t>
      </w:r>
      <w:r w:rsidRPr="004216CB">
        <w:rPr>
          <w:i/>
          <w:iCs/>
        </w:rPr>
        <w:t>Dementia UK: The facts</w:t>
      </w:r>
      <w:r w:rsidRPr="004216CB">
        <w:t xml:space="preserve">. Available at: </w:t>
      </w:r>
      <w:hyperlink r:id="rId10" w:history="1">
        <w:r w:rsidRPr="00D94267">
          <w:rPr>
            <w:rStyle w:val="Hyperlink"/>
          </w:rPr>
          <w:t>https://www.alzheimers.org.uk</w:t>
        </w:r>
      </w:hyperlink>
      <w:r w:rsidRPr="00D94267">
        <w:t xml:space="preserve"> </w:t>
      </w:r>
      <w:r w:rsidRPr="004216CB">
        <w:t>(Accessed 26 July 2025).</w:t>
      </w:r>
    </w:p>
    <w:p w14:paraId="15800A72" w14:textId="77777777" w:rsidR="001E6B14" w:rsidRPr="00D75494" w:rsidRDefault="001E6B14" w:rsidP="001E6B14">
      <w:r w:rsidRPr="00D75494">
        <w:t xml:space="preserve">Alzheimer's Research UK. 2023. Dementia caregiver statistics. Available at: </w:t>
      </w:r>
      <w:hyperlink r:id="rId11" w:tgtFrame="_blank" w:history="1">
        <w:r w:rsidRPr="00D75494">
          <w:rPr>
            <w:rStyle w:val="Hyperlink"/>
          </w:rPr>
          <w:t>https://www.alzheimersresearchuk.org</w:t>
        </w:r>
      </w:hyperlink>
      <w:r w:rsidRPr="00D75494">
        <w:t xml:space="preserve"> (Accessed: 24 July 2025).</w:t>
      </w:r>
    </w:p>
    <w:p w14:paraId="6C1D79F3" w14:textId="77777777" w:rsidR="001E6B14" w:rsidRDefault="001E6B14" w:rsidP="001E6B14">
      <w:r w:rsidRPr="00D21E83">
        <w:t>Arksey, H. and Hirst, M., 2005. Unpaid carers’ access to and use of primary care services. </w:t>
      </w:r>
      <w:r w:rsidRPr="00D21E83">
        <w:rPr>
          <w:i/>
          <w:iCs/>
        </w:rPr>
        <w:t>Primary Health Care Research &amp; Development</w:t>
      </w:r>
      <w:r w:rsidRPr="00D21E83">
        <w:t>, </w:t>
      </w:r>
      <w:r w:rsidRPr="00D21E83">
        <w:rPr>
          <w:i/>
          <w:iCs/>
        </w:rPr>
        <w:t>6</w:t>
      </w:r>
      <w:r w:rsidRPr="00D21E83">
        <w:t>(2), pp.101-116.</w:t>
      </w:r>
    </w:p>
    <w:p w14:paraId="41DC4481" w14:textId="77777777" w:rsidR="001E6B14" w:rsidRDefault="001E6B14" w:rsidP="001E6B14">
      <w:r w:rsidRPr="00D21E83">
        <w:t xml:space="preserve">Aveyard, H., 2023. </w:t>
      </w:r>
      <w:proofErr w:type="spellStart"/>
      <w:r w:rsidRPr="00D21E83">
        <w:t>Ebook</w:t>
      </w:r>
      <w:proofErr w:type="spellEnd"/>
      <w:r w:rsidRPr="00D21E83">
        <w:t>: Doing a Literature Review in Health and Social Care: A Practical Guide 5e.</w:t>
      </w:r>
    </w:p>
    <w:p w14:paraId="3A3CF1FD" w14:textId="77777777" w:rsidR="001E6B14" w:rsidRDefault="001E6B14" w:rsidP="001E6B14">
      <w:r w:rsidRPr="003B7571">
        <w:t xml:space="preserve">Backhouse, A., </w:t>
      </w:r>
      <w:proofErr w:type="spellStart"/>
      <w:r w:rsidRPr="003B7571">
        <w:t>Ukoumunne</w:t>
      </w:r>
      <w:proofErr w:type="spellEnd"/>
      <w:r w:rsidRPr="003B7571">
        <w:t>, O.C., Richards, D.A., McCabe, R., Watkins, R. and Dickens, C., 2017. The effectiveness of community-based coordinating interventions in dementia care: a meta-analysis and subgroup analysis of intervention components. </w:t>
      </w:r>
      <w:r w:rsidRPr="003B7571">
        <w:rPr>
          <w:i/>
          <w:iCs/>
        </w:rPr>
        <w:t>BMC Health Services Research</w:t>
      </w:r>
      <w:r w:rsidRPr="003B7571">
        <w:t>, </w:t>
      </w:r>
      <w:r w:rsidRPr="003B7571">
        <w:rPr>
          <w:i/>
          <w:iCs/>
        </w:rPr>
        <w:t>17</w:t>
      </w:r>
      <w:r w:rsidRPr="003B7571">
        <w:t>(1), p.717.</w:t>
      </w:r>
    </w:p>
    <w:p w14:paraId="4F1C4AAE" w14:textId="77777777" w:rsidR="001E6B14" w:rsidRDefault="001E6B14" w:rsidP="001E6B14">
      <w:r w:rsidRPr="00D21E83">
        <w:t>Backhouse, T., Killett, A., Penhale, B. and Gray, R., 2016. The use of non-pharmacological interventions for dementia behaviours in care homes: findings from four in-depth, ethnographic case studies. </w:t>
      </w:r>
      <w:r w:rsidRPr="00D21E83">
        <w:rPr>
          <w:i/>
          <w:iCs/>
        </w:rPr>
        <w:t>Age and ageing</w:t>
      </w:r>
      <w:r w:rsidRPr="00D21E83">
        <w:t>, </w:t>
      </w:r>
      <w:r w:rsidRPr="00D21E83">
        <w:rPr>
          <w:i/>
          <w:iCs/>
        </w:rPr>
        <w:t>45</w:t>
      </w:r>
      <w:r w:rsidRPr="00D21E83">
        <w:t>(6), pp.856-863.</w:t>
      </w:r>
    </w:p>
    <w:p w14:paraId="0B69D1E7" w14:textId="77777777" w:rsidR="001E6B14" w:rsidRDefault="001E6B14" w:rsidP="001E6B14">
      <w:r w:rsidRPr="00D21E83">
        <w:t>Bandura, A., 1986. Social foundations of thought and action. </w:t>
      </w:r>
      <w:r w:rsidRPr="00D21E83">
        <w:rPr>
          <w:i/>
          <w:iCs/>
        </w:rPr>
        <w:t>Englewood Cliffs, NJ</w:t>
      </w:r>
      <w:r w:rsidRPr="00D21E83">
        <w:t>, </w:t>
      </w:r>
      <w:r w:rsidRPr="00D21E83">
        <w:rPr>
          <w:i/>
          <w:iCs/>
        </w:rPr>
        <w:t>1986</w:t>
      </w:r>
      <w:r w:rsidRPr="00D21E83">
        <w:t>(23-28), p.2.</w:t>
      </w:r>
    </w:p>
    <w:p w14:paraId="75A6327A" w14:textId="77777777" w:rsidR="001E6B14" w:rsidRDefault="001E6B14" w:rsidP="001E6B14">
      <w:r w:rsidRPr="00D21E83">
        <w:t>Banerjee, S. and Wittenberg, R., 2009. Clinical and cost effectiveness of services for early diagnosis and intervention in dementia. </w:t>
      </w:r>
      <w:r w:rsidRPr="00D21E83">
        <w:rPr>
          <w:i/>
          <w:iCs/>
        </w:rPr>
        <w:t>International Journal of Geriatric Psychiatry: A journal of the psychiatry of late life and allied sciences</w:t>
      </w:r>
      <w:r w:rsidRPr="00D21E83">
        <w:t>, </w:t>
      </w:r>
      <w:r w:rsidRPr="00D21E83">
        <w:rPr>
          <w:i/>
          <w:iCs/>
        </w:rPr>
        <w:t>24</w:t>
      </w:r>
      <w:r w:rsidRPr="00D21E83">
        <w:t>(7), pp.748-754.</w:t>
      </w:r>
    </w:p>
    <w:p w14:paraId="03EB6EEE" w14:textId="77777777" w:rsidR="001E6B14" w:rsidRDefault="001E6B14" w:rsidP="001E6B14">
      <w:r w:rsidRPr="00D21E83">
        <w:t>Banerjee, S., Smith, S.C., Lamping, D.L., Harwood, R.H., Foley, B., Smith, P., Murray, J., Prince, M., Levin, E., Mann, A. and Knapp, M., 200</w:t>
      </w:r>
      <w:r>
        <w:t>9</w:t>
      </w:r>
      <w:r w:rsidRPr="00D21E83">
        <w:t>. Quality of life in dementia: more than just cognition. An analysis of associations with quality of life in dementia. </w:t>
      </w:r>
      <w:r w:rsidRPr="00D21E83">
        <w:rPr>
          <w:i/>
          <w:iCs/>
        </w:rPr>
        <w:t>Journal of Neurology, Neurosurgery &amp; Psychiatry</w:t>
      </w:r>
      <w:r w:rsidRPr="00D21E83">
        <w:t>, </w:t>
      </w:r>
      <w:r w:rsidRPr="00D21E83">
        <w:rPr>
          <w:i/>
          <w:iCs/>
        </w:rPr>
        <w:t>77</w:t>
      </w:r>
      <w:r w:rsidRPr="00D21E83">
        <w:t>(2), pp.146-148.</w:t>
      </w:r>
    </w:p>
    <w:p w14:paraId="7A0B56A2" w14:textId="77777777" w:rsidR="001E6B14" w:rsidRDefault="001E6B14" w:rsidP="001E6B14">
      <w:r w:rsidRPr="00D21E83">
        <w:t>Boyle, D., Coote, A., Sherwood, C. and Slay, J., 2010. Right here, right now. </w:t>
      </w:r>
      <w:r w:rsidRPr="00D21E83">
        <w:rPr>
          <w:i/>
          <w:iCs/>
        </w:rPr>
        <w:t>Taking co-production into the mainstream</w:t>
      </w:r>
      <w:r w:rsidRPr="00D21E83">
        <w:t>, p.23.</w:t>
      </w:r>
    </w:p>
    <w:p w14:paraId="20076B35" w14:textId="77777777" w:rsidR="001E6B14" w:rsidRDefault="001E6B14" w:rsidP="001E6B14">
      <w:r w:rsidRPr="00D21E83">
        <w:lastRenderedPageBreak/>
        <w:t>Braun, V. and Clarke, V., 2006. Using thematic analysis in psychology. </w:t>
      </w:r>
      <w:r w:rsidRPr="00D21E83">
        <w:rPr>
          <w:i/>
          <w:iCs/>
        </w:rPr>
        <w:t>Qualitative research in psychology</w:t>
      </w:r>
      <w:r w:rsidRPr="00D21E83">
        <w:t>, </w:t>
      </w:r>
      <w:r w:rsidRPr="00D21E83">
        <w:rPr>
          <w:i/>
          <w:iCs/>
        </w:rPr>
        <w:t>3</w:t>
      </w:r>
      <w:r w:rsidRPr="00D21E83">
        <w:t>(2), pp.77-101.</w:t>
      </w:r>
    </w:p>
    <w:p w14:paraId="57A88886" w14:textId="77777777" w:rsidR="001E6B14" w:rsidRDefault="001E6B14" w:rsidP="001E6B14">
      <w:r w:rsidRPr="0004004B">
        <w:t>Bronfenbrenner, U., 1979. </w:t>
      </w:r>
      <w:r w:rsidRPr="0004004B">
        <w:rPr>
          <w:i/>
          <w:iCs/>
        </w:rPr>
        <w:t>The ecology of human development: Experiments by nature and design</w:t>
      </w:r>
      <w:r w:rsidRPr="0004004B">
        <w:t xml:space="preserve">. Harvard </w:t>
      </w:r>
      <w:r>
        <w:t>University Press</w:t>
      </w:r>
      <w:r w:rsidRPr="0004004B">
        <w:t>.</w:t>
      </w:r>
    </w:p>
    <w:p w14:paraId="778A6653" w14:textId="77777777" w:rsidR="001E6B14" w:rsidRDefault="001E6B14" w:rsidP="001E6B14">
      <w:r w:rsidRPr="0004004B">
        <w:t>Brown, C.P., Ku, D.H., Barry, D.P. and Puckett, K., 2022. Examining preservice teachers’ conceptions of teaching to consider the impact of policymakers’ neoliberal reforms on their sensemaking of their new profession. </w:t>
      </w:r>
      <w:r w:rsidRPr="0004004B">
        <w:rPr>
          <w:i/>
          <w:iCs/>
        </w:rPr>
        <w:t>Journal of Teacher Education</w:t>
      </w:r>
      <w:r w:rsidRPr="0004004B">
        <w:t>, </w:t>
      </w:r>
      <w:r w:rsidRPr="0004004B">
        <w:rPr>
          <w:i/>
          <w:iCs/>
        </w:rPr>
        <w:t>73</w:t>
      </w:r>
      <w:r w:rsidRPr="0004004B">
        <w:t>(5), pp.463-478.</w:t>
      </w:r>
    </w:p>
    <w:p w14:paraId="138482B4" w14:textId="77777777" w:rsidR="001E6B14" w:rsidRDefault="001E6B14" w:rsidP="001E6B14">
      <w:r w:rsidRPr="00BD6E8E">
        <w:t xml:space="preserve">Bucci, S., </w:t>
      </w:r>
      <w:proofErr w:type="spellStart"/>
      <w:r w:rsidRPr="00BD6E8E">
        <w:t>Schwannauer</w:t>
      </w:r>
      <w:proofErr w:type="spellEnd"/>
      <w:r w:rsidRPr="00BD6E8E">
        <w:t>, M. and Berry, N., 2019. The digital revolution and its impact on mental health care. </w:t>
      </w:r>
      <w:r w:rsidRPr="00BD6E8E">
        <w:rPr>
          <w:i/>
          <w:iCs/>
        </w:rPr>
        <w:t>Psychology and Psychotherapy: Theory, Research and Practice</w:t>
      </w:r>
      <w:r w:rsidRPr="00BD6E8E">
        <w:t>, </w:t>
      </w:r>
      <w:r w:rsidRPr="00BD6E8E">
        <w:rPr>
          <w:i/>
          <w:iCs/>
        </w:rPr>
        <w:t>92</w:t>
      </w:r>
      <w:r w:rsidRPr="00BD6E8E">
        <w:t>(2), pp.277-297.</w:t>
      </w:r>
    </w:p>
    <w:p w14:paraId="5D96F34E" w14:textId="77777777" w:rsidR="001E6B14" w:rsidRDefault="001E6B14" w:rsidP="001E6B14">
      <w:r w:rsidRPr="0004004B">
        <w:t xml:space="preserve">Campbell, C., Wood, R. and Kelly, M., </w:t>
      </w:r>
      <w:r>
        <w:t>2000</w:t>
      </w:r>
      <w:r w:rsidRPr="0004004B">
        <w:t>. </w:t>
      </w:r>
      <w:r w:rsidRPr="0004004B">
        <w:rPr>
          <w:i/>
          <w:iCs/>
        </w:rPr>
        <w:t>Social capital and health</w:t>
      </w:r>
      <w:r w:rsidRPr="0004004B">
        <w:t>. Health Education Authority (Great Britain).</w:t>
      </w:r>
    </w:p>
    <w:p w14:paraId="0300CEDB" w14:textId="77777777" w:rsidR="001E6B14" w:rsidRDefault="001E6B14" w:rsidP="001E6B14">
      <w:r w:rsidRPr="0004004B">
        <w:t>Carers, U.K., 202</w:t>
      </w:r>
      <w:r>
        <w:t>1</w:t>
      </w:r>
      <w:r w:rsidRPr="0004004B">
        <w:t>. Unseen and undervalued: The value of unpaid care provided to date during the COVID-19 pandemic. </w:t>
      </w:r>
      <w:r w:rsidRPr="0004004B">
        <w:rPr>
          <w:i/>
          <w:iCs/>
        </w:rPr>
        <w:t>London: Carers UK</w:t>
      </w:r>
      <w:r w:rsidRPr="0004004B">
        <w:t>.</w:t>
      </w:r>
    </w:p>
    <w:p w14:paraId="510C6107" w14:textId="77777777" w:rsidR="001E6B14" w:rsidRDefault="001E6B14" w:rsidP="001E6B14">
      <w:r w:rsidRPr="00093E4A">
        <w:t>Crenshaw, K., 1989. University of Chicago Legal Forum.</w:t>
      </w:r>
    </w:p>
    <w:p w14:paraId="62F32F99" w14:textId="77777777" w:rsidR="001E6B14" w:rsidRDefault="001E6B14" w:rsidP="001E6B14">
      <w:r w:rsidRPr="00FF06E4">
        <w:t>Creswell, J.W. and Creswell, J.D., 201</w:t>
      </w:r>
      <w:r>
        <w:t>8</w:t>
      </w:r>
      <w:r w:rsidRPr="00FF06E4">
        <w:t>. </w:t>
      </w:r>
      <w:r w:rsidRPr="00FF06E4">
        <w:rPr>
          <w:i/>
          <w:iCs/>
        </w:rPr>
        <w:t xml:space="preserve">Research design: Qualitative, quantitative, and mixed methods </w:t>
      </w:r>
      <w:proofErr w:type="gramStart"/>
      <w:r w:rsidRPr="00FF06E4">
        <w:rPr>
          <w:i/>
          <w:iCs/>
        </w:rPr>
        <w:t>approaches</w:t>
      </w:r>
      <w:proofErr w:type="gramEnd"/>
      <w:r w:rsidRPr="00FF06E4">
        <w:t>. Sage publications.</w:t>
      </w:r>
    </w:p>
    <w:p w14:paraId="2675DA33" w14:textId="77777777" w:rsidR="001E6B14" w:rsidRPr="00D75494" w:rsidRDefault="001E6B14" w:rsidP="001E6B14">
      <w:r w:rsidRPr="00D75494">
        <w:t xml:space="preserve">Critical Appraisal Skills Programme (CASP). 2018. CASP Checklists. Available at: </w:t>
      </w:r>
      <w:hyperlink r:id="rId12" w:tgtFrame="_blank" w:history="1">
        <w:r w:rsidRPr="00D75494">
          <w:rPr>
            <w:rStyle w:val="Hyperlink"/>
          </w:rPr>
          <w:t>https://casp-uk.net/casp-tools-checklists/</w:t>
        </w:r>
      </w:hyperlink>
      <w:r w:rsidRPr="00D75494">
        <w:t xml:space="preserve"> [Accessed 20 July 2025].</w:t>
      </w:r>
    </w:p>
    <w:p w14:paraId="1240934C" w14:textId="77777777" w:rsidR="001E6B14" w:rsidRDefault="001E6B14" w:rsidP="001E6B14">
      <w:r w:rsidRPr="0004004B">
        <w:t>De Haas, H., Castles, S. and Miller, M.J., 2019. </w:t>
      </w:r>
      <w:r w:rsidRPr="0004004B">
        <w:rPr>
          <w:i/>
          <w:iCs/>
        </w:rPr>
        <w:t>The age of migration: International population movements in the modern world</w:t>
      </w:r>
      <w:r w:rsidRPr="0004004B">
        <w:t>. Bloomsbury Publishing.</w:t>
      </w:r>
    </w:p>
    <w:p w14:paraId="525F89FF" w14:textId="77777777" w:rsidR="001E6B14" w:rsidRDefault="001E6B14" w:rsidP="001E6B14">
      <w:r w:rsidRPr="000F3166">
        <w:t>Doyle, N., McDowall, A. and Waseem, U., 20</w:t>
      </w:r>
      <w:r>
        <w:t>16</w:t>
      </w:r>
      <w:r w:rsidRPr="000F3166">
        <w:t xml:space="preserve">. Intersectional stigma for autistic people at work: A compound adverse impact effect on </w:t>
      </w:r>
      <w:proofErr w:type="spellStart"/>
      <w:r w:rsidRPr="000F3166">
        <w:t>labor</w:t>
      </w:r>
      <w:proofErr w:type="spellEnd"/>
      <w:r w:rsidRPr="000F3166">
        <w:t xml:space="preserve"> force participation and experiences of belonging. </w:t>
      </w:r>
      <w:r w:rsidRPr="000F3166">
        <w:rPr>
          <w:i/>
          <w:iCs/>
        </w:rPr>
        <w:t>Autism in Adulthood</w:t>
      </w:r>
      <w:r w:rsidRPr="000F3166">
        <w:t>, </w:t>
      </w:r>
      <w:r w:rsidRPr="000F3166">
        <w:rPr>
          <w:i/>
          <w:iCs/>
        </w:rPr>
        <w:t>4</w:t>
      </w:r>
      <w:r w:rsidRPr="000F3166">
        <w:t>(4), pp.340-356.</w:t>
      </w:r>
    </w:p>
    <w:p w14:paraId="363DEF1A" w14:textId="77777777" w:rsidR="001E6B14" w:rsidRDefault="001E6B14" w:rsidP="001E6B14">
      <w:r w:rsidRPr="000F3166">
        <w:t>Esping-Andersen, G., 1999. </w:t>
      </w:r>
      <w:r w:rsidRPr="000F3166">
        <w:rPr>
          <w:i/>
          <w:iCs/>
        </w:rPr>
        <w:t xml:space="preserve">Social foundations of </w:t>
      </w:r>
      <w:proofErr w:type="spellStart"/>
      <w:r w:rsidRPr="000F3166">
        <w:rPr>
          <w:i/>
          <w:iCs/>
        </w:rPr>
        <w:t>postindustrial</w:t>
      </w:r>
      <w:proofErr w:type="spellEnd"/>
      <w:r w:rsidRPr="000F3166">
        <w:rPr>
          <w:i/>
          <w:iCs/>
        </w:rPr>
        <w:t xml:space="preserve"> economies</w:t>
      </w:r>
      <w:r w:rsidRPr="000F3166">
        <w:t>. Oxford university press.</w:t>
      </w:r>
    </w:p>
    <w:p w14:paraId="010A8EC4" w14:textId="77777777" w:rsidR="001E6B14" w:rsidRDefault="001E6B14" w:rsidP="001E6B14">
      <w:r w:rsidRPr="000F3166">
        <w:t xml:space="preserve">Evans, S., Evans, S., Brooker, D., Henderson, C., </w:t>
      </w:r>
      <w:proofErr w:type="spellStart"/>
      <w:r w:rsidRPr="000F3166">
        <w:t>Szcześniak</w:t>
      </w:r>
      <w:proofErr w:type="spellEnd"/>
      <w:r w:rsidRPr="000F3166">
        <w:t xml:space="preserve">, D., Atkinson, T., Bray, J., Amritpal, R., </w:t>
      </w:r>
      <w:proofErr w:type="spellStart"/>
      <w:r w:rsidRPr="000F3166">
        <w:t>Saibene</w:t>
      </w:r>
      <w:proofErr w:type="spellEnd"/>
      <w:r w:rsidRPr="000F3166">
        <w:t xml:space="preserve">, F.L., </w:t>
      </w:r>
      <w:proofErr w:type="spellStart"/>
      <w:r w:rsidRPr="000F3166">
        <w:t>d’Arma</w:t>
      </w:r>
      <w:proofErr w:type="spellEnd"/>
      <w:r w:rsidRPr="000F3166">
        <w:t xml:space="preserve">, A. and </w:t>
      </w:r>
      <w:proofErr w:type="spellStart"/>
      <w:r w:rsidRPr="000F3166">
        <w:t>Scorolli</w:t>
      </w:r>
      <w:proofErr w:type="spellEnd"/>
      <w:r w:rsidRPr="000F3166">
        <w:t>, C., 2020. The impact of the implementation of the Dutch combined Meeting Centres Support Programme for family caregivers of people with dementia in Italy, Poland and UK. </w:t>
      </w:r>
      <w:r w:rsidRPr="000F3166">
        <w:rPr>
          <w:i/>
          <w:iCs/>
        </w:rPr>
        <w:t>Aging &amp; Mental Health</w:t>
      </w:r>
      <w:r w:rsidRPr="000F3166">
        <w:t>, </w:t>
      </w:r>
      <w:r w:rsidRPr="000F3166">
        <w:rPr>
          <w:i/>
          <w:iCs/>
        </w:rPr>
        <w:t>24</w:t>
      </w:r>
      <w:r w:rsidRPr="000F3166">
        <w:t>(2), pp.280-290.</w:t>
      </w:r>
    </w:p>
    <w:p w14:paraId="0D13B246" w14:textId="77777777" w:rsidR="001E6B14" w:rsidRDefault="001E6B14" w:rsidP="001E6B14">
      <w:r w:rsidRPr="000F3166">
        <w:lastRenderedPageBreak/>
        <w:t>Foucault, M., 1977. Discipline and punish Penguin.</w:t>
      </w:r>
    </w:p>
    <w:p w14:paraId="47AADC55" w14:textId="77777777" w:rsidR="001E6B14" w:rsidRDefault="001E6B14" w:rsidP="001E6B14">
      <w:r w:rsidRPr="00916D3F">
        <w:t xml:space="preserve">Giebel, C., Lord, K., Cooper, C., Shenton, J., Cannon, J., Pulford, D., Shaw, L., Gaughan, A., Tetlow, H., </w:t>
      </w:r>
      <w:proofErr w:type="spellStart"/>
      <w:r w:rsidRPr="00916D3F">
        <w:t>Butchard</w:t>
      </w:r>
      <w:proofErr w:type="spellEnd"/>
      <w:r w:rsidRPr="00916D3F">
        <w:t>, S. and Limbert, S., 2021. A UK survey of COVID</w:t>
      </w:r>
      <w:r w:rsidRPr="00916D3F">
        <w:rPr>
          <w:rFonts w:ascii="Cambria Math" w:hAnsi="Cambria Math" w:cs="Cambria Math"/>
        </w:rPr>
        <w:t>‐</w:t>
      </w:r>
      <w:r w:rsidRPr="00916D3F">
        <w:t>19 related social support closures and their effects on older people, people with dementia, and carers.</w:t>
      </w:r>
      <w:r w:rsidRPr="00916D3F">
        <w:rPr>
          <w:rFonts w:cs="Arial"/>
        </w:rPr>
        <w:t> </w:t>
      </w:r>
      <w:r w:rsidRPr="00916D3F">
        <w:rPr>
          <w:i/>
          <w:iCs/>
        </w:rPr>
        <w:t>International journal of geriatric psychiatry</w:t>
      </w:r>
      <w:r w:rsidRPr="00916D3F">
        <w:t>, </w:t>
      </w:r>
      <w:r w:rsidRPr="00916D3F">
        <w:rPr>
          <w:i/>
          <w:iCs/>
        </w:rPr>
        <w:t>36</w:t>
      </w:r>
      <w:r w:rsidRPr="00916D3F">
        <w:t>(3), pp.393-402.</w:t>
      </w:r>
    </w:p>
    <w:p w14:paraId="00D37100" w14:textId="77777777" w:rsidR="001E6B14" w:rsidRPr="00732DA0" w:rsidRDefault="001E6B14" w:rsidP="001E6B14">
      <w:r w:rsidRPr="00732DA0">
        <w:t>Gough, D., Thomas, J. and Oliver, S., 2017. An introduction to systematic reviews.</w:t>
      </w:r>
    </w:p>
    <w:p w14:paraId="4AA2CD23" w14:textId="77777777" w:rsidR="001E6B14" w:rsidRDefault="001E6B14" w:rsidP="001E6B14">
      <w:r w:rsidRPr="00093E4A">
        <w:t>Iliffe, S., Wilcock, J., Drennan, V., Goodman, C., Griffin, M., Knapp, M., Lowery, D., Manthorpe, J., Rait, G. and Warner, J., 2015. Changing practice in dementia care in the community: developing and testing evidence-based interventions, from timely diagnosis to end of life (EVIDEM). </w:t>
      </w:r>
      <w:r w:rsidRPr="00093E4A">
        <w:rPr>
          <w:i/>
          <w:iCs/>
        </w:rPr>
        <w:t>Programme Grants for Applied Research</w:t>
      </w:r>
      <w:r w:rsidRPr="00093E4A">
        <w:t>, </w:t>
      </w:r>
      <w:r w:rsidRPr="00093E4A">
        <w:rPr>
          <w:i/>
          <w:iCs/>
        </w:rPr>
        <w:t>3</w:t>
      </w:r>
      <w:r w:rsidRPr="00093E4A">
        <w:t>(3).</w:t>
      </w:r>
    </w:p>
    <w:p w14:paraId="62A4A423" w14:textId="77777777" w:rsidR="001E6B14" w:rsidRDefault="001E6B14" w:rsidP="001E6B14">
      <w:r w:rsidRPr="003B7571">
        <w:t xml:space="preserve">Innes, A., Morgan, D. and </w:t>
      </w:r>
      <w:proofErr w:type="spellStart"/>
      <w:r w:rsidRPr="003B7571">
        <w:t>Kostineuk</w:t>
      </w:r>
      <w:proofErr w:type="spellEnd"/>
      <w:r w:rsidRPr="003B7571">
        <w:t>, J., 201</w:t>
      </w:r>
      <w:r>
        <w:t>4</w:t>
      </w:r>
      <w:r w:rsidRPr="003B7571">
        <w:t>. Dementia care in rural and remote settings: a systematic review of informal/family caregiving. </w:t>
      </w:r>
      <w:proofErr w:type="spellStart"/>
      <w:r w:rsidRPr="003B7571">
        <w:rPr>
          <w:i/>
          <w:iCs/>
        </w:rPr>
        <w:t>Maturitas</w:t>
      </w:r>
      <w:proofErr w:type="spellEnd"/>
      <w:r w:rsidRPr="003B7571">
        <w:t>, </w:t>
      </w:r>
      <w:r w:rsidRPr="003B7571">
        <w:rPr>
          <w:i/>
          <w:iCs/>
        </w:rPr>
        <w:t>68</w:t>
      </w:r>
      <w:r w:rsidRPr="003B7571">
        <w:t>(1), pp.34-46.</w:t>
      </w:r>
    </w:p>
    <w:p w14:paraId="6139B1A6" w14:textId="77777777" w:rsidR="001E6B14" w:rsidRDefault="001E6B14" w:rsidP="001E6B14">
      <w:r w:rsidRPr="003B7571">
        <w:t>Jesson, J., Lacey, F.M. and Matheson, L., 2011. Doing your literature review: Traditional and systematic techniques.</w:t>
      </w:r>
    </w:p>
    <w:p w14:paraId="7D610C76" w14:textId="77777777" w:rsidR="001E6B14" w:rsidRDefault="001E6B14" w:rsidP="001E6B14">
      <w:r w:rsidRPr="00DD33B5">
        <w:t>Keady, J., Campbell, S., Barnes, H., Ward, R., Li, X., Swarbrick, C., Burrow, S. and Elvish, R., 2012. Neighbourhoods and dementia in the health and social care context: a realist review of the literature and implications for UK policy development. </w:t>
      </w:r>
      <w:r w:rsidRPr="00DD33B5">
        <w:rPr>
          <w:i/>
          <w:iCs/>
        </w:rPr>
        <w:t>Reviews in Clinical Gerontology</w:t>
      </w:r>
      <w:r w:rsidRPr="00DD33B5">
        <w:t>, </w:t>
      </w:r>
      <w:r w:rsidRPr="00DD33B5">
        <w:rPr>
          <w:i/>
          <w:iCs/>
        </w:rPr>
        <w:t>22</w:t>
      </w:r>
      <w:r w:rsidRPr="00DD33B5">
        <w:t>(2), pp.150-163.</w:t>
      </w:r>
    </w:p>
    <w:p w14:paraId="0F27FEEF" w14:textId="77777777" w:rsidR="001E6B14" w:rsidRDefault="001E6B14" w:rsidP="001E6B14">
      <w:r w:rsidRPr="00DD33B5">
        <w:t>Knapp, M., King, D., Romeo, R., Schehl, B., Barber, J., Griffin, M., Rapaport, P., Livingston, D., Mummery, C., Walker, Z. and Hoe, J., 2013. Cost effectiveness of a manual based coping strategy programme in promoting the mental health of family carers of people with dementia (the START (</w:t>
      </w:r>
      <w:proofErr w:type="spellStart"/>
      <w:r w:rsidRPr="00DD33B5">
        <w:t>STrAtegies</w:t>
      </w:r>
      <w:proofErr w:type="spellEnd"/>
      <w:r w:rsidRPr="00DD33B5">
        <w:t xml:space="preserve"> for </w:t>
      </w:r>
      <w:proofErr w:type="spellStart"/>
      <w:r w:rsidRPr="00DD33B5">
        <w:t>RelaTives</w:t>
      </w:r>
      <w:proofErr w:type="spellEnd"/>
      <w:r w:rsidRPr="00DD33B5">
        <w:t>) study): a pragmatic randomised controlled trial. </w:t>
      </w:r>
      <w:proofErr w:type="spellStart"/>
      <w:r w:rsidRPr="00DD33B5">
        <w:rPr>
          <w:i/>
          <w:iCs/>
        </w:rPr>
        <w:t>Bmj</w:t>
      </w:r>
      <w:proofErr w:type="spellEnd"/>
      <w:r w:rsidRPr="00DD33B5">
        <w:t>, </w:t>
      </w:r>
      <w:r w:rsidRPr="00DD33B5">
        <w:rPr>
          <w:i/>
          <w:iCs/>
        </w:rPr>
        <w:t>347</w:t>
      </w:r>
      <w:r w:rsidRPr="00DD33B5">
        <w:t>.</w:t>
      </w:r>
    </w:p>
    <w:p w14:paraId="0C6BD83D" w14:textId="77777777" w:rsidR="001E6B14" w:rsidRDefault="001E6B14" w:rsidP="001E6B14">
      <w:r w:rsidRPr="00DD33B5">
        <w:t>Lindauer, A. and Harvath, T.A., 2015. The meanings caregivers ascribe to dementia-related changes in care recipients: A meta-ethnography. </w:t>
      </w:r>
      <w:r w:rsidRPr="00DD33B5">
        <w:rPr>
          <w:i/>
          <w:iCs/>
        </w:rPr>
        <w:t>Research in Gerontological Nursing</w:t>
      </w:r>
      <w:r w:rsidRPr="00DD33B5">
        <w:t>, </w:t>
      </w:r>
      <w:r w:rsidRPr="00DD33B5">
        <w:rPr>
          <w:i/>
          <w:iCs/>
        </w:rPr>
        <w:t>8</w:t>
      </w:r>
      <w:r w:rsidRPr="00DD33B5">
        <w:t>(1), pp.39-48.</w:t>
      </w:r>
    </w:p>
    <w:p w14:paraId="20536598" w14:textId="77777777" w:rsidR="001E6B14" w:rsidRDefault="001E6B14" w:rsidP="001E6B14">
      <w:proofErr w:type="spellStart"/>
      <w:r w:rsidRPr="00D75494">
        <w:t>Lobbia</w:t>
      </w:r>
      <w:proofErr w:type="spellEnd"/>
      <w:r w:rsidRPr="00D75494">
        <w:t xml:space="preserve">, A., Carbone, E., </w:t>
      </w:r>
      <w:proofErr w:type="spellStart"/>
      <w:r w:rsidRPr="00D75494">
        <w:t>Faggian</w:t>
      </w:r>
      <w:proofErr w:type="spellEnd"/>
      <w:r w:rsidRPr="00D75494">
        <w:t xml:space="preserve">, S., Gardini, S., </w:t>
      </w:r>
      <w:proofErr w:type="spellStart"/>
      <w:r w:rsidRPr="00D75494">
        <w:t>Piras</w:t>
      </w:r>
      <w:proofErr w:type="spellEnd"/>
      <w:r w:rsidRPr="00D75494">
        <w:t>, F. and Borella, E.</w:t>
      </w:r>
      <w:r>
        <w:t xml:space="preserve">, </w:t>
      </w:r>
      <w:r w:rsidRPr="00D75494">
        <w:t>2019. The efficacy of cognitive stimulation therapy (CST) for people with mild-to-moderate dementia: A meta-analysis. Neuropsychology Review, 29(3), pp.278–294.</w:t>
      </w:r>
    </w:p>
    <w:p w14:paraId="3A6D2BFF" w14:textId="77777777" w:rsidR="001E6B14" w:rsidRDefault="001E6B14" w:rsidP="001E6B14">
      <w:proofErr w:type="spellStart"/>
      <w:r w:rsidRPr="006B3E6C">
        <w:lastRenderedPageBreak/>
        <w:t>Lwi</w:t>
      </w:r>
      <w:proofErr w:type="spellEnd"/>
      <w:r w:rsidRPr="006B3E6C">
        <w:t>, S.J., Ford, B.Q. and Levenson, R.W., 2023. Cultural differences in caring for people with dementia: a pilot study of concern about losing face and loneliness in Chinese American and European American caregivers. </w:t>
      </w:r>
      <w:r w:rsidRPr="006B3E6C">
        <w:rPr>
          <w:i/>
          <w:iCs/>
        </w:rPr>
        <w:t>Clinical gerontologist</w:t>
      </w:r>
      <w:r w:rsidRPr="006B3E6C">
        <w:t>, </w:t>
      </w:r>
      <w:r w:rsidRPr="006B3E6C">
        <w:rPr>
          <w:i/>
          <w:iCs/>
        </w:rPr>
        <w:t>46</w:t>
      </w:r>
      <w:r w:rsidRPr="006B3E6C">
        <w:t>(2), pp.207-222.</w:t>
      </w:r>
    </w:p>
    <w:p w14:paraId="093D9CD3" w14:textId="77777777" w:rsidR="001E6B14" w:rsidRDefault="001E6B14" w:rsidP="001E6B14">
      <w:r w:rsidRPr="00916D3F">
        <w:t xml:space="preserve">Marmot, M., 2020. Health equity in England: </w:t>
      </w:r>
      <w:proofErr w:type="gramStart"/>
      <w:r w:rsidRPr="00916D3F">
        <w:t>the</w:t>
      </w:r>
      <w:proofErr w:type="gramEnd"/>
      <w:r w:rsidRPr="00916D3F">
        <w:t xml:space="preserve"> Marmot review 10 years on. </w:t>
      </w:r>
      <w:proofErr w:type="spellStart"/>
      <w:r w:rsidRPr="00916D3F">
        <w:rPr>
          <w:i/>
          <w:iCs/>
        </w:rPr>
        <w:t>Bmj</w:t>
      </w:r>
      <w:proofErr w:type="spellEnd"/>
      <w:r w:rsidRPr="00916D3F">
        <w:t>, </w:t>
      </w:r>
      <w:r w:rsidRPr="00916D3F">
        <w:rPr>
          <w:i/>
          <w:iCs/>
        </w:rPr>
        <w:t>368</w:t>
      </w:r>
      <w:r w:rsidRPr="00916D3F">
        <w:t>.</w:t>
      </w:r>
    </w:p>
    <w:p w14:paraId="1BB5ED32" w14:textId="77777777" w:rsidR="001E6B14" w:rsidRDefault="001E6B14" w:rsidP="001E6B14">
      <w:r w:rsidRPr="00916D3F">
        <w:t>Maslow, A.H., 1943. A theory of human motivation. </w:t>
      </w:r>
      <w:r w:rsidRPr="00916D3F">
        <w:rPr>
          <w:i/>
          <w:iCs/>
        </w:rPr>
        <w:t>Psychological review</w:t>
      </w:r>
      <w:r w:rsidRPr="00916D3F">
        <w:t>, </w:t>
      </w:r>
      <w:r w:rsidRPr="00916D3F">
        <w:rPr>
          <w:i/>
          <w:iCs/>
        </w:rPr>
        <w:t>50</w:t>
      </w:r>
      <w:r w:rsidRPr="00916D3F">
        <w:t>(4), p.370.</w:t>
      </w:r>
    </w:p>
    <w:p w14:paraId="2D5966E4" w14:textId="77777777" w:rsidR="001E6B14" w:rsidRDefault="001E6B14" w:rsidP="001E6B14">
      <w:r w:rsidRPr="00916D3F">
        <w:t xml:space="preserve">McDermott, O., Charlesworth, G., </w:t>
      </w:r>
      <w:proofErr w:type="spellStart"/>
      <w:r w:rsidRPr="00916D3F">
        <w:t>Hogervorst</w:t>
      </w:r>
      <w:proofErr w:type="spellEnd"/>
      <w:r w:rsidRPr="00916D3F">
        <w:t>, E., Stoner, C., Moniz-Cook, E., Spector, A., Csipke, E. and Orrell, M., 2019. Psychosocial interventions for people with dementia: a synthesis of systematic reviews. </w:t>
      </w:r>
      <w:r w:rsidRPr="00916D3F">
        <w:rPr>
          <w:i/>
          <w:iCs/>
        </w:rPr>
        <w:t>Aging &amp; mental health</w:t>
      </w:r>
      <w:r w:rsidRPr="00916D3F">
        <w:t>, </w:t>
      </w:r>
      <w:r w:rsidRPr="00916D3F">
        <w:rPr>
          <w:i/>
          <w:iCs/>
        </w:rPr>
        <w:t>23</w:t>
      </w:r>
      <w:r w:rsidRPr="00916D3F">
        <w:t>(4), pp.393-403.</w:t>
      </w:r>
    </w:p>
    <w:p w14:paraId="59CCF67E" w14:textId="77777777" w:rsidR="001E6B14" w:rsidRDefault="001E6B14" w:rsidP="001E6B14">
      <w:r w:rsidRPr="0004004B">
        <w:t>McTavish, J.R., McKee, C., Tanaka, M. and MacMillan, H.L., 2022. Child welfare reform: A scoping review. </w:t>
      </w:r>
      <w:r w:rsidRPr="0004004B">
        <w:rPr>
          <w:i/>
          <w:iCs/>
        </w:rPr>
        <w:t>International journal of environmental research and public health</w:t>
      </w:r>
      <w:r w:rsidRPr="0004004B">
        <w:t>, </w:t>
      </w:r>
      <w:r w:rsidRPr="0004004B">
        <w:rPr>
          <w:i/>
          <w:iCs/>
        </w:rPr>
        <w:t>19</w:t>
      </w:r>
      <w:r w:rsidRPr="0004004B">
        <w:t>(21), p.14071.</w:t>
      </w:r>
    </w:p>
    <w:p w14:paraId="27192C6C" w14:textId="77777777" w:rsidR="001E6B14" w:rsidRDefault="001E6B14" w:rsidP="001E6B14">
      <w:proofErr w:type="spellStart"/>
      <w:r w:rsidRPr="00292C02">
        <w:t>Mioshi</w:t>
      </w:r>
      <w:proofErr w:type="spellEnd"/>
      <w:r w:rsidRPr="00292C02">
        <w:t>, E., Foxe, D., Leslie, F., Savage, S., Hsieh, S., Miller, L., Hodges, J.R. and Piguet, O., 2013. The impact of dementia severity on caregiver burden in frontotemporal dementia and Alzheimer disease. </w:t>
      </w:r>
      <w:r w:rsidRPr="00292C02">
        <w:rPr>
          <w:i/>
          <w:iCs/>
        </w:rPr>
        <w:t>Alzheimer Disease &amp; Associated Disorders</w:t>
      </w:r>
      <w:r w:rsidRPr="00292C02">
        <w:t>, </w:t>
      </w:r>
      <w:r w:rsidRPr="00292C02">
        <w:rPr>
          <w:i/>
          <w:iCs/>
        </w:rPr>
        <w:t>27</w:t>
      </w:r>
      <w:r w:rsidRPr="00292C02">
        <w:t>(1), pp.68-73.</w:t>
      </w:r>
    </w:p>
    <w:p w14:paraId="0BC9ED40" w14:textId="77777777" w:rsidR="001E6B14" w:rsidRDefault="001E6B14" w:rsidP="001E6B14">
      <w:r w:rsidRPr="00292C02">
        <w:t>Moriarty, J., Manthorpe, J. and Harris, J., 2019. Working on the edge: changes in the content and delivery of social care. </w:t>
      </w:r>
      <w:r w:rsidRPr="00292C02">
        <w:rPr>
          <w:i/>
          <w:iCs/>
        </w:rPr>
        <w:t>Working with Older People</w:t>
      </w:r>
      <w:r w:rsidRPr="00292C02">
        <w:t>, </w:t>
      </w:r>
      <w:r w:rsidRPr="00292C02">
        <w:rPr>
          <w:i/>
          <w:iCs/>
        </w:rPr>
        <w:t>23</w:t>
      </w:r>
      <w:r w:rsidRPr="00292C02">
        <w:t>(4), pp.208-216.</w:t>
      </w:r>
    </w:p>
    <w:p w14:paraId="5C9F64B3" w14:textId="77777777" w:rsidR="001E6B14" w:rsidRDefault="001E6B14" w:rsidP="001E6B14">
      <w:r w:rsidRPr="00292C02">
        <w:t>Moriarty, J., Sharif, N. and Robinson, J., 2011. SCIE Research Briefing 35: Black and minority ethnic people with dementia and their access to support and services.</w:t>
      </w:r>
    </w:p>
    <w:p w14:paraId="69E7068F" w14:textId="77777777" w:rsidR="001E6B14" w:rsidRPr="004216CB" w:rsidRDefault="001E6B14" w:rsidP="001E6B14">
      <w:r w:rsidRPr="004216CB">
        <w:t xml:space="preserve">NHS England. 2019. </w:t>
      </w:r>
      <w:r w:rsidRPr="004216CB">
        <w:rPr>
          <w:i/>
          <w:iCs/>
        </w:rPr>
        <w:t>The NHS Long Term Plan</w:t>
      </w:r>
      <w:r w:rsidRPr="004216CB">
        <w:t xml:space="preserve">. Available at: </w:t>
      </w:r>
      <w:hyperlink r:id="rId13" w:history="1">
        <w:r w:rsidRPr="00292C02">
          <w:rPr>
            <w:rStyle w:val="Hyperlink"/>
          </w:rPr>
          <w:t>https://www.longtermplan.nhs.uk/</w:t>
        </w:r>
      </w:hyperlink>
      <w:r w:rsidRPr="004216CB">
        <w:t xml:space="preserve"> [Accessed 26 July 2025].</w:t>
      </w:r>
    </w:p>
    <w:p w14:paraId="5EF38C7D" w14:textId="77777777" w:rsidR="001E6B14" w:rsidRPr="00D75494" w:rsidRDefault="001E6B14" w:rsidP="001E6B14">
      <w:r w:rsidRPr="009C0D00">
        <w:t>NHS England</w:t>
      </w:r>
      <w:r>
        <w:t xml:space="preserve">. </w:t>
      </w:r>
      <w:r w:rsidRPr="009C0D00">
        <w:t xml:space="preserve">2020. </w:t>
      </w:r>
      <w:r w:rsidRPr="009C0D00">
        <w:rPr>
          <w:i/>
          <w:iCs/>
        </w:rPr>
        <w:t>What are Integrated Care Systems?</w:t>
      </w:r>
      <w:r w:rsidRPr="009C0D00">
        <w:t xml:space="preserve"> Available at: </w:t>
      </w:r>
      <w:hyperlink r:id="rId14" w:tgtFrame="_blank" w:history="1">
        <w:r w:rsidRPr="009C0D00">
          <w:rPr>
            <w:rStyle w:val="Hyperlink"/>
          </w:rPr>
          <w:t>https://www.england.nhs.uk/integratedcare/</w:t>
        </w:r>
      </w:hyperlink>
      <w:r>
        <w:t xml:space="preserve"> </w:t>
      </w:r>
      <w:r w:rsidRPr="004216CB">
        <w:t>[Accessed 26 July 2025].</w:t>
      </w:r>
    </w:p>
    <w:p w14:paraId="406190DF" w14:textId="77777777" w:rsidR="001E6B14" w:rsidRPr="00D75494" w:rsidRDefault="001E6B14" w:rsidP="001E6B14">
      <w:r w:rsidRPr="00D75494">
        <w:t xml:space="preserve">NHS England. 2023. Integrated care systems and dementia: a guide for implementation. Available at: </w:t>
      </w:r>
      <w:hyperlink r:id="rId15" w:tgtFrame="_blank" w:history="1">
        <w:r w:rsidRPr="00D75494">
          <w:rPr>
            <w:rStyle w:val="Hyperlink"/>
          </w:rPr>
          <w:t>https://www.england.nhs.uk</w:t>
        </w:r>
      </w:hyperlink>
      <w:r w:rsidRPr="00D75494">
        <w:t xml:space="preserve"> [Accessed: 25 July 2025].</w:t>
      </w:r>
    </w:p>
    <w:p w14:paraId="79FF7F58" w14:textId="77777777" w:rsidR="001E6B14" w:rsidRPr="00D75494" w:rsidRDefault="001E6B14" w:rsidP="001E6B14">
      <w:r w:rsidRPr="00D75494">
        <w:t>NICE</w:t>
      </w:r>
      <w:r>
        <w:t xml:space="preserve">. </w:t>
      </w:r>
      <w:r w:rsidRPr="00D75494">
        <w:t xml:space="preserve">2018. Dementia: Assessment, management and support for people living with dementia and their </w:t>
      </w:r>
      <w:proofErr w:type="spellStart"/>
      <w:r w:rsidRPr="00D75494">
        <w:t>carers</w:t>
      </w:r>
      <w:proofErr w:type="spellEnd"/>
      <w:r w:rsidRPr="00D75494">
        <w:t xml:space="preserve">. NICE guideline [NG97]. Available at: </w:t>
      </w:r>
      <w:hyperlink r:id="rId16" w:tgtFrame="_blank" w:history="1">
        <w:r w:rsidRPr="00D75494">
          <w:rPr>
            <w:rStyle w:val="Hyperlink"/>
          </w:rPr>
          <w:t>https://www.nice.org.uk/guidance/ng97</w:t>
        </w:r>
      </w:hyperlink>
      <w:r w:rsidRPr="00D75494">
        <w:t xml:space="preserve"> [Accessed 24 July 2025].</w:t>
      </w:r>
    </w:p>
    <w:p w14:paraId="59C545FC" w14:textId="77777777" w:rsidR="001E6B14" w:rsidRDefault="001E6B14" w:rsidP="001E6B14">
      <w:r w:rsidRPr="00292C02">
        <w:t>Noble, H. and Smith, J., 2015. Issues of validity and reliability in qualitative research. </w:t>
      </w:r>
      <w:r w:rsidRPr="00292C02">
        <w:rPr>
          <w:i/>
          <w:iCs/>
        </w:rPr>
        <w:t>Evidence-based nursing</w:t>
      </w:r>
      <w:r w:rsidRPr="00292C02">
        <w:t>, </w:t>
      </w:r>
      <w:r w:rsidRPr="00292C02">
        <w:rPr>
          <w:i/>
          <w:iCs/>
        </w:rPr>
        <w:t>18</w:t>
      </w:r>
      <w:r w:rsidRPr="00292C02">
        <w:t>(2), pp.34-35.</w:t>
      </w:r>
    </w:p>
    <w:p w14:paraId="001AA77F" w14:textId="77777777" w:rsidR="001E6B14" w:rsidRDefault="001E6B14" w:rsidP="001E6B14">
      <w:r w:rsidRPr="00292C02">
        <w:lastRenderedPageBreak/>
        <w:t>Nowell, L.S., Norris, J.M., White, D.E. and Moules, N.J., 2017. Thematic analysis: Striving to meet the trustworthiness criteria. </w:t>
      </w:r>
      <w:r w:rsidRPr="00292C02">
        <w:rPr>
          <w:i/>
          <w:iCs/>
        </w:rPr>
        <w:t>International journal of qualitative methods</w:t>
      </w:r>
      <w:r w:rsidRPr="00292C02">
        <w:t>, </w:t>
      </w:r>
      <w:r w:rsidRPr="00292C02">
        <w:rPr>
          <w:i/>
          <w:iCs/>
        </w:rPr>
        <w:t>16</w:t>
      </w:r>
      <w:r w:rsidRPr="00292C02">
        <w:t>(1), p.1609406917733847.</w:t>
      </w:r>
    </w:p>
    <w:p w14:paraId="1998698A" w14:textId="77777777" w:rsidR="001E6B14" w:rsidRDefault="001E6B14" w:rsidP="001E6B14">
      <w:r w:rsidRPr="00292C02">
        <w:t>Orrell, M., Yates, L., Leung, P., Kang, S., Hoare, Z., Whitaker, C., Burns, A., Knapp, M., Leroi, I., Moniz-Cook, E. and Pearson, S., 2017. The impact of individual Cognitive Stimulation Therapy (</w:t>
      </w:r>
      <w:proofErr w:type="spellStart"/>
      <w:r w:rsidRPr="00292C02">
        <w:t>iCST</w:t>
      </w:r>
      <w:proofErr w:type="spellEnd"/>
      <w:r w:rsidRPr="00292C02">
        <w:t>) on cognition, quality of life, caregiver health, and family relationships in dementia: A randomised controlled trial. </w:t>
      </w:r>
      <w:proofErr w:type="spellStart"/>
      <w:r w:rsidRPr="00292C02">
        <w:rPr>
          <w:i/>
          <w:iCs/>
        </w:rPr>
        <w:t>PLoS</w:t>
      </w:r>
      <w:proofErr w:type="spellEnd"/>
      <w:r w:rsidRPr="00292C02">
        <w:rPr>
          <w:i/>
          <w:iCs/>
        </w:rPr>
        <w:t xml:space="preserve"> medicine</w:t>
      </w:r>
      <w:r w:rsidRPr="00292C02">
        <w:t>, </w:t>
      </w:r>
      <w:r w:rsidRPr="00292C02">
        <w:rPr>
          <w:i/>
          <w:iCs/>
        </w:rPr>
        <w:t>14</w:t>
      </w:r>
      <w:r w:rsidRPr="00292C02">
        <w:t>(3), p.e1002269.</w:t>
      </w:r>
    </w:p>
    <w:p w14:paraId="071581AB" w14:textId="77777777" w:rsidR="001E6B14" w:rsidRDefault="001E6B14" w:rsidP="001E6B14">
      <w:r w:rsidRPr="00D21E83">
        <w:t>Papaioannou, D., Sutton, A. and Booth, A., 2016. Systematic approaches to a successful literature review. </w:t>
      </w:r>
      <w:r w:rsidRPr="00D21E83">
        <w:rPr>
          <w:i/>
          <w:iCs/>
        </w:rPr>
        <w:t>Systematic approaches to a successful literature review</w:t>
      </w:r>
      <w:r w:rsidRPr="00D21E83">
        <w:t>, pp.1-336.</w:t>
      </w:r>
    </w:p>
    <w:p w14:paraId="5F1C373F" w14:textId="77777777" w:rsidR="001E6B14" w:rsidRDefault="001E6B14" w:rsidP="001E6B14">
      <w:r w:rsidRPr="00292C02">
        <w:t>Park, D.C. and Reuter-Lorenz, P., 2009. The adaptive brain: aging and neurocognitive scaffolding. </w:t>
      </w:r>
      <w:r w:rsidRPr="00292C02">
        <w:rPr>
          <w:i/>
          <w:iCs/>
        </w:rPr>
        <w:t>Annual review of psychology</w:t>
      </w:r>
      <w:r w:rsidRPr="00292C02">
        <w:t>, </w:t>
      </w:r>
      <w:r w:rsidRPr="00292C02">
        <w:rPr>
          <w:i/>
          <w:iCs/>
        </w:rPr>
        <w:t>60</w:t>
      </w:r>
      <w:r w:rsidRPr="00292C02">
        <w:t>(1), pp.173-196.</w:t>
      </w:r>
    </w:p>
    <w:p w14:paraId="58804BC6" w14:textId="77777777" w:rsidR="001E6B14" w:rsidRDefault="001E6B14" w:rsidP="001E6B14">
      <w:r w:rsidRPr="00292C02">
        <w:t xml:space="preserve">Parveen, S. and </w:t>
      </w:r>
      <w:proofErr w:type="spellStart"/>
      <w:r w:rsidRPr="00292C02">
        <w:t>Oyebode</w:t>
      </w:r>
      <w:proofErr w:type="spellEnd"/>
      <w:r w:rsidRPr="00292C02">
        <w:t>, J., 2018. Dementia and minority ethnic carers. </w:t>
      </w:r>
      <w:r w:rsidRPr="00292C02">
        <w:rPr>
          <w:i/>
          <w:iCs/>
        </w:rPr>
        <w:t>Better health briefing</w:t>
      </w:r>
      <w:r w:rsidRPr="00292C02">
        <w:t>, </w:t>
      </w:r>
      <w:r w:rsidRPr="00292C02">
        <w:rPr>
          <w:i/>
          <w:iCs/>
        </w:rPr>
        <w:t>46</w:t>
      </w:r>
      <w:r w:rsidRPr="00292C02">
        <w:t>, p.12.</w:t>
      </w:r>
    </w:p>
    <w:p w14:paraId="4CE7DFD1" w14:textId="77777777" w:rsidR="001E6B14" w:rsidRDefault="001E6B14" w:rsidP="001E6B14">
      <w:proofErr w:type="spellStart"/>
      <w:r w:rsidRPr="00A4362E">
        <w:t>Pearlin</w:t>
      </w:r>
      <w:proofErr w:type="spellEnd"/>
      <w:r w:rsidRPr="00A4362E">
        <w:t>, L.I., Mullan, J.T., Semple, S.J. and Skaff, M.M., 1990. Caregiving and the stress process: An overview of concepts and their measures. </w:t>
      </w:r>
      <w:r w:rsidRPr="00A4362E">
        <w:rPr>
          <w:i/>
          <w:iCs/>
        </w:rPr>
        <w:t>The gerontologist</w:t>
      </w:r>
      <w:r w:rsidRPr="00A4362E">
        <w:t>, </w:t>
      </w:r>
      <w:r w:rsidRPr="00A4362E">
        <w:rPr>
          <w:i/>
          <w:iCs/>
        </w:rPr>
        <w:t>30</w:t>
      </w:r>
      <w:r w:rsidRPr="00A4362E">
        <w:t>(5), pp.583-594.</w:t>
      </w:r>
    </w:p>
    <w:p w14:paraId="76823C8C" w14:textId="77777777" w:rsidR="001E6B14" w:rsidRDefault="001E6B14" w:rsidP="001E6B14">
      <w:r w:rsidRPr="00A4362E">
        <w:t>Putnam, R.D., 2000. </w:t>
      </w:r>
      <w:r w:rsidRPr="00A4362E">
        <w:rPr>
          <w:i/>
          <w:iCs/>
        </w:rPr>
        <w:t>Bowling alone: The collapse and revival of American community</w:t>
      </w:r>
      <w:r w:rsidRPr="00A4362E">
        <w:t xml:space="preserve">. Simon and </w:t>
      </w:r>
      <w:proofErr w:type="spellStart"/>
      <w:r w:rsidRPr="00A4362E">
        <w:t>schuster</w:t>
      </w:r>
      <w:proofErr w:type="spellEnd"/>
      <w:r w:rsidRPr="00A4362E">
        <w:t>.</w:t>
      </w:r>
    </w:p>
    <w:p w14:paraId="7D59CF13" w14:textId="77777777" w:rsidR="001E6B14" w:rsidRPr="0035109C" w:rsidRDefault="001E6B14" w:rsidP="001E6B14">
      <w:r w:rsidRPr="00890605">
        <w:t>Resnik, D.B. 2020</w:t>
      </w:r>
      <w:r w:rsidRPr="00732DA0">
        <w:t>.</w:t>
      </w:r>
      <w:r w:rsidRPr="00890605">
        <w:t xml:space="preserve"> ‘What is ethics in research &amp; why is it important?’, </w:t>
      </w:r>
      <w:r w:rsidRPr="00890605">
        <w:rPr>
          <w:i/>
          <w:iCs/>
        </w:rPr>
        <w:t>National Institute of Environmental Health Sciences</w:t>
      </w:r>
      <w:r w:rsidRPr="00890605">
        <w:t xml:space="preserve">. Available at: </w:t>
      </w:r>
      <w:hyperlink r:id="rId17" w:history="1">
        <w:r w:rsidRPr="00890605">
          <w:rPr>
            <w:rStyle w:val="Hyperlink"/>
            <w:rFonts w:cs="Arial"/>
            <w:sz w:val="24"/>
            <w:szCs w:val="24"/>
          </w:rPr>
          <w:t>https://www.niehs.nih.gov/research/resources/bioethics/whatis/index.cfm</w:t>
        </w:r>
      </w:hyperlink>
      <w:r w:rsidRPr="00890605">
        <w:t xml:space="preserve"> (Accessed: 28 July 2025).</w:t>
      </w:r>
    </w:p>
    <w:p w14:paraId="796A14CB" w14:textId="77777777" w:rsidR="001E6B14" w:rsidRDefault="001E6B14" w:rsidP="001E6B14">
      <w:r w:rsidRPr="00FF06E4">
        <w:t>Ryan Richard, M. and Deci, E.L., 2000. Self-determination theory and the facilitation of intrinsic motivation, social development, and well-being. </w:t>
      </w:r>
      <w:r w:rsidRPr="00FF06E4">
        <w:rPr>
          <w:i/>
          <w:iCs/>
        </w:rPr>
        <w:t>American Psychologist</w:t>
      </w:r>
      <w:r w:rsidRPr="00FF06E4">
        <w:t>, </w:t>
      </w:r>
      <w:r w:rsidRPr="00FF06E4">
        <w:rPr>
          <w:i/>
          <w:iCs/>
        </w:rPr>
        <w:t>55</w:t>
      </w:r>
      <w:r w:rsidRPr="00FF06E4">
        <w:t>(1), pp.68-78.</w:t>
      </w:r>
    </w:p>
    <w:p w14:paraId="75ACAA8D" w14:textId="77777777" w:rsidR="001E6B14" w:rsidRDefault="001E6B14" w:rsidP="001E6B14">
      <w:r w:rsidRPr="00A4362E">
        <w:t>Sen, A., 1999. Development as Freedom Oxford University Press Shaw TM &amp; Heard. </w:t>
      </w:r>
      <w:r w:rsidRPr="00A4362E">
        <w:rPr>
          <w:i/>
          <w:iCs/>
        </w:rPr>
        <w:t>The Politics of Africa: Dependence and Development</w:t>
      </w:r>
      <w:r w:rsidRPr="00A4362E">
        <w:t>.</w:t>
      </w:r>
    </w:p>
    <w:p w14:paraId="7C17D855" w14:textId="77777777" w:rsidR="001E6B14" w:rsidRDefault="001E6B14" w:rsidP="001E6B14">
      <w:r w:rsidRPr="00A4362E">
        <w:t xml:space="preserve">Shakespeare, T., </w:t>
      </w:r>
      <w:proofErr w:type="spellStart"/>
      <w:r w:rsidRPr="00A4362E">
        <w:t>Zeilig</w:t>
      </w:r>
      <w:proofErr w:type="spellEnd"/>
      <w:r w:rsidRPr="00A4362E">
        <w:t>, H. and Mittler, P., 2019. Rights in mind: Thinking differently about dementia and disability. </w:t>
      </w:r>
      <w:r w:rsidRPr="00A4362E">
        <w:rPr>
          <w:i/>
          <w:iCs/>
        </w:rPr>
        <w:t>Dementia</w:t>
      </w:r>
      <w:r w:rsidRPr="00A4362E">
        <w:t>, </w:t>
      </w:r>
      <w:r w:rsidRPr="00A4362E">
        <w:rPr>
          <w:i/>
          <w:iCs/>
        </w:rPr>
        <w:t>18</w:t>
      </w:r>
      <w:r w:rsidRPr="00A4362E">
        <w:t>(3), pp.1075-1088.</w:t>
      </w:r>
    </w:p>
    <w:p w14:paraId="39D3317C" w14:textId="77777777" w:rsidR="001E6B14" w:rsidRDefault="001E6B14" w:rsidP="001E6B14">
      <w:r w:rsidRPr="00A4362E">
        <w:lastRenderedPageBreak/>
        <w:t>Spector, A., Orrell, M., Davies, S. and Woods, B., 200</w:t>
      </w:r>
      <w:r>
        <w:t>3</w:t>
      </w:r>
      <w:r w:rsidRPr="00A4362E">
        <w:t>. Can reality orientation be rehabilitated? Development and piloting of an evidence-based programme of cognition-based therapies for people with dementia. </w:t>
      </w:r>
      <w:r w:rsidRPr="00A4362E">
        <w:rPr>
          <w:i/>
          <w:iCs/>
        </w:rPr>
        <w:t>Neuropsychological Rehabilitation</w:t>
      </w:r>
      <w:r w:rsidRPr="00A4362E">
        <w:t>, </w:t>
      </w:r>
      <w:r w:rsidRPr="00A4362E">
        <w:rPr>
          <w:i/>
          <w:iCs/>
        </w:rPr>
        <w:t>11</w:t>
      </w:r>
      <w:r w:rsidRPr="00A4362E">
        <w:t>(3-4), pp.377-397.</w:t>
      </w:r>
    </w:p>
    <w:p w14:paraId="761E3E95" w14:textId="77777777" w:rsidR="001E6B14" w:rsidRDefault="001E6B14" w:rsidP="001E6B14">
      <w:r w:rsidRPr="00D94267">
        <w:t>Stanyon, M.R., Goldberg, S.E., Astle, A., Griffiths, A. and Gordon, A.L., 2017. The competencies of Registered Nurses working in care homes: a modified Delphi study. </w:t>
      </w:r>
      <w:r w:rsidRPr="00D94267">
        <w:rPr>
          <w:i/>
          <w:iCs/>
        </w:rPr>
        <w:t>Age and Ageing</w:t>
      </w:r>
      <w:r w:rsidRPr="00D94267">
        <w:t>, </w:t>
      </w:r>
      <w:r w:rsidRPr="00D94267">
        <w:rPr>
          <w:i/>
          <w:iCs/>
        </w:rPr>
        <w:t>46</w:t>
      </w:r>
      <w:r w:rsidRPr="00D94267">
        <w:t>(4), pp.582-588.</w:t>
      </w:r>
    </w:p>
    <w:p w14:paraId="0153C07C" w14:textId="77777777" w:rsidR="001E6B14" w:rsidRDefault="001E6B14" w:rsidP="001E6B14">
      <w:r w:rsidRPr="00D94267">
        <w:t>Tay, L. and Diener, E., 2011. Needs and subjective well-being around the world. </w:t>
      </w:r>
      <w:r w:rsidRPr="00D94267">
        <w:rPr>
          <w:i/>
          <w:iCs/>
        </w:rPr>
        <w:t xml:space="preserve">Journal of </w:t>
      </w:r>
      <w:r>
        <w:rPr>
          <w:i/>
          <w:iCs/>
        </w:rPr>
        <w:t>Personality</w:t>
      </w:r>
      <w:r w:rsidRPr="00D94267">
        <w:rPr>
          <w:i/>
          <w:iCs/>
        </w:rPr>
        <w:t xml:space="preserve"> and </w:t>
      </w:r>
      <w:r>
        <w:rPr>
          <w:i/>
          <w:iCs/>
        </w:rPr>
        <w:t>Social Psychology</w:t>
      </w:r>
      <w:r w:rsidRPr="00D94267">
        <w:t>, </w:t>
      </w:r>
      <w:r w:rsidRPr="00D94267">
        <w:rPr>
          <w:i/>
          <w:iCs/>
        </w:rPr>
        <w:t>101</w:t>
      </w:r>
      <w:r w:rsidRPr="00D94267">
        <w:t>(2), p.354.</w:t>
      </w:r>
    </w:p>
    <w:p w14:paraId="050C0D52" w14:textId="77777777" w:rsidR="001E6B14" w:rsidRDefault="001E6B14" w:rsidP="001E6B14">
      <w:r w:rsidRPr="00D94267">
        <w:t>Taylor-Gooby, P., 2013. The double crisis of the welfare state. In </w:t>
      </w:r>
      <w:r w:rsidRPr="00D94267">
        <w:rPr>
          <w:i/>
          <w:iCs/>
        </w:rPr>
        <w:t>The double crisis of the welfare state and what we can do about it</w:t>
      </w:r>
      <w:r w:rsidRPr="00D94267">
        <w:t> (pp. 1-25). London: Palgrave Macmillan UK.</w:t>
      </w:r>
    </w:p>
    <w:p w14:paraId="3A67C614" w14:textId="77777777" w:rsidR="001E6B14" w:rsidRDefault="001E6B14" w:rsidP="001E6B14">
      <w:r w:rsidRPr="00D94267">
        <w:t>Thane, P., 2016. </w:t>
      </w:r>
      <w:r w:rsidRPr="00D94267">
        <w:rPr>
          <w:i/>
          <w:iCs/>
        </w:rPr>
        <w:t>The foundations of the welfare state</w:t>
      </w:r>
      <w:r w:rsidRPr="00D94267">
        <w:t>. Routledge.</w:t>
      </w:r>
    </w:p>
    <w:p w14:paraId="3A26B096" w14:textId="77777777" w:rsidR="001E6B14" w:rsidRPr="004216CB" w:rsidRDefault="001E6B14" w:rsidP="001E6B14">
      <w:r w:rsidRPr="004216CB">
        <w:t xml:space="preserve">The Equality Act. 2010. </w:t>
      </w:r>
      <w:r w:rsidRPr="004216CB">
        <w:rPr>
          <w:i/>
          <w:iCs/>
        </w:rPr>
        <w:t>Equality Act 2010: Guidance</w:t>
      </w:r>
      <w:r w:rsidRPr="004216CB">
        <w:t>. London: HM Government.</w:t>
      </w:r>
      <w:r>
        <w:t xml:space="preserve"> </w:t>
      </w:r>
      <w:r w:rsidRPr="00D75494">
        <w:t>Available at:</w:t>
      </w:r>
      <w:r>
        <w:t xml:space="preserve"> </w:t>
      </w:r>
      <w:hyperlink r:id="rId18" w:anchor=":~:text=Equality%20Act%20provisions%20which%20came,work%2C%20education%2C%20associations%20and%20transport" w:history="1">
        <w:r w:rsidRPr="00F95248">
          <w:rPr>
            <w:rStyle w:val="Hyperlink"/>
          </w:rPr>
          <w:t>https://www.gov.uk/guidance/equality-act-2010-guidance#:~:text=Equality%20Act%20provisions%20which%20came,work%2C%20education%2C%20associations%20and%20transport</w:t>
        </w:r>
      </w:hyperlink>
      <w:r>
        <w:t xml:space="preserve"> </w:t>
      </w:r>
      <w:r w:rsidRPr="00D75494">
        <w:t>[Accessed: 25 July 2025].</w:t>
      </w:r>
    </w:p>
    <w:p w14:paraId="7951315F" w14:textId="77777777" w:rsidR="001E6B14" w:rsidRPr="00D75494" w:rsidRDefault="001E6B14" w:rsidP="001E6B14">
      <w:r w:rsidRPr="00D75494">
        <w:t xml:space="preserve">The King's Fund. 2022. Reimagining community services: Making the most of our assets. Available at: </w:t>
      </w:r>
      <w:hyperlink r:id="rId19" w:tgtFrame="_blank" w:history="1">
        <w:r w:rsidRPr="00D75494">
          <w:rPr>
            <w:rStyle w:val="Hyperlink"/>
          </w:rPr>
          <w:t>https://www.kingsfund.org.uk/publications/community-services-assets</w:t>
        </w:r>
      </w:hyperlink>
      <w:r w:rsidRPr="00D75494">
        <w:t xml:space="preserve"> [Accessed: 25 July 2025].</w:t>
      </w:r>
    </w:p>
    <w:p w14:paraId="3AE00345" w14:textId="77777777" w:rsidR="001E6B14" w:rsidRPr="00D75494" w:rsidRDefault="001E6B14" w:rsidP="001E6B14">
      <w:r w:rsidRPr="00292C02">
        <w:t>Warrick, N., Prorok, J.C. and Seitz, D., 2018. Care of community-dwelling older adults with dementia and their caregivers. </w:t>
      </w:r>
      <w:proofErr w:type="spellStart"/>
      <w:r w:rsidRPr="00292C02">
        <w:rPr>
          <w:i/>
          <w:iCs/>
        </w:rPr>
        <w:t>Cmaj</w:t>
      </w:r>
      <w:proofErr w:type="spellEnd"/>
      <w:r w:rsidRPr="00292C02">
        <w:t>, </w:t>
      </w:r>
      <w:r w:rsidRPr="00292C02">
        <w:rPr>
          <w:i/>
          <w:iCs/>
        </w:rPr>
        <w:t>190</w:t>
      </w:r>
      <w:r w:rsidRPr="00292C02">
        <w:t xml:space="preserve">(26), </w:t>
      </w:r>
      <w:proofErr w:type="gramStart"/>
      <w:r w:rsidRPr="00292C02">
        <w:t>pp.E</w:t>
      </w:r>
      <w:proofErr w:type="gramEnd"/>
      <w:r w:rsidRPr="00292C02">
        <w:t>794-E799.</w:t>
      </w:r>
    </w:p>
    <w:p w14:paraId="3EEA4E5A" w14:textId="77777777" w:rsidR="001E6B14" w:rsidRDefault="001E6B14" w:rsidP="001E6B14">
      <w:r w:rsidRPr="00AD0CA0">
        <w:t>Watson, J., Giebel, C., Green, M., Darlington</w:t>
      </w:r>
      <w:r w:rsidRPr="00AD0CA0">
        <w:rPr>
          <w:rFonts w:ascii="Cambria Math" w:hAnsi="Cambria Math" w:cs="Cambria Math"/>
        </w:rPr>
        <w:t>‐</w:t>
      </w:r>
      <w:r w:rsidRPr="00AD0CA0">
        <w:t>Pollock, F. and Akpan, A., 2021. Use of routine and cohort data globally in exploring dementia care pathways and inequalities: A systematic review.</w:t>
      </w:r>
    </w:p>
    <w:p w14:paraId="3DCC95D5" w14:textId="77777777" w:rsidR="001E6B14" w:rsidRDefault="001E6B14" w:rsidP="001E6B14">
      <w:r w:rsidRPr="00D94267">
        <w:t xml:space="preserve">Zhao, W., Wu, M.L., </w:t>
      </w:r>
      <w:proofErr w:type="spellStart"/>
      <w:r w:rsidRPr="00D94267">
        <w:t>Petsky</w:t>
      </w:r>
      <w:proofErr w:type="spellEnd"/>
      <w:r w:rsidRPr="00D94267">
        <w:t>, H. and Moyle, W., 2022. Family carers’ expectations regarding dementia care services and support in China: a qualitative study. </w:t>
      </w:r>
      <w:r w:rsidRPr="00D94267">
        <w:rPr>
          <w:i/>
          <w:iCs/>
        </w:rPr>
        <w:t>Dementia</w:t>
      </w:r>
      <w:r w:rsidRPr="00D94267">
        <w:t>, </w:t>
      </w:r>
      <w:r w:rsidRPr="00D94267">
        <w:rPr>
          <w:i/>
          <w:iCs/>
        </w:rPr>
        <w:t>21</w:t>
      </w:r>
      <w:r w:rsidRPr="00D94267">
        <w:t>(6), pp.2004-2019.</w:t>
      </w:r>
    </w:p>
    <w:p w14:paraId="796D96AA" w14:textId="77777777" w:rsidR="004216CB" w:rsidRDefault="004216CB" w:rsidP="004216CB"/>
    <w:p w14:paraId="58C8D491" w14:textId="77777777" w:rsidR="001E6B14" w:rsidRDefault="001E6B14" w:rsidP="004216CB"/>
    <w:p w14:paraId="431F207B" w14:textId="77777777" w:rsidR="001E6B14" w:rsidRDefault="001E6B14" w:rsidP="004216CB"/>
    <w:p w14:paraId="79891CCA" w14:textId="77777777" w:rsidR="001E6B14" w:rsidRPr="009C0D00" w:rsidRDefault="001E6B14" w:rsidP="004216CB"/>
    <w:p w14:paraId="2114BC1C" w14:textId="44D7E952" w:rsidR="006C3C02" w:rsidRDefault="004216CB" w:rsidP="00254EC4">
      <w:pPr>
        <w:pStyle w:val="Heading2"/>
      </w:pPr>
      <w:bookmarkStart w:id="32" w:name="_Toc204831453"/>
      <w:r w:rsidRPr="009C0D00">
        <w:lastRenderedPageBreak/>
        <w:t>6.2 – Appendices</w:t>
      </w:r>
      <w:bookmarkEnd w:id="32"/>
    </w:p>
    <w:p w14:paraId="4C0364F7" w14:textId="7F61D2E3" w:rsidR="00254EC4" w:rsidRDefault="006C3C02" w:rsidP="00254EC4">
      <w:pPr>
        <w:pStyle w:val="Heading3"/>
        <w:shd w:val="clear" w:color="auto" w:fill="FFFFFF"/>
        <w:spacing w:before="274" w:after="206"/>
        <w:rPr>
          <w:rFonts w:ascii="Segoe UI" w:hAnsi="Segoe UI" w:cs="Segoe UI"/>
          <w:color w:val="404040"/>
        </w:rPr>
      </w:pPr>
      <w:bookmarkStart w:id="33" w:name="_Toc204831454"/>
      <w:r>
        <w:rPr>
          <w:rStyle w:val="Strong"/>
          <w:rFonts w:ascii="Segoe UI" w:hAnsi="Segoe UI" w:cs="Segoe UI"/>
          <w:b w:val="0"/>
          <w:bCs w:val="0"/>
          <w:color w:val="404040"/>
        </w:rPr>
        <w:t>Thematic Chart:</w:t>
      </w:r>
      <w:bookmarkEnd w:id="33"/>
      <w:r>
        <w:rPr>
          <w:rStyle w:val="Strong"/>
          <w:rFonts w:ascii="Segoe UI" w:hAnsi="Segoe UI" w:cs="Segoe UI"/>
          <w:b w:val="0"/>
          <w:bCs w:val="0"/>
          <w:color w:val="404040"/>
        </w:rPr>
        <w:t xml:space="preserve"> </w:t>
      </w:r>
      <w:bookmarkEnd w:id="30"/>
      <w:r w:rsidR="0080626F">
        <w:rPr>
          <w:rFonts w:ascii="Segoe UI" w:hAnsi="Segoe UI" w:cs="Segoe UI"/>
          <w:color w:val="404040"/>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547"/>
        <w:gridCol w:w="2182"/>
        <w:gridCol w:w="3337"/>
        <w:gridCol w:w="2284"/>
      </w:tblGrid>
      <w:tr w:rsidR="0080626F" w:rsidRPr="00254EC4" w14:paraId="2511CD3A" w14:textId="77777777" w:rsidTr="00254EC4">
        <w:trPr>
          <w:tblHeader/>
        </w:trPr>
        <w:tc>
          <w:tcPr>
            <w:tcW w:w="0" w:type="auto"/>
            <w:shd w:val="clear" w:color="auto" w:fill="FFFFFF"/>
            <w:tcMar>
              <w:top w:w="150" w:type="dxa"/>
              <w:left w:w="0" w:type="dxa"/>
              <w:bottom w:w="150" w:type="dxa"/>
              <w:right w:w="150" w:type="dxa"/>
            </w:tcMar>
            <w:vAlign w:val="center"/>
            <w:hideMark/>
          </w:tcPr>
          <w:p w14:paraId="1841DF6A" w14:textId="77777777" w:rsidR="00254EC4" w:rsidRPr="00254EC4" w:rsidRDefault="00254EC4" w:rsidP="00254EC4">
            <w:pPr>
              <w:spacing w:after="0" w:line="240" w:lineRule="auto"/>
              <w:jc w:val="left"/>
              <w:rPr>
                <w:rFonts w:eastAsia="Times New Roman" w:cs="Arial"/>
                <w:b/>
                <w:bCs/>
                <w:color w:val="404040"/>
                <w:lang w:eastAsia="en-GB"/>
                <w14:ligatures w14:val="none"/>
              </w:rPr>
            </w:pPr>
            <w:r w:rsidRPr="00254EC4">
              <w:rPr>
                <w:rFonts w:eastAsia="Times New Roman" w:cs="Arial"/>
                <w:b/>
                <w:bCs/>
                <w:color w:val="404040"/>
                <w:lang w:eastAsia="en-GB"/>
                <w14:ligatures w14:val="none"/>
              </w:rPr>
              <w:t>Theme</w:t>
            </w:r>
          </w:p>
        </w:tc>
        <w:tc>
          <w:tcPr>
            <w:tcW w:w="0" w:type="auto"/>
            <w:shd w:val="clear" w:color="auto" w:fill="FFFFFF"/>
            <w:tcMar>
              <w:top w:w="150" w:type="dxa"/>
              <w:left w:w="150" w:type="dxa"/>
              <w:bottom w:w="150" w:type="dxa"/>
              <w:right w:w="150" w:type="dxa"/>
            </w:tcMar>
            <w:vAlign w:val="center"/>
            <w:hideMark/>
          </w:tcPr>
          <w:p w14:paraId="3224A68C" w14:textId="77777777" w:rsidR="00254EC4" w:rsidRPr="00254EC4" w:rsidRDefault="00254EC4" w:rsidP="00254EC4">
            <w:pPr>
              <w:spacing w:after="0" w:line="240" w:lineRule="auto"/>
              <w:jc w:val="left"/>
              <w:rPr>
                <w:rFonts w:eastAsia="Times New Roman" w:cs="Arial"/>
                <w:b/>
                <w:bCs/>
                <w:color w:val="404040"/>
                <w:lang w:eastAsia="en-GB"/>
                <w14:ligatures w14:val="none"/>
              </w:rPr>
            </w:pPr>
            <w:r w:rsidRPr="00254EC4">
              <w:rPr>
                <w:rFonts w:eastAsia="Times New Roman" w:cs="Arial"/>
                <w:b/>
                <w:bCs/>
                <w:color w:val="404040"/>
                <w:lang w:eastAsia="en-GB"/>
                <w14:ligatures w14:val="none"/>
              </w:rPr>
              <w:t>Key Sub-Themes</w:t>
            </w:r>
          </w:p>
        </w:tc>
        <w:tc>
          <w:tcPr>
            <w:tcW w:w="0" w:type="auto"/>
            <w:shd w:val="clear" w:color="auto" w:fill="FFFFFF"/>
            <w:tcMar>
              <w:top w:w="150" w:type="dxa"/>
              <w:left w:w="150" w:type="dxa"/>
              <w:bottom w:w="150" w:type="dxa"/>
              <w:right w:w="150" w:type="dxa"/>
            </w:tcMar>
            <w:vAlign w:val="center"/>
            <w:hideMark/>
          </w:tcPr>
          <w:p w14:paraId="431615D0" w14:textId="77777777" w:rsidR="00254EC4" w:rsidRPr="00254EC4" w:rsidRDefault="00254EC4" w:rsidP="00254EC4">
            <w:pPr>
              <w:spacing w:after="0" w:line="240" w:lineRule="auto"/>
              <w:jc w:val="left"/>
              <w:rPr>
                <w:rFonts w:eastAsia="Times New Roman" w:cs="Arial"/>
                <w:b/>
                <w:bCs/>
                <w:color w:val="404040"/>
                <w:lang w:eastAsia="en-GB"/>
                <w14:ligatures w14:val="none"/>
              </w:rPr>
            </w:pPr>
            <w:r w:rsidRPr="00254EC4">
              <w:rPr>
                <w:rFonts w:eastAsia="Times New Roman" w:cs="Arial"/>
                <w:b/>
                <w:bCs/>
                <w:color w:val="404040"/>
                <w:lang w:eastAsia="en-GB"/>
                <w14:ligatures w14:val="none"/>
              </w:rPr>
              <w:t>Findings</w:t>
            </w:r>
          </w:p>
        </w:tc>
        <w:tc>
          <w:tcPr>
            <w:tcW w:w="0" w:type="auto"/>
            <w:shd w:val="clear" w:color="auto" w:fill="FFFFFF"/>
            <w:tcMar>
              <w:top w:w="150" w:type="dxa"/>
              <w:left w:w="150" w:type="dxa"/>
              <w:bottom w:w="150" w:type="dxa"/>
              <w:right w:w="150" w:type="dxa"/>
            </w:tcMar>
            <w:vAlign w:val="center"/>
            <w:hideMark/>
          </w:tcPr>
          <w:p w14:paraId="414F94F2" w14:textId="77777777" w:rsidR="00254EC4" w:rsidRPr="00254EC4" w:rsidRDefault="00254EC4" w:rsidP="00254EC4">
            <w:pPr>
              <w:spacing w:after="0" w:line="240" w:lineRule="auto"/>
              <w:jc w:val="left"/>
              <w:rPr>
                <w:rFonts w:eastAsia="Times New Roman" w:cs="Arial"/>
                <w:b/>
                <w:bCs/>
                <w:color w:val="404040"/>
                <w:lang w:eastAsia="en-GB"/>
                <w14:ligatures w14:val="none"/>
              </w:rPr>
            </w:pPr>
            <w:r w:rsidRPr="00254EC4">
              <w:rPr>
                <w:rFonts w:eastAsia="Times New Roman" w:cs="Arial"/>
                <w:b/>
                <w:bCs/>
                <w:color w:val="404040"/>
                <w:lang w:eastAsia="en-GB"/>
                <w14:ligatures w14:val="none"/>
              </w:rPr>
              <w:t>References</w:t>
            </w:r>
          </w:p>
        </w:tc>
      </w:tr>
      <w:tr w:rsidR="0080626F" w:rsidRPr="00254EC4" w14:paraId="456E1451" w14:textId="77777777" w:rsidTr="00254EC4">
        <w:tc>
          <w:tcPr>
            <w:tcW w:w="0" w:type="auto"/>
            <w:shd w:val="clear" w:color="auto" w:fill="FFFFFF"/>
            <w:tcMar>
              <w:top w:w="150" w:type="dxa"/>
              <w:left w:w="0" w:type="dxa"/>
              <w:bottom w:w="150" w:type="dxa"/>
              <w:right w:w="150" w:type="dxa"/>
            </w:tcMar>
            <w:vAlign w:val="center"/>
            <w:hideMark/>
          </w:tcPr>
          <w:p w14:paraId="36FADE39"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b/>
                <w:bCs/>
                <w:color w:val="404040"/>
                <w:lang w:eastAsia="en-GB"/>
                <w14:ligatures w14:val="none"/>
              </w:rPr>
              <w:t>1. Quality of Life (QoL) Outcomes</w:t>
            </w:r>
          </w:p>
        </w:tc>
        <w:tc>
          <w:tcPr>
            <w:tcW w:w="0" w:type="auto"/>
            <w:shd w:val="clear" w:color="auto" w:fill="FFFFFF"/>
            <w:tcMar>
              <w:top w:w="150" w:type="dxa"/>
              <w:left w:w="150" w:type="dxa"/>
              <w:bottom w:w="150" w:type="dxa"/>
              <w:right w:w="150" w:type="dxa"/>
            </w:tcMar>
            <w:vAlign w:val="center"/>
            <w:hideMark/>
          </w:tcPr>
          <w:p w14:paraId="512BF45E"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color w:val="404040"/>
                <w:lang w:eastAsia="en-GB"/>
                <w14:ligatures w14:val="none"/>
              </w:rPr>
              <w:t>- Emotional well-being</w:t>
            </w:r>
            <w:r w:rsidRPr="00254EC4">
              <w:rPr>
                <w:rFonts w:eastAsia="Times New Roman" w:cs="Arial"/>
                <w:color w:val="404040"/>
                <w:lang w:eastAsia="en-GB"/>
                <w14:ligatures w14:val="none"/>
              </w:rPr>
              <w:br/>
              <w:t>- Social inclusion</w:t>
            </w:r>
            <w:r w:rsidRPr="00254EC4">
              <w:rPr>
                <w:rFonts w:eastAsia="Times New Roman" w:cs="Arial"/>
                <w:color w:val="404040"/>
                <w:lang w:eastAsia="en-GB"/>
                <w14:ligatures w14:val="none"/>
              </w:rPr>
              <w:br/>
              <w:t>- Person-centred care</w:t>
            </w:r>
          </w:p>
        </w:tc>
        <w:tc>
          <w:tcPr>
            <w:tcW w:w="0" w:type="auto"/>
            <w:shd w:val="clear" w:color="auto" w:fill="FFFFFF"/>
            <w:tcMar>
              <w:top w:w="150" w:type="dxa"/>
              <w:left w:w="150" w:type="dxa"/>
              <w:bottom w:w="150" w:type="dxa"/>
              <w:right w:w="150" w:type="dxa"/>
            </w:tcMar>
            <w:vAlign w:val="center"/>
            <w:hideMark/>
          </w:tcPr>
          <w:p w14:paraId="1E4A94D0"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color w:val="404040"/>
                <w:lang w:eastAsia="en-GB"/>
                <w14:ligatures w14:val="none"/>
              </w:rPr>
              <w:t>- Dementia cafés/memory groups reduce loneliness/depression (20% QoL-AD improvement).</w:t>
            </w:r>
            <w:r w:rsidRPr="00254EC4">
              <w:rPr>
                <w:rFonts w:eastAsia="Times New Roman" w:cs="Arial"/>
                <w:color w:val="404040"/>
                <w:lang w:eastAsia="en-GB"/>
                <w14:ligatures w14:val="none"/>
              </w:rPr>
              <w:br/>
              <w:t>- Programmes align with ageing-in-place preferences but suffer funding instability.</w:t>
            </w:r>
          </w:p>
        </w:tc>
        <w:tc>
          <w:tcPr>
            <w:tcW w:w="0" w:type="auto"/>
            <w:shd w:val="clear" w:color="auto" w:fill="FFFFFF"/>
            <w:tcMar>
              <w:top w:w="150" w:type="dxa"/>
              <w:left w:w="150" w:type="dxa"/>
              <w:bottom w:w="150" w:type="dxa"/>
              <w:right w:w="150" w:type="dxa"/>
            </w:tcMar>
            <w:vAlign w:val="center"/>
            <w:hideMark/>
          </w:tcPr>
          <w:p w14:paraId="2E3BC129"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color w:val="404040"/>
                <w:lang w:eastAsia="en-GB"/>
                <w14:ligatures w14:val="none"/>
              </w:rPr>
              <w:t>Evans et al. (2020); Backhouse et al. (2017); NHS Long Term Plan (2019)</w:t>
            </w:r>
          </w:p>
        </w:tc>
      </w:tr>
      <w:tr w:rsidR="0080626F" w:rsidRPr="00254EC4" w14:paraId="16E5D251" w14:textId="77777777" w:rsidTr="00254EC4">
        <w:tc>
          <w:tcPr>
            <w:tcW w:w="0" w:type="auto"/>
            <w:shd w:val="clear" w:color="auto" w:fill="FFFFFF"/>
            <w:tcMar>
              <w:top w:w="150" w:type="dxa"/>
              <w:left w:w="0" w:type="dxa"/>
              <w:bottom w:w="150" w:type="dxa"/>
              <w:right w:w="150" w:type="dxa"/>
            </w:tcMar>
            <w:vAlign w:val="center"/>
            <w:hideMark/>
          </w:tcPr>
          <w:p w14:paraId="2B0E39C6"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b/>
                <w:bCs/>
                <w:color w:val="404040"/>
                <w:lang w:eastAsia="en-GB"/>
                <w14:ligatures w14:val="none"/>
              </w:rPr>
              <w:t>2. Cognitive Function Outcomes</w:t>
            </w:r>
          </w:p>
        </w:tc>
        <w:tc>
          <w:tcPr>
            <w:tcW w:w="0" w:type="auto"/>
            <w:shd w:val="clear" w:color="auto" w:fill="FFFFFF"/>
            <w:tcMar>
              <w:top w:w="150" w:type="dxa"/>
              <w:left w:w="150" w:type="dxa"/>
              <w:bottom w:w="150" w:type="dxa"/>
              <w:right w:w="150" w:type="dxa"/>
            </w:tcMar>
            <w:vAlign w:val="center"/>
            <w:hideMark/>
          </w:tcPr>
          <w:p w14:paraId="5BCB2C4E"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color w:val="404040"/>
                <w:lang w:eastAsia="en-GB"/>
                <w14:ligatures w14:val="none"/>
              </w:rPr>
              <w:t>- Cognitive Stimulation Therapy (CST)</w:t>
            </w:r>
            <w:r w:rsidRPr="00254EC4">
              <w:rPr>
                <w:rFonts w:eastAsia="Times New Roman" w:cs="Arial"/>
                <w:color w:val="404040"/>
                <w:lang w:eastAsia="en-GB"/>
                <w14:ligatures w14:val="none"/>
              </w:rPr>
              <w:br/>
              <w:t>- Neuroplasticity</w:t>
            </w:r>
            <w:r w:rsidRPr="00254EC4">
              <w:rPr>
                <w:rFonts w:eastAsia="Times New Roman" w:cs="Arial"/>
                <w:color w:val="404040"/>
                <w:lang w:eastAsia="en-GB"/>
                <w14:ligatures w14:val="none"/>
              </w:rPr>
              <w:br/>
              <w:t xml:space="preserve">- </w:t>
            </w:r>
            <w:proofErr w:type="gramStart"/>
            <w:r w:rsidRPr="00254EC4">
              <w:rPr>
                <w:rFonts w:eastAsia="Times New Roman" w:cs="Arial"/>
                <w:color w:val="404040"/>
                <w:lang w:eastAsia="en-GB"/>
                <w14:ligatures w14:val="none"/>
              </w:rPr>
              <w:t>Non-pharmacological</w:t>
            </w:r>
            <w:proofErr w:type="gramEnd"/>
            <w:r w:rsidRPr="00254EC4">
              <w:rPr>
                <w:rFonts w:eastAsia="Times New Roman" w:cs="Arial"/>
                <w:color w:val="404040"/>
                <w:lang w:eastAsia="en-GB"/>
                <w14:ligatures w14:val="none"/>
              </w:rPr>
              <w:t xml:space="preserve"> interventions</w:t>
            </w:r>
          </w:p>
        </w:tc>
        <w:tc>
          <w:tcPr>
            <w:tcW w:w="0" w:type="auto"/>
            <w:shd w:val="clear" w:color="auto" w:fill="FFFFFF"/>
            <w:tcMar>
              <w:top w:w="150" w:type="dxa"/>
              <w:left w:w="150" w:type="dxa"/>
              <w:bottom w:w="150" w:type="dxa"/>
              <w:right w:w="150" w:type="dxa"/>
            </w:tcMar>
            <w:vAlign w:val="center"/>
            <w:hideMark/>
          </w:tcPr>
          <w:p w14:paraId="1C6FA233"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color w:val="404040"/>
                <w:lang w:eastAsia="en-GB"/>
                <w14:ligatures w14:val="none"/>
              </w:rPr>
              <w:t>- CST groups show 1.2-point MMSE improvement; benefits require consistency.</w:t>
            </w:r>
            <w:r w:rsidRPr="00254EC4">
              <w:rPr>
                <w:rFonts w:eastAsia="Times New Roman" w:cs="Arial"/>
                <w:color w:val="404040"/>
                <w:lang w:eastAsia="en-GB"/>
                <w14:ligatures w14:val="none"/>
              </w:rPr>
              <w:br/>
              <w:t>- Social Cognitive Theory explains peer-led cognitive engagement.</w:t>
            </w:r>
          </w:p>
        </w:tc>
        <w:tc>
          <w:tcPr>
            <w:tcW w:w="0" w:type="auto"/>
            <w:shd w:val="clear" w:color="auto" w:fill="FFFFFF"/>
            <w:tcMar>
              <w:top w:w="150" w:type="dxa"/>
              <w:left w:w="150" w:type="dxa"/>
              <w:bottom w:w="150" w:type="dxa"/>
              <w:right w:w="150" w:type="dxa"/>
            </w:tcMar>
            <w:vAlign w:val="center"/>
            <w:hideMark/>
          </w:tcPr>
          <w:p w14:paraId="01AE4DA8"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color w:val="404040"/>
                <w:lang w:eastAsia="en-GB"/>
                <w14:ligatures w14:val="none"/>
              </w:rPr>
              <w:t xml:space="preserve">Woods et al. (2012); </w:t>
            </w:r>
            <w:proofErr w:type="spellStart"/>
            <w:r w:rsidRPr="00254EC4">
              <w:rPr>
                <w:rFonts w:eastAsia="Times New Roman" w:cs="Arial"/>
                <w:color w:val="404040"/>
                <w:lang w:eastAsia="en-GB"/>
                <w14:ligatures w14:val="none"/>
              </w:rPr>
              <w:t>Orrell</w:t>
            </w:r>
            <w:proofErr w:type="spellEnd"/>
            <w:r w:rsidRPr="00254EC4">
              <w:rPr>
                <w:rFonts w:eastAsia="Times New Roman" w:cs="Arial"/>
                <w:color w:val="404040"/>
                <w:lang w:eastAsia="en-GB"/>
                <w14:ligatures w14:val="none"/>
              </w:rPr>
              <w:t xml:space="preserve"> et al. (2017); NICE Guidelines (2018)</w:t>
            </w:r>
          </w:p>
        </w:tc>
      </w:tr>
      <w:tr w:rsidR="0080626F" w:rsidRPr="00254EC4" w14:paraId="026BC189" w14:textId="77777777" w:rsidTr="00254EC4">
        <w:tc>
          <w:tcPr>
            <w:tcW w:w="0" w:type="auto"/>
            <w:shd w:val="clear" w:color="auto" w:fill="FFFFFF"/>
            <w:tcMar>
              <w:top w:w="150" w:type="dxa"/>
              <w:left w:w="0" w:type="dxa"/>
              <w:bottom w:w="150" w:type="dxa"/>
              <w:right w:w="150" w:type="dxa"/>
            </w:tcMar>
            <w:vAlign w:val="center"/>
            <w:hideMark/>
          </w:tcPr>
          <w:p w14:paraId="09C22E52"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b/>
                <w:bCs/>
                <w:color w:val="404040"/>
                <w:lang w:eastAsia="en-GB"/>
                <w14:ligatures w14:val="none"/>
              </w:rPr>
              <w:t>3. Caregiver Burden</w:t>
            </w:r>
          </w:p>
        </w:tc>
        <w:tc>
          <w:tcPr>
            <w:tcW w:w="0" w:type="auto"/>
            <w:shd w:val="clear" w:color="auto" w:fill="FFFFFF"/>
            <w:tcMar>
              <w:top w:w="150" w:type="dxa"/>
              <w:left w:w="150" w:type="dxa"/>
              <w:bottom w:w="150" w:type="dxa"/>
              <w:right w:w="150" w:type="dxa"/>
            </w:tcMar>
            <w:vAlign w:val="center"/>
            <w:hideMark/>
          </w:tcPr>
          <w:p w14:paraId="7977AF71"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color w:val="404040"/>
                <w:lang w:eastAsia="en-GB"/>
                <w14:ligatures w14:val="none"/>
              </w:rPr>
              <w:t>- Respite care</w:t>
            </w:r>
            <w:r w:rsidRPr="00254EC4">
              <w:rPr>
                <w:rFonts w:eastAsia="Times New Roman" w:cs="Arial"/>
                <w:color w:val="404040"/>
                <w:lang w:eastAsia="en-GB"/>
                <w14:ligatures w14:val="none"/>
              </w:rPr>
              <w:br/>
              <w:t>- Peer support</w:t>
            </w:r>
            <w:r w:rsidRPr="00254EC4">
              <w:rPr>
                <w:rFonts w:eastAsia="Times New Roman" w:cs="Arial"/>
                <w:color w:val="404040"/>
                <w:lang w:eastAsia="en-GB"/>
                <w14:ligatures w14:val="none"/>
              </w:rPr>
              <w:br/>
              <w:t>- Training programmes</w:t>
            </w:r>
          </w:p>
        </w:tc>
        <w:tc>
          <w:tcPr>
            <w:tcW w:w="0" w:type="auto"/>
            <w:shd w:val="clear" w:color="auto" w:fill="FFFFFF"/>
            <w:tcMar>
              <w:top w:w="150" w:type="dxa"/>
              <w:left w:w="150" w:type="dxa"/>
              <w:bottom w:w="150" w:type="dxa"/>
              <w:right w:w="150" w:type="dxa"/>
            </w:tcMar>
            <w:vAlign w:val="center"/>
            <w:hideMark/>
          </w:tcPr>
          <w:p w14:paraId="7F926FF8"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color w:val="404040"/>
                <w:lang w:eastAsia="en-GB"/>
                <w14:ligatures w14:val="none"/>
              </w:rPr>
              <w:t>- Support groups reduce caregiver depression by 40%.</w:t>
            </w:r>
            <w:r w:rsidRPr="00254EC4">
              <w:rPr>
                <w:rFonts w:eastAsia="Times New Roman" w:cs="Arial"/>
                <w:color w:val="404040"/>
                <w:lang w:eastAsia="en-GB"/>
                <w14:ligatures w14:val="none"/>
              </w:rPr>
              <w:br/>
              <w:t>- Cultural barriers limit access for minority ethnic carers.</w:t>
            </w:r>
          </w:p>
        </w:tc>
        <w:tc>
          <w:tcPr>
            <w:tcW w:w="0" w:type="auto"/>
            <w:shd w:val="clear" w:color="auto" w:fill="FFFFFF"/>
            <w:tcMar>
              <w:top w:w="150" w:type="dxa"/>
              <w:left w:w="150" w:type="dxa"/>
              <w:bottom w:w="150" w:type="dxa"/>
              <w:right w:w="150" w:type="dxa"/>
            </w:tcMar>
            <w:vAlign w:val="center"/>
            <w:hideMark/>
          </w:tcPr>
          <w:p w14:paraId="2FDE68EB" w14:textId="77777777" w:rsidR="00254EC4" w:rsidRPr="00254EC4" w:rsidRDefault="00254EC4" w:rsidP="00254EC4">
            <w:pPr>
              <w:spacing w:after="0" w:line="240" w:lineRule="auto"/>
              <w:jc w:val="left"/>
              <w:rPr>
                <w:rFonts w:eastAsia="Times New Roman" w:cs="Arial"/>
                <w:color w:val="404040"/>
                <w:lang w:eastAsia="en-GB"/>
                <w14:ligatures w14:val="none"/>
              </w:rPr>
            </w:pPr>
            <w:proofErr w:type="spellStart"/>
            <w:r w:rsidRPr="00254EC4">
              <w:rPr>
                <w:rFonts w:eastAsia="Times New Roman" w:cs="Arial"/>
                <w:color w:val="404040"/>
                <w:lang w:eastAsia="en-GB"/>
                <w14:ligatures w14:val="none"/>
              </w:rPr>
              <w:t>Zarit</w:t>
            </w:r>
            <w:proofErr w:type="spellEnd"/>
            <w:r w:rsidRPr="00254EC4">
              <w:rPr>
                <w:rFonts w:eastAsia="Times New Roman" w:cs="Arial"/>
                <w:color w:val="404040"/>
                <w:lang w:eastAsia="en-GB"/>
                <w14:ligatures w14:val="none"/>
              </w:rPr>
              <w:t xml:space="preserve"> et al. (1980); Whelan et al. (2020); Care Act (2014)</w:t>
            </w:r>
          </w:p>
        </w:tc>
      </w:tr>
      <w:tr w:rsidR="0080626F" w:rsidRPr="00254EC4" w14:paraId="07A21A00" w14:textId="77777777" w:rsidTr="00254EC4">
        <w:tc>
          <w:tcPr>
            <w:tcW w:w="0" w:type="auto"/>
            <w:shd w:val="clear" w:color="auto" w:fill="FFFFFF"/>
            <w:tcMar>
              <w:top w:w="150" w:type="dxa"/>
              <w:left w:w="0" w:type="dxa"/>
              <w:bottom w:w="150" w:type="dxa"/>
              <w:right w:w="150" w:type="dxa"/>
            </w:tcMar>
            <w:vAlign w:val="center"/>
            <w:hideMark/>
          </w:tcPr>
          <w:p w14:paraId="7AEC6727"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b/>
                <w:bCs/>
                <w:color w:val="404040"/>
                <w:lang w:eastAsia="en-GB"/>
                <w14:ligatures w14:val="none"/>
              </w:rPr>
              <w:t>4. Access &amp; Equity</w:t>
            </w:r>
          </w:p>
        </w:tc>
        <w:tc>
          <w:tcPr>
            <w:tcW w:w="0" w:type="auto"/>
            <w:shd w:val="clear" w:color="auto" w:fill="FFFFFF"/>
            <w:tcMar>
              <w:top w:w="150" w:type="dxa"/>
              <w:left w:w="150" w:type="dxa"/>
              <w:bottom w:w="150" w:type="dxa"/>
              <w:right w:w="150" w:type="dxa"/>
            </w:tcMar>
            <w:vAlign w:val="center"/>
            <w:hideMark/>
          </w:tcPr>
          <w:p w14:paraId="5A3E40D3"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color w:val="404040"/>
                <w:lang w:eastAsia="en-GB"/>
                <w14:ligatures w14:val="none"/>
              </w:rPr>
              <w:t>- Geographic disparities</w:t>
            </w:r>
            <w:r w:rsidRPr="00254EC4">
              <w:rPr>
                <w:rFonts w:eastAsia="Times New Roman" w:cs="Arial"/>
                <w:color w:val="404040"/>
                <w:lang w:eastAsia="en-GB"/>
                <w14:ligatures w14:val="none"/>
              </w:rPr>
              <w:br/>
              <w:t>- Cultural inclusivity</w:t>
            </w:r>
            <w:r w:rsidRPr="00254EC4">
              <w:rPr>
                <w:rFonts w:eastAsia="Times New Roman" w:cs="Arial"/>
                <w:color w:val="404040"/>
                <w:lang w:eastAsia="en-GB"/>
                <w14:ligatures w14:val="none"/>
              </w:rPr>
              <w:br/>
              <w:t>- Digital divide</w:t>
            </w:r>
          </w:p>
        </w:tc>
        <w:tc>
          <w:tcPr>
            <w:tcW w:w="0" w:type="auto"/>
            <w:shd w:val="clear" w:color="auto" w:fill="FFFFFF"/>
            <w:tcMar>
              <w:top w:w="150" w:type="dxa"/>
              <w:left w:w="150" w:type="dxa"/>
              <w:bottom w:w="150" w:type="dxa"/>
              <w:right w:w="150" w:type="dxa"/>
            </w:tcMar>
            <w:vAlign w:val="center"/>
            <w:hideMark/>
          </w:tcPr>
          <w:p w14:paraId="2149C096"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color w:val="404040"/>
                <w:lang w:eastAsia="en-GB"/>
                <w14:ligatures w14:val="none"/>
              </w:rPr>
              <w:t>- 25% of dementia patients lack services; rural access 30% lower.</w:t>
            </w:r>
            <w:r w:rsidRPr="00254EC4">
              <w:rPr>
                <w:rFonts w:eastAsia="Times New Roman" w:cs="Arial"/>
                <w:color w:val="404040"/>
                <w:lang w:eastAsia="en-GB"/>
                <w14:ligatures w14:val="none"/>
              </w:rPr>
              <w:br/>
              <w:t>- Mobile units/digital solutions face adoption challenges.</w:t>
            </w:r>
          </w:p>
        </w:tc>
        <w:tc>
          <w:tcPr>
            <w:tcW w:w="0" w:type="auto"/>
            <w:shd w:val="clear" w:color="auto" w:fill="FFFFFF"/>
            <w:tcMar>
              <w:top w:w="150" w:type="dxa"/>
              <w:left w:w="150" w:type="dxa"/>
              <w:bottom w:w="150" w:type="dxa"/>
              <w:right w:w="150" w:type="dxa"/>
            </w:tcMar>
            <w:vAlign w:val="center"/>
            <w:hideMark/>
          </w:tcPr>
          <w:p w14:paraId="256DFD7B" w14:textId="77777777" w:rsidR="00254EC4" w:rsidRPr="00254EC4" w:rsidRDefault="00254EC4" w:rsidP="00254EC4">
            <w:pPr>
              <w:spacing w:after="0" w:line="240" w:lineRule="auto"/>
              <w:jc w:val="left"/>
              <w:rPr>
                <w:rFonts w:eastAsia="Times New Roman" w:cs="Arial"/>
                <w:color w:val="404040"/>
                <w:lang w:eastAsia="en-GB"/>
                <w14:ligatures w14:val="none"/>
              </w:rPr>
            </w:pPr>
            <w:r w:rsidRPr="00254EC4">
              <w:rPr>
                <w:rFonts w:eastAsia="Times New Roman" w:cs="Arial"/>
                <w:color w:val="404040"/>
                <w:lang w:eastAsia="en-GB"/>
                <w14:ligatures w14:val="none"/>
              </w:rPr>
              <w:t>Alzheimer’s Society (2022); Innes et al. (2014); Equality Act (2010)</w:t>
            </w:r>
          </w:p>
        </w:tc>
      </w:tr>
    </w:tbl>
    <w:p w14:paraId="7FD5EDE7" w14:textId="77777777" w:rsidR="006C3C02" w:rsidRPr="006C3C02" w:rsidRDefault="006C3C02" w:rsidP="006C3C02"/>
    <w:sectPr w:rsidR="006C3C02" w:rsidRPr="006C3C02" w:rsidSect="009C0D00">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690CC" w14:textId="77777777" w:rsidR="003858BC" w:rsidRPr="009C0D00" w:rsidRDefault="003858BC" w:rsidP="00D75494">
      <w:pPr>
        <w:spacing w:after="0" w:line="240" w:lineRule="auto"/>
      </w:pPr>
      <w:r w:rsidRPr="009C0D00">
        <w:separator/>
      </w:r>
    </w:p>
  </w:endnote>
  <w:endnote w:type="continuationSeparator" w:id="0">
    <w:p w14:paraId="76A88E7F" w14:textId="77777777" w:rsidR="003858BC" w:rsidRPr="009C0D00" w:rsidRDefault="003858BC" w:rsidP="00D75494">
      <w:pPr>
        <w:spacing w:after="0" w:line="240" w:lineRule="auto"/>
      </w:pPr>
      <w:r w:rsidRPr="009C0D0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libri Light">
    <w:panose1 w:val="020F0302020204030204"/>
    <w:charset w:val="00"/>
    <w:family w:val="swiss"/>
    <w:pitch w:val="variable"/>
    <w:sig w:usb0="A0002AEF" w:usb1="4000207B" w:usb2="00000000"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182609"/>
      <w:docPartObj>
        <w:docPartGallery w:val="Page Numbers (Bottom of Page)"/>
        <w:docPartUnique/>
      </w:docPartObj>
    </w:sdtPr>
    <w:sdtEndPr/>
    <w:sdtContent>
      <w:p w14:paraId="5BAAA6CE" w14:textId="2BF6034D" w:rsidR="00D75494" w:rsidRPr="009C0D00" w:rsidRDefault="00D75494">
        <w:pPr>
          <w:pStyle w:val="Footer"/>
          <w:jc w:val="right"/>
        </w:pPr>
        <w:r w:rsidRPr="009C0D00">
          <w:fldChar w:fldCharType="begin"/>
        </w:r>
        <w:r w:rsidRPr="009C0D00">
          <w:instrText xml:space="preserve"> PAGE   \* MERGEFORMAT </w:instrText>
        </w:r>
        <w:r w:rsidRPr="009C0D00">
          <w:fldChar w:fldCharType="separate"/>
        </w:r>
        <w:r w:rsidRPr="009C0D00">
          <w:t>2</w:t>
        </w:r>
        <w:r w:rsidRPr="009C0D00">
          <w:fldChar w:fldCharType="end"/>
        </w:r>
      </w:p>
    </w:sdtContent>
  </w:sdt>
  <w:p w14:paraId="2ED677D1" w14:textId="77777777" w:rsidR="00D75494" w:rsidRPr="009C0D00" w:rsidRDefault="00D75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22E6D" w14:textId="77777777" w:rsidR="003858BC" w:rsidRPr="009C0D00" w:rsidRDefault="003858BC" w:rsidP="00D75494">
      <w:pPr>
        <w:spacing w:after="0" w:line="240" w:lineRule="auto"/>
      </w:pPr>
      <w:r w:rsidRPr="009C0D00">
        <w:separator/>
      </w:r>
    </w:p>
  </w:footnote>
  <w:footnote w:type="continuationSeparator" w:id="0">
    <w:p w14:paraId="01A6FC29" w14:textId="77777777" w:rsidR="003858BC" w:rsidRPr="009C0D00" w:rsidRDefault="003858BC" w:rsidP="00D75494">
      <w:pPr>
        <w:spacing w:after="0" w:line="240" w:lineRule="auto"/>
      </w:pPr>
      <w:r w:rsidRPr="009C0D0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A3229"/>
    <w:multiLevelType w:val="hybridMultilevel"/>
    <w:tmpl w:val="10FE3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62ECB"/>
    <w:multiLevelType w:val="multilevel"/>
    <w:tmpl w:val="A1F4A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C44D8"/>
    <w:multiLevelType w:val="multilevel"/>
    <w:tmpl w:val="B882C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A46147"/>
    <w:multiLevelType w:val="hybridMultilevel"/>
    <w:tmpl w:val="693EC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1128E6"/>
    <w:multiLevelType w:val="multilevel"/>
    <w:tmpl w:val="6A328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21770E"/>
    <w:multiLevelType w:val="hybridMultilevel"/>
    <w:tmpl w:val="2A10F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2841EB"/>
    <w:multiLevelType w:val="hybridMultilevel"/>
    <w:tmpl w:val="2DF0C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5C35D7"/>
    <w:multiLevelType w:val="multilevel"/>
    <w:tmpl w:val="5E6E2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8B4A82"/>
    <w:multiLevelType w:val="hybridMultilevel"/>
    <w:tmpl w:val="E65AB7F4"/>
    <w:lvl w:ilvl="0" w:tplc="7C86A58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DB31B6"/>
    <w:multiLevelType w:val="multilevel"/>
    <w:tmpl w:val="ACE8D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846EA1"/>
    <w:multiLevelType w:val="hybridMultilevel"/>
    <w:tmpl w:val="BD9230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1F578D"/>
    <w:multiLevelType w:val="hybridMultilevel"/>
    <w:tmpl w:val="F7284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4F2400"/>
    <w:multiLevelType w:val="multilevel"/>
    <w:tmpl w:val="DEDAEFB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9F7494"/>
    <w:multiLevelType w:val="multilevel"/>
    <w:tmpl w:val="3AD66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7C19D0"/>
    <w:multiLevelType w:val="multilevel"/>
    <w:tmpl w:val="F2BCD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015B6E"/>
    <w:multiLevelType w:val="multilevel"/>
    <w:tmpl w:val="96C8D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652A96"/>
    <w:multiLevelType w:val="multilevel"/>
    <w:tmpl w:val="CFFA5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CCC24F2"/>
    <w:multiLevelType w:val="hybridMultilevel"/>
    <w:tmpl w:val="360A6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0976FD"/>
    <w:multiLevelType w:val="hybridMultilevel"/>
    <w:tmpl w:val="A3825236"/>
    <w:lvl w:ilvl="0" w:tplc="7C86A58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7"/>
  </w:num>
  <w:num w:numId="4">
    <w:abstractNumId w:val="13"/>
  </w:num>
  <w:num w:numId="5">
    <w:abstractNumId w:val="11"/>
  </w:num>
  <w:num w:numId="6">
    <w:abstractNumId w:val="15"/>
  </w:num>
  <w:num w:numId="7">
    <w:abstractNumId w:val="4"/>
  </w:num>
  <w:num w:numId="8">
    <w:abstractNumId w:val="16"/>
  </w:num>
  <w:num w:numId="9">
    <w:abstractNumId w:val="9"/>
  </w:num>
  <w:num w:numId="10">
    <w:abstractNumId w:val="14"/>
  </w:num>
  <w:num w:numId="11">
    <w:abstractNumId w:val="0"/>
  </w:num>
  <w:num w:numId="12">
    <w:abstractNumId w:val="8"/>
  </w:num>
  <w:num w:numId="13">
    <w:abstractNumId w:val="5"/>
  </w:num>
  <w:num w:numId="14">
    <w:abstractNumId w:val="6"/>
  </w:num>
  <w:num w:numId="15">
    <w:abstractNumId w:val="18"/>
  </w:num>
  <w:num w:numId="16">
    <w:abstractNumId w:val="17"/>
  </w:num>
  <w:num w:numId="17">
    <w:abstractNumId w:val="3"/>
  </w:num>
  <w:num w:numId="18">
    <w:abstractNumId w:val="10"/>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01A"/>
    <w:rsid w:val="0003127B"/>
    <w:rsid w:val="00032DBA"/>
    <w:rsid w:val="00032F0E"/>
    <w:rsid w:val="0004004B"/>
    <w:rsid w:val="00073575"/>
    <w:rsid w:val="00074D06"/>
    <w:rsid w:val="00093E4A"/>
    <w:rsid w:val="00094D06"/>
    <w:rsid w:val="000A4D3B"/>
    <w:rsid w:val="000B1F39"/>
    <w:rsid w:val="000F3166"/>
    <w:rsid w:val="0016709E"/>
    <w:rsid w:val="00196EF1"/>
    <w:rsid w:val="001B1606"/>
    <w:rsid w:val="001E52DD"/>
    <w:rsid w:val="001E6B14"/>
    <w:rsid w:val="00200065"/>
    <w:rsid w:val="002027E6"/>
    <w:rsid w:val="002231DD"/>
    <w:rsid w:val="002248C5"/>
    <w:rsid w:val="00254EC4"/>
    <w:rsid w:val="00291EF1"/>
    <w:rsid w:val="00292C02"/>
    <w:rsid w:val="00295E27"/>
    <w:rsid w:val="002A3A3A"/>
    <w:rsid w:val="002C63FC"/>
    <w:rsid w:val="002E1293"/>
    <w:rsid w:val="002F13DF"/>
    <w:rsid w:val="002F6440"/>
    <w:rsid w:val="00306C2F"/>
    <w:rsid w:val="003170E9"/>
    <w:rsid w:val="00330985"/>
    <w:rsid w:val="00334A2B"/>
    <w:rsid w:val="00345B96"/>
    <w:rsid w:val="0034682A"/>
    <w:rsid w:val="00365075"/>
    <w:rsid w:val="00367372"/>
    <w:rsid w:val="003858BC"/>
    <w:rsid w:val="003B26C8"/>
    <w:rsid w:val="003B33C8"/>
    <w:rsid w:val="003B7571"/>
    <w:rsid w:val="004216CB"/>
    <w:rsid w:val="00433F8B"/>
    <w:rsid w:val="00444521"/>
    <w:rsid w:val="00466445"/>
    <w:rsid w:val="00475CD0"/>
    <w:rsid w:val="004B23CB"/>
    <w:rsid w:val="004B3E0D"/>
    <w:rsid w:val="004D6528"/>
    <w:rsid w:val="00563F49"/>
    <w:rsid w:val="00580FEC"/>
    <w:rsid w:val="005A7DB3"/>
    <w:rsid w:val="005B7E1C"/>
    <w:rsid w:val="005D24B8"/>
    <w:rsid w:val="005F1735"/>
    <w:rsid w:val="00602B62"/>
    <w:rsid w:val="006151C0"/>
    <w:rsid w:val="006707CF"/>
    <w:rsid w:val="006B3E6C"/>
    <w:rsid w:val="006B507F"/>
    <w:rsid w:val="006B60C0"/>
    <w:rsid w:val="006C3C02"/>
    <w:rsid w:val="006E05CC"/>
    <w:rsid w:val="0071177B"/>
    <w:rsid w:val="0072601A"/>
    <w:rsid w:val="007A546F"/>
    <w:rsid w:val="007D3EDF"/>
    <w:rsid w:val="0080626F"/>
    <w:rsid w:val="00822F50"/>
    <w:rsid w:val="00825BF5"/>
    <w:rsid w:val="00827C58"/>
    <w:rsid w:val="008660A4"/>
    <w:rsid w:val="0089261F"/>
    <w:rsid w:val="0089549C"/>
    <w:rsid w:val="008C428D"/>
    <w:rsid w:val="008D42B5"/>
    <w:rsid w:val="00916D3F"/>
    <w:rsid w:val="009A3077"/>
    <w:rsid w:val="009C0D00"/>
    <w:rsid w:val="00A020E7"/>
    <w:rsid w:val="00A077F2"/>
    <w:rsid w:val="00A1490E"/>
    <w:rsid w:val="00A23EFB"/>
    <w:rsid w:val="00A4362E"/>
    <w:rsid w:val="00A54FF9"/>
    <w:rsid w:val="00A72F36"/>
    <w:rsid w:val="00AB360B"/>
    <w:rsid w:val="00AC5ADC"/>
    <w:rsid w:val="00AD0CA0"/>
    <w:rsid w:val="00AD2A85"/>
    <w:rsid w:val="00AF1D34"/>
    <w:rsid w:val="00B362C1"/>
    <w:rsid w:val="00B5378B"/>
    <w:rsid w:val="00B549FA"/>
    <w:rsid w:val="00B8182A"/>
    <w:rsid w:val="00B82B9E"/>
    <w:rsid w:val="00B83DF9"/>
    <w:rsid w:val="00BC109B"/>
    <w:rsid w:val="00BC6796"/>
    <w:rsid w:val="00BC7F33"/>
    <w:rsid w:val="00BD6E8E"/>
    <w:rsid w:val="00BF66E2"/>
    <w:rsid w:val="00C13CC9"/>
    <w:rsid w:val="00C2377D"/>
    <w:rsid w:val="00C30863"/>
    <w:rsid w:val="00C6527F"/>
    <w:rsid w:val="00CB51FF"/>
    <w:rsid w:val="00CB5FE6"/>
    <w:rsid w:val="00CF4EF5"/>
    <w:rsid w:val="00D21E83"/>
    <w:rsid w:val="00D527DB"/>
    <w:rsid w:val="00D75494"/>
    <w:rsid w:val="00D83162"/>
    <w:rsid w:val="00D94267"/>
    <w:rsid w:val="00DA08C3"/>
    <w:rsid w:val="00DC5D99"/>
    <w:rsid w:val="00DD33B5"/>
    <w:rsid w:val="00DD587C"/>
    <w:rsid w:val="00E00DE9"/>
    <w:rsid w:val="00E035CF"/>
    <w:rsid w:val="00E35ED9"/>
    <w:rsid w:val="00E47DD5"/>
    <w:rsid w:val="00E82772"/>
    <w:rsid w:val="00EA68EB"/>
    <w:rsid w:val="00F435C7"/>
    <w:rsid w:val="00F74BE0"/>
    <w:rsid w:val="00FE56D1"/>
    <w:rsid w:val="00FF06E4"/>
    <w:rsid w:val="00FF0F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6188EC"/>
  <w15:chartTrackingRefBased/>
  <w15:docId w15:val="{E2DA4D63-3A22-4642-98D9-5D0219F53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01A"/>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72601A"/>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72601A"/>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7260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60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60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60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0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0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0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01A"/>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72601A"/>
    <w:rPr>
      <w:rFonts w:ascii="Arial" w:eastAsiaTheme="majorEastAsia" w:hAnsi="Arial"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7260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60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60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60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0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0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01A"/>
    <w:rPr>
      <w:rFonts w:eastAsiaTheme="majorEastAsia" w:cstheme="majorBidi"/>
      <w:color w:val="272727" w:themeColor="text1" w:themeTint="D8"/>
    </w:rPr>
  </w:style>
  <w:style w:type="paragraph" w:styleId="Title">
    <w:name w:val="Title"/>
    <w:basedOn w:val="Normal"/>
    <w:next w:val="Normal"/>
    <w:link w:val="TitleChar"/>
    <w:uiPriority w:val="10"/>
    <w:qFormat/>
    <w:rsid w:val="007260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0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0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0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01A"/>
    <w:pPr>
      <w:spacing w:before="160"/>
      <w:jc w:val="center"/>
    </w:pPr>
    <w:rPr>
      <w:i/>
      <w:iCs/>
      <w:color w:val="404040" w:themeColor="text1" w:themeTint="BF"/>
    </w:rPr>
  </w:style>
  <w:style w:type="character" w:customStyle="1" w:styleId="QuoteChar">
    <w:name w:val="Quote Char"/>
    <w:basedOn w:val="DefaultParagraphFont"/>
    <w:link w:val="Quote"/>
    <w:uiPriority w:val="29"/>
    <w:rsid w:val="0072601A"/>
    <w:rPr>
      <w:i/>
      <w:iCs/>
      <w:color w:val="404040" w:themeColor="text1" w:themeTint="BF"/>
    </w:rPr>
  </w:style>
  <w:style w:type="paragraph" w:styleId="ListParagraph">
    <w:name w:val="List Paragraph"/>
    <w:basedOn w:val="Normal"/>
    <w:uiPriority w:val="34"/>
    <w:qFormat/>
    <w:rsid w:val="0072601A"/>
    <w:pPr>
      <w:ind w:left="720"/>
      <w:contextualSpacing/>
    </w:pPr>
  </w:style>
  <w:style w:type="character" w:styleId="IntenseEmphasis">
    <w:name w:val="Intense Emphasis"/>
    <w:basedOn w:val="DefaultParagraphFont"/>
    <w:uiPriority w:val="21"/>
    <w:qFormat/>
    <w:rsid w:val="0072601A"/>
    <w:rPr>
      <w:i/>
      <w:iCs/>
      <w:color w:val="0F4761" w:themeColor="accent1" w:themeShade="BF"/>
    </w:rPr>
  </w:style>
  <w:style w:type="paragraph" w:styleId="IntenseQuote">
    <w:name w:val="Intense Quote"/>
    <w:basedOn w:val="Normal"/>
    <w:next w:val="Normal"/>
    <w:link w:val="IntenseQuoteChar"/>
    <w:uiPriority w:val="30"/>
    <w:qFormat/>
    <w:rsid w:val="007260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601A"/>
    <w:rPr>
      <w:i/>
      <w:iCs/>
      <w:color w:val="0F4761" w:themeColor="accent1" w:themeShade="BF"/>
    </w:rPr>
  </w:style>
  <w:style w:type="character" w:styleId="IntenseReference">
    <w:name w:val="Intense Reference"/>
    <w:basedOn w:val="DefaultParagraphFont"/>
    <w:uiPriority w:val="32"/>
    <w:qFormat/>
    <w:rsid w:val="0072601A"/>
    <w:rPr>
      <w:b/>
      <w:bCs/>
      <w:smallCaps/>
      <w:color w:val="0F4761" w:themeColor="accent1" w:themeShade="BF"/>
      <w:spacing w:val="5"/>
    </w:rPr>
  </w:style>
  <w:style w:type="character" w:styleId="Hyperlink">
    <w:name w:val="Hyperlink"/>
    <w:basedOn w:val="DefaultParagraphFont"/>
    <w:uiPriority w:val="99"/>
    <w:unhideWhenUsed/>
    <w:rsid w:val="0072601A"/>
    <w:rPr>
      <w:color w:val="467886" w:themeColor="hyperlink"/>
      <w:u w:val="single"/>
    </w:rPr>
  </w:style>
  <w:style w:type="character" w:styleId="UnresolvedMention">
    <w:name w:val="Unresolved Mention"/>
    <w:basedOn w:val="DefaultParagraphFont"/>
    <w:uiPriority w:val="99"/>
    <w:semiHidden/>
    <w:unhideWhenUsed/>
    <w:rsid w:val="0072601A"/>
    <w:rPr>
      <w:color w:val="605E5C"/>
      <w:shd w:val="clear" w:color="auto" w:fill="E1DFDD"/>
    </w:rPr>
  </w:style>
  <w:style w:type="paragraph" w:styleId="Header">
    <w:name w:val="header"/>
    <w:basedOn w:val="Normal"/>
    <w:link w:val="HeaderChar"/>
    <w:uiPriority w:val="99"/>
    <w:unhideWhenUsed/>
    <w:rsid w:val="00D754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494"/>
    <w:rPr>
      <w:rFonts w:ascii="Arial" w:hAnsi="Arial"/>
      <w:color w:val="000000" w:themeColor="text1"/>
    </w:rPr>
  </w:style>
  <w:style w:type="paragraph" w:styleId="Footer">
    <w:name w:val="footer"/>
    <w:basedOn w:val="Normal"/>
    <w:link w:val="FooterChar"/>
    <w:uiPriority w:val="99"/>
    <w:unhideWhenUsed/>
    <w:rsid w:val="00D754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494"/>
    <w:rPr>
      <w:rFonts w:ascii="Arial" w:hAnsi="Arial"/>
      <w:color w:val="000000" w:themeColor="text1"/>
    </w:rPr>
  </w:style>
  <w:style w:type="table" w:styleId="TableGrid">
    <w:name w:val="Table Grid"/>
    <w:basedOn w:val="TableNormal"/>
    <w:uiPriority w:val="59"/>
    <w:qFormat/>
    <w:rsid w:val="009C0D00"/>
    <w:pPr>
      <w:spacing w:after="220" w:line="240" w:lineRule="auto"/>
    </w:pPr>
    <w:rPr>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6445"/>
    <w:pPr>
      <w:spacing w:before="240" w:after="0" w:line="259" w:lineRule="auto"/>
      <w:jc w:val="left"/>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466445"/>
    <w:pPr>
      <w:spacing w:after="100"/>
    </w:pPr>
  </w:style>
  <w:style w:type="paragraph" w:styleId="TOC2">
    <w:name w:val="toc 2"/>
    <w:basedOn w:val="Normal"/>
    <w:next w:val="Normal"/>
    <w:autoRedefine/>
    <w:uiPriority w:val="39"/>
    <w:unhideWhenUsed/>
    <w:rsid w:val="00466445"/>
    <w:pPr>
      <w:spacing w:after="100"/>
      <w:ind w:left="220"/>
    </w:pPr>
  </w:style>
  <w:style w:type="paragraph" w:styleId="BodyText">
    <w:name w:val="Body Text"/>
    <w:basedOn w:val="Normal"/>
    <w:link w:val="BodyTextChar"/>
    <w:uiPriority w:val="1"/>
    <w:unhideWhenUsed/>
    <w:qFormat/>
    <w:rsid w:val="00A077F2"/>
    <w:pPr>
      <w:widowControl w:val="0"/>
      <w:autoSpaceDE w:val="0"/>
      <w:autoSpaceDN w:val="0"/>
      <w:spacing w:after="0" w:line="240" w:lineRule="auto"/>
      <w:jc w:val="left"/>
    </w:pPr>
    <w:rPr>
      <w:rFonts w:eastAsia="Calibri Light" w:cs="Calibri Light"/>
      <w:color w:val="auto"/>
      <w:lang w:eastAsia="en-GB" w:bidi="en-GB"/>
      <w14:ligatures w14:val="none"/>
    </w:rPr>
  </w:style>
  <w:style w:type="character" w:customStyle="1" w:styleId="BodyTextChar">
    <w:name w:val="Body Text Char"/>
    <w:basedOn w:val="DefaultParagraphFont"/>
    <w:link w:val="BodyText"/>
    <w:uiPriority w:val="1"/>
    <w:rsid w:val="00A077F2"/>
    <w:rPr>
      <w:rFonts w:ascii="Arial" w:eastAsia="Calibri Light" w:hAnsi="Arial" w:cs="Calibri Light"/>
      <w:lang w:eastAsia="en-GB" w:bidi="en-GB"/>
      <w14:ligatures w14:val="none"/>
    </w:rPr>
  </w:style>
  <w:style w:type="character" w:styleId="Strong">
    <w:name w:val="Strong"/>
    <w:basedOn w:val="DefaultParagraphFont"/>
    <w:uiPriority w:val="22"/>
    <w:qFormat/>
    <w:rsid w:val="006C3C02"/>
    <w:rPr>
      <w:b/>
      <w:bCs/>
    </w:rPr>
  </w:style>
  <w:style w:type="paragraph" w:styleId="TOC3">
    <w:name w:val="toc 3"/>
    <w:basedOn w:val="Normal"/>
    <w:next w:val="Normal"/>
    <w:autoRedefine/>
    <w:uiPriority w:val="39"/>
    <w:unhideWhenUsed/>
    <w:rsid w:val="00345B9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03080">
      <w:bodyDiv w:val="1"/>
      <w:marLeft w:val="0"/>
      <w:marRight w:val="0"/>
      <w:marTop w:val="0"/>
      <w:marBottom w:val="0"/>
      <w:divBdr>
        <w:top w:val="none" w:sz="0" w:space="0" w:color="auto"/>
        <w:left w:val="none" w:sz="0" w:space="0" w:color="auto"/>
        <w:bottom w:val="none" w:sz="0" w:space="0" w:color="auto"/>
        <w:right w:val="none" w:sz="0" w:space="0" w:color="auto"/>
      </w:divBdr>
      <w:divsChild>
        <w:div w:id="781995309">
          <w:marLeft w:val="0"/>
          <w:marRight w:val="0"/>
          <w:marTop w:val="0"/>
          <w:marBottom w:val="0"/>
          <w:divBdr>
            <w:top w:val="none" w:sz="0" w:space="0" w:color="auto"/>
            <w:left w:val="none" w:sz="0" w:space="0" w:color="auto"/>
            <w:bottom w:val="none" w:sz="0" w:space="0" w:color="auto"/>
            <w:right w:val="none" w:sz="0" w:space="0" w:color="auto"/>
          </w:divBdr>
        </w:div>
        <w:div w:id="1352073619">
          <w:marLeft w:val="0"/>
          <w:marRight w:val="0"/>
          <w:marTop w:val="0"/>
          <w:marBottom w:val="0"/>
          <w:divBdr>
            <w:top w:val="none" w:sz="0" w:space="0" w:color="auto"/>
            <w:left w:val="none" w:sz="0" w:space="0" w:color="auto"/>
            <w:bottom w:val="none" w:sz="0" w:space="0" w:color="auto"/>
            <w:right w:val="none" w:sz="0" w:space="0" w:color="auto"/>
          </w:divBdr>
        </w:div>
        <w:div w:id="689988643">
          <w:marLeft w:val="0"/>
          <w:marRight w:val="0"/>
          <w:marTop w:val="0"/>
          <w:marBottom w:val="0"/>
          <w:divBdr>
            <w:top w:val="none" w:sz="0" w:space="0" w:color="auto"/>
            <w:left w:val="none" w:sz="0" w:space="0" w:color="auto"/>
            <w:bottom w:val="none" w:sz="0" w:space="0" w:color="auto"/>
            <w:right w:val="none" w:sz="0" w:space="0" w:color="auto"/>
          </w:divBdr>
          <w:divsChild>
            <w:div w:id="2111965157">
              <w:marLeft w:val="0"/>
              <w:marRight w:val="0"/>
              <w:marTop w:val="0"/>
              <w:marBottom w:val="0"/>
              <w:divBdr>
                <w:top w:val="none" w:sz="0" w:space="0" w:color="auto"/>
                <w:left w:val="none" w:sz="0" w:space="0" w:color="auto"/>
                <w:bottom w:val="none" w:sz="0" w:space="0" w:color="auto"/>
                <w:right w:val="none" w:sz="0" w:space="0" w:color="auto"/>
              </w:divBdr>
            </w:div>
            <w:div w:id="1447041426">
              <w:marLeft w:val="0"/>
              <w:marRight w:val="0"/>
              <w:marTop w:val="0"/>
              <w:marBottom w:val="0"/>
              <w:divBdr>
                <w:top w:val="none" w:sz="0" w:space="0" w:color="auto"/>
                <w:left w:val="none" w:sz="0" w:space="0" w:color="auto"/>
                <w:bottom w:val="none" w:sz="0" w:space="0" w:color="auto"/>
                <w:right w:val="none" w:sz="0" w:space="0" w:color="auto"/>
              </w:divBdr>
            </w:div>
            <w:div w:id="1959600765">
              <w:marLeft w:val="0"/>
              <w:marRight w:val="0"/>
              <w:marTop w:val="0"/>
              <w:marBottom w:val="0"/>
              <w:divBdr>
                <w:top w:val="none" w:sz="0" w:space="0" w:color="auto"/>
                <w:left w:val="none" w:sz="0" w:space="0" w:color="auto"/>
                <w:bottom w:val="none" w:sz="0" w:space="0" w:color="auto"/>
                <w:right w:val="none" w:sz="0" w:space="0" w:color="auto"/>
              </w:divBdr>
            </w:div>
            <w:div w:id="708724249">
              <w:marLeft w:val="0"/>
              <w:marRight w:val="0"/>
              <w:marTop w:val="0"/>
              <w:marBottom w:val="0"/>
              <w:divBdr>
                <w:top w:val="none" w:sz="0" w:space="0" w:color="auto"/>
                <w:left w:val="none" w:sz="0" w:space="0" w:color="auto"/>
                <w:bottom w:val="none" w:sz="0" w:space="0" w:color="auto"/>
                <w:right w:val="none" w:sz="0" w:space="0" w:color="auto"/>
              </w:divBdr>
            </w:div>
            <w:div w:id="1225681360">
              <w:marLeft w:val="0"/>
              <w:marRight w:val="0"/>
              <w:marTop w:val="0"/>
              <w:marBottom w:val="0"/>
              <w:divBdr>
                <w:top w:val="none" w:sz="0" w:space="0" w:color="auto"/>
                <w:left w:val="none" w:sz="0" w:space="0" w:color="auto"/>
                <w:bottom w:val="none" w:sz="0" w:space="0" w:color="auto"/>
                <w:right w:val="none" w:sz="0" w:space="0" w:color="auto"/>
              </w:divBdr>
            </w:div>
            <w:div w:id="1701129638">
              <w:marLeft w:val="0"/>
              <w:marRight w:val="0"/>
              <w:marTop w:val="0"/>
              <w:marBottom w:val="0"/>
              <w:divBdr>
                <w:top w:val="none" w:sz="0" w:space="0" w:color="auto"/>
                <w:left w:val="none" w:sz="0" w:space="0" w:color="auto"/>
                <w:bottom w:val="none" w:sz="0" w:space="0" w:color="auto"/>
                <w:right w:val="none" w:sz="0" w:space="0" w:color="auto"/>
              </w:divBdr>
            </w:div>
            <w:div w:id="1458450762">
              <w:marLeft w:val="0"/>
              <w:marRight w:val="0"/>
              <w:marTop w:val="0"/>
              <w:marBottom w:val="0"/>
              <w:divBdr>
                <w:top w:val="none" w:sz="0" w:space="0" w:color="auto"/>
                <w:left w:val="none" w:sz="0" w:space="0" w:color="auto"/>
                <w:bottom w:val="none" w:sz="0" w:space="0" w:color="auto"/>
                <w:right w:val="none" w:sz="0" w:space="0" w:color="auto"/>
              </w:divBdr>
            </w:div>
            <w:div w:id="221721803">
              <w:marLeft w:val="0"/>
              <w:marRight w:val="0"/>
              <w:marTop w:val="0"/>
              <w:marBottom w:val="0"/>
              <w:divBdr>
                <w:top w:val="none" w:sz="0" w:space="0" w:color="auto"/>
                <w:left w:val="none" w:sz="0" w:space="0" w:color="auto"/>
                <w:bottom w:val="none" w:sz="0" w:space="0" w:color="auto"/>
                <w:right w:val="none" w:sz="0" w:space="0" w:color="auto"/>
              </w:divBdr>
            </w:div>
            <w:div w:id="1669476630">
              <w:marLeft w:val="0"/>
              <w:marRight w:val="0"/>
              <w:marTop w:val="0"/>
              <w:marBottom w:val="0"/>
              <w:divBdr>
                <w:top w:val="none" w:sz="0" w:space="0" w:color="auto"/>
                <w:left w:val="none" w:sz="0" w:space="0" w:color="auto"/>
                <w:bottom w:val="none" w:sz="0" w:space="0" w:color="auto"/>
                <w:right w:val="none" w:sz="0" w:space="0" w:color="auto"/>
              </w:divBdr>
            </w:div>
            <w:div w:id="525022977">
              <w:marLeft w:val="0"/>
              <w:marRight w:val="0"/>
              <w:marTop w:val="0"/>
              <w:marBottom w:val="0"/>
              <w:divBdr>
                <w:top w:val="none" w:sz="0" w:space="0" w:color="auto"/>
                <w:left w:val="none" w:sz="0" w:space="0" w:color="auto"/>
                <w:bottom w:val="none" w:sz="0" w:space="0" w:color="auto"/>
                <w:right w:val="none" w:sz="0" w:space="0" w:color="auto"/>
              </w:divBdr>
            </w:div>
            <w:div w:id="1241014993">
              <w:marLeft w:val="0"/>
              <w:marRight w:val="0"/>
              <w:marTop w:val="0"/>
              <w:marBottom w:val="0"/>
              <w:divBdr>
                <w:top w:val="none" w:sz="0" w:space="0" w:color="auto"/>
                <w:left w:val="none" w:sz="0" w:space="0" w:color="auto"/>
                <w:bottom w:val="none" w:sz="0" w:space="0" w:color="auto"/>
                <w:right w:val="none" w:sz="0" w:space="0" w:color="auto"/>
              </w:divBdr>
            </w:div>
            <w:div w:id="470371478">
              <w:marLeft w:val="0"/>
              <w:marRight w:val="0"/>
              <w:marTop w:val="0"/>
              <w:marBottom w:val="0"/>
              <w:divBdr>
                <w:top w:val="none" w:sz="0" w:space="0" w:color="auto"/>
                <w:left w:val="none" w:sz="0" w:space="0" w:color="auto"/>
                <w:bottom w:val="none" w:sz="0" w:space="0" w:color="auto"/>
                <w:right w:val="none" w:sz="0" w:space="0" w:color="auto"/>
              </w:divBdr>
            </w:div>
          </w:divsChild>
        </w:div>
        <w:div w:id="979774470">
          <w:marLeft w:val="0"/>
          <w:marRight w:val="0"/>
          <w:marTop w:val="0"/>
          <w:marBottom w:val="0"/>
          <w:divBdr>
            <w:top w:val="none" w:sz="0" w:space="0" w:color="auto"/>
            <w:left w:val="none" w:sz="0" w:space="0" w:color="auto"/>
            <w:bottom w:val="none" w:sz="0" w:space="0" w:color="auto"/>
            <w:right w:val="none" w:sz="0" w:space="0" w:color="auto"/>
          </w:divBdr>
        </w:div>
      </w:divsChild>
    </w:div>
    <w:div w:id="297304047">
      <w:bodyDiv w:val="1"/>
      <w:marLeft w:val="0"/>
      <w:marRight w:val="0"/>
      <w:marTop w:val="0"/>
      <w:marBottom w:val="0"/>
      <w:divBdr>
        <w:top w:val="none" w:sz="0" w:space="0" w:color="auto"/>
        <w:left w:val="none" w:sz="0" w:space="0" w:color="auto"/>
        <w:bottom w:val="none" w:sz="0" w:space="0" w:color="auto"/>
        <w:right w:val="none" w:sz="0" w:space="0" w:color="auto"/>
      </w:divBdr>
    </w:div>
    <w:div w:id="697193980">
      <w:bodyDiv w:val="1"/>
      <w:marLeft w:val="0"/>
      <w:marRight w:val="0"/>
      <w:marTop w:val="0"/>
      <w:marBottom w:val="0"/>
      <w:divBdr>
        <w:top w:val="none" w:sz="0" w:space="0" w:color="auto"/>
        <w:left w:val="none" w:sz="0" w:space="0" w:color="auto"/>
        <w:bottom w:val="none" w:sz="0" w:space="0" w:color="auto"/>
        <w:right w:val="none" w:sz="0" w:space="0" w:color="auto"/>
      </w:divBdr>
      <w:divsChild>
        <w:div w:id="415443345">
          <w:marLeft w:val="0"/>
          <w:marRight w:val="0"/>
          <w:marTop w:val="0"/>
          <w:marBottom w:val="0"/>
          <w:divBdr>
            <w:top w:val="none" w:sz="0" w:space="0" w:color="auto"/>
            <w:left w:val="none" w:sz="0" w:space="0" w:color="auto"/>
            <w:bottom w:val="none" w:sz="0" w:space="0" w:color="auto"/>
            <w:right w:val="none" w:sz="0" w:space="0" w:color="auto"/>
          </w:divBdr>
        </w:div>
      </w:divsChild>
    </w:div>
    <w:div w:id="988560668">
      <w:bodyDiv w:val="1"/>
      <w:marLeft w:val="0"/>
      <w:marRight w:val="0"/>
      <w:marTop w:val="0"/>
      <w:marBottom w:val="0"/>
      <w:divBdr>
        <w:top w:val="none" w:sz="0" w:space="0" w:color="auto"/>
        <w:left w:val="none" w:sz="0" w:space="0" w:color="auto"/>
        <w:bottom w:val="none" w:sz="0" w:space="0" w:color="auto"/>
        <w:right w:val="none" w:sz="0" w:space="0" w:color="auto"/>
      </w:divBdr>
    </w:div>
    <w:div w:id="1026903397">
      <w:bodyDiv w:val="1"/>
      <w:marLeft w:val="0"/>
      <w:marRight w:val="0"/>
      <w:marTop w:val="0"/>
      <w:marBottom w:val="0"/>
      <w:divBdr>
        <w:top w:val="none" w:sz="0" w:space="0" w:color="auto"/>
        <w:left w:val="none" w:sz="0" w:space="0" w:color="auto"/>
        <w:bottom w:val="none" w:sz="0" w:space="0" w:color="auto"/>
        <w:right w:val="none" w:sz="0" w:space="0" w:color="auto"/>
      </w:divBdr>
    </w:div>
    <w:div w:id="1073552974">
      <w:bodyDiv w:val="1"/>
      <w:marLeft w:val="0"/>
      <w:marRight w:val="0"/>
      <w:marTop w:val="0"/>
      <w:marBottom w:val="0"/>
      <w:divBdr>
        <w:top w:val="none" w:sz="0" w:space="0" w:color="auto"/>
        <w:left w:val="none" w:sz="0" w:space="0" w:color="auto"/>
        <w:bottom w:val="none" w:sz="0" w:space="0" w:color="auto"/>
        <w:right w:val="none" w:sz="0" w:space="0" w:color="auto"/>
      </w:divBdr>
      <w:divsChild>
        <w:div w:id="771508935">
          <w:marLeft w:val="0"/>
          <w:marRight w:val="0"/>
          <w:marTop w:val="0"/>
          <w:marBottom w:val="0"/>
          <w:divBdr>
            <w:top w:val="none" w:sz="0" w:space="0" w:color="auto"/>
            <w:left w:val="none" w:sz="0" w:space="0" w:color="auto"/>
            <w:bottom w:val="none" w:sz="0" w:space="0" w:color="auto"/>
            <w:right w:val="none" w:sz="0" w:space="0" w:color="auto"/>
          </w:divBdr>
          <w:divsChild>
            <w:div w:id="2107648596">
              <w:marLeft w:val="0"/>
              <w:marRight w:val="0"/>
              <w:marTop w:val="0"/>
              <w:marBottom w:val="0"/>
              <w:divBdr>
                <w:top w:val="none" w:sz="0" w:space="0" w:color="auto"/>
                <w:left w:val="none" w:sz="0" w:space="0" w:color="auto"/>
                <w:bottom w:val="none" w:sz="0" w:space="0" w:color="auto"/>
                <w:right w:val="none" w:sz="0" w:space="0" w:color="auto"/>
              </w:divBdr>
            </w:div>
            <w:div w:id="1877354466">
              <w:marLeft w:val="0"/>
              <w:marRight w:val="0"/>
              <w:marTop w:val="0"/>
              <w:marBottom w:val="0"/>
              <w:divBdr>
                <w:top w:val="none" w:sz="0" w:space="0" w:color="auto"/>
                <w:left w:val="none" w:sz="0" w:space="0" w:color="auto"/>
                <w:bottom w:val="none" w:sz="0" w:space="0" w:color="auto"/>
                <w:right w:val="none" w:sz="0" w:space="0" w:color="auto"/>
              </w:divBdr>
            </w:div>
            <w:div w:id="158841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946599">
      <w:bodyDiv w:val="1"/>
      <w:marLeft w:val="0"/>
      <w:marRight w:val="0"/>
      <w:marTop w:val="0"/>
      <w:marBottom w:val="0"/>
      <w:divBdr>
        <w:top w:val="none" w:sz="0" w:space="0" w:color="auto"/>
        <w:left w:val="none" w:sz="0" w:space="0" w:color="auto"/>
        <w:bottom w:val="none" w:sz="0" w:space="0" w:color="auto"/>
        <w:right w:val="none" w:sz="0" w:space="0" w:color="auto"/>
      </w:divBdr>
      <w:divsChild>
        <w:div w:id="1194268439">
          <w:marLeft w:val="0"/>
          <w:marRight w:val="0"/>
          <w:marTop w:val="0"/>
          <w:marBottom w:val="0"/>
          <w:divBdr>
            <w:top w:val="none" w:sz="0" w:space="0" w:color="auto"/>
            <w:left w:val="none" w:sz="0" w:space="0" w:color="auto"/>
            <w:bottom w:val="none" w:sz="0" w:space="0" w:color="auto"/>
            <w:right w:val="none" w:sz="0" w:space="0" w:color="auto"/>
          </w:divBdr>
        </w:div>
        <w:div w:id="1794515628">
          <w:marLeft w:val="0"/>
          <w:marRight w:val="0"/>
          <w:marTop w:val="0"/>
          <w:marBottom w:val="0"/>
          <w:divBdr>
            <w:top w:val="none" w:sz="0" w:space="0" w:color="auto"/>
            <w:left w:val="none" w:sz="0" w:space="0" w:color="auto"/>
            <w:bottom w:val="none" w:sz="0" w:space="0" w:color="auto"/>
            <w:right w:val="none" w:sz="0" w:space="0" w:color="auto"/>
          </w:divBdr>
        </w:div>
        <w:div w:id="1473713182">
          <w:marLeft w:val="0"/>
          <w:marRight w:val="0"/>
          <w:marTop w:val="0"/>
          <w:marBottom w:val="0"/>
          <w:divBdr>
            <w:top w:val="none" w:sz="0" w:space="0" w:color="auto"/>
            <w:left w:val="none" w:sz="0" w:space="0" w:color="auto"/>
            <w:bottom w:val="none" w:sz="0" w:space="0" w:color="auto"/>
            <w:right w:val="none" w:sz="0" w:space="0" w:color="auto"/>
          </w:divBdr>
          <w:divsChild>
            <w:div w:id="1079792888">
              <w:marLeft w:val="0"/>
              <w:marRight w:val="0"/>
              <w:marTop w:val="0"/>
              <w:marBottom w:val="0"/>
              <w:divBdr>
                <w:top w:val="none" w:sz="0" w:space="0" w:color="auto"/>
                <w:left w:val="none" w:sz="0" w:space="0" w:color="auto"/>
                <w:bottom w:val="none" w:sz="0" w:space="0" w:color="auto"/>
                <w:right w:val="none" w:sz="0" w:space="0" w:color="auto"/>
              </w:divBdr>
            </w:div>
            <w:div w:id="1598319599">
              <w:marLeft w:val="0"/>
              <w:marRight w:val="0"/>
              <w:marTop w:val="0"/>
              <w:marBottom w:val="0"/>
              <w:divBdr>
                <w:top w:val="none" w:sz="0" w:space="0" w:color="auto"/>
                <w:left w:val="none" w:sz="0" w:space="0" w:color="auto"/>
                <w:bottom w:val="none" w:sz="0" w:space="0" w:color="auto"/>
                <w:right w:val="none" w:sz="0" w:space="0" w:color="auto"/>
              </w:divBdr>
            </w:div>
            <w:div w:id="1570506320">
              <w:marLeft w:val="0"/>
              <w:marRight w:val="0"/>
              <w:marTop w:val="0"/>
              <w:marBottom w:val="0"/>
              <w:divBdr>
                <w:top w:val="none" w:sz="0" w:space="0" w:color="auto"/>
                <w:left w:val="none" w:sz="0" w:space="0" w:color="auto"/>
                <w:bottom w:val="none" w:sz="0" w:space="0" w:color="auto"/>
                <w:right w:val="none" w:sz="0" w:space="0" w:color="auto"/>
              </w:divBdr>
            </w:div>
            <w:div w:id="1201166286">
              <w:marLeft w:val="0"/>
              <w:marRight w:val="0"/>
              <w:marTop w:val="0"/>
              <w:marBottom w:val="0"/>
              <w:divBdr>
                <w:top w:val="none" w:sz="0" w:space="0" w:color="auto"/>
                <w:left w:val="none" w:sz="0" w:space="0" w:color="auto"/>
                <w:bottom w:val="none" w:sz="0" w:space="0" w:color="auto"/>
                <w:right w:val="none" w:sz="0" w:space="0" w:color="auto"/>
              </w:divBdr>
            </w:div>
            <w:div w:id="300160208">
              <w:marLeft w:val="0"/>
              <w:marRight w:val="0"/>
              <w:marTop w:val="0"/>
              <w:marBottom w:val="0"/>
              <w:divBdr>
                <w:top w:val="none" w:sz="0" w:space="0" w:color="auto"/>
                <w:left w:val="none" w:sz="0" w:space="0" w:color="auto"/>
                <w:bottom w:val="none" w:sz="0" w:space="0" w:color="auto"/>
                <w:right w:val="none" w:sz="0" w:space="0" w:color="auto"/>
              </w:divBdr>
            </w:div>
            <w:div w:id="209928487">
              <w:marLeft w:val="0"/>
              <w:marRight w:val="0"/>
              <w:marTop w:val="0"/>
              <w:marBottom w:val="0"/>
              <w:divBdr>
                <w:top w:val="none" w:sz="0" w:space="0" w:color="auto"/>
                <w:left w:val="none" w:sz="0" w:space="0" w:color="auto"/>
                <w:bottom w:val="none" w:sz="0" w:space="0" w:color="auto"/>
                <w:right w:val="none" w:sz="0" w:space="0" w:color="auto"/>
              </w:divBdr>
            </w:div>
            <w:div w:id="163668843">
              <w:marLeft w:val="0"/>
              <w:marRight w:val="0"/>
              <w:marTop w:val="0"/>
              <w:marBottom w:val="0"/>
              <w:divBdr>
                <w:top w:val="none" w:sz="0" w:space="0" w:color="auto"/>
                <w:left w:val="none" w:sz="0" w:space="0" w:color="auto"/>
                <w:bottom w:val="none" w:sz="0" w:space="0" w:color="auto"/>
                <w:right w:val="none" w:sz="0" w:space="0" w:color="auto"/>
              </w:divBdr>
            </w:div>
            <w:div w:id="911045672">
              <w:marLeft w:val="0"/>
              <w:marRight w:val="0"/>
              <w:marTop w:val="0"/>
              <w:marBottom w:val="0"/>
              <w:divBdr>
                <w:top w:val="none" w:sz="0" w:space="0" w:color="auto"/>
                <w:left w:val="none" w:sz="0" w:space="0" w:color="auto"/>
                <w:bottom w:val="none" w:sz="0" w:space="0" w:color="auto"/>
                <w:right w:val="none" w:sz="0" w:space="0" w:color="auto"/>
              </w:divBdr>
            </w:div>
            <w:div w:id="1210844154">
              <w:marLeft w:val="0"/>
              <w:marRight w:val="0"/>
              <w:marTop w:val="0"/>
              <w:marBottom w:val="0"/>
              <w:divBdr>
                <w:top w:val="none" w:sz="0" w:space="0" w:color="auto"/>
                <w:left w:val="none" w:sz="0" w:space="0" w:color="auto"/>
                <w:bottom w:val="none" w:sz="0" w:space="0" w:color="auto"/>
                <w:right w:val="none" w:sz="0" w:space="0" w:color="auto"/>
              </w:divBdr>
            </w:div>
            <w:div w:id="507526175">
              <w:marLeft w:val="0"/>
              <w:marRight w:val="0"/>
              <w:marTop w:val="0"/>
              <w:marBottom w:val="0"/>
              <w:divBdr>
                <w:top w:val="none" w:sz="0" w:space="0" w:color="auto"/>
                <w:left w:val="none" w:sz="0" w:space="0" w:color="auto"/>
                <w:bottom w:val="none" w:sz="0" w:space="0" w:color="auto"/>
                <w:right w:val="none" w:sz="0" w:space="0" w:color="auto"/>
              </w:divBdr>
            </w:div>
            <w:div w:id="2101412215">
              <w:marLeft w:val="0"/>
              <w:marRight w:val="0"/>
              <w:marTop w:val="0"/>
              <w:marBottom w:val="0"/>
              <w:divBdr>
                <w:top w:val="none" w:sz="0" w:space="0" w:color="auto"/>
                <w:left w:val="none" w:sz="0" w:space="0" w:color="auto"/>
                <w:bottom w:val="none" w:sz="0" w:space="0" w:color="auto"/>
                <w:right w:val="none" w:sz="0" w:space="0" w:color="auto"/>
              </w:divBdr>
            </w:div>
            <w:div w:id="1186746676">
              <w:marLeft w:val="0"/>
              <w:marRight w:val="0"/>
              <w:marTop w:val="0"/>
              <w:marBottom w:val="0"/>
              <w:divBdr>
                <w:top w:val="none" w:sz="0" w:space="0" w:color="auto"/>
                <w:left w:val="none" w:sz="0" w:space="0" w:color="auto"/>
                <w:bottom w:val="none" w:sz="0" w:space="0" w:color="auto"/>
                <w:right w:val="none" w:sz="0" w:space="0" w:color="auto"/>
              </w:divBdr>
            </w:div>
          </w:divsChild>
        </w:div>
        <w:div w:id="820465798">
          <w:marLeft w:val="0"/>
          <w:marRight w:val="0"/>
          <w:marTop w:val="0"/>
          <w:marBottom w:val="0"/>
          <w:divBdr>
            <w:top w:val="none" w:sz="0" w:space="0" w:color="auto"/>
            <w:left w:val="none" w:sz="0" w:space="0" w:color="auto"/>
            <w:bottom w:val="none" w:sz="0" w:space="0" w:color="auto"/>
            <w:right w:val="none" w:sz="0" w:space="0" w:color="auto"/>
          </w:divBdr>
        </w:div>
      </w:divsChild>
    </w:div>
    <w:div w:id="1459958098">
      <w:bodyDiv w:val="1"/>
      <w:marLeft w:val="0"/>
      <w:marRight w:val="0"/>
      <w:marTop w:val="0"/>
      <w:marBottom w:val="0"/>
      <w:divBdr>
        <w:top w:val="none" w:sz="0" w:space="0" w:color="auto"/>
        <w:left w:val="none" w:sz="0" w:space="0" w:color="auto"/>
        <w:bottom w:val="none" w:sz="0" w:space="0" w:color="auto"/>
        <w:right w:val="none" w:sz="0" w:space="0" w:color="auto"/>
      </w:divBdr>
      <w:divsChild>
        <w:div w:id="390545161">
          <w:marLeft w:val="0"/>
          <w:marRight w:val="0"/>
          <w:marTop w:val="0"/>
          <w:marBottom w:val="0"/>
          <w:divBdr>
            <w:top w:val="none" w:sz="0" w:space="0" w:color="auto"/>
            <w:left w:val="none" w:sz="0" w:space="0" w:color="auto"/>
            <w:bottom w:val="none" w:sz="0" w:space="0" w:color="auto"/>
            <w:right w:val="none" w:sz="0" w:space="0" w:color="auto"/>
          </w:divBdr>
        </w:div>
      </w:divsChild>
    </w:div>
    <w:div w:id="1525292633">
      <w:bodyDiv w:val="1"/>
      <w:marLeft w:val="0"/>
      <w:marRight w:val="0"/>
      <w:marTop w:val="0"/>
      <w:marBottom w:val="0"/>
      <w:divBdr>
        <w:top w:val="none" w:sz="0" w:space="0" w:color="auto"/>
        <w:left w:val="none" w:sz="0" w:space="0" w:color="auto"/>
        <w:bottom w:val="none" w:sz="0" w:space="0" w:color="auto"/>
        <w:right w:val="none" w:sz="0" w:space="0" w:color="auto"/>
      </w:divBdr>
    </w:div>
    <w:div w:id="1555969601">
      <w:bodyDiv w:val="1"/>
      <w:marLeft w:val="0"/>
      <w:marRight w:val="0"/>
      <w:marTop w:val="0"/>
      <w:marBottom w:val="0"/>
      <w:divBdr>
        <w:top w:val="none" w:sz="0" w:space="0" w:color="auto"/>
        <w:left w:val="none" w:sz="0" w:space="0" w:color="auto"/>
        <w:bottom w:val="none" w:sz="0" w:space="0" w:color="auto"/>
        <w:right w:val="none" w:sz="0" w:space="0" w:color="auto"/>
      </w:divBdr>
    </w:div>
    <w:div w:id="1597515218">
      <w:bodyDiv w:val="1"/>
      <w:marLeft w:val="0"/>
      <w:marRight w:val="0"/>
      <w:marTop w:val="0"/>
      <w:marBottom w:val="0"/>
      <w:divBdr>
        <w:top w:val="none" w:sz="0" w:space="0" w:color="auto"/>
        <w:left w:val="none" w:sz="0" w:space="0" w:color="auto"/>
        <w:bottom w:val="none" w:sz="0" w:space="0" w:color="auto"/>
        <w:right w:val="none" w:sz="0" w:space="0" w:color="auto"/>
      </w:divBdr>
    </w:div>
    <w:div w:id="1671442629">
      <w:bodyDiv w:val="1"/>
      <w:marLeft w:val="0"/>
      <w:marRight w:val="0"/>
      <w:marTop w:val="0"/>
      <w:marBottom w:val="0"/>
      <w:divBdr>
        <w:top w:val="none" w:sz="0" w:space="0" w:color="auto"/>
        <w:left w:val="none" w:sz="0" w:space="0" w:color="auto"/>
        <w:bottom w:val="none" w:sz="0" w:space="0" w:color="auto"/>
        <w:right w:val="none" w:sz="0" w:space="0" w:color="auto"/>
      </w:divBdr>
      <w:divsChild>
        <w:div w:id="170992078">
          <w:marLeft w:val="0"/>
          <w:marRight w:val="0"/>
          <w:marTop w:val="0"/>
          <w:marBottom w:val="0"/>
          <w:divBdr>
            <w:top w:val="none" w:sz="0" w:space="0" w:color="auto"/>
            <w:left w:val="none" w:sz="0" w:space="0" w:color="auto"/>
            <w:bottom w:val="none" w:sz="0" w:space="0" w:color="auto"/>
            <w:right w:val="none" w:sz="0" w:space="0" w:color="auto"/>
          </w:divBdr>
          <w:divsChild>
            <w:div w:id="650718181">
              <w:marLeft w:val="0"/>
              <w:marRight w:val="0"/>
              <w:marTop w:val="0"/>
              <w:marBottom w:val="0"/>
              <w:divBdr>
                <w:top w:val="none" w:sz="0" w:space="0" w:color="auto"/>
                <w:left w:val="none" w:sz="0" w:space="0" w:color="auto"/>
                <w:bottom w:val="none" w:sz="0" w:space="0" w:color="auto"/>
                <w:right w:val="none" w:sz="0" w:space="0" w:color="auto"/>
              </w:divBdr>
            </w:div>
            <w:div w:id="43141690">
              <w:marLeft w:val="0"/>
              <w:marRight w:val="0"/>
              <w:marTop w:val="0"/>
              <w:marBottom w:val="0"/>
              <w:divBdr>
                <w:top w:val="none" w:sz="0" w:space="0" w:color="auto"/>
                <w:left w:val="none" w:sz="0" w:space="0" w:color="auto"/>
                <w:bottom w:val="none" w:sz="0" w:space="0" w:color="auto"/>
                <w:right w:val="none" w:sz="0" w:space="0" w:color="auto"/>
              </w:divBdr>
            </w:div>
            <w:div w:id="194295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854960">
      <w:bodyDiv w:val="1"/>
      <w:marLeft w:val="0"/>
      <w:marRight w:val="0"/>
      <w:marTop w:val="0"/>
      <w:marBottom w:val="0"/>
      <w:divBdr>
        <w:top w:val="none" w:sz="0" w:space="0" w:color="auto"/>
        <w:left w:val="none" w:sz="0" w:space="0" w:color="auto"/>
        <w:bottom w:val="none" w:sz="0" w:space="0" w:color="auto"/>
        <w:right w:val="none" w:sz="0" w:space="0" w:color="auto"/>
      </w:divBdr>
    </w:div>
    <w:div w:id="1982029639">
      <w:bodyDiv w:val="1"/>
      <w:marLeft w:val="0"/>
      <w:marRight w:val="0"/>
      <w:marTop w:val="0"/>
      <w:marBottom w:val="0"/>
      <w:divBdr>
        <w:top w:val="none" w:sz="0" w:space="0" w:color="auto"/>
        <w:left w:val="none" w:sz="0" w:space="0" w:color="auto"/>
        <w:bottom w:val="none" w:sz="0" w:space="0" w:color="auto"/>
        <w:right w:val="none" w:sz="0" w:space="0" w:color="auto"/>
      </w:divBdr>
    </w:div>
    <w:div w:id="2009819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ngtermplan.nhs.uk/" TargetMode="External"/><Relationship Id="rId18" Type="http://schemas.openxmlformats.org/officeDocument/2006/relationships/hyperlink" Target="https://www.gov.uk/guidance/equality-act-2010-guidanc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asp-uk.net/casp-tools-checklists/" TargetMode="External"/><Relationship Id="rId17" Type="http://schemas.openxmlformats.org/officeDocument/2006/relationships/hyperlink" Target="https://www.niehs.nih.gov/research/resources/bioethics/whatis/index.cfm" TargetMode="External"/><Relationship Id="rId2" Type="http://schemas.openxmlformats.org/officeDocument/2006/relationships/numbering" Target="numbering.xml"/><Relationship Id="rId16" Type="http://schemas.openxmlformats.org/officeDocument/2006/relationships/hyperlink" Target="https://www.nice.org.uk/guidance/ng9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zheimersresearchuk.org" TargetMode="External"/><Relationship Id="rId5" Type="http://schemas.openxmlformats.org/officeDocument/2006/relationships/webSettings" Target="webSettings.xml"/><Relationship Id="rId15" Type="http://schemas.openxmlformats.org/officeDocument/2006/relationships/hyperlink" Target="https://www.england.nhs.uk" TargetMode="External"/><Relationship Id="rId10" Type="http://schemas.openxmlformats.org/officeDocument/2006/relationships/hyperlink" Target="https://www.alzheimers.org.uk/" TargetMode="External"/><Relationship Id="rId19" Type="http://schemas.openxmlformats.org/officeDocument/2006/relationships/hyperlink" Target="https://www.kingsfund.org.uk/publications/community-services-asse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integratedca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E859D6-794F-41CA-9D63-B50DB90DB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2416</TotalTime>
  <Pages>42</Pages>
  <Words>12695</Words>
  <Characters>72364</Characters>
  <Application>Microsoft Office Word</Application>
  <DocSecurity>0</DocSecurity>
  <Lines>603</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68</cp:revision>
  <dcterms:created xsi:type="dcterms:W3CDTF">2025-07-22T10:34:00Z</dcterms:created>
  <dcterms:modified xsi:type="dcterms:W3CDTF">2025-07-31T04:17:00Z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30a6e8da-58ae-417e-883b-9fae8b0cf863</vt:lpwstr>
  </property>
</Properties>
</file>