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503FCA67" w:rsidR="00530E16" w:rsidRDefault="00530E16">
                            <w:pPr>
                              <w:spacing w:after="0" w:line="240" w:lineRule="auto"/>
                              <w:textDirection w:val="btLr"/>
                            </w:pPr>
                          </w:p>
                          <w:p w14:paraId="78285425" w14:textId="0502879F" w:rsidR="00530E16" w:rsidRDefault="004468F8">
                            <w:pPr>
                              <w:spacing w:before="120" w:line="277" w:lineRule="auto"/>
                              <w:textDirection w:val="btLr"/>
                            </w:pPr>
                            <w:r>
                              <w:rPr>
                                <w:color w:val="404040"/>
                                <w:sz w:val="36"/>
                              </w:rPr>
                              <w:t xml:space="preserve">Module Name: </w:t>
                            </w:r>
                            <w:r w:rsidR="00F141D1" w:rsidRPr="00F141D1">
                              <w:rPr>
                                <w:color w:val="404040"/>
                                <w:sz w:val="36"/>
                              </w:rPr>
                              <w:t>Psychology in Health and Social Care</w:t>
                            </w:r>
                          </w:p>
                          <w:p w14:paraId="26D908CE" w14:textId="77777777" w:rsidR="005C35DC" w:rsidRDefault="004468F8">
                            <w:pPr>
                              <w:spacing w:before="120" w:line="277" w:lineRule="auto"/>
                              <w:textDirection w:val="btLr"/>
                              <w:rPr>
                                <w:color w:val="404040"/>
                                <w:sz w:val="36"/>
                              </w:rPr>
                            </w:pPr>
                            <w:r>
                              <w:rPr>
                                <w:color w:val="404040"/>
                                <w:sz w:val="36"/>
                              </w:rPr>
                              <w:t xml:space="preserve">Module Code: </w:t>
                            </w:r>
                            <w:r w:rsidR="005C35DC" w:rsidRPr="005C35DC">
                              <w:rPr>
                                <w:color w:val="404040"/>
                                <w:sz w:val="36"/>
                              </w:rPr>
                              <w:t xml:space="preserve">LCHS4010_LON </w:t>
                            </w:r>
                          </w:p>
                          <w:p w14:paraId="78CDBA4E" w14:textId="7210A0C9" w:rsidR="00530E16" w:rsidRDefault="004468F8">
                            <w:pPr>
                              <w:spacing w:before="120" w:line="277" w:lineRule="auto"/>
                              <w:textDirection w:val="btLr"/>
                            </w:pPr>
                            <w:r>
                              <w:rPr>
                                <w:color w:val="404040"/>
                                <w:sz w:val="36"/>
                              </w:rPr>
                              <w:t xml:space="preserve">Student name: </w:t>
                            </w:r>
                            <w:r w:rsidR="00626B67" w:rsidRPr="00626B67">
                              <w:rPr>
                                <w:color w:val="404040"/>
                                <w:sz w:val="36"/>
                              </w:rPr>
                              <w:t>MARIA-GABRIELA ION</w:t>
                            </w:r>
                          </w:p>
                          <w:p w14:paraId="07714B75" w14:textId="1D76BD85" w:rsidR="00530E16" w:rsidRDefault="004468F8">
                            <w:pPr>
                              <w:spacing w:before="120" w:line="277" w:lineRule="auto"/>
                              <w:textDirection w:val="btLr"/>
                            </w:pPr>
                            <w:r>
                              <w:rPr>
                                <w:color w:val="404040"/>
                                <w:sz w:val="36"/>
                              </w:rPr>
                              <w:t>Student ID:</w:t>
                            </w:r>
                            <w:r w:rsidR="00626B67">
                              <w:rPr>
                                <w:color w:val="404040"/>
                                <w:sz w:val="36"/>
                              </w:rPr>
                              <w:t xml:space="preserve"> </w:t>
                            </w:r>
                            <w:r w:rsidR="00D15F08" w:rsidRPr="00D15F08">
                              <w:rPr>
                                <w:color w:val="404040"/>
                                <w:sz w:val="36"/>
                              </w:rPr>
                              <w:t>2509672</w:t>
                            </w:r>
                          </w:p>
                          <w:p w14:paraId="20688A91" w14:textId="70E0BEE1" w:rsidR="00530E16" w:rsidRDefault="004468F8">
                            <w:pPr>
                              <w:spacing w:before="120" w:line="277" w:lineRule="auto"/>
                              <w:textDirection w:val="btLr"/>
                            </w:pPr>
                            <w:r>
                              <w:rPr>
                                <w:color w:val="404040"/>
                                <w:sz w:val="36"/>
                              </w:rPr>
                              <w:t xml:space="preserve">Lecturer’s Name: </w:t>
                            </w:r>
                            <w:r w:rsidR="00AC6BFE" w:rsidRPr="00AC6BFE">
                              <w:rPr>
                                <w:color w:val="404040"/>
                                <w:sz w:val="36"/>
                              </w:rPr>
                              <w:t xml:space="preserve">Christiana </w:t>
                            </w:r>
                            <w:proofErr w:type="spellStart"/>
                            <w:r w:rsidR="00AC6BFE" w:rsidRPr="00AC6BFE">
                              <w:rPr>
                                <w:color w:val="404040"/>
                                <w:sz w:val="36"/>
                              </w:rPr>
                              <w:t>Melam</w:t>
                            </w:r>
                            <w:proofErr w:type="spellEnd"/>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503FCA67" w:rsidR="00530E16" w:rsidRDefault="00530E16">
                      <w:pPr>
                        <w:spacing w:after="0" w:line="240" w:lineRule="auto"/>
                        <w:textDirection w:val="btLr"/>
                      </w:pPr>
                    </w:p>
                    <w:p w14:paraId="78285425" w14:textId="0502879F" w:rsidR="00530E16" w:rsidRDefault="004468F8">
                      <w:pPr>
                        <w:spacing w:before="120" w:line="277" w:lineRule="auto"/>
                        <w:textDirection w:val="btLr"/>
                      </w:pPr>
                      <w:r>
                        <w:rPr>
                          <w:color w:val="404040"/>
                          <w:sz w:val="36"/>
                        </w:rPr>
                        <w:t xml:space="preserve">Module Name: </w:t>
                      </w:r>
                      <w:r w:rsidR="00F141D1" w:rsidRPr="00F141D1">
                        <w:rPr>
                          <w:color w:val="404040"/>
                          <w:sz w:val="36"/>
                        </w:rPr>
                        <w:t>Psychology in Health and Social Care</w:t>
                      </w:r>
                    </w:p>
                    <w:p w14:paraId="26D908CE" w14:textId="77777777" w:rsidR="005C35DC" w:rsidRDefault="004468F8">
                      <w:pPr>
                        <w:spacing w:before="120" w:line="277" w:lineRule="auto"/>
                        <w:textDirection w:val="btLr"/>
                        <w:rPr>
                          <w:color w:val="404040"/>
                          <w:sz w:val="36"/>
                        </w:rPr>
                      </w:pPr>
                      <w:r>
                        <w:rPr>
                          <w:color w:val="404040"/>
                          <w:sz w:val="36"/>
                        </w:rPr>
                        <w:t xml:space="preserve">Module Code: </w:t>
                      </w:r>
                      <w:r w:rsidR="005C35DC" w:rsidRPr="005C35DC">
                        <w:rPr>
                          <w:color w:val="404040"/>
                          <w:sz w:val="36"/>
                        </w:rPr>
                        <w:t xml:space="preserve">LCHS4010_LON </w:t>
                      </w:r>
                    </w:p>
                    <w:p w14:paraId="78CDBA4E" w14:textId="7210A0C9" w:rsidR="00530E16" w:rsidRDefault="004468F8">
                      <w:pPr>
                        <w:spacing w:before="120" w:line="277" w:lineRule="auto"/>
                        <w:textDirection w:val="btLr"/>
                      </w:pPr>
                      <w:r>
                        <w:rPr>
                          <w:color w:val="404040"/>
                          <w:sz w:val="36"/>
                        </w:rPr>
                        <w:t xml:space="preserve">Student name: </w:t>
                      </w:r>
                      <w:r w:rsidR="00626B67" w:rsidRPr="00626B67">
                        <w:rPr>
                          <w:color w:val="404040"/>
                          <w:sz w:val="36"/>
                        </w:rPr>
                        <w:t>MARIA-GABRIELA ION</w:t>
                      </w:r>
                    </w:p>
                    <w:p w14:paraId="07714B75" w14:textId="1D76BD85" w:rsidR="00530E16" w:rsidRDefault="004468F8">
                      <w:pPr>
                        <w:spacing w:before="120" w:line="277" w:lineRule="auto"/>
                        <w:textDirection w:val="btLr"/>
                      </w:pPr>
                      <w:r>
                        <w:rPr>
                          <w:color w:val="404040"/>
                          <w:sz w:val="36"/>
                        </w:rPr>
                        <w:t>Student ID:</w:t>
                      </w:r>
                      <w:r w:rsidR="00626B67">
                        <w:rPr>
                          <w:color w:val="404040"/>
                          <w:sz w:val="36"/>
                        </w:rPr>
                        <w:t xml:space="preserve"> </w:t>
                      </w:r>
                      <w:r w:rsidR="00D15F08" w:rsidRPr="00D15F08">
                        <w:rPr>
                          <w:color w:val="404040"/>
                          <w:sz w:val="36"/>
                        </w:rPr>
                        <w:t>2509672</w:t>
                      </w:r>
                    </w:p>
                    <w:p w14:paraId="20688A91" w14:textId="70E0BEE1" w:rsidR="00530E16" w:rsidRDefault="004468F8">
                      <w:pPr>
                        <w:spacing w:before="120" w:line="277" w:lineRule="auto"/>
                        <w:textDirection w:val="btLr"/>
                      </w:pPr>
                      <w:r>
                        <w:rPr>
                          <w:color w:val="404040"/>
                          <w:sz w:val="36"/>
                        </w:rPr>
                        <w:t xml:space="preserve">Lecturer’s Name: </w:t>
                      </w:r>
                      <w:r w:rsidR="00AC6BFE" w:rsidRPr="00AC6BFE">
                        <w:rPr>
                          <w:color w:val="404040"/>
                          <w:sz w:val="36"/>
                        </w:rPr>
                        <w:t xml:space="preserve">Christiana </w:t>
                      </w:r>
                      <w:proofErr w:type="spellStart"/>
                      <w:r w:rsidR="00AC6BFE" w:rsidRPr="00AC6BFE">
                        <w:rPr>
                          <w:color w:val="404040"/>
                          <w:sz w:val="36"/>
                        </w:rPr>
                        <w:t>Melam</w:t>
                      </w:r>
                      <w:proofErr w:type="spellEnd"/>
                    </w:p>
                  </w:txbxContent>
                </v:textbox>
                <w10:wrap anchorx="page" anchory="page"/>
              </v:rect>
            </w:pict>
          </mc:Fallback>
        </mc:AlternateContent>
      </w:r>
      <w:r>
        <w:br w:type="page"/>
      </w:r>
    </w:p>
    <w:p w14:paraId="61895DA4" w14:textId="77777777" w:rsidR="00530E16" w:rsidRPr="00AE5B23" w:rsidRDefault="00530E16">
      <w:pPr>
        <w:rPr>
          <w:rFonts w:ascii="Arial" w:eastAsia="Arial" w:hAnsi="Arial" w:cs="Arial"/>
          <w:b/>
          <w:bCs/>
        </w:rPr>
      </w:pPr>
    </w:p>
    <w:p w14:paraId="42A91C2A" w14:textId="77777777" w:rsidR="00710FC1" w:rsidRPr="007A3429" w:rsidRDefault="00710FC1" w:rsidP="007A3429">
      <w:pPr>
        <w:spacing w:line="360" w:lineRule="auto"/>
        <w:rPr>
          <w:rFonts w:ascii="Arial" w:eastAsia="Play" w:hAnsi="Arial" w:cs="Arial"/>
          <w:b/>
          <w:bCs/>
          <w:color w:val="000000" w:themeColor="text1"/>
          <w:sz w:val="22"/>
          <w:szCs w:val="22"/>
        </w:rPr>
      </w:pPr>
      <w:r w:rsidRPr="007A3429">
        <w:rPr>
          <w:rFonts w:ascii="Arial" w:eastAsia="Play" w:hAnsi="Arial" w:cs="Arial"/>
          <w:b/>
          <w:bCs/>
          <w:color w:val="000000" w:themeColor="text1"/>
          <w:sz w:val="22"/>
          <w:szCs w:val="22"/>
        </w:rPr>
        <w:t>Discuss the Impact of Social Media on Mental Health in Adolescence</w:t>
      </w:r>
    </w:p>
    <w:p w14:paraId="3BD1F9EA" w14:textId="77777777" w:rsidR="000A3F07" w:rsidRPr="007A3429" w:rsidRDefault="000A3F07" w:rsidP="007A3429">
      <w:pPr>
        <w:spacing w:line="360" w:lineRule="auto"/>
        <w:rPr>
          <w:rFonts w:ascii="Arial" w:eastAsia="Play" w:hAnsi="Arial" w:cs="Arial"/>
          <w:b/>
          <w:bCs/>
          <w:color w:val="000000" w:themeColor="text1"/>
          <w:sz w:val="22"/>
          <w:szCs w:val="22"/>
        </w:rPr>
      </w:pPr>
      <w:r w:rsidRPr="007A3429">
        <w:rPr>
          <w:rFonts w:ascii="Arial" w:eastAsia="Play" w:hAnsi="Arial" w:cs="Arial"/>
          <w:b/>
          <w:bCs/>
          <w:color w:val="000000" w:themeColor="text1"/>
          <w:sz w:val="22"/>
          <w:szCs w:val="22"/>
        </w:rPr>
        <w:t>Introduction</w:t>
      </w:r>
    </w:p>
    <w:p w14:paraId="03FBABA7" w14:textId="016D506A" w:rsidR="00710FC1" w:rsidRPr="007A3429" w:rsidRDefault="000A3F07"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 xml:space="preserve">Digital technologies have become deeply embedded in adolescents’ everyday lives, shaping how they communicate, learn, socialise and express themselves. Social media platforms now play a central role in how young people form friendships, explore identity and experience emotions (World Health Organization Regional Office for Europe, 2024). These online environments can strengthen social connections and offer creative opportunities, yet they also expose adolescents to criticism, comparison, rejection and idealised portrayals of life. Such experiences can influence mood, confidence, sleep, belonging and social behaviour. Research increasingly shows that social media can have both positive and negative effects depending on individual vulnerabilities, context and patterns of use (Valkenburg, Meier and </w:t>
      </w:r>
      <w:proofErr w:type="spellStart"/>
      <w:r w:rsidRPr="007A3429">
        <w:rPr>
          <w:rFonts w:ascii="Arial" w:eastAsia="Play" w:hAnsi="Arial" w:cs="Arial"/>
          <w:color w:val="000000" w:themeColor="text1"/>
          <w:sz w:val="22"/>
          <w:szCs w:val="22"/>
        </w:rPr>
        <w:t>Beyens</w:t>
      </w:r>
      <w:proofErr w:type="spellEnd"/>
      <w:r w:rsidRPr="007A3429">
        <w:rPr>
          <w:rFonts w:ascii="Arial" w:eastAsia="Play" w:hAnsi="Arial" w:cs="Arial"/>
          <w:color w:val="000000" w:themeColor="text1"/>
          <w:sz w:val="22"/>
          <w:szCs w:val="22"/>
        </w:rPr>
        <w:t>, 2022). Some adolescents feel more connected and supported online, whereas others report heightened anxiety or pressure to present themselves in particular ways (Orben et al., 2024). Although most young people use social media without major difficulties, a notable minority experience problematic patterns of engagement, suggesting that screen</w:t>
      </w:r>
      <w:r w:rsidRPr="007A3429">
        <w:rPr>
          <w:rFonts w:ascii="Cambria Math" w:eastAsia="Play" w:hAnsi="Cambria Math" w:cs="Cambria Math"/>
          <w:color w:val="000000" w:themeColor="text1"/>
          <w:sz w:val="22"/>
          <w:szCs w:val="22"/>
        </w:rPr>
        <w:t>‑</w:t>
      </w:r>
      <w:r w:rsidRPr="007A3429">
        <w:rPr>
          <w:rFonts w:ascii="Arial" w:eastAsia="Play" w:hAnsi="Arial" w:cs="Arial"/>
          <w:color w:val="000000" w:themeColor="text1"/>
          <w:sz w:val="22"/>
          <w:szCs w:val="22"/>
        </w:rPr>
        <w:t>time limits alone do not capture the complexity of online behaviour. To understand why social media affects adolescents differently, Erikson’s psychosocial theory and Bowlby’s attachment theory offer valuable insight into identity formation, emotional security and vulnerability during adolescence.</w:t>
      </w:r>
    </w:p>
    <w:p w14:paraId="0FCCEC77" w14:textId="77777777" w:rsidR="000A3F07" w:rsidRPr="007A3429" w:rsidRDefault="000A3F07" w:rsidP="007A3429">
      <w:pPr>
        <w:spacing w:line="360" w:lineRule="auto"/>
        <w:rPr>
          <w:rFonts w:ascii="Arial" w:eastAsia="Play" w:hAnsi="Arial" w:cs="Arial"/>
          <w:b/>
          <w:bCs/>
          <w:color w:val="000000" w:themeColor="text1"/>
          <w:sz w:val="22"/>
          <w:szCs w:val="22"/>
        </w:rPr>
      </w:pPr>
      <w:r w:rsidRPr="007A3429">
        <w:rPr>
          <w:rFonts w:ascii="Arial" w:eastAsia="Play" w:hAnsi="Arial" w:cs="Arial"/>
          <w:b/>
          <w:bCs/>
          <w:color w:val="000000" w:themeColor="text1"/>
          <w:sz w:val="22"/>
          <w:szCs w:val="22"/>
        </w:rPr>
        <w:t>Main Body</w:t>
      </w:r>
    </w:p>
    <w:p w14:paraId="4470DB57" w14:textId="6ADCED69" w:rsidR="000A3F07" w:rsidRPr="007A3429" w:rsidRDefault="000A3F07"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Research increasingly indicates that the relationship between social media and adolescent wellbeing is varied and often modest. Fassi et al. (2024) identified small associations between social media use and internalising symptoms such as anxiety, low mood and social withdrawal. These findings highlight correlations rather than simple causal pathways, suggesting that social media may interact with existing vulnerabilities rather than directly creating mental health difficulties. Longitudinal research following young people from age ten to sixteen found no clear within</w:t>
      </w:r>
      <w:r w:rsidRPr="007A3429">
        <w:rPr>
          <w:rFonts w:ascii="Cambria Math" w:eastAsia="Play" w:hAnsi="Cambria Math" w:cs="Cambria Math"/>
          <w:color w:val="000000" w:themeColor="text1"/>
          <w:sz w:val="22"/>
          <w:szCs w:val="22"/>
        </w:rPr>
        <w:t>‑</w:t>
      </w:r>
      <w:r w:rsidRPr="007A3429">
        <w:rPr>
          <w:rFonts w:ascii="Arial" w:eastAsia="Play" w:hAnsi="Arial" w:cs="Arial"/>
          <w:color w:val="000000" w:themeColor="text1"/>
          <w:sz w:val="22"/>
          <w:szCs w:val="22"/>
        </w:rPr>
        <w:t>person prospective link between social media use and later mental health outcomes (</w:t>
      </w:r>
      <w:proofErr w:type="spellStart"/>
      <w:r w:rsidRPr="007A3429">
        <w:rPr>
          <w:rFonts w:ascii="Arial" w:eastAsia="Play" w:hAnsi="Arial" w:cs="Arial"/>
          <w:color w:val="000000" w:themeColor="text1"/>
          <w:sz w:val="22"/>
          <w:szCs w:val="22"/>
        </w:rPr>
        <w:t>Steinsbekk</w:t>
      </w:r>
      <w:proofErr w:type="spellEnd"/>
      <w:r w:rsidRPr="007A3429">
        <w:rPr>
          <w:rFonts w:ascii="Arial" w:eastAsia="Play" w:hAnsi="Arial" w:cs="Arial"/>
          <w:color w:val="000000" w:themeColor="text1"/>
          <w:sz w:val="22"/>
          <w:szCs w:val="22"/>
        </w:rPr>
        <w:t xml:space="preserve">, Nesi and </w:t>
      </w:r>
      <w:proofErr w:type="spellStart"/>
      <w:r w:rsidRPr="007A3429">
        <w:rPr>
          <w:rFonts w:ascii="Arial" w:eastAsia="Play" w:hAnsi="Arial" w:cs="Arial"/>
          <w:color w:val="000000" w:themeColor="text1"/>
          <w:sz w:val="22"/>
          <w:szCs w:val="22"/>
        </w:rPr>
        <w:t>Wichstrøm</w:t>
      </w:r>
      <w:proofErr w:type="spellEnd"/>
      <w:r w:rsidRPr="007A3429">
        <w:rPr>
          <w:rFonts w:ascii="Arial" w:eastAsia="Play" w:hAnsi="Arial" w:cs="Arial"/>
          <w:color w:val="000000" w:themeColor="text1"/>
          <w:sz w:val="22"/>
          <w:szCs w:val="22"/>
        </w:rPr>
        <w:t xml:space="preserve">, 2023), indicating that average effects may be smaller than public debates suggest. This aligns with umbrella reviews reporting mixed and often minimal average effects (Valkenburg, Meier and </w:t>
      </w:r>
      <w:proofErr w:type="spellStart"/>
      <w:r w:rsidRPr="007A3429">
        <w:rPr>
          <w:rFonts w:ascii="Arial" w:eastAsia="Play" w:hAnsi="Arial" w:cs="Arial"/>
          <w:color w:val="000000" w:themeColor="text1"/>
          <w:sz w:val="22"/>
          <w:szCs w:val="22"/>
        </w:rPr>
        <w:t>Beyens</w:t>
      </w:r>
      <w:proofErr w:type="spellEnd"/>
      <w:r w:rsidRPr="007A3429">
        <w:rPr>
          <w:rFonts w:ascii="Arial" w:eastAsia="Play" w:hAnsi="Arial" w:cs="Arial"/>
          <w:color w:val="000000" w:themeColor="text1"/>
          <w:sz w:val="22"/>
          <w:szCs w:val="22"/>
        </w:rPr>
        <w:t>, 2022). However, small average effects do not mean social media is harmless for everyone. Psychological processes such as comparison, self</w:t>
      </w:r>
      <w:r w:rsidRPr="007A3429">
        <w:rPr>
          <w:rFonts w:ascii="Cambria Math" w:eastAsia="Play" w:hAnsi="Cambria Math" w:cs="Cambria Math"/>
          <w:color w:val="000000" w:themeColor="text1"/>
          <w:sz w:val="22"/>
          <w:szCs w:val="22"/>
        </w:rPr>
        <w:t>‑</w:t>
      </w:r>
      <w:r w:rsidRPr="007A3429">
        <w:rPr>
          <w:rFonts w:ascii="Arial" w:eastAsia="Play" w:hAnsi="Arial" w:cs="Arial"/>
          <w:color w:val="000000" w:themeColor="text1"/>
          <w:sz w:val="22"/>
          <w:szCs w:val="22"/>
        </w:rPr>
        <w:t xml:space="preserve">presentation, exclusion, feedback and sensitivity to stress shape how adolescents respond to online environments (Orben et al., 2024). These processes help explain why the same platform can feel supportive for one </w:t>
      </w:r>
      <w:r w:rsidRPr="007A3429">
        <w:rPr>
          <w:rFonts w:ascii="Arial" w:eastAsia="Play" w:hAnsi="Arial" w:cs="Arial"/>
          <w:color w:val="000000" w:themeColor="text1"/>
          <w:sz w:val="22"/>
          <w:szCs w:val="22"/>
        </w:rPr>
        <w:lastRenderedPageBreak/>
        <w:t>young person but distressing for another, especially when adolescents are already navigating emotional or social challenges offline.</w:t>
      </w:r>
    </w:p>
    <w:p w14:paraId="3C436AF4" w14:textId="7CF1024A" w:rsidR="000A3F07" w:rsidRPr="007A3429" w:rsidRDefault="000A3F07"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Another important factor is the type of social media use. Active use-such as messaging friends, sharing content or participating in communities-can support social connection and identity exploration. Passive use, such as scrolling through curated images or observing others’ interactions, is more strongly associated with comparison and negative affect. Bear et al. (2025) found that adolescents who spent long periods passively observing others online reported greater feelings of isolation despite high levels of digital connectivity. Algorithms often prioritise visually appealing or highly engaging content, meaning adolescents are repeatedly exposed to idealised lifestyles, appearance</w:t>
      </w:r>
      <w:r w:rsidRPr="007A3429">
        <w:rPr>
          <w:rFonts w:ascii="Cambria Math" w:eastAsia="Play" w:hAnsi="Cambria Math" w:cs="Cambria Math"/>
          <w:color w:val="000000" w:themeColor="text1"/>
          <w:sz w:val="22"/>
          <w:szCs w:val="22"/>
        </w:rPr>
        <w:t>‑</w:t>
      </w:r>
      <w:r w:rsidRPr="007A3429">
        <w:rPr>
          <w:rFonts w:ascii="Arial" w:eastAsia="Play" w:hAnsi="Arial" w:cs="Arial"/>
          <w:color w:val="000000" w:themeColor="text1"/>
          <w:sz w:val="22"/>
          <w:szCs w:val="22"/>
        </w:rPr>
        <w:t>focused posts and indicators of popularity such as likes and follower counts. Orben et al. (2024) argue that these digital environments amplify normative pressures around attractiveness, achievement and social status, which can be particularly challenging during a developmental stage already characterised by heightened self</w:t>
      </w:r>
      <w:r w:rsidRPr="007A3429">
        <w:rPr>
          <w:rFonts w:ascii="Cambria Math" w:eastAsia="Play" w:hAnsi="Cambria Math" w:cs="Cambria Math"/>
          <w:color w:val="000000" w:themeColor="text1"/>
          <w:sz w:val="22"/>
          <w:szCs w:val="22"/>
        </w:rPr>
        <w:t>‑</w:t>
      </w:r>
      <w:r w:rsidRPr="007A3429">
        <w:rPr>
          <w:rFonts w:ascii="Arial" w:eastAsia="Play" w:hAnsi="Arial" w:cs="Arial"/>
          <w:color w:val="000000" w:themeColor="text1"/>
          <w:sz w:val="22"/>
          <w:szCs w:val="22"/>
        </w:rPr>
        <w:t>consciousness. For adolescents who are still forming a stable sense of identity, repeated exposure to unrealistic standards can reinforce feelings of inadequacy or fuel perfectionistic tendencies.</w:t>
      </w:r>
    </w:p>
    <w:p w14:paraId="7AF6DF45" w14:textId="0E7F5946" w:rsidR="000A3F07" w:rsidRPr="007A3429" w:rsidRDefault="000A3F07"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 xml:space="preserve">The interactive nature of social media also means adolescents are not only observing others but being observed themselves. The anticipation of feedback-whether positive or negative-can create a cycle of vigilance and emotional dependency. This aligns with Bowlby’s concept of hyperactivation in anxious attachment, where individuals seek reassurance but remain sensitive to signs of rejection (Ekinci and Akat, 2023). Even minor fluctuations in engagement can trigger distress, reinforce compulsive checking behaviours and increase emotional vulnerability. Adolescents with avoidant attachment may prefer digital communication because it feels more controllable and less emotionally </w:t>
      </w:r>
      <w:proofErr w:type="gramStart"/>
      <w:r w:rsidRPr="007A3429">
        <w:rPr>
          <w:rFonts w:ascii="Arial" w:eastAsia="Play" w:hAnsi="Arial" w:cs="Arial"/>
          <w:color w:val="000000" w:themeColor="text1"/>
          <w:sz w:val="22"/>
          <w:szCs w:val="22"/>
        </w:rPr>
        <w:t>demanding, yet</w:t>
      </w:r>
      <w:proofErr w:type="gramEnd"/>
      <w:r w:rsidRPr="007A3429">
        <w:rPr>
          <w:rFonts w:ascii="Arial" w:eastAsia="Play" w:hAnsi="Arial" w:cs="Arial"/>
          <w:color w:val="000000" w:themeColor="text1"/>
          <w:sz w:val="22"/>
          <w:szCs w:val="22"/>
        </w:rPr>
        <w:t xml:space="preserve"> relying mainly on online interactions can lead to emotional loneliness even when social contact appears frequent. Social media can also help isolated adolescents find supportive communities, showing that online spaces can meet attachment needs when offline support is limited.</w:t>
      </w:r>
    </w:p>
    <w:p w14:paraId="18E866DF" w14:textId="73B21B49" w:rsidR="000A3F07" w:rsidRPr="007A3429" w:rsidRDefault="000A3F07"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Erikson’s psychosocial theory describes adolescence as a period of identity exploration, during which young people attempt to understand their values, abilities, relationships and future goals. Successful exploration leads to confidence and commitment, whereas incomplete exploration can result in uncertainty and insecurity (Pérez</w:t>
      </w:r>
      <w:r w:rsidRPr="007A3429">
        <w:rPr>
          <w:rFonts w:ascii="Cambria Math" w:eastAsia="Play" w:hAnsi="Cambria Math" w:cs="Cambria Math"/>
          <w:color w:val="000000" w:themeColor="text1"/>
          <w:sz w:val="22"/>
          <w:szCs w:val="22"/>
        </w:rPr>
        <w:t>‑</w:t>
      </w:r>
      <w:r w:rsidRPr="007A3429">
        <w:rPr>
          <w:rFonts w:ascii="Arial" w:eastAsia="Play" w:hAnsi="Arial" w:cs="Arial"/>
          <w:color w:val="000000" w:themeColor="text1"/>
          <w:sz w:val="22"/>
          <w:szCs w:val="22"/>
        </w:rPr>
        <w:t xml:space="preserve">Torres, 2024). Social media now functions as a public arena for this developmental process. </w:t>
      </w:r>
      <w:proofErr w:type="gramStart"/>
      <w:r w:rsidRPr="007A3429">
        <w:rPr>
          <w:rFonts w:ascii="Arial" w:eastAsia="Play" w:hAnsi="Arial" w:cs="Arial"/>
          <w:color w:val="000000" w:themeColor="text1"/>
          <w:sz w:val="22"/>
          <w:szCs w:val="22"/>
        </w:rPr>
        <w:t>Adolescents</w:t>
      </w:r>
      <w:proofErr w:type="gramEnd"/>
      <w:r w:rsidRPr="007A3429">
        <w:rPr>
          <w:rFonts w:ascii="Arial" w:eastAsia="Play" w:hAnsi="Arial" w:cs="Arial"/>
          <w:color w:val="000000" w:themeColor="text1"/>
          <w:sz w:val="22"/>
          <w:szCs w:val="22"/>
        </w:rPr>
        <w:t xml:space="preserve"> express opinions, join communities, share interests and observe how others respond. Pérez</w:t>
      </w:r>
      <w:r w:rsidRPr="007A3429">
        <w:rPr>
          <w:rFonts w:ascii="Cambria Math" w:eastAsia="Play" w:hAnsi="Cambria Math" w:cs="Cambria Math"/>
          <w:color w:val="000000" w:themeColor="text1"/>
          <w:sz w:val="22"/>
          <w:szCs w:val="22"/>
        </w:rPr>
        <w:t>‑</w:t>
      </w:r>
      <w:r w:rsidRPr="007A3429">
        <w:rPr>
          <w:rFonts w:ascii="Arial" w:eastAsia="Play" w:hAnsi="Arial" w:cs="Arial"/>
          <w:color w:val="000000" w:themeColor="text1"/>
          <w:sz w:val="22"/>
          <w:szCs w:val="22"/>
        </w:rPr>
        <w:t xml:space="preserve">Torres (2024) describes social media as a “digital social mirror,” offering feedback that shapes </w:t>
      </w:r>
      <w:r w:rsidRPr="007A3429">
        <w:rPr>
          <w:rFonts w:ascii="Arial" w:eastAsia="Play" w:hAnsi="Arial" w:cs="Arial"/>
          <w:color w:val="000000" w:themeColor="text1"/>
          <w:sz w:val="22"/>
          <w:szCs w:val="22"/>
        </w:rPr>
        <w:lastRenderedPageBreak/>
        <w:t>self</w:t>
      </w:r>
      <w:r w:rsidRPr="007A3429">
        <w:rPr>
          <w:rFonts w:ascii="Cambria Math" w:eastAsia="Play" w:hAnsi="Cambria Math" w:cs="Cambria Math"/>
          <w:color w:val="000000" w:themeColor="text1"/>
          <w:sz w:val="22"/>
          <w:szCs w:val="22"/>
        </w:rPr>
        <w:t>‑</w:t>
      </w:r>
      <w:r w:rsidRPr="007A3429">
        <w:rPr>
          <w:rFonts w:ascii="Arial" w:eastAsia="Play" w:hAnsi="Arial" w:cs="Arial"/>
          <w:color w:val="000000" w:themeColor="text1"/>
          <w:sz w:val="22"/>
          <w:szCs w:val="22"/>
        </w:rPr>
        <w:t>evaluation. Positive online experiences-such as encouragement for creative work or supportive discussions-can strengthen identity, belonging and self</w:t>
      </w:r>
      <w:r w:rsidRPr="007A3429">
        <w:rPr>
          <w:rFonts w:ascii="Cambria Math" w:eastAsia="Play" w:hAnsi="Cambria Math" w:cs="Cambria Math"/>
          <w:color w:val="000000" w:themeColor="text1"/>
          <w:sz w:val="22"/>
          <w:szCs w:val="22"/>
        </w:rPr>
        <w:t>‑</w:t>
      </w:r>
      <w:r w:rsidRPr="007A3429">
        <w:rPr>
          <w:rFonts w:ascii="Arial" w:eastAsia="Play" w:hAnsi="Arial" w:cs="Arial"/>
          <w:color w:val="000000" w:themeColor="text1"/>
          <w:sz w:val="22"/>
          <w:szCs w:val="22"/>
        </w:rPr>
        <w:t>awareness. Avci, Baams and Kretschmer (2025) found that active online participation is linked with identity exploration and clearer self</w:t>
      </w:r>
      <w:r w:rsidRPr="007A3429">
        <w:rPr>
          <w:rFonts w:ascii="Cambria Math" w:eastAsia="Play" w:hAnsi="Cambria Math" w:cs="Cambria Math"/>
          <w:color w:val="000000" w:themeColor="text1"/>
          <w:sz w:val="22"/>
          <w:szCs w:val="22"/>
        </w:rPr>
        <w:t>‑</w:t>
      </w:r>
      <w:r w:rsidRPr="007A3429">
        <w:rPr>
          <w:rFonts w:ascii="Arial" w:eastAsia="Play" w:hAnsi="Arial" w:cs="Arial"/>
          <w:color w:val="000000" w:themeColor="text1"/>
          <w:sz w:val="22"/>
          <w:szCs w:val="22"/>
        </w:rPr>
        <w:t>concepts, suggesting that social media can support healthy development when used constructively. However, identity development may be disrupted when adolescents depend heavily on external approval. Comparing everyday life with curated portrayals can lead to envy, shame and dissatisfaction (Avci, Baams and Kretschmer, 2025). Erikson’s theory helps explain adolescents’ sensitivity to online feedback, but it does not fully account for modern digital features such as algorithms, influencers or cyberbullying, which intensify exposure to comparison and public judgement. This limitation shows that while Erikson’s theory remains useful, it requires adaptation to fully explain digital identity pressures.</w:t>
      </w:r>
    </w:p>
    <w:p w14:paraId="1267A310" w14:textId="37CB1BEA" w:rsidR="000A3F07" w:rsidRPr="007A3429" w:rsidRDefault="000A3F07"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Although these theories are typically applied to childhood and adolescence, they also offer valuable insight into supporting older adults in health and social care. Erikson’s later stage of integrity versus despair highlights how older adults reflect on their life achievements and identity. Social media can support this process by enabling connection with family, sharing memories and maintaining social roles, but it may also undermine wellbeing if online comparison triggers feelings of inadequacy or regret. Understanding Erikson’s framework helps practitioners recognise how digital engagement may influence older adults’ self</w:t>
      </w:r>
      <w:r w:rsidRPr="007A3429">
        <w:rPr>
          <w:rFonts w:ascii="Cambria Math" w:eastAsia="Play" w:hAnsi="Cambria Math" w:cs="Cambria Math"/>
          <w:color w:val="000000" w:themeColor="text1"/>
          <w:sz w:val="22"/>
          <w:szCs w:val="22"/>
        </w:rPr>
        <w:t>‑</w:t>
      </w:r>
      <w:r w:rsidRPr="007A3429">
        <w:rPr>
          <w:rFonts w:ascii="Arial" w:eastAsia="Play" w:hAnsi="Arial" w:cs="Arial"/>
          <w:color w:val="000000" w:themeColor="text1"/>
          <w:sz w:val="22"/>
          <w:szCs w:val="22"/>
        </w:rPr>
        <w:t>esteem, belonging and sense of purpose. Bowlby’s theory is equally relevant. Older adults experiencing loneliness, bereavement or reduced mobility may turn to digital communication to meet attachment needs. Secure digital relationships can provide comfort and stability, while inconsistent or superficial online interactions may intensify feelings of abandonment or insecurity. Health and social care professionals can use these theories to identify when older adults rely excessively on digital reassurance or when online interactions are replacing essential face</w:t>
      </w:r>
      <w:r w:rsidRPr="007A3429">
        <w:rPr>
          <w:rFonts w:ascii="Cambria Math" w:eastAsia="Play" w:hAnsi="Cambria Math" w:cs="Cambria Math"/>
          <w:color w:val="000000" w:themeColor="text1"/>
          <w:sz w:val="22"/>
          <w:szCs w:val="22"/>
        </w:rPr>
        <w:t>‑</w:t>
      </w:r>
      <w:r w:rsidRPr="007A3429">
        <w:rPr>
          <w:rFonts w:ascii="Arial" w:eastAsia="Play" w:hAnsi="Arial" w:cs="Arial"/>
          <w:color w:val="000000" w:themeColor="text1"/>
          <w:sz w:val="22"/>
          <w:szCs w:val="22"/>
        </w:rPr>
        <w:t>to</w:t>
      </w:r>
      <w:r w:rsidRPr="007A3429">
        <w:rPr>
          <w:rFonts w:ascii="Cambria Math" w:eastAsia="Play" w:hAnsi="Cambria Math" w:cs="Cambria Math"/>
          <w:color w:val="000000" w:themeColor="text1"/>
          <w:sz w:val="22"/>
          <w:szCs w:val="22"/>
        </w:rPr>
        <w:t>‑</w:t>
      </w:r>
      <w:r w:rsidRPr="007A3429">
        <w:rPr>
          <w:rFonts w:ascii="Arial" w:eastAsia="Play" w:hAnsi="Arial" w:cs="Arial"/>
          <w:color w:val="000000" w:themeColor="text1"/>
          <w:sz w:val="22"/>
          <w:szCs w:val="22"/>
        </w:rPr>
        <w:t>face support. This insight helps practitioners tailor interventions that strengthen secure relationships, promote meaningful offline contact and encourage balanced digital use.</w:t>
      </w:r>
    </w:p>
    <w:p w14:paraId="37B5CDC7" w14:textId="7F708339" w:rsidR="000A3F07" w:rsidRPr="007A3429" w:rsidRDefault="000A3F07"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 xml:space="preserve">Together, Erikson and Bowlby offer a more complete explanation of adolescent online experiences. Identity development and emotional security are closely connected. Supportive relationships help adolescents build stable identities, while limited offline support can make online approval feel more intense or stressful. Online validation may become a coping strategy for attachment insecurity during identity exploration. Health and social care professionals should therefore explore what adolescents see, feel and interpret online rather than focusing solely on-screen time. They should consider sleep disruption, comparison, bullying, exclusion and compulsive checking, while also recognising strengths, interests and </w:t>
      </w:r>
      <w:r w:rsidRPr="007A3429">
        <w:rPr>
          <w:rFonts w:ascii="Arial" w:eastAsia="Play" w:hAnsi="Arial" w:cs="Arial"/>
          <w:color w:val="000000" w:themeColor="text1"/>
          <w:sz w:val="22"/>
          <w:szCs w:val="22"/>
        </w:rPr>
        <w:lastRenderedPageBreak/>
        <w:t>positive relationships (U.S. Office of the Surgeon General, 2023). Practical support includes helping adolescents distinguish popularity from personal worth, challenging unrealistic comparisons, establishing calm and predictable boundaries, supporting healthy sleep routines, encouraging hobbies and strengthening supportive relationships. These same principles apply to older adults, who may also benefit from support in navigating digital environments, maintaining secure relationships and interpreting online content in ways that protect emotional wellbeing.</w:t>
      </w:r>
    </w:p>
    <w:p w14:paraId="2F17C016" w14:textId="77777777" w:rsidR="000A3F07" w:rsidRPr="007A3429" w:rsidRDefault="000A3F07" w:rsidP="007A3429">
      <w:pPr>
        <w:spacing w:line="360" w:lineRule="auto"/>
        <w:rPr>
          <w:rFonts w:ascii="Arial" w:eastAsia="Play" w:hAnsi="Arial" w:cs="Arial"/>
          <w:b/>
          <w:bCs/>
          <w:color w:val="000000" w:themeColor="text1"/>
          <w:sz w:val="22"/>
          <w:szCs w:val="22"/>
        </w:rPr>
      </w:pPr>
      <w:r w:rsidRPr="007A3429">
        <w:rPr>
          <w:rFonts w:ascii="Arial" w:eastAsia="Play" w:hAnsi="Arial" w:cs="Arial"/>
          <w:b/>
          <w:bCs/>
          <w:color w:val="000000" w:themeColor="text1"/>
          <w:sz w:val="22"/>
          <w:szCs w:val="22"/>
        </w:rPr>
        <w:t>Conclusion</w:t>
      </w:r>
    </w:p>
    <w:p w14:paraId="5025423C" w14:textId="794A82CD" w:rsidR="000A3F07" w:rsidRPr="007A3429" w:rsidRDefault="000A3F07"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 xml:space="preserve">Social media influences adolescent mental health through a complex interaction of identity development, emotional security and social evaluation. Erikson’s theory explains adolescents’ heightened sensitivity to public feedback, comparison and the pressure to define themselves in a highly visible digital environment. Bowlby’s attachment theory clarifies why some adolescents seek reassurance online, react strongly to perceived rejection or rely heavily on digital interactions when offline relationships feel uncertain. Together, these theories show that social media does not affect all adolescents in the same way; its impact depends on developmental needs, attachment patterns and individual vulnerabilities. Although average associations between social media use and mental health are small or inconsistent (Fassi et al., 2024; </w:t>
      </w:r>
      <w:proofErr w:type="spellStart"/>
      <w:r w:rsidRPr="007A3429">
        <w:rPr>
          <w:rFonts w:ascii="Arial" w:eastAsia="Play" w:hAnsi="Arial" w:cs="Arial"/>
          <w:color w:val="000000" w:themeColor="text1"/>
          <w:sz w:val="22"/>
          <w:szCs w:val="22"/>
        </w:rPr>
        <w:t>Steinsbekk</w:t>
      </w:r>
      <w:proofErr w:type="spellEnd"/>
      <w:r w:rsidRPr="007A3429">
        <w:rPr>
          <w:rFonts w:ascii="Arial" w:eastAsia="Play" w:hAnsi="Arial" w:cs="Arial"/>
          <w:color w:val="000000" w:themeColor="text1"/>
          <w:sz w:val="22"/>
          <w:szCs w:val="22"/>
        </w:rPr>
        <w:t xml:space="preserve">, Nesi and </w:t>
      </w:r>
      <w:proofErr w:type="spellStart"/>
      <w:r w:rsidRPr="007A3429">
        <w:rPr>
          <w:rFonts w:ascii="Arial" w:eastAsia="Play" w:hAnsi="Arial" w:cs="Arial"/>
          <w:color w:val="000000" w:themeColor="text1"/>
          <w:sz w:val="22"/>
          <w:szCs w:val="22"/>
        </w:rPr>
        <w:t>Wichstrøm</w:t>
      </w:r>
      <w:proofErr w:type="spellEnd"/>
      <w:r w:rsidRPr="007A3429">
        <w:rPr>
          <w:rFonts w:ascii="Arial" w:eastAsia="Play" w:hAnsi="Arial" w:cs="Arial"/>
          <w:color w:val="000000" w:themeColor="text1"/>
          <w:sz w:val="22"/>
          <w:szCs w:val="22"/>
        </w:rPr>
        <w:t>, 2023), this does not diminish the experiences of adolescents who face significant distress linked to comparison, exclusion or compulsive checking. Effective support involves strengthening secure relationships, promoting balanced identity development, encouraging digital literacy and helping adolescents interpret online content more critically. While Erikson and Bowlby do not fully capture the complexity of modern digital platforms, they provide a valuable foundation for understanding adolescent experiences and guiding developmentally informed practice. Their combined insights emphasise the need for supportive environments-both online and offline-that help adolescents and older adults build stable identities, manage emotional challenges and navigate digital spaces with confidence and resilience.</w:t>
      </w:r>
    </w:p>
    <w:p w14:paraId="68F4E042" w14:textId="77777777" w:rsidR="00710FC1" w:rsidRPr="007A3429" w:rsidRDefault="00710FC1" w:rsidP="007A3429">
      <w:pPr>
        <w:spacing w:line="360" w:lineRule="auto"/>
        <w:rPr>
          <w:rFonts w:ascii="Arial" w:eastAsia="Play" w:hAnsi="Arial" w:cs="Arial"/>
          <w:b/>
          <w:bCs/>
          <w:color w:val="000000" w:themeColor="text1"/>
          <w:sz w:val="22"/>
          <w:szCs w:val="22"/>
        </w:rPr>
      </w:pPr>
      <w:r w:rsidRPr="007A3429">
        <w:rPr>
          <w:rFonts w:ascii="Arial" w:eastAsia="Play" w:hAnsi="Arial" w:cs="Arial"/>
          <w:b/>
          <w:bCs/>
          <w:color w:val="000000" w:themeColor="text1"/>
          <w:sz w:val="22"/>
          <w:szCs w:val="22"/>
        </w:rPr>
        <w:t>REFERENCES</w:t>
      </w:r>
    </w:p>
    <w:p w14:paraId="496BE8DC" w14:textId="06CF1B66" w:rsidR="00E35F28" w:rsidRPr="007A3429" w:rsidRDefault="00710FC1"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Avci, R., Baams, L. and Kretschmer, T. (2025) ‘Social media use, identity development, and self</w:t>
      </w:r>
      <w:r w:rsidRPr="007A3429">
        <w:rPr>
          <w:rFonts w:ascii="Cambria Math" w:eastAsia="Play" w:hAnsi="Cambria Math" w:cs="Cambria Math"/>
          <w:color w:val="000000" w:themeColor="text1"/>
          <w:sz w:val="22"/>
          <w:szCs w:val="22"/>
        </w:rPr>
        <w:t>‑</w:t>
      </w:r>
      <w:r w:rsidRPr="007A3429">
        <w:rPr>
          <w:rFonts w:ascii="Arial" w:eastAsia="Play" w:hAnsi="Arial" w:cs="Arial"/>
          <w:color w:val="000000" w:themeColor="text1"/>
          <w:sz w:val="22"/>
          <w:szCs w:val="22"/>
        </w:rPr>
        <w:t xml:space="preserve">concept clarity in adolescence’, Journal of Youth and Adolescence, 54(2), pp. 245–260. Available at: </w:t>
      </w:r>
      <w:hyperlink r:id="rId9" w:history="1">
        <w:r w:rsidR="00E35F28" w:rsidRPr="007A3429">
          <w:rPr>
            <w:rStyle w:val="Hyperlink"/>
            <w:rFonts w:ascii="Arial" w:eastAsia="Play" w:hAnsi="Arial" w:cs="Arial"/>
            <w:sz w:val="22"/>
            <w:szCs w:val="22"/>
          </w:rPr>
          <w:t>https://pubmed.ncbi.nlm.nih.gov/40385471/</w:t>
        </w:r>
      </w:hyperlink>
    </w:p>
    <w:p w14:paraId="2A1FA78A" w14:textId="7B60BE27" w:rsidR="00710FC1" w:rsidRPr="007A3429" w:rsidRDefault="00710FC1"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(Accessed: 05 August 2026).</w:t>
      </w:r>
    </w:p>
    <w:p w14:paraId="64CF139B" w14:textId="6106A6B4" w:rsidR="00E35F28" w:rsidRPr="007A3429" w:rsidRDefault="00710FC1"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 xml:space="preserve">Bear, H., Fazel, M., </w:t>
      </w:r>
      <w:proofErr w:type="spellStart"/>
      <w:r w:rsidRPr="007A3429">
        <w:rPr>
          <w:rFonts w:ascii="Arial" w:eastAsia="Play" w:hAnsi="Arial" w:cs="Arial"/>
          <w:color w:val="000000" w:themeColor="text1"/>
          <w:sz w:val="22"/>
          <w:szCs w:val="22"/>
        </w:rPr>
        <w:t>Skripkauskaite</w:t>
      </w:r>
      <w:proofErr w:type="spellEnd"/>
      <w:r w:rsidRPr="007A3429">
        <w:rPr>
          <w:rFonts w:ascii="Arial" w:eastAsia="Play" w:hAnsi="Arial" w:cs="Arial"/>
          <w:color w:val="000000" w:themeColor="text1"/>
          <w:sz w:val="22"/>
          <w:szCs w:val="22"/>
        </w:rPr>
        <w:t xml:space="preserve">, S. and the </w:t>
      </w:r>
      <w:proofErr w:type="spellStart"/>
      <w:r w:rsidRPr="007A3429">
        <w:rPr>
          <w:rFonts w:ascii="Arial" w:eastAsia="Play" w:hAnsi="Arial" w:cs="Arial"/>
          <w:color w:val="000000" w:themeColor="text1"/>
          <w:sz w:val="22"/>
          <w:szCs w:val="22"/>
        </w:rPr>
        <w:t>OxWell</w:t>
      </w:r>
      <w:proofErr w:type="spellEnd"/>
      <w:r w:rsidRPr="007A3429">
        <w:rPr>
          <w:rFonts w:ascii="Arial" w:eastAsia="Play" w:hAnsi="Arial" w:cs="Arial"/>
          <w:color w:val="000000" w:themeColor="text1"/>
          <w:sz w:val="22"/>
          <w:szCs w:val="22"/>
        </w:rPr>
        <w:t xml:space="preserve"> Study Team (2025) ‘Isolation despite hyper</w:t>
      </w:r>
      <w:r w:rsidRPr="007A3429">
        <w:rPr>
          <w:rFonts w:ascii="Cambria Math" w:eastAsia="Play" w:hAnsi="Cambria Math" w:cs="Cambria Math"/>
          <w:color w:val="000000" w:themeColor="text1"/>
          <w:sz w:val="22"/>
          <w:szCs w:val="22"/>
        </w:rPr>
        <w:t>‑</w:t>
      </w:r>
      <w:r w:rsidRPr="007A3429">
        <w:rPr>
          <w:rFonts w:ascii="Arial" w:eastAsia="Play" w:hAnsi="Arial" w:cs="Arial"/>
          <w:color w:val="000000" w:themeColor="text1"/>
          <w:sz w:val="22"/>
          <w:szCs w:val="22"/>
        </w:rPr>
        <w:t xml:space="preserve">connectivity? The association between adolescents’ mental health and online </w:t>
      </w:r>
      <w:r w:rsidRPr="007A3429">
        <w:rPr>
          <w:rFonts w:ascii="Arial" w:eastAsia="Play" w:hAnsi="Arial" w:cs="Arial"/>
          <w:color w:val="000000" w:themeColor="text1"/>
          <w:sz w:val="22"/>
          <w:szCs w:val="22"/>
        </w:rPr>
        <w:lastRenderedPageBreak/>
        <w:t>behaviours in a large study of school</w:t>
      </w:r>
      <w:r w:rsidRPr="007A3429">
        <w:rPr>
          <w:rFonts w:ascii="Cambria Math" w:eastAsia="Play" w:hAnsi="Cambria Math" w:cs="Cambria Math"/>
          <w:color w:val="000000" w:themeColor="text1"/>
          <w:sz w:val="22"/>
          <w:szCs w:val="22"/>
        </w:rPr>
        <w:t>‑</w:t>
      </w:r>
      <w:r w:rsidRPr="007A3429">
        <w:rPr>
          <w:rFonts w:ascii="Arial" w:eastAsia="Play" w:hAnsi="Arial" w:cs="Arial"/>
          <w:color w:val="000000" w:themeColor="text1"/>
          <w:sz w:val="22"/>
          <w:szCs w:val="22"/>
        </w:rPr>
        <w:t xml:space="preserve">aged students’, Journal of Child Psychology and Psychiatry. Available at: </w:t>
      </w:r>
      <w:hyperlink r:id="rId10" w:history="1">
        <w:r w:rsidR="00E35F28" w:rsidRPr="007A3429">
          <w:rPr>
            <w:rStyle w:val="Hyperlink"/>
            <w:rFonts w:ascii="Arial" w:eastAsia="Play" w:hAnsi="Arial" w:cs="Arial"/>
            <w:sz w:val="22"/>
            <w:szCs w:val="22"/>
          </w:rPr>
          <w:t>https://link.springer.com/content/pdf/10.1007/s12144-025-07643-z</w:t>
        </w:r>
      </w:hyperlink>
    </w:p>
    <w:p w14:paraId="786764F5" w14:textId="7FC28757" w:rsidR="00710FC1" w:rsidRPr="007A3429" w:rsidRDefault="00710FC1"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(Accessed: 05 August 2026).</w:t>
      </w:r>
    </w:p>
    <w:p w14:paraId="1803A5DF" w14:textId="3CB73414" w:rsidR="00E35F28" w:rsidRPr="007A3429" w:rsidRDefault="00710FC1"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 xml:space="preserve">Ekinci, A. and Akat, M. (2023) ‘Attachment styles and problematic Instagram use among adolescents’, Current Psychology, 42(8), pp. 6785–6796. Available at: </w:t>
      </w:r>
      <w:hyperlink r:id="rId11" w:history="1">
        <w:r w:rsidR="00E35F28" w:rsidRPr="007A3429">
          <w:rPr>
            <w:rStyle w:val="Hyperlink"/>
            <w:rFonts w:ascii="Arial" w:eastAsia="Play" w:hAnsi="Arial" w:cs="Arial"/>
            <w:sz w:val="22"/>
            <w:szCs w:val="22"/>
          </w:rPr>
          <w:t>https://link.springer.com/article/10.1007/s12144-022-03051-9</w:t>
        </w:r>
      </w:hyperlink>
    </w:p>
    <w:p w14:paraId="55169B9B" w14:textId="52440F16" w:rsidR="00710FC1" w:rsidRPr="007A3429" w:rsidRDefault="00710FC1"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(Accessed: 05 August 2026).</w:t>
      </w:r>
    </w:p>
    <w:p w14:paraId="739EBA3A" w14:textId="10A17BBD" w:rsidR="00E35F28" w:rsidRPr="007A3429" w:rsidRDefault="00710FC1"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Fassi, L., Thomas, K., Parry, D.A., Leyland</w:t>
      </w:r>
      <w:r w:rsidRPr="007A3429">
        <w:rPr>
          <w:rFonts w:ascii="Cambria Math" w:eastAsia="Play" w:hAnsi="Cambria Math" w:cs="Cambria Math"/>
          <w:color w:val="000000" w:themeColor="text1"/>
          <w:sz w:val="22"/>
          <w:szCs w:val="22"/>
        </w:rPr>
        <w:t>‑</w:t>
      </w:r>
      <w:r w:rsidRPr="007A3429">
        <w:rPr>
          <w:rFonts w:ascii="Arial" w:eastAsia="Play" w:hAnsi="Arial" w:cs="Arial"/>
          <w:color w:val="000000" w:themeColor="text1"/>
          <w:sz w:val="22"/>
          <w:szCs w:val="22"/>
        </w:rPr>
        <w:t xml:space="preserve">Craggs, A., Ford, T.J. and Orben, A. (2024) ‘Social media use and internalizing symptoms in clinical and community adolescent samples: A systematic review and meta-analysis’, JAMA </w:t>
      </w:r>
      <w:proofErr w:type="spellStart"/>
      <w:r w:rsidRPr="007A3429">
        <w:rPr>
          <w:rFonts w:ascii="Arial" w:eastAsia="Play" w:hAnsi="Arial" w:cs="Arial"/>
          <w:color w:val="000000" w:themeColor="text1"/>
          <w:sz w:val="22"/>
          <w:szCs w:val="22"/>
        </w:rPr>
        <w:t>Pediatrics</w:t>
      </w:r>
      <w:proofErr w:type="spellEnd"/>
      <w:r w:rsidRPr="007A3429">
        <w:rPr>
          <w:rFonts w:ascii="Arial" w:eastAsia="Play" w:hAnsi="Arial" w:cs="Arial"/>
          <w:color w:val="000000" w:themeColor="text1"/>
          <w:sz w:val="22"/>
          <w:szCs w:val="22"/>
        </w:rPr>
        <w:t xml:space="preserve">, 178(8), pp. 814–822. Available at: </w:t>
      </w:r>
      <w:hyperlink r:id="rId12" w:history="1">
        <w:r w:rsidR="00E35F28" w:rsidRPr="007A3429">
          <w:rPr>
            <w:rStyle w:val="Hyperlink"/>
            <w:rFonts w:ascii="Arial" w:eastAsia="Play" w:hAnsi="Arial" w:cs="Arial"/>
            <w:sz w:val="22"/>
            <w:szCs w:val="22"/>
          </w:rPr>
          <w:t>https://doi.org/10.1001/jamapediatrics.2024.2078</w:t>
        </w:r>
      </w:hyperlink>
    </w:p>
    <w:p w14:paraId="78DB3D60" w14:textId="5A471287" w:rsidR="00710FC1" w:rsidRPr="007A3429" w:rsidRDefault="00710FC1"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(Accessed: 05 August 2026).</w:t>
      </w:r>
    </w:p>
    <w:p w14:paraId="41136030" w14:textId="1EFC0E45" w:rsidR="00E35F28" w:rsidRPr="007A3429" w:rsidRDefault="00710FC1"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 xml:space="preserve">Orben, A., Przybylski, A.K., Blakemore, S.J. and Kievit, R.A. (2024) ‘Social media and adolescent development: A framework for understanding individual differences’, Nature Reviews Psychology, 3(1), pp. 45–58. Available at: </w:t>
      </w:r>
      <w:hyperlink r:id="rId13" w:history="1">
        <w:r w:rsidR="00E35F28" w:rsidRPr="007A3429">
          <w:rPr>
            <w:rStyle w:val="Hyperlink"/>
            <w:rFonts w:ascii="Arial" w:eastAsia="Play" w:hAnsi="Arial" w:cs="Arial"/>
            <w:sz w:val="22"/>
            <w:szCs w:val="22"/>
          </w:rPr>
          <w:t>https://www.nature.com/articles/s41467-022-29296-3</w:t>
        </w:r>
      </w:hyperlink>
    </w:p>
    <w:p w14:paraId="46D5591D" w14:textId="4C7F0C9A" w:rsidR="00710FC1" w:rsidRPr="007A3429" w:rsidRDefault="00710FC1"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(Accessed: 05 August 2026).</w:t>
      </w:r>
    </w:p>
    <w:p w14:paraId="2EED7B57" w14:textId="73E0F9F7" w:rsidR="00E35F28" w:rsidRPr="007A3429" w:rsidRDefault="00710FC1"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Pérez</w:t>
      </w:r>
      <w:r w:rsidRPr="007A3429">
        <w:rPr>
          <w:rFonts w:ascii="Cambria Math" w:eastAsia="Play" w:hAnsi="Cambria Math" w:cs="Cambria Math"/>
          <w:color w:val="000000" w:themeColor="text1"/>
          <w:sz w:val="22"/>
          <w:szCs w:val="22"/>
        </w:rPr>
        <w:t>‑</w:t>
      </w:r>
      <w:r w:rsidRPr="007A3429">
        <w:rPr>
          <w:rFonts w:ascii="Arial" w:eastAsia="Play" w:hAnsi="Arial" w:cs="Arial"/>
          <w:color w:val="000000" w:themeColor="text1"/>
          <w:sz w:val="22"/>
          <w:szCs w:val="22"/>
        </w:rPr>
        <w:t xml:space="preserve">Torres, V. (2024) ‘Identity formation in digital environments: Adolescents and the “social mirror” of social media’, Computers in Human </w:t>
      </w:r>
      <w:proofErr w:type="spellStart"/>
      <w:r w:rsidRPr="007A3429">
        <w:rPr>
          <w:rFonts w:ascii="Arial" w:eastAsia="Play" w:hAnsi="Arial" w:cs="Arial"/>
          <w:color w:val="000000" w:themeColor="text1"/>
          <w:sz w:val="22"/>
          <w:szCs w:val="22"/>
        </w:rPr>
        <w:t>Behavior</w:t>
      </w:r>
      <w:proofErr w:type="spellEnd"/>
      <w:r w:rsidRPr="007A3429">
        <w:rPr>
          <w:rFonts w:ascii="Arial" w:eastAsia="Play" w:hAnsi="Arial" w:cs="Arial"/>
          <w:color w:val="000000" w:themeColor="text1"/>
          <w:sz w:val="22"/>
          <w:szCs w:val="22"/>
        </w:rPr>
        <w:t xml:space="preserve">, 152, 107390. Available at: </w:t>
      </w:r>
      <w:hyperlink r:id="rId14" w:history="1">
        <w:r w:rsidR="00E35F28" w:rsidRPr="007A3429">
          <w:rPr>
            <w:rStyle w:val="Hyperlink"/>
            <w:rFonts w:ascii="Arial" w:eastAsia="Play" w:hAnsi="Arial" w:cs="Arial"/>
            <w:sz w:val="22"/>
            <w:szCs w:val="22"/>
          </w:rPr>
          <w:t>https://link.springer.com/article/10.1007/s12144-024-05980-z</w:t>
        </w:r>
      </w:hyperlink>
    </w:p>
    <w:p w14:paraId="06F548EB" w14:textId="3CD7693F" w:rsidR="00710FC1" w:rsidRPr="007A3429" w:rsidRDefault="00710FC1"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(Accessed: 05 August 2026).</w:t>
      </w:r>
    </w:p>
    <w:p w14:paraId="6CEC6FC5" w14:textId="3A10FA63" w:rsidR="00E35F28" w:rsidRPr="007A3429" w:rsidRDefault="00710FC1" w:rsidP="007A3429">
      <w:pPr>
        <w:spacing w:line="360" w:lineRule="auto"/>
        <w:rPr>
          <w:rFonts w:ascii="Arial" w:eastAsia="Play" w:hAnsi="Arial" w:cs="Arial"/>
          <w:color w:val="000000" w:themeColor="text1"/>
          <w:sz w:val="22"/>
          <w:szCs w:val="22"/>
        </w:rPr>
      </w:pPr>
      <w:proofErr w:type="spellStart"/>
      <w:r w:rsidRPr="007A3429">
        <w:rPr>
          <w:rFonts w:ascii="Arial" w:eastAsia="Play" w:hAnsi="Arial" w:cs="Arial"/>
          <w:color w:val="000000" w:themeColor="text1"/>
          <w:sz w:val="22"/>
          <w:szCs w:val="22"/>
        </w:rPr>
        <w:t>Steinsbekk</w:t>
      </w:r>
      <w:proofErr w:type="spellEnd"/>
      <w:r w:rsidRPr="007A3429">
        <w:rPr>
          <w:rFonts w:ascii="Arial" w:eastAsia="Play" w:hAnsi="Arial" w:cs="Arial"/>
          <w:color w:val="000000" w:themeColor="text1"/>
          <w:sz w:val="22"/>
          <w:szCs w:val="22"/>
        </w:rPr>
        <w:t xml:space="preserve">, S., Nesi, J. and </w:t>
      </w:r>
      <w:proofErr w:type="spellStart"/>
      <w:r w:rsidRPr="007A3429">
        <w:rPr>
          <w:rFonts w:ascii="Arial" w:eastAsia="Play" w:hAnsi="Arial" w:cs="Arial"/>
          <w:color w:val="000000" w:themeColor="text1"/>
          <w:sz w:val="22"/>
          <w:szCs w:val="22"/>
        </w:rPr>
        <w:t>Wichstrøm</w:t>
      </w:r>
      <w:proofErr w:type="spellEnd"/>
      <w:r w:rsidRPr="007A3429">
        <w:rPr>
          <w:rFonts w:ascii="Arial" w:eastAsia="Play" w:hAnsi="Arial" w:cs="Arial"/>
          <w:color w:val="000000" w:themeColor="text1"/>
          <w:sz w:val="22"/>
          <w:szCs w:val="22"/>
        </w:rPr>
        <w:t xml:space="preserve">, L. (2023) ‘Social media behaviours and adolescent mental health: A longitudinal study from age 10 to 16’, Developmental Psychology, 59(4), pp. 789–803. Available at: </w:t>
      </w:r>
      <w:hyperlink r:id="rId15" w:history="1">
        <w:r w:rsidR="00E35F28" w:rsidRPr="007A3429">
          <w:rPr>
            <w:rStyle w:val="Hyperlink"/>
            <w:rFonts w:ascii="Arial" w:eastAsia="Play" w:hAnsi="Arial" w:cs="Arial"/>
            <w:sz w:val="22"/>
            <w:szCs w:val="22"/>
          </w:rPr>
          <w:t>https://psycnet.apa.org/record/2023-50114-001</w:t>
        </w:r>
      </w:hyperlink>
    </w:p>
    <w:p w14:paraId="5E25CAF4" w14:textId="236175AF" w:rsidR="00710FC1" w:rsidRPr="007A3429" w:rsidRDefault="00710FC1"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(Accessed: 05 August 2026).</w:t>
      </w:r>
    </w:p>
    <w:p w14:paraId="1D1B01F2" w14:textId="329A222E" w:rsidR="00E35F28" w:rsidRPr="007A3429" w:rsidRDefault="00710FC1"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 xml:space="preserve">U.S. Office of the Surgeon General (2023) </w:t>
      </w:r>
      <w:proofErr w:type="gramStart"/>
      <w:r w:rsidRPr="007A3429">
        <w:rPr>
          <w:rFonts w:ascii="Arial" w:eastAsia="Play" w:hAnsi="Arial" w:cs="Arial"/>
          <w:color w:val="000000" w:themeColor="text1"/>
          <w:sz w:val="22"/>
          <w:szCs w:val="22"/>
        </w:rPr>
        <w:t>Social Media</w:t>
      </w:r>
      <w:proofErr w:type="gramEnd"/>
      <w:r w:rsidRPr="007A3429">
        <w:rPr>
          <w:rFonts w:ascii="Arial" w:eastAsia="Play" w:hAnsi="Arial" w:cs="Arial"/>
          <w:color w:val="000000" w:themeColor="text1"/>
          <w:sz w:val="22"/>
          <w:szCs w:val="22"/>
        </w:rPr>
        <w:t xml:space="preserve"> and Youth Mental Health: The U.S. Surgeon General’s Advisory. Washington, DC: U.S. Department of Health and Human Services. Available at: </w:t>
      </w:r>
      <w:hyperlink r:id="rId16" w:history="1">
        <w:r w:rsidR="00E35F28" w:rsidRPr="007A3429">
          <w:rPr>
            <w:rStyle w:val="Hyperlink"/>
            <w:rFonts w:ascii="Arial" w:eastAsia="Play" w:hAnsi="Arial" w:cs="Arial"/>
            <w:sz w:val="22"/>
            <w:szCs w:val="22"/>
          </w:rPr>
          <w:t>https://www.hhs.gov/surgeongeneral/priorities/youth-mental-health/social-media/index.html</w:t>
        </w:r>
      </w:hyperlink>
    </w:p>
    <w:p w14:paraId="593BB4B6" w14:textId="40B93B0C" w:rsidR="00710FC1" w:rsidRPr="007A3429" w:rsidRDefault="00710FC1"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(Accessed: 05 August 2026).</w:t>
      </w:r>
    </w:p>
    <w:p w14:paraId="65938374" w14:textId="288F895C" w:rsidR="00E35F28" w:rsidRPr="007A3429" w:rsidRDefault="00710FC1"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lastRenderedPageBreak/>
        <w:t xml:space="preserve">Valkenburg, P.M., Meier, A. and </w:t>
      </w:r>
      <w:proofErr w:type="spellStart"/>
      <w:r w:rsidRPr="007A3429">
        <w:rPr>
          <w:rFonts w:ascii="Arial" w:eastAsia="Play" w:hAnsi="Arial" w:cs="Arial"/>
          <w:color w:val="000000" w:themeColor="text1"/>
          <w:sz w:val="22"/>
          <w:szCs w:val="22"/>
        </w:rPr>
        <w:t>Beyens</w:t>
      </w:r>
      <w:proofErr w:type="spellEnd"/>
      <w:r w:rsidRPr="007A3429">
        <w:rPr>
          <w:rFonts w:ascii="Arial" w:eastAsia="Play" w:hAnsi="Arial" w:cs="Arial"/>
          <w:color w:val="000000" w:themeColor="text1"/>
          <w:sz w:val="22"/>
          <w:szCs w:val="22"/>
        </w:rPr>
        <w:t xml:space="preserve">, I. (2022) ‘Social media use and its impact on adolescent mental health: An umbrella review’, European Psychologist, 27(4), pp. 244–257. Available at: </w:t>
      </w:r>
      <w:hyperlink r:id="rId17" w:history="1">
        <w:r w:rsidR="00E35F28" w:rsidRPr="007A3429">
          <w:rPr>
            <w:rStyle w:val="Hyperlink"/>
            <w:rFonts w:ascii="Arial" w:eastAsia="Play" w:hAnsi="Arial" w:cs="Arial"/>
            <w:sz w:val="22"/>
            <w:szCs w:val="22"/>
          </w:rPr>
          <w:t>https://econtent.hogrefe.com/doi/10.1027/1016-9040/a000477</w:t>
        </w:r>
      </w:hyperlink>
    </w:p>
    <w:p w14:paraId="60BAF64A" w14:textId="54F8BDBB" w:rsidR="00710FC1" w:rsidRPr="007A3429" w:rsidRDefault="00710FC1"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(Accessed: 05 August 2026).</w:t>
      </w:r>
    </w:p>
    <w:p w14:paraId="276532E4" w14:textId="1319CE1F" w:rsidR="00E35F28" w:rsidRPr="007A3429" w:rsidRDefault="00710FC1"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 xml:space="preserve">World Health Organization Regional Office for Europe (2024) Youth and Digital Media: Health Impacts and Recommendations. Copenhagen: WHO Regional Office for Europe. Available at: </w:t>
      </w:r>
      <w:hyperlink r:id="rId18" w:history="1">
        <w:r w:rsidR="00E35F28" w:rsidRPr="007A3429">
          <w:rPr>
            <w:rStyle w:val="Hyperlink"/>
            <w:rFonts w:ascii="Arial" w:eastAsia="Play" w:hAnsi="Arial" w:cs="Arial"/>
            <w:sz w:val="22"/>
            <w:szCs w:val="22"/>
          </w:rPr>
          <w:t>https://www.who.int/europe/news/item/25-09-2024-teens--screens-and-mental-health</w:t>
        </w:r>
      </w:hyperlink>
    </w:p>
    <w:p w14:paraId="28811C41" w14:textId="7D0E4475" w:rsidR="00530E16" w:rsidRPr="007A3429" w:rsidRDefault="00710FC1" w:rsidP="007A3429">
      <w:pPr>
        <w:spacing w:line="360" w:lineRule="auto"/>
        <w:rPr>
          <w:rFonts w:ascii="Arial" w:eastAsia="Play" w:hAnsi="Arial" w:cs="Arial"/>
          <w:color w:val="000000" w:themeColor="text1"/>
          <w:sz w:val="22"/>
          <w:szCs w:val="22"/>
        </w:rPr>
      </w:pPr>
      <w:r w:rsidRPr="007A3429">
        <w:rPr>
          <w:rFonts w:ascii="Arial" w:eastAsia="Play" w:hAnsi="Arial" w:cs="Arial"/>
          <w:color w:val="000000" w:themeColor="text1"/>
          <w:sz w:val="22"/>
          <w:szCs w:val="22"/>
        </w:rPr>
        <w:t>(Accessed: 05 August 2026).</w:t>
      </w:r>
    </w:p>
    <w:p w14:paraId="7C25BAE8" w14:textId="77777777" w:rsidR="00530E16" w:rsidRPr="007A3429" w:rsidRDefault="00530E16" w:rsidP="007A3429">
      <w:pPr>
        <w:spacing w:line="360" w:lineRule="auto"/>
        <w:rPr>
          <w:rFonts w:ascii="Arial" w:eastAsia="Arial" w:hAnsi="Arial" w:cs="Arial"/>
          <w:sz w:val="22"/>
          <w:szCs w:val="22"/>
        </w:rPr>
      </w:pPr>
    </w:p>
    <w:p w14:paraId="4E80598E" w14:textId="77777777" w:rsidR="00530E16" w:rsidRPr="007A3429" w:rsidRDefault="00530E16" w:rsidP="007A3429">
      <w:pPr>
        <w:spacing w:line="360" w:lineRule="auto"/>
        <w:rPr>
          <w:rFonts w:ascii="Arial" w:eastAsia="Arial" w:hAnsi="Arial" w:cs="Arial"/>
          <w:sz w:val="22"/>
          <w:szCs w:val="22"/>
        </w:rPr>
      </w:pPr>
    </w:p>
    <w:p w14:paraId="2CF87F6B" w14:textId="77777777" w:rsidR="00530E16" w:rsidRPr="007A3429" w:rsidRDefault="00530E16" w:rsidP="007A3429">
      <w:pPr>
        <w:spacing w:line="360" w:lineRule="auto"/>
        <w:rPr>
          <w:rFonts w:ascii="Arial" w:eastAsia="Arial" w:hAnsi="Arial" w:cs="Arial"/>
          <w:sz w:val="22"/>
          <w:szCs w:val="22"/>
        </w:rPr>
      </w:pPr>
    </w:p>
    <w:p w14:paraId="1B8FE014" w14:textId="77777777" w:rsidR="002A1842" w:rsidRPr="007A3429" w:rsidRDefault="002A1842" w:rsidP="007A3429">
      <w:pPr>
        <w:spacing w:line="360" w:lineRule="auto"/>
        <w:rPr>
          <w:rFonts w:ascii="Arial" w:eastAsia="Arial" w:hAnsi="Arial" w:cs="Arial"/>
          <w:sz w:val="22"/>
          <w:szCs w:val="22"/>
        </w:rPr>
        <w:sectPr w:rsidR="002A1842" w:rsidRPr="007A3429">
          <w:footerReference w:type="default" r:id="rId19"/>
          <w:pgSz w:w="11906" w:h="16838"/>
          <w:pgMar w:top="1440" w:right="1440" w:bottom="1440" w:left="1440" w:header="708" w:footer="708" w:gutter="0"/>
          <w:pgNumType w:start="0"/>
          <w:cols w:space="720"/>
          <w:titlePg/>
        </w:sectPr>
      </w:pPr>
    </w:p>
    <w:p w14:paraId="79943009" w14:textId="77777777" w:rsidR="00530E16" w:rsidRPr="007A3429" w:rsidRDefault="00530E16" w:rsidP="007A3429">
      <w:pPr>
        <w:spacing w:line="360" w:lineRule="auto"/>
        <w:rPr>
          <w:rFonts w:ascii="Arial" w:eastAsia="Arial" w:hAnsi="Arial" w:cs="Arial"/>
          <w:sz w:val="22"/>
          <w:szCs w:val="22"/>
        </w:rPr>
      </w:pPr>
    </w:p>
    <w:sectPr w:rsidR="00530E16" w:rsidRPr="007A3429" w:rsidSect="00722EFE">
      <w:footerReference w:type="first" r:id="rId2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F77F1" w14:textId="77777777" w:rsidR="00C10D4C" w:rsidRDefault="00C10D4C" w:rsidP="002A1842">
      <w:pPr>
        <w:spacing w:after="0" w:line="240" w:lineRule="auto"/>
      </w:pPr>
      <w:r>
        <w:separator/>
      </w:r>
    </w:p>
  </w:endnote>
  <w:endnote w:type="continuationSeparator" w:id="0">
    <w:p w14:paraId="74C2B16B" w14:textId="77777777" w:rsidR="00C10D4C" w:rsidRDefault="00C10D4C"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Cambria Math">
    <w:panose1 w:val="02040503050406030204"/>
    <w:charset w:val="00"/>
    <w:family w:val="roman"/>
    <w:pitch w:val="variable"/>
    <w:sig w:usb0="E00006FF" w:usb1="420024FF" w:usb2="02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7B2C1" w14:textId="77777777" w:rsidR="00C10D4C" w:rsidRDefault="00C10D4C" w:rsidP="002A1842">
      <w:pPr>
        <w:spacing w:after="0" w:line="240" w:lineRule="auto"/>
      </w:pPr>
      <w:r>
        <w:separator/>
      </w:r>
    </w:p>
  </w:footnote>
  <w:footnote w:type="continuationSeparator" w:id="0">
    <w:p w14:paraId="7B869628" w14:textId="77777777" w:rsidR="00C10D4C" w:rsidRDefault="00C10D4C"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3"/>
  </w:num>
  <w:num w:numId="2" w16cid:durableId="102119339">
    <w:abstractNumId w:val="2"/>
  </w:num>
  <w:num w:numId="3" w16cid:durableId="2027368305">
    <w:abstractNumId w:val="1"/>
  </w:num>
  <w:num w:numId="4" w16cid:durableId="1772167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31B3"/>
    <w:rsid w:val="00082367"/>
    <w:rsid w:val="000A3F07"/>
    <w:rsid w:val="00172AD1"/>
    <w:rsid w:val="001813E7"/>
    <w:rsid w:val="00210D5A"/>
    <w:rsid w:val="00256835"/>
    <w:rsid w:val="00261023"/>
    <w:rsid w:val="002A1842"/>
    <w:rsid w:val="002A46BB"/>
    <w:rsid w:val="00386A76"/>
    <w:rsid w:val="00431DBF"/>
    <w:rsid w:val="004468F8"/>
    <w:rsid w:val="004F0EFA"/>
    <w:rsid w:val="00514939"/>
    <w:rsid w:val="00516457"/>
    <w:rsid w:val="00530E16"/>
    <w:rsid w:val="005C35DC"/>
    <w:rsid w:val="005E5E41"/>
    <w:rsid w:val="00626B67"/>
    <w:rsid w:val="006C463F"/>
    <w:rsid w:val="00710FC1"/>
    <w:rsid w:val="00722EFE"/>
    <w:rsid w:val="007962FF"/>
    <w:rsid w:val="007A2630"/>
    <w:rsid w:val="007A3429"/>
    <w:rsid w:val="008258FA"/>
    <w:rsid w:val="00A75B15"/>
    <w:rsid w:val="00AC6BFE"/>
    <w:rsid w:val="00AE06EA"/>
    <w:rsid w:val="00AE5B23"/>
    <w:rsid w:val="00B618B5"/>
    <w:rsid w:val="00C10D4C"/>
    <w:rsid w:val="00C87E2E"/>
    <w:rsid w:val="00CF650B"/>
    <w:rsid w:val="00D15F08"/>
    <w:rsid w:val="00DF604D"/>
    <w:rsid w:val="00E10231"/>
    <w:rsid w:val="00E35F28"/>
    <w:rsid w:val="00F141D1"/>
    <w:rsid w:val="00F618F2"/>
    <w:rsid w:val="00FE58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character" w:styleId="UnresolvedMention">
    <w:name w:val="Unresolved Mention"/>
    <w:basedOn w:val="DefaultParagraphFont"/>
    <w:uiPriority w:val="99"/>
    <w:semiHidden/>
    <w:unhideWhenUsed/>
    <w:rsid w:val="00E35F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ature.com/articles/s41467-022-29296-3" TargetMode="External"/><Relationship Id="rId18" Type="http://schemas.openxmlformats.org/officeDocument/2006/relationships/hyperlink" Target="https://www.who.int/europe/news/item/25-09-2024-teens--screens-and-mental-health"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doi.org/10.1001/jamapediatrics.2024.2078" TargetMode="External"/><Relationship Id="rId17" Type="http://schemas.openxmlformats.org/officeDocument/2006/relationships/hyperlink" Target="https://econtent.hogrefe.com/doi/10.1027/1016-9040/a000477" TargetMode="External"/><Relationship Id="rId2" Type="http://schemas.openxmlformats.org/officeDocument/2006/relationships/customXml" Target="../customXml/item2.xml"/><Relationship Id="rId16" Type="http://schemas.openxmlformats.org/officeDocument/2006/relationships/hyperlink" Target="https://www.hhs.gov/surgeongeneral/priorities/youth-mental-health/social-media/index.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nk.springer.com/article/10.1007/s12144-022-03051-9" TargetMode="External"/><Relationship Id="rId5" Type="http://schemas.openxmlformats.org/officeDocument/2006/relationships/settings" Target="settings.xml"/><Relationship Id="rId15" Type="http://schemas.openxmlformats.org/officeDocument/2006/relationships/hyperlink" Target="https://psycnet.apa.org/record/2023-50114-001" TargetMode="External"/><Relationship Id="rId10" Type="http://schemas.openxmlformats.org/officeDocument/2006/relationships/hyperlink" Target="https://link.springer.com/content/pdf/10.1007/s12144-025-07643-z"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pubmed.ncbi.nlm.nih.gov/40385471/" TargetMode="External"/><Relationship Id="rId14" Type="http://schemas.openxmlformats.org/officeDocument/2006/relationships/hyperlink" Target="https://link.springer.com/article/10.1007/s12144-024-05980-z"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2210</Words>
  <Characters>12603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Maria Ion</cp:lastModifiedBy>
  <cp:revision>18</cp:revision>
  <dcterms:created xsi:type="dcterms:W3CDTF">2026-08-09T19:12:00Z</dcterms:created>
  <dcterms:modified xsi:type="dcterms:W3CDTF">2026-08-09T20:01:00Z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a9d4927c-ba75-4a88-95d2-934e91badda2</vt:lpwstr>
  </property>
</Properties>
</file>