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0738B" w14:textId="62C1217C" w:rsidR="00261D5C" w:rsidRDefault="00716F6F" w:rsidP="00716F6F">
      <w:pPr>
        <w:spacing w:line="360" w:lineRule="auto"/>
        <w:rPr>
          <w:rFonts w:ascii="Times New Roman" w:hAnsi="Times New Roman" w:cs="Times New Roman"/>
        </w:rPr>
      </w:pPr>
      <w:r>
        <w:rPr>
          <w:rFonts w:ascii="Times New Roman" w:hAnsi="Times New Roman" w:cs="Times New Roman"/>
        </w:rPr>
        <w:t xml:space="preserve">Student </w:t>
      </w:r>
      <w:r w:rsidRPr="00716F6F">
        <w:rPr>
          <w:rFonts w:ascii="Times New Roman" w:hAnsi="Times New Roman" w:cs="Times New Roman"/>
        </w:rPr>
        <w:t>Name: Aamn</w:t>
      </w:r>
      <w:r>
        <w:rPr>
          <w:rFonts w:ascii="Times New Roman" w:hAnsi="Times New Roman" w:cs="Times New Roman"/>
        </w:rPr>
        <w:t>a Yasin</w:t>
      </w:r>
    </w:p>
    <w:p w14:paraId="0D526068" w14:textId="4A1DAFB5" w:rsidR="00716F6F" w:rsidRDefault="00716F6F" w:rsidP="00716F6F">
      <w:pPr>
        <w:spacing w:line="360" w:lineRule="auto"/>
        <w:rPr>
          <w:rFonts w:ascii="Times New Roman" w:hAnsi="Times New Roman" w:cs="Times New Roman"/>
        </w:rPr>
      </w:pPr>
      <w:r>
        <w:rPr>
          <w:rFonts w:ascii="Times New Roman" w:hAnsi="Times New Roman" w:cs="Times New Roman"/>
        </w:rPr>
        <w:t>Student Number: 2422409</w:t>
      </w:r>
    </w:p>
    <w:p w14:paraId="153FE7F6" w14:textId="6979E087" w:rsidR="00716F6F" w:rsidRDefault="00716F6F" w:rsidP="00716F6F">
      <w:pPr>
        <w:spacing w:line="360" w:lineRule="auto"/>
        <w:rPr>
          <w:rFonts w:ascii="Times New Roman" w:hAnsi="Times New Roman" w:cs="Times New Roman"/>
        </w:rPr>
      </w:pPr>
      <w:r>
        <w:rPr>
          <w:rFonts w:ascii="Times New Roman" w:hAnsi="Times New Roman" w:cs="Times New Roman"/>
        </w:rPr>
        <w:t>Lecturer's Name: Kareem Sani</w:t>
      </w:r>
    </w:p>
    <w:p w14:paraId="3907FD07" w14:textId="51AC78B0" w:rsidR="00716F6F" w:rsidRDefault="00716F6F" w:rsidP="00716F6F">
      <w:pPr>
        <w:spacing w:line="360" w:lineRule="auto"/>
        <w:rPr>
          <w:rFonts w:ascii="Times New Roman" w:hAnsi="Times New Roman" w:cs="Times New Roman"/>
        </w:rPr>
      </w:pPr>
      <w:r>
        <w:rPr>
          <w:rFonts w:ascii="Times New Roman" w:hAnsi="Times New Roman" w:cs="Times New Roman"/>
        </w:rPr>
        <w:t>Module Code: LCLM5003</w:t>
      </w:r>
    </w:p>
    <w:p w14:paraId="4BD0A3B3" w14:textId="40026115" w:rsidR="00716F6F" w:rsidRDefault="00716F6F" w:rsidP="00716F6F">
      <w:pPr>
        <w:spacing w:line="360" w:lineRule="auto"/>
        <w:rPr>
          <w:rFonts w:ascii="Times New Roman" w:hAnsi="Times New Roman" w:cs="Times New Roman"/>
        </w:rPr>
      </w:pPr>
      <w:r>
        <w:rPr>
          <w:rFonts w:ascii="Times New Roman" w:hAnsi="Times New Roman" w:cs="Times New Roman"/>
        </w:rPr>
        <w:t>Module Title:</w:t>
      </w:r>
      <w:r w:rsidR="003F6B21">
        <w:rPr>
          <w:rFonts w:ascii="Times New Roman" w:hAnsi="Times New Roman" w:cs="Times New Roman"/>
        </w:rPr>
        <w:t xml:space="preserve"> Project Management</w:t>
      </w:r>
    </w:p>
    <w:p w14:paraId="62019720" w14:textId="6A2EA11F" w:rsidR="00716F6F" w:rsidRDefault="00716F6F" w:rsidP="00716F6F">
      <w:pPr>
        <w:spacing w:line="360" w:lineRule="auto"/>
        <w:rPr>
          <w:rFonts w:ascii="Times New Roman" w:hAnsi="Times New Roman" w:cs="Times New Roman"/>
        </w:rPr>
      </w:pPr>
      <w:r>
        <w:rPr>
          <w:rFonts w:ascii="Times New Roman" w:hAnsi="Times New Roman" w:cs="Times New Roman"/>
        </w:rPr>
        <w:t>Assignment Title:</w:t>
      </w:r>
      <w:r w:rsidR="003F6B21">
        <w:rPr>
          <w:rFonts w:ascii="Times New Roman" w:hAnsi="Times New Roman" w:cs="Times New Roman"/>
        </w:rPr>
        <w:t xml:space="preserve"> Project Portfolio </w:t>
      </w:r>
    </w:p>
    <w:p w14:paraId="7E7C1CB9" w14:textId="09F34E3C" w:rsidR="00786BA6" w:rsidRDefault="00786BA6" w:rsidP="00716F6F">
      <w:pPr>
        <w:spacing w:line="360" w:lineRule="auto"/>
        <w:rPr>
          <w:rFonts w:ascii="Times New Roman" w:hAnsi="Times New Roman" w:cs="Times New Roman"/>
        </w:rPr>
      </w:pPr>
    </w:p>
    <w:p w14:paraId="3A38D6F3" w14:textId="4048846F" w:rsidR="00786BA6" w:rsidRDefault="00786BA6" w:rsidP="00716F6F">
      <w:pPr>
        <w:spacing w:line="360" w:lineRule="auto"/>
        <w:rPr>
          <w:rFonts w:ascii="Times New Roman" w:hAnsi="Times New Roman" w:cs="Times New Roman"/>
        </w:rPr>
      </w:pPr>
      <w:r w:rsidRPr="00716F6F">
        <w:rPr>
          <w:rFonts w:ascii="Times New Roman" w:hAnsi="Times New Roman" w:cs="Times New Roman"/>
        </w:rPr>
        <w:drawing>
          <wp:anchor distT="0" distB="0" distL="114300" distR="114300" simplePos="0" relativeHeight="251658240" behindDoc="1" locked="0" layoutInCell="1" allowOverlap="1" wp14:anchorId="1FF90948" wp14:editId="4DF3AD8E">
            <wp:simplePos x="0" y="0"/>
            <wp:positionH relativeFrom="margin">
              <wp:align>right</wp:align>
            </wp:positionH>
            <wp:positionV relativeFrom="paragraph">
              <wp:posOffset>506581</wp:posOffset>
            </wp:positionV>
            <wp:extent cx="5731510" cy="3807460"/>
            <wp:effectExtent l="0" t="0" r="2540" b="2540"/>
            <wp:wrapTight wrapText="bothSides">
              <wp:wrapPolygon edited="0">
                <wp:start x="0" y="0"/>
                <wp:lineTo x="0" y="21506"/>
                <wp:lineTo x="21538" y="21506"/>
                <wp:lineTo x="21538" y="0"/>
                <wp:lineTo x="0" y="0"/>
              </wp:wrapPolygon>
            </wp:wrapTight>
            <wp:docPr id="420196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9681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07460"/>
                    </a:xfrm>
                    <a:prstGeom prst="rect">
                      <a:avLst/>
                    </a:prstGeom>
                  </pic:spPr>
                </pic:pic>
              </a:graphicData>
            </a:graphic>
          </wp:anchor>
        </w:drawing>
      </w:r>
      <w:r>
        <w:rPr>
          <w:rFonts w:ascii="Times New Roman" w:hAnsi="Times New Roman" w:cs="Times New Roman"/>
        </w:rPr>
        <w:t>Part A - Poster</w:t>
      </w:r>
    </w:p>
    <w:p w14:paraId="3EDA17B3" w14:textId="77777777" w:rsidR="00786BA6" w:rsidRDefault="00786BA6" w:rsidP="00716F6F">
      <w:pPr>
        <w:spacing w:line="360" w:lineRule="auto"/>
        <w:rPr>
          <w:rFonts w:ascii="Times New Roman" w:hAnsi="Times New Roman" w:cs="Times New Roman"/>
        </w:rPr>
      </w:pPr>
    </w:p>
    <w:p w14:paraId="1579BA6B" w14:textId="1A9AF0F0" w:rsidR="00716F6F" w:rsidRDefault="00716F6F">
      <w:pPr>
        <w:rPr>
          <w:rFonts w:ascii="Times New Roman" w:hAnsi="Times New Roman" w:cs="Times New Roman"/>
        </w:rPr>
      </w:pPr>
    </w:p>
    <w:p w14:paraId="405A3078" w14:textId="77777777" w:rsidR="00142062" w:rsidRDefault="00142062">
      <w:pPr>
        <w:rPr>
          <w:rFonts w:ascii="Times New Roman" w:hAnsi="Times New Roman" w:cs="Times New Roman"/>
        </w:rPr>
      </w:pPr>
    </w:p>
    <w:p w14:paraId="76F1D0B0" w14:textId="77777777" w:rsidR="00142062" w:rsidRDefault="00142062">
      <w:pPr>
        <w:rPr>
          <w:rFonts w:ascii="Times New Roman" w:hAnsi="Times New Roman" w:cs="Times New Roman"/>
        </w:rPr>
      </w:pPr>
    </w:p>
    <w:p w14:paraId="6BC17EC0" w14:textId="77777777" w:rsidR="00142062" w:rsidRDefault="00142062">
      <w:pPr>
        <w:rPr>
          <w:rFonts w:ascii="Times New Roman" w:hAnsi="Times New Roman" w:cs="Times New Roman"/>
        </w:rPr>
      </w:pPr>
    </w:p>
    <w:p w14:paraId="21299D03" w14:textId="77777777" w:rsidR="00142062" w:rsidRDefault="00142062">
      <w:pPr>
        <w:rPr>
          <w:rFonts w:ascii="Times New Roman" w:hAnsi="Times New Roman" w:cs="Times New Roman"/>
        </w:rPr>
      </w:pPr>
    </w:p>
    <w:p w14:paraId="0BA22288" w14:textId="79287BFD" w:rsidR="00716F6F" w:rsidRDefault="00786BA6">
      <w:pPr>
        <w:rPr>
          <w:rFonts w:ascii="Times New Roman" w:hAnsi="Times New Roman" w:cs="Times New Roman"/>
        </w:rPr>
      </w:pPr>
      <w:r>
        <w:rPr>
          <w:rFonts w:ascii="Times New Roman" w:hAnsi="Times New Roman" w:cs="Times New Roman"/>
        </w:rPr>
        <w:lastRenderedPageBreak/>
        <w:t>Part B – Reflection on Feedback</w:t>
      </w:r>
    </w:p>
    <w:p w14:paraId="64827CFE" w14:textId="77777777" w:rsidR="00786BA6" w:rsidRPr="00786BA6" w:rsidRDefault="00786BA6" w:rsidP="00786BA6">
      <w:pPr>
        <w:rPr>
          <w:rFonts w:ascii="Times New Roman" w:hAnsi="Times New Roman" w:cs="Times New Roman"/>
        </w:rPr>
      </w:pPr>
      <w:r w:rsidRPr="00786BA6">
        <w:rPr>
          <w:rFonts w:ascii="Times New Roman" w:hAnsi="Times New Roman" w:cs="Times New Roman"/>
        </w:rPr>
        <w:t>The feedback provided by my tutor, Kareem, offers a clear and constructive evaluation of my poster addressing the regeneration of connections through the redevelopment of a central transport hub.</w:t>
      </w:r>
      <w:r w:rsidRPr="00786BA6">
        <w:rPr>
          <w:rFonts w:ascii="Times New Roman" w:hAnsi="Times New Roman" w:cs="Times New Roman"/>
        </w:rPr>
        <w:br/>
        <w:t>Reflecting on this feedback has been valuable for identifying both the strengths of my approach and, more importantly, the areas requiring improvement for the final project management plan.</w:t>
      </w:r>
    </w:p>
    <w:p w14:paraId="7D020E89" w14:textId="77777777" w:rsidR="00786BA6" w:rsidRPr="00786BA6" w:rsidRDefault="00786BA6" w:rsidP="00786BA6">
      <w:pPr>
        <w:rPr>
          <w:rFonts w:ascii="Times New Roman" w:hAnsi="Times New Roman" w:cs="Times New Roman"/>
        </w:rPr>
      </w:pPr>
      <w:r w:rsidRPr="00786BA6">
        <w:rPr>
          <w:rFonts w:ascii="Times New Roman" w:hAnsi="Times New Roman" w:cs="Times New Roman"/>
        </w:rPr>
        <w:t>One key strength identified is the visual appeal of the poster and its demonstration of a comprehensive understanding of the redevelopment challenge. The introduction effectively outlines the project context after the hub's closure, explains the resulting disruptions to commuters, supply chains, and local businesses, and presents the available options before justifying the recommendation to proceed with full redevelopment (Option A). The structured circular framework, which presents project alignment and justification, benefits delivered, project management approach, and monitoring and evaluation, establishes a logical flow. This reflects an awareness of project governance, stakeholder engagement, risk management, and evaluation.</w:t>
      </w:r>
      <w:r w:rsidRPr="00786BA6">
        <w:rPr>
          <w:rFonts w:ascii="Times New Roman" w:hAnsi="Times New Roman" w:cs="Times New Roman"/>
        </w:rPr>
        <w:br/>
        <w:t>Connecting the recommendation to long-term economic, social, and environmental benefits further demonstrates strategic thinking. The inclusion of key findings, stakeholder groups, monitoring considerations, and recommendations indicates an effort to address the broader strategic dimensions of the project. These elements confirm that the core narrative and overall structure were robust.</w:t>
      </w:r>
    </w:p>
    <w:p w14:paraId="52F49E0C" w14:textId="77777777" w:rsidR="00786BA6" w:rsidRPr="00786BA6" w:rsidRDefault="00786BA6" w:rsidP="00786BA6">
      <w:pPr>
        <w:rPr>
          <w:rFonts w:ascii="Times New Roman" w:hAnsi="Times New Roman" w:cs="Times New Roman"/>
        </w:rPr>
      </w:pPr>
      <w:r w:rsidRPr="00786BA6">
        <w:rPr>
          <w:rFonts w:ascii="Times New Roman" w:hAnsi="Times New Roman" w:cs="Times New Roman"/>
        </w:rPr>
        <w:t>However, the feedback identifies several critical areas for improvement. The project aim and objectives are not explicitly stated, which reduces clarity regarding the criteria for success.</w:t>
      </w:r>
      <w:r w:rsidRPr="00786BA6">
        <w:rPr>
          <w:rFonts w:ascii="Times New Roman" w:hAnsi="Times New Roman" w:cs="Times New Roman"/>
        </w:rPr>
        <w:br/>
        <w:t>Scope and boundaries, risks and trade-offs, and stakeholder analysis require more detailed and project-specific discussion rather than remaining at a high level. The sections on methodology and discussion appear disconnected from the transport hub scenario and instead focus on higher education themes, which diminishes overall coherence. Additionally, there is insufficient application of concrete project management tools and techniques, such as stakeholder matrices, risk registers, project schedules, or detailed governance frameworks. While the poster meets basic requirements, achieving a higher grade will require stronger alignment with the assessment brief, increased project-specific detail, and deeper application of project management concepts.</w:t>
      </w:r>
    </w:p>
    <w:p w14:paraId="0D600B01" w14:textId="77777777" w:rsidR="00786BA6" w:rsidRPr="00786BA6" w:rsidRDefault="00786BA6" w:rsidP="00786BA6">
      <w:pPr>
        <w:rPr>
          <w:rFonts w:ascii="Times New Roman" w:hAnsi="Times New Roman" w:cs="Times New Roman"/>
        </w:rPr>
      </w:pPr>
      <w:r w:rsidRPr="00786BA6">
        <w:rPr>
          <w:rFonts w:ascii="Times New Roman" w:hAnsi="Times New Roman" w:cs="Times New Roman"/>
        </w:rPr>
        <w:t xml:space="preserve">This feedback has directly informed the revisions I will implement in my final project management plan. I will begin by clearly articulating SMART project aims and objectives that are closely linked to restoring transport capacity, improving accessibility, supporting economic recovery, and achieving sustainability targets. Scope and boundaries will be explicitly defined, specifying what is included and excluded from the redevelopment. A detailed stakeholder analysis using a power-interest matrix will replace the previous simple list, accompanied by an engagement strategy tailored to local authorities, transport users, businesses, community groups, and funders. Risks and trade-offs will be documented in a risk </w:t>
      </w:r>
      <w:r w:rsidRPr="00786BA6">
        <w:rPr>
          <w:rFonts w:ascii="Times New Roman" w:hAnsi="Times New Roman" w:cs="Times New Roman"/>
        </w:rPr>
        <w:lastRenderedPageBreak/>
        <w:t>register, including likelihood, impact, responsible parties, and mitigation actions, addressing issues such as construction disruption, funding constraints, and environmental compliance.</w:t>
      </w:r>
    </w:p>
    <w:p w14:paraId="3892D445" w14:textId="77777777" w:rsidR="00786BA6" w:rsidRDefault="00786BA6" w:rsidP="00786BA6">
      <w:pPr>
        <w:rPr>
          <w:rFonts w:ascii="Times New Roman" w:hAnsi="Times New Roman" w:cs="Times New Roman"/>
        </w:rPr>
      </w:pPr>
      <w:r w:rsidRPr="00786BA6">
        <w:rPr>
          <w:rFonts w:ascii="Times New Roman" w:hAnsi="Times New Roman" w:cs="Times New Roman"/>
        </w:rPr>
        <w:t>Project management tools will be applied more rigorously, including a PRINCE2-aligned governance structure, a high-level schedule or Gantt chart outlining key phases, and clear KPIs for time, cost, quality, sustainability, and stakeholder satisfaction. The methodology and discussion sections will be revised to remain focused on the transport hub context, eliminating any unrelated higher-education content. These changes will result in a coherent, evidence-based, and practically grounded project management plan that fully addresses the assessment requirements and demonstrates a deeper application of project management principles.</w:t>
      </w:r>
    </w:p>
    <w:p w14:paraId="3A87C2BE" w14:textId="77777777" w:rsidR="00786BA6" w:rsidRDefault="00786BA6" w:rsidP="00786BA6">
      <w:pPr>
        <w:rPr>
          <w:rFonts w:ascii="Times New Roman" w:hAnsi="Times New Roman" w:cs="Times New Roman"/>
        </w:rPr>
      </w:pPr>
    </w:p>
    <w:p w14:paraId="4FE7AB2A" w14:textId="77777777" w:rsidR="00A7675F" w:rsidRDefault="00A7675F" w:rsidP="00786BA6">
      <w:pPr>
        <w:rPr>
          <w:rFonts w:ascii="Times New Roman" w:hAnsi="Times New Roman" w:cs="Times New Roman"/>
        </w:rPr>
      </w:pPr>
    </w:p>
    <w:p w14:paraId="265EE575" w14:textId="77777777" w:rsidR="00A7675F" w:rsidRDefault="00A7675F" w:rsidP="00786BA6">
      <w:pPr>
        <w:rPr>
          <w:rFonts w:ascii="Times New Roman" w:hAnsi="Times New Roman" w:cs="Times New Roman"/>
        </w:rPr>
      </w:pPr>
    </w:p>
    <w:p w14:paraId="0236E929" w14:textId="77777777" w:rsidR="00A7675F" w:rsidRDefault="00A7675F" w:rsidP="00786BA6">
      <w:pPr>
        <w:rPr>
          <w:rFonts w:ascii="Times New Roman" w:hAnsi="Times New Roman" w:cs="Times New Roman"/>
        </w:rPr>
      </w:pPr>
    </w:p>
    <w:p w14:paraId="5D8C9B82" w14:textId="77777777" w:rsidR="00A7675F" w:rsidRDefault="00A7675F" w:rsidP="00786BA6">
      <w:pPr>
        <w:rPr>
          <w:rFonts w:ascii="Times New Roman" w:hAnsi="Times New Roman" w:cs="Times New Roman"/>
        </w:rPr>
      </w:pPr>
    </w:p>
    <w:p w14:paraId="2CB36A25" w14:textId="77777777" w:rsidR="00A7675F" w:rsidRDefault="00A7675F" w:rsidP="00786BA6">
      <w:pPr>
        <w:rPr>
          <w:rFonts w:ascii="Times New Roman" w:hAnsi="Times New Roman" w:cs="Times New Roman"/>
        </w:rPr>
      </w:pPr>
    </w:p>
    <w:p w14:paraId="4FF5C60D" w14:textId="77777777" w:rsidR="00A7675F" w:rsidRDefault="00A7675F" w:rsidP="00786BA6">
      <w:pPr>
        <w:rPr>
          <w:rFonts w:ascii="Times New Roman" w:hAnsi="Times New Roman" w:cs="Times New Roman"/>
        </w:rPr>
      </w:pPr>
    </w:p>
    <w:p w14:paraId="18EAE13A" w14:textId="77777777" w:rsidR="00A7675F" w:rsidRDefault="00A7675F" w:rsidP="00786BA6">
      <w:pPr>
        <w:rPr>
          <w:rFonts w:ascii="Times New Roman" w:hAnsi="Times New Roman" w:cs="Times New Roman"/>
        </w:rPr>
      </w:pPr>
    </w:p>
    <w:p w14:paraId="76BF8419" w14:textId="77777777" w:rsidR="00A7675F" w:rsidRDefault="00A7675F" w:rsidP="00786BA6">
      <w:pPr>
        <w:rPr>
          <w:rFonts w:ascii="Times New Roman" w:hAnsi="Times New Roman" w:cs="Times New Roman"/>
        </w:rPr>
      </w:pPr>
    </w:p>
    <w:p w14:paraId="06576BEE" w14:textId="77777777" w:rsidR="00A7675F" w:rsidRDefault="00A7675F" w:rsidP="00786BA6">
      <w:pPr>
        <w:rPr>
          <w:rFonts w:ascii="Times New Roman" w:hAnsi="Times New Roman" w:cs="Times New Roman"/>
        </w:rPr>
      </w:pPr>
    </w:p>
    <w:p w14:paraId="02F63794" w14:textId="77777777" w:rsidR="00A7675F" w:rsidRDefault="00A7675F" w:rsidP="00786BA6">
      <w:pPr>
        <w:rPr>
          <w:rFonts w:ascii="Times New Roman" w:hAnsi="Times New Roman" w:cs="Times New Roman"/>
        </w:rPr>
      </w:pPr>
    </w:p>
    <w:p w14:paraId="487B5808" w14:textId="77777777" w:rsidR="00A7675F" w:rsidRDefault="00A7675F" w:rsidP="00786BA6">
      <w:pPr>
        <w:rPr>
          <w:rFonts w:ascii="Times New Roman" w:hAnsi="Times New Roman" w:cs="Times New Roman"/>
        </w:rPr>
      </w:pPr>
    </w:p>
    <w:p w14:paraId="26C79A75" w14:textId="77777777" w:rsidR="00A7675F" w:rsidRDefault="00A7675F" w:rsidP="00786BA6">
      <w:pPr>
        <w:rPr>
          <w:rFonts w:ascii="Times New Roman" w:hAnsi="Times New Roman" w:cs="Times New Roman"/>
        </w:rPr>
      </w:pPr>
    </w:p>
    <w:p w14:paraId="28623BF6" w14:textId="77777777" w:rsidR="00A7675F" w:rsidRDefault="00A7675F" w:rsidP="00786BA6">
      <w:pPr>
        <w:rPr>
          <w:rFonts w:ascii="Times New Roman" w:hAnsi="Times New Roman" w:cs="Times New Roman"/>
        </w:rPr>
      </w:pPr>
    </w:p>
    <w:p w14:paraId="17D90C29" w14:textId="77777777" w:rsidR="00A7675F" w:rsidRDefault="00A7675F" w:rsidP="00786BA6">
      <w:pPr>
        <w:rPr>
          <w:rFonts w:ascii="Times New Roman" w:hAnsi="Times New Roman" w:cs="Times New Roman"/>
        </w:rPr>
      </w:pPr>
    </w:p>
    <w:p w14:paraId="295DE5C5" w14:textId="77777777" w:rsidR="00A7675F" w:rsidRDefault="00A7675F" w:rsidP="00786BA6">
      <w:pPr>
        <w:rPr>
          <w:rFonts w:ascii="Times New Roman" w:hAnsi="Times New Roman" w:cs="Times New Roman"/>
        </w:rPr>
      </w:pPr>
    </w:p>
    <w:p w14:paraId="698D4CA9" w14:textId="77777777" w:rsidR="00A7675F" w:rsidRDefault="00A7675F" w:rsidP="00786BA6">
      <w:pPr>
        <w:rPr>
          <w:rFonts w:ascii="Times New Roman" w:hAnsi="Times New Roman" w:cs="Times New Roman"/>
        </w:rPr>
      </w:pPr>
    </w:p>
    <w:p w14:paraId="0B29EC62" w14:textId="77777777" w:rsidR="00A7675F" w:rsidRDefault="00A7675F" w:rsidP="00786BA6">
      <w:pPr>
        <w:rPr>
          <w:rFonts w:ascii="Times New Roman" w:hAnsi="Times New Roman" w:cs="Times New Roman"/>
        </w:rPr>
      </w:pPr>
    </w:p>
    <w:p w14:paraId="4E0F28A1" w14:textId="77777777" w:rsidR="00A7675F" w:rsidRDefault="00A7675F" w:rsidP="00786BA6">
      <w:pPr>
        <w:rPr>
          <w:rFonts w:ascii="Times New Roman" w:hAnsi="Times New Roman" w:cs="Times New Roman"/>
        </w:rPr>
      </w:pPr>
    </w:p>
    <w:p w14:paraId="4815568C" w14:textId="77777777" w:rsidR="00A7675F" w:rsidRDefault="00A7675F" w:rsidP="00786BA6">
      <w:pPr>
        <w:rPr>
          <w:rFonts w:ascii="Times New Roman" w:hAnsi="Times New Roman" w:cs="Times New Roman"/>
        </w:rPr>
      </w:pPr>
    </w:p>
    <w:p w14:paraId="00FF997E" w14:textId="77777777" w:rsidR="00A7675F" w:rsidRDefault="00A7675F" w:rsidP="00786BA6">
      <w:pPr>
        <w:rPr>
          <w:rFonts w:ascii="Times New Roman" w:hAnsi="Times New Roman" w:cs="Times New Roman"/>
        </w:rPr>
      </w:pPr>
    </w:p>
    <w:p w14:paraId="4F0E5399" w14:textId="2DCE877E" w:rsidR="006E0DCB" w:rsidRDefault="006E0DCB" w:rsidP="00786BA6">
      <w:pPr>
        <w:rPr>
          <w:rFonts w:ascii="Times New Roman" w:hAnsi="Times New Roman" w:cs="Times New Roman"/>
        </w:rPr>
      </w:pPr>
      <w:r>
        <w:rPr>
          <w:rFonts w:ascii="Times New Roman" w:hAnsi="Times New Roman" w:cs="Times New Roman"/>
        </w:rPr>
        <w:t>Part C - Project Management Plan</w:t>
      </w:r>
    </w:p>
    <w:p w14:paraId="204A8713" w14:textId="77777777" w:rsidR="00A7675F" w:rsidRDefault="00A7675F" w:rsidP="00786BA6">
      <w:pPr>
        <w:rPr>
          <w:rFonts w:ascii="Times New Roman" w:hAnsi="Times New Roman" w:cs="Times New Roman"/>
        </w:rPr>
      </w:pPr>
    </w:p>
    <w:p w14:paraId="55ABC872" w14:textId="77777777" w:rsidR="00F4026B" w:rsidRDefault="00F4026B" w:rsidP="00786BA6">
      <w:pPr>
        <w:rPr>
          <w:rFonts w:ascii="Times New Roman" w:hAnsi="Times New Roman" w:cs="Times New Roman"/>
          <w:u w:val="single"/>
        </w:rPr>
      </w:pPr>
    </w:p>
    <w:p w14:paraId="394838A0" w14:textId="77777777" w:rsidR="00F4026B" w:rsidRDefault="00F4026B" w:rsidP="00786BA6">
      <w:pPr>
        <w:rPr>
          <w:rFonts w:ascii="Times New Roman" w:hAnsi="Times New Roman" w:cs="Times New Roman"/>
          <w:u w:val="single"/>
        </w:rPr>
      </w:pPr>
    </w:p>
    <w:p w14:paraId="57B835E9" w14:textId="3A35B407" w:rsidR="00A7675F" w:rsidRPr="00A7675F" w:rsidRDefault="00A7675F" w:rsidP="00142062">
      <w:pPr>
        <w:pStyle w:val="Title"/>
        <w:jc w:val="center"/>
      </w:pPr>
      <w:r w:rsidRPr="00A7675F">
        <w:t>Project Management Plan</w:t>
      </w:r>
    </w:p>
    <w:p w14:paraId="25084513" w14:textId="02D0F934" w:rsidR="00A7675F" w:rsidRDefault="00A7675F" w:rsidP="00142062">
      <w:pPr>
        <w:pStyle w:val="Title"/>
        <w:jc w:val="center"/>
      </w:pPr>
      <w:r w:rsidRPr="00A7675F">
        <w:t>Redevelopment of the Central Transport Hub</w:t>
      </w:r>
    </w:p>
    <w:p w14:paraId="2679E042" w14:textId="77777777" w:rsidR="00A7675F" w:rsidRDefault="00A7675F" w:rsidP="00786BA6">
      <w:pPr>
        <w:rPr>
          <w:rFonts w:ascii="Times New Roman" w:hAnsi="Times New Roman" w:cs="Times New Roman"/>
          <w:u w:val="single"/>
        </w:rPr>
      </w:pPr>
    </w:p>
    <w:p w14:paraId="3920EC4A" w14:textId="77777777" w:rsidR="00F4026B" w:rsidRDefault="00F4026B" w:rsidP="00786BA6">
      <w:pPr>
        <w:rPr>
          <w:rFonts w:ascii="Times New Roman" w:hAnsi="Times New Roman" w:cs="Times New Roman"/>
          <w:u w:val="single"/>
        </w:rPr>
      </w:pPr>
    </w:p>
    <w:p w14:paraId="3C1497F3" w14:textId="77777777" w:rsidR="00F4026B" w:rsidRDefault="00F4026B" w:rsidP="00786BA6">
      <w:pPr>
        <w:rPr>
          <w:rFonts w:ascii="Times New Roman" w:hAnsi="Times New Roman" w:cs="Times New Roman"/>
          <w:u w:val="single"/>
        </w:rPr>
      </w:pPr>
    </w:p>
    <w:sdt>
      <w:sdtPr>
        <w:id w:val="-90453666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53D2089" w14:textId="2FB244EC" w:rsidR="00142062" w:rsidRPr="00506527" w:rsidRDefault="00142062">
          <w:pPr>
            <w:pStyle w:val="TOCHeading"/>
            <w:rPr>
              <w:rFonts w:ascii="Times New Roman" w:hAnsi="Times New Roman" w:cs="Times New Roman"/>
              <w:sz w:val="24"/>
              <w:szCs w:val="24"/>
            </w:rPr>
          </w:pPr>
          <w:r w:rsidRPr="00506527">
            <w:rPr>
              <w:rFonts w:ascii="Times New Roman" w:hAnsi="Times New Roman" w:cs="Times New Roman"/>
              <w:sz w:val="24"/>
              <w:szCs w:val="24"/>
            </w:rPr>
            <w:t>Contents</w:t>
          </w:r>
        </w:p>
        <w:p w14:paraId="2226EE87" w14:textId="0F36EB5A" w:rsidR="00506527" w:rsidRPr="00506527" w:rsidRDefault="00142062">
          <w:pPr>
            <w:pStyle w:val="TOC1"/>
            <w:tabs>
              <w:tab w:val="right" w:leader="dot" w:pos="9016"/>
            </w:tabs>
            <w:rPr>
              <w:rFonts w:ascii="Times New Roman" w:eastAsiaTheme="minorEastAsia" w:hAnsi="Times New Roman" w:cs="Times New Roman"/>
              <w:noProof/>
              <w:lang w:eastAsia="en-GB"/>
            </w:rPr>
          </w:pPr>
          <w:r w:rsidRPr="00506527">
            <w:rPr>
              <w:rFonts w:ascii="Times New Roman" w:hAnsi="Times New Roman" w:cs="Times New Roman"/>
            </w:rPr>
            <w:fldChar w:fldCharType="begin"/>
          </w:r>
          <w:r w:rsidRPr="00506527">
            <w:rPr>
              <w:rFonts w:ascii="Times New Roman" w:hAnsi="Times New Roman" w:cs="Times New Roman"/>
            </w:rPr>
            <w:instrText xml:space="preserve"> TOC \o "1-3" \h \z \u </w:instrText>
          </w:r>
          <w:r w:rsidRPr="00506527">
            <w:rPr>
              <w:rFonts w:ascii="Times New Roman" w:hAnsi="Times New Roman" w:cs="Times New Roman"/>
            </w:rPr>
            <w:fldChar w:fldCharType="separate"/>
          </w:r>
          <w:hyperlink w:anchor="_Toc235975661" w:history="1">
            <w:r w:rsidR="00506527" w:rsidRPr="00506527">
              <w:rPr>
                <w:rStyle w:val="Hyperlink"/>
                <w:rFonts w:ascii="Times New Roman" w:hAnsi="Times New Roman" w:cs="Times New Roman"/>
                <w:noProof/>
              </w:rPr>
              <w:t>1. Introduction</w:t>
            </w:r>
            <w:r w:rsidR="00506527" w:rsidRPr="00506527">
              <w:rPr>
                <w:rFonts w:ascii="Times New Roman" w:hAnsi="Times New Roman" w:cs="Times New Roman"/>
                <w:noProof/>
                <w:webHidden/>
              </w:rPr>
              <w:tab/>
            </w:r>
            <w:r w:rsidR="00506527" w:rsidRPr="00506527">
              <w:rPr>
                <w:rFonts w:ascii="Times New Roman" w:hAnsi="Times New Roman" w:cs="Times New Roman"/>
                <w:noProof/>
                <w:webHidden/>
              </w:rPr>
              <w:fldChar w:fldCharType="begin"/>
            </w:r>
            <w:r w:rsidR="00506527" w:rsidRPr="00506527">
              <w:rPr>
                <w:rFonts w:ascii="Times New Roman" w:hAnsi="Times New Roman" w:cs="Times New Roman"/>
                <w:noProof/>
                <w:webHidden/>
              </w:rPr>
              <w:instrText xml:space="preserve"> PAGEREF _Toc235975661 \h </w:instrText>
            </w:r>
            <w:r w:rsidR="00506527" w:rsidRPr="00506527">
              <w:rPr>
                <w:rFonts w:ascii="Times New Roman" w:hAnsi="Times New Roman" w:cs="Times New Roman"/>
                <w:noProof/>
                <w:webHidden/>
              </w:rPr>
            </w:r>
            <w:r w:rsidR="00506527" w:rsidRPr="00506527">
              <w:rPr>
                <w:rFonts w:ascii="Times New Roman" w:hAnsi="Times New Roman" w:cs="Times New Roman"/>
                <w:noProof/>
                <w:webHidden/>
              </w:rPr>
              <w:fldChar w:fldCharType="separate"/>
            </w:r>
            <w:r w:rsidR="00506527" w:rsidRPr="00506527">
              <w:rPr>
                <w:rFonts w:ascii="Times New Roman" w:hAnsi="Times New Roman" w:cs="Times New Roman"/>
                <w:noProof/>
                <w:webHidden/>
              </w:rPr>
              <w:t>5</w:t>
            </w:r>
            <w:r w:rsidR="00506527" w:rsidRPr="00506527">
              <w:rPr>
                <w:rFonts w:ascii="Times New Roman" w:hAnsi="Times New Roman" w:cs="Times New Roman"/>
                <w:noProof/>
                <w:webHidden/>
              </w:rPr>
              <w:fldChar w:fldCharType="end"/>
            </w:r>
          </w:hyperlink>
        </w:p>
        <w:p w14:paraId="4A998437" w14:textId="2A1D939B"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62" w:history="1">
            <w:r w:rsidRPr="00506527">
              <w:rPr>
                <w:rStyle w:val="Hyperlink"/>
                <w:rFonts w:ascii="Times New Roman" w:hAnsi="Times New Roman" w:cs="Times New Roman"/>
                <w:noProof/>
              </w:rPr>
              <w:t>2. Project Description</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_Toc235975662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6</w:t>
            </w:r>
            <w:r w:rsidRPr="00506527">
              <w:rPr>
                <w:rFonts w:ascii="Times New Roman" w:hAnsi="Times New Roman" w:cs="Times New Roman"/>
                <w:noProof/>
                <w:webHidden/>
              </w:rPr>
              <w:fldChar w:fldCharType="end"/>
            </w:r>
          </w:hyperlink>
        </w:p>
        <w:p w14:paraId="7E71FD48" w14:textId="62D755A7"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63" w:history="1">
            <w:r w:rsidRPr="00506527">
              <w:rPr>
                <w:rStyle w:val="Hyperlink"/>
                <w:rFonts w:ascii="Times New Roman" w:hAnsi="Times New Roman" w:cs="Times New Roman"/>
                <w:noProof/>
              </w:rPr>
              <w:t>3. Scope</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_Toc235975663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7</w:t>
            </w:r>
            <w:r w:rsidRPr="00506527">
              <w:rPr>
                <w:rFonts w:ascii="Times New Roman" w:hAnsi="Times New Roman" w:cs="Times New Roman"/>
                <w:noProof/>
                <w:webHidden/>
              </w:rPr>
              <w:fldChar w:fldCharType="end"/>
            </w:r>
          </w:hyperlink>
        </w:p>
        <w:p w14:paraId="760EA20C" w14:textId="18261C31" w:rsidR="00506527" w:rsidRPr="00506527" w:rsidRDefault="00506527">
          <w:pPr>
            <w:pStyle w:val="TOC2"/>
            <w:tabs>
              <w:tab w:val="right" w:leader="dot" w:pos="9016"/>
            </w:tabs>
            <w:rPr>
              <w:rFonts w:ascii="Times New Roman" w:eastAsiaTheme="minorEastAsia" w:hAnsi="Times New Roman" w:cs="Times New Roman"/>
              <w:noProof/>
              <w:lang w:eastAsia="en-GB"/>
            </w:rPr>
          </w:pPr>
          <w:hyperlink w:anchor="_Toc235975664" w:history="1">
            <w:r w:rsidRPr="00506527">
              <w:rPr>
                <w:rStyle w:val="Hyperlink"/>
                <w:rFonts w:ascii="Times New Roman" w:hAnsi="Times New Roman" w:cs="Times New Roman"/>
                <w:noProof/>
              </w:rPr>
              <w:t>3.1 In Scope</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_Toc235975664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7</w:t>
            </w:r>
            <w:r w:rsidRPr="00506527">
              <w:rPr>
                <w:rFonts w:ascii="Times New Roman" w:hAnsi="Times New Roman" w:cs="Times New Roman"/>
                <w:noProof/>
                <w:webHidden/>
              </w:rPr>
              <w:fldChar w:fldCharType="end"/>
            </w:r>
          </w:hyperlink>
        </w:p>
        <w:p w14:paraId="2A6B9FF8" w14:textId="6B0EC8A1" w:rsidR="00506527" w:rsidRPr="00506527" w:rsidRDefault="00506527">
          <w:pPr>
            <w:pStyle w:val="TOC2"/>
            <w:tabs>
              <w:tab w:val="right" w:leader="dot" w:pos="9016"/>
            </w:tabs>
            <w:rPr>
              <w:rFonts w:ascii="Times New Roman" w:eastAsiaTheme="minorEastAsia" w:hAnsi="Times New Roman" w:cs="Times New Roman"/>
              <w:noProof/>
              <w:lang w:eastAsia="en-GB"/>
            </w:rPr>
          </w:pPr>
          <w:hyperlink w:anchor="_Toc235975665" w:history="1">
            <w:r w:rsidRPr="00506527">
              <w:rPr>
                <w:rStyle w:val="Hyperlink"/>
                <w:rFonts w:ascii="Times New Roman" w:hAnsi="Times New Roman" w:cs="Times New Roman"/>
                <w:noProof/>
              </w:rPr>
              <w:t>3.2 Out of Scope</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_Toc235975665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7</w:t>
            </w:r>
            <w:r w:rsidRPr="00506527">
              <w:rPr>
                <w:rFonts w:ascii="Times New Roman" w:hAnsi="Times New Roman" w:cs="Times New Roman"/>
                <w:noProof/>
                <w:webHidden/>
              </w:rPr>
              <w:fldChar w:fldCharType="end"/>
            </w:r>
          </w:hyperlink>
        </w:p>
        <w:p w14:paraId="7DE4BF70" w14:textId="2A174684" w:rsidR="00506527" w:rsidRPr="00506527" w:rsidRDefault="00506527">
          <w:pPr>
            <w:pStyle w:val="TOC2"/>
            <w:tabs>
              <w:tab w:val="right" w:leader="dot" w:pos="9016"/>
            </w:tabs>
            <w:rPr>
              <w:rFonts w:ascii="Times New Roman" w:eastAsiaTheme="minorEastAsia" w:hAnsi="Times New Roman" w:cs="Times New Roman"/>
              <w:noProof/>
              <w:lang w:eastAsia="en-GB"/>
            </w:rPr>
          </w:pPr>
          <w:hyperlink w:anchor="_Toc235975666" w:history="1">
            <w:r w:rsidRPr="00506527">
              <w:rPr>
                <w:rStyle w:val="Hyperlink"/>
                <w:rFonts w:ascii="Times New Roman" w:hAnsi="Times New Roman" w:cs="Times New Roman"/>
                <w:noProof/>
              </w:rPr>
              <w:t>3.3 Boundaries, Assumptions and Constraints</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_Toc235975666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7</w:t>
            </w:r>
            <w:r w:rsidRPr="00506527">
              <w:rPr>
                <w:rFonts w:ascii="Times New Roman" w:hAnsi="Times New Roman" w:cs="Times New Roman"/>
                <w:noProof/>
                <w:webHidden/>
              </w:rPr>
              <w:fldChar w:fldCharType="end"/>
            </w:r>
          </w:hyperlink>
        </w:p>
        <w:p w14:paraId="4B911D6E" w14:textId="403C2ECF"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67" w:history="1">
            <w:r w:rsidRPr="00506527">
              <w:rPr>
                <w:rStyle w:val="Hyperlink"/>
                <w:rFonts w:ascii="Times New Roman" w:hAnsi="Times New Roman" w:cs="Times New Roman"/>
                <w:noProof/>
              </w:rPr>
              <w:t>4. Work Breakdown Structure (WBS)</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_Toc235975667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7</w:t>
            </w:r>
            <w:r w:rsidRPr="00506527">
              <w:rPr>
                <w:rFonts w:ascii="Times New Roman" w:hAnsi="Times New Roman" w:cs="Times New Roman"/>
                <w:noProof/>
                <w:webHidden/>
              </w:rPr>
              <w:fldChar w:fldCharType="end"/>
            </w:r>
          </w:hyperlink>
        </w:p>
        <w:p w14:paraId="1922D49D" w14:textId="2DA482EB"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68" w:history="1">
            <w:r w:rsidRPr="00506527">
              <w:rPr>
                <w:rStyle w:val="Hyperlink"/>
                <w:rFonts w:ascii="Times New Roman" w:hAnsi="Times New Roman" w:cs="Times New Roman"/>
                <w:noProof/>
              </w:rPr>
              <w:t>5. Quad Chart Overview</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_Toc235975668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9</w:t>
            </w:r>
            <w:r w:rsidRPr="00506527">
              <w:rPr>
                <w:rFonts w:ascii="Times New Roman" w:hAnsi="Times New Roman" w:cs="Times New Roman"/>
                <w:noProof/>
                <w:webHidden/>
              </w:rPr>
              <w:fldChar w:fldCharType="end"/>
            </w:r>
          </w:hyperlink>
        </w:p>
        <w:p w14:paraId="684341BB" w14:textId="61A33CEC"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69" w:history="1">
            <w:r w:rsidRPr="00506527">
              <w:rPr>
                <w:rStyle w:val="Hyperlink"/>
                <w:rFonts w:ascii="Times New Roman" w:hAnsi="Times New Roman" w:cs="Times New Roman"/>
                <w:noProof/>
              </w:rPr>
              <w:t>6. Project Timeline: Gantt Chart</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_Toc235975669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10</w:t>
            </w:r>
            <w:r w:rsidRPr="00506527">
              <w:rPr>
                <w:rFonts w:ascii="Times New Roman" w:hAnsi="Times New Roman" w:cs="Times New Roman"/>
                <w:noProof/>
                <w:webHidden/>
              </w:rPr>
              <w:fldChar w:fldCharType="end"/>
            </w:r>
          </w:hyperlink>
        </w:p>
        <w:p w14:paraId="773D93B3" w14:textId="185A6122"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70" w:history="1">
            <w:r w:rsidRPr="00506527">
              <w:rPr>
                <w:rStyle w:val="Hyperlink"/>
                <w:rFonts w:ascii="Times New Roman" w:hAnsi="Times New Roman" w:cs="Times New Roman"/>
                <w:noProof/>
              </w:rPr>
              <w:t>7. Stakeholder Involvement</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_Toc235975670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11</w:t>
            </w:r>
            <w:r w:rsidRPr="00506527">
              <w:rPr>
                <w:rFonts w:ascii="Times New Roman" w:hAnsi="Times New Roman" w:cs="Times New Roman"/>
                <w:noProof/>
                <w:webHidden/>
              </w:rPr>
              <w:fldChar w:fldCharType="end"/>
            </w:r>
          </w:hyperlink>
        </w:p>
        <w:p w14:paraId="10582208" w14:textId="4C4FDF13"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71" w:history="1">
            <w:r w:rsidRPr="00506527">
              <w:rPr>
                <w:rStyle w:val="Hyperlink"/>
                <w:rFonts w:ascii="Times New Roman" w:hAnsi="Times New Roman" w:cs="Times New Roman"/>
                <w:noProof/>
              </w:rPr>
              <w:t>8. Allocation of Resources</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_Toc235975671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12</w:t>
            </w:r>
            <w:r w:rsidRPr="00506527">
              <w:rPr>
                <w:rFonts w:ascii="Times New Roman" w:hAnsi="Times New Roman" w:cs="Times New Roman"/>
                <w:noProof/>
                <w:webHidden/>
              </w:rPr>
              <w:fldChar w:fldCharType="end"/>
            </w:r>
          </w:hyperlink>
        </w:p>
        <w:p w14:paraId="201E44E1" w14:textId="096B1723"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72" w:history="1">
            <w:r w:rsidRPr="00506527">
              <w:rPr>
                <w:rStyle w:val="Hyperlink"/>
                <w:rFonts w:ascii="Times New Roman" w:hAnsi="Times New Roman" w:cs="Times New Roman"/>
                <w:noProof/>
              </w:rPr>
              <w:t>9. Risk Analysis</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_Toc235975672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13</w:t>
            </w:r>
            <w:r w:rsidRPr="00506527">
              <w:rPr>
                <w:rFonts w:ascii="Times New Roman" w:hAnsi="Times New Roman" w:cs="Times New Roman"/>
                <w:noProof/>
                <w:webHidden/>
              </w:rPr>
              <w:fldChar w:fldCharType="end"/>
            </w:r>
          </w:hyperlink>
        </w:p>
        <w:p w14:paraId="44453984" w14:textId="380E088D"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73" w:history="1">
            <w:r w:rsidRPr="00506527">
              <w:rPr>
                <w:rStyle w:val="Hyperlink"/>
                <w:rFonts w:ascii="Times New Roman" w:hAnsi="Times New Roman" w:cs="Times New Roman"/>
                <w:noProof/>
              </w:rPr>
              <w:t>10. Conclusion</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_Toc235975673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14</w:t>
            </w:r>
            <w:r w:rsidRPr="00506527">
              <w:rPr>
                <w:rFonts w:ascii="Times New Roman" w:hAnsi="Times New Roman" w:cs="Times New Roman"/>
                <w:noProof/>
                <w:webHidden/>
              </w:rPr>
              <w:fldChar w:fldCharType="end"/>
            </w:r>
          </w:hyperlink>
        </w:p>
        <w:p w14:paraId="2EBC4543" w14:textId="58CF2BE6" w:rsidR="00506527" w:rsidRPr="00506527" w:rsidRDefault="00506527">
          <w:pPr>
            <w:pStyle w:val="TOC1"/>
            <w:tabs>
              <w:tab w:val="right" w:leader="dot" w:pos="9016"/>
            </w:tabs>
            <w:rPr>
              <w:rFonts w:ascii="Times New Roman" w:eastAsiaTheme="minorEastAsia" w:hAnsi="Times New Roman" w:cs="Times New Roman"/>
              <w:noProof/>
              <w:lang w:eastAsia="en-GB"/>
            </w:rPr>
          </w:pPr>
          <w:hyperlink w:anchor="_Toc235975674" w:history="1">
            <w:r w:rsidRPr="00506527">
              <w:rPr>
                <w:rStyle w:val="Hyperlink"/>
                <w:rFonts w:ascii="Times New Roman" w:hAnsi="Times New Roman" w:cs="Times New Roman"/>
                <w:noProof/>
              </w:rPr>
              <w:t>11. References</w:t>
            </w:r>
            <w:r w:rsidRPr="00506527">
              <w:rPr>
                <w:rFonts w:ascii="Times New Roman" w:hAnsi="Times New Roman" w:cs="Times New Roman"/>
                <w:noProof/>
                <w:webHidden/>
              </w:rPr>
              <w:tab/>
            </w:r>
            <w:r w:rsidRPr="00506527">
              <w:rPr>
                <w:rFonts w:ascii="Times New Roman" w:hAnsi="Times New Roman" w:cs="Times New Roman"/>
                <w:noProof/>
                <w:webHidden/>
              </w:rPr>
              <w:fldChar w:fldCharType="begin"/>
            </w:r>
            <w:r w:rsidRPr="00506527">
              <w:rPr>
                <w:rFonts w:ascii="Times New Roman" w:hAnsi="Times New Roman" w:cs="Times New Roman"/>
                <w:noProof/>
                <w:webHidden/>
              </w:rPr>
              <w:instrText xml:space="preserve"> PAGEREF _Toc235975674 \h </w:instrText>
            </w:r>
            <w:r w:rsidRPr="00506527">
              <w:rPr>
                <w:rFonts w:ascii="Times New Roman" w:hAnsi="Times New Roman" w:cs="Times New Roman"/>
                <w:noProof/>
                <w:webHidden/>
              </w:rPr>
            </w:r>
            <w:r w:rsidRPr="00506527">
              <w:rPr>
                <w:rFonts w:ascii="Times New Roman" w:hAnsi="Times New Roman" w:cs="Times New Roman"/>
                <w:noProof/>
                <w:webHidden/>
              </w:rPr>
              <w:fldChar w:fldCharType="separate"/>
            </w:r>
            <w:r w:rsidRPr="00506527">
              <w:rPr>
                <w:rFonts w:ascii="Times New Roman" w:hAnsi="Times New Roman" w:cs="Times New Roman"/>
                <w:noProof/>
                <w:webHidden/>
              </w:rPr>
              <w:t>15</w:t>
            </w:r>
            <w:r w:rsidRPr="00506527">
              <w:rPr>
                <w:rFonts w:ascii="Times New Roman" w:hAnsi="Times New Roman" w:cs="Times New Roman"/>
                <w:noProof/>
                <w:webHidden/>
              </w:rPr>
              <w:fldChar w:fldCharType="end"/>
            </w:r>
          </w:hyperlink>
        </w:p>
        <w:p w14:paraId="25160B34" w14:textId="07B9D9AF" w:rsidR="00142062" w:rsidRDefault="00142062">
          <w:r w:rsidRPr="00506527">
            <w:rPr>
              <w:rFonts w:ascii="Times New Roman" w:hAnsi="Times New Roman" w:cs="Times New Roman"/>
              <w:b/>
              <w:bCs/>
            </w:rPr>
            <w:fldChar w:fldCharType="end"/>
          </w:r>
        </w:p>
      </w:sdtContent>
    </w:sdt>
    <w:p w14:paraId="617CBC70" w14:textId="77777777" w:rsidR="00A7675F" w:rsidRPr="00A7675F" w:rsidRDefault="00A7675F" w:rsidP="00A7675F">
      <w:pPr>
        <w:rPr>
          <w:rFonts w:ascii="Times New Roman" w:hAnsi="Times New Roman" w:cs="Times New Roman"/>
        </w:rPr>
      </w:pPr>
    </w:p>
    <w:p w14:paraId="3EDBE956" w14:textId="77777777" w:rsidR="00A7675F" w:rsidRPr="00786BA6" w:rsidRDefault="00A7675F" w:rsidP="00786BA6">
      <w:pPr>
        <w:rPr>
          <w:rFonts w:ascii="Times New Roman" w:hAnsi="Times New Roman" w:cs="Times New Roman"/>
        </w:rPr>
      </w:pPr>
    </w:p>
    <w:p w14:paraId="742402EE" w14:textId="77777777" w:rsidR="00F4026B" w:rsidRDefault="00F4026B" w:rsidP="00A7675F">
      <w:pPr>
        <w:rPr>
          <w:rFonts w:ascii="Times New Roman" w:hAnsi="Times New Roman" w:cs="Times New Roman"/>
        </w:rPr>
      </w:pPr>
    </w:p>
    <w:p w14:paraId="7831868A" w14:textId="77777777" w:rsidR="00F4026B" w:rsidRDefault="00F4026B" w:rsidP="00A7675F">
      <w:pPr>
        <w:rPr>
          <w:rFonts w:ascii="Times New Roman" w:hAnsi="Times New Roman" w:cs="Times New Roman"/>
        </w:rPr>
      </w:pPr>
    </w:p>
    <w:p w14:paraId="5E61C7EB" w14:textId="77777777" w:rsidR="00F4026B" w:rsidRDefault="00F4026B" w:rsidP="00A7675F">
      <w:pPr>
        <w:rPr>
          <w:rFonts w:ascii="Times New Roman" w:hAnsi="Times New Roman" w:cs="Times New Roman"/>
        </w:rPr>
      </w:pPr>
    </w:p>
    <w:p w14:paraId="0D25CD18" w14:textId="7693CA4B" w:rsidR="00A7675F" w:rsidRPr="00506527" w:rsidRDefault="00A7675F" w:rsidP="00142062">
      <w:pPr>
        <w:pStyle w:val="Heading1"/>
        <w:rPr>
          <w:rFonts w:ascii="Times New Roman" w:hAnsi="Times New Roman" w:cs="Times New Roman"/>
          <w:sz w:val="24"/>
          <w:szCs w:val="24"/>
        </w:rPr>
      </w:pPr>
      <w:bookmarkStart w:id="0" w:name="_Toc235975661"/>
      <w:r w:rsidRPr="00506527">
        <w:rPr>
          <w:rFonts w:ascii="Times New Roman" w:hAnsi="Times New Roman" w:cs="Times New Roman"/>
          <w:sz w:val="24"/>
          <w:szCs w:val="24"/>
        </w:rPr>
        <w:lastRenderedPageBreak/>
        <w:t>1. Introduction</w:t>
      </w:r>
      <w:bookmarkEnd w:id="0"/>
    </w:p>
    <w:p w14:paraId="7E39CE42" w14:textId="02E474CB" w:rsidR="00A7675F" w:rsidRPr="00A7675F" w:rsidRDefault="00A7675F" w:rsidP="00A7675F">
      <w:pPr>
        <w:rPr>
          <w:rFonts w:ascii="Times New Roman" w:hAnsi="Times New Roman" w:cs="Times New Roman"/>
        </w:rPr>
      </w:pPr>
      <w:r w:rsidRPr="00A7675F">
        <w:rPr>
          <w:rFonts w:ascii="Times New Roman" w:hAnsi="Times New Roman" w:cs="Times New Roman"/>
        </w:rPr>
        <w:t xml:space="preserve">In November 2025, a major UK city initiated an urgent regeneration programme following the closure of its central transport hub. This hub functions as a primary interchange for rail, bus, and freight logistics, and is essential to urban mobility in the region. The closure, prompted by a structural inspection that determined the facility, built over forty years ago, no longer complies with current safety plus accessibility standards, has generated major challenges for the city. The disruption has affected commuter travel, regional supply chains, local businesses, and the wider economy. Thousands of </w:t>
      </w:r>
      <w:r w:rsidR="00F4026B">
        <w:rPr>
          <w:rFonts w:ascii="Times New Roman" w:hAnsi="Times New Roman" w:cs="Times New Roman"/>
        </w:rPr>
        <w:t>travellers</w:t>
      </w:r>
      <w:r w:rsidRPr="00A7675F">
        <w:rPr>
          <w:rFonts w:ascii="Times New Roman" w:hAnsi="Times New Roman" w:cs="Times New Roman"/>
        </w:rPr>
        <w:t xml:space="preserve"> have been compelled to pursue alternative routes, and local merchants have experienced reduced footfall. The city is now experiencing economic losses, increased public dissatisfaction, and intensified scrutiny from stakeholders who are demanding quick and effective action.</w:t>
      </w:r>
    </w:p>
    <w:p w14:paraId="0AAAB131" w14:textId="77777777" w:rsidR="00A7675F" w:rsidRPr="00A7675F" w:rsidRDefault="00A7675F" w:rsidP="00A7675F">
      <w:pPr>
        <w:rPr>
          <w:rFonts w:ascii="Times New Roman" w:hAnsi="Times New Roman" w:cs="Times New Roman"/>
        </w:rPr>
      </w:pPr>
      <w:r w:rsidRPr="00A7675F">
        <w:rPr>
          <w:rFonts w:ascii="Times New Roman" w:hAnsi="Times New Roman" w:cs="Times New Roman"/>
        </w:rPr>
        <w:t>Local authorities encounter considerable pressure to implement a coordinated redevelopment that restores transport capacity while meeting environmental targets, digital infrastructure requirements, and principles of inclusive urban design. This Project Management Plan presents the preferred option of fully redeveloping the central transport hub. The plan applies established project management methodologies to establish a well-defined framework for governance, delivery, stakeholder engagement, resource assignment, and risk management.</w:t>
      </w:r>
    </w:p>
    <w:p w14:paraId="515C57FA" w14:textId="5F5893EF" w:rsidR="00A7675F" w:rsidRPr="00A7675F" w:rsidRDefault="00A7675F" w:rsidP="00A7675F">
      <w:pPr>
        <w:rPr>
          <w:rFonts w:ascii="Times New Roman" w:hAnsi="Times New Roman" w:cs="Times New Roman"/>
        </w:rPr>
      </w:pPr>
      <w:r w:rsidRPr="00A7675F">
        <w:rPr>
          <w:rFonts w:ascii="Times New Roman" w:hAnsi="Times New Roman" w:cs="Times New Roman"/>
        </w:rPr>
        <w:t xml:space="preserve">This document is </w:t>
      </w:r>
      <w:r w:rsidR="00F4026B">
        <w:rPr>
          <w:rFonts w:ascii="Times New Roman" w:hAnsi="Times New Roman" w:cs="Times New Roman"/>
        </w:rPr>
        <w:t>organised in a structured sequence that includes project description, scope definition, work breakdown structure, summary visualisation</w:t>
      </w:r>
      <w:r w:rsidRPr="00A7675F">
        <w:rPr>
          <w:rFonts w:ascii="Times New Roman" w:hAnsi="Times New Roman" w:cs="Times New Roman"/>
        </w:rPr>
        <w:t xml:space="preserve">, schedule, stakeholder involvement, resource assignment, risk analysis, and concluding observations. The management approach is based </w:t>
      </w:r>
      <w:r w:rsidR="00F4026B">
        <w:rPr>
          <w:rFonts w:ascii="Times New Roman" w:hAnsi="Times New Roman" w:cs="Times New Roman"/>
        </w:rPr>
        <w:t>on</w:t>
      </w:r>
      <w:r w:rsidRPr="00A7675F">
        <w:rPr>
          <w:rFonts w:ascii="Times New Roman" w:hAnsi="Times New Roman" w:cs="Times New Roman"/>
        </w:rPr>
        <w:t xml:space="preserve"> PRINCE2 principles and complementary hybrid methodologies appropriate for major transport infrastructure projects (Leyba et al., 2024; McGrath and Whitty, 2019). The plan also integrates findings from recent studies on cost performance in UK transport projects and the influence of stakeholder networks on infrastructure delivery (</w:t>
      </w:r>
      <w:proofErr w:type="spellStart"/>
      <w:r w:rsidRPr="00A7675F">
        <w:rPr>
          <w:rFonts w:ascii="Times New Roman" w:hAnsi="Times New Roman" w:cs="Times New Roman"/>
        </w:rPr>
        <w:t>Catalão</w:t>
      </w:r>
      <w:proofErr w:type="spellEnd"/>
      <w:r w:rsidRPr="00A7675F">
        <w:rPr>
          <w:rFonts w:ascii="Times New Roman" w:hAnsi="Times New Roman" w:cs="Times New Roman"/>
        </w:rPr>
        <w:t xml:space="preserve"> et al., 2021; Vinci, 2022).</w:t>
      </w:r>
    </w:p>
    <w:p w14:paraId="5EA7EDFB" w14:textId="77777777" w:rsidR="00A7675F" w:rsidRDefault="00A7675F" w:rsidP="00A7675F">
      <w:pPr>
        <w:rPr>
          <w:rFonts w:ascii="Times New Roman" w:hAnsi="Times New Roman" w:cs="Times New Roman"/>
        </w:rPr>
      </w:pPr>
      <w:r w:rsidRPr="00A7675F">
        <w:rPr>
          <w:rFonts w:ascii="Times New Roman" w:hAnsi="Times New Roman" w:cs="Times New Roman"/>
        </w:rPr>
        <w:t>Due to the immediacy of the situation, planning and early enabling works will advance concurrently where it is safe and practical to do so. Nevertheless, the governance framework will remain stage-gated, making sure that each major expenditure is formally reviewed based on updated cost, risk, and benefit information. This equilibrium between haste and control forms the foundation of the management approach described in the following sections.</w:t>
      </w:r>
    </w:p>
    <w:p w14:paraId="5B8E8A05" w14:textId="77777777" w:rsidR="00A7675F" w:rsidRDefault="00A7675F" w:rsidP="00A7675F">
      <w:pPr>
        <w:rPr>
          <w:rFonts w:ascii="Times New Roman" w:hAnsi="Times New Roman" w:cs="Times New Roman"/>
        </w:rPr>
      </w:pPr>
    </w:p>
    <w:p w14:paraId="51742286" w14:textId="77777777" w:rsidR="00F4026B" w:rsidRDefault="00F4026B" w:rsidP="00F4026B">
      <w:pPr>
        <w:rPr>
          <w:rFonts w:ascii="Times New Roman" w:hAnsi="Times New Roman" w:cs="Times New Roman"/>
        </w:rPr>
      </w:pPr>
    </w:p>
    <w:p w14:paraId="68D9464E" w14:textId="77777777" w:rsidR="00F4026B" w:rsidRDefault="00F4026B" w:rsidP="00F4026B">
      <w:pPr>
        <w:rPr>
          <w:rFonts w:ascii="Times New Roman" w:hAnsi="Times New Roman" w:cs="Times New Roman"/>
        </w:rPr>
      </w:pPr>
    </w:p>
    <w:p w14:paraId="102980B5" w14:textId="77777777" w:rsidR="00F4026B" w:rsidRDefault="00F4026B" w:rsidP="00F4026B">
      <w:pPr>
        <w:rPr>
          <w:rFonts w:ascii="Times New Roman" w:hAnsi="Times New Roman" w:cs="Times New Roman"/>
        </w:rPr>
      </w:pPr>
    </w:p>
    <w:p w14:paraId="37E339DD" w14:textId="77777777" w:rsidR="00F4026B" w:rsidRDefault="00F4026B" w:rsidP="00F4026B">
      <w:pPr>
        <w:rPr>
          <w:rFonts w:ascii="Times New Roman" w:hAnsi="Times New Roman" w:cs="Times New Roman"/>
        </w:rPr>
      </w:pPr>
    </w:p>
    <w:p w14:paraId="7442D6A0" w14:textId="77777777" w:rsidR="00F4026B" w:rsidRDefault="00F4026B" w:rsidP="00F4026B">
      <w:pPr>
        <w:rPr>
          <w:rFonts w:ascii="Times New Roman" w:hAnsi="Times New Roman" w:cs="Times New Roman"/>
        </w:rPr>
      </w:pPr>
    </w:p>
    <w:p w14:paraId="31B79C9F" w14:textId="232F9A65" w:rsidR="00F4026B" w:rsidRPr="00506527" w:rsidRDefault="00F4026B" w:rsidP="00506527">
      <w:pPr>
        <w:pStyle w:val="Heading1"/>
        <w:rPr>
          <w:rFonts w:ascii="Times New Roman" w:hAnsi="Times New Roman" w:cs="Times New Roman"/>
        </w:rPr>
      </w:pPr>
      <w:bookmarkStart w:id="1" w:name="_Toc235975662"/>
      <w:r w:rsidRPr="00506527">
        <w:rPr>
          <w:rFonts w:ascii="Times New Roman" w:hAnsi="Times New Roman" w:cs="Times New Roman"/>
          <w:sz w:val="24"/>
          <w:szCs w:val="24"/>
        </w:rPr>
        <w:lastRenderedPageBreak/>
        <w:t>2. Project Description</w:t>
      </w:r>
      <w:bookmarkEnd w:id="1"/>
    </w:p>
    <w:p w14:paraId="6C004777"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The project entails the comprehensive redevelopment of the central transport hub into a contemporary, multimodal interchange. The facility is intended to integrate rail, bus, and freight operations.</w:t>
      </w:r>
    </w:p>
    <w:p w14:paraId="61C299EA" w14:textId="7E6D2078" w:rsidR="00F4026B" w:rsidRPr="00F4026B" w:rsidRDefault="00F4026B" w:rsidP="00F4026B">
      <w:pPr>
        <w:rPr>
          <w:rFonts w:ascii="Times New Roman" w:hAnsi="Times New Roman" w:cs="Times New Roman"/>
        </w:rPr>
      </w:pPr>
      <w:r w:rsidRPr="00F4026B">
        <w:rPr>
          <w:rFonts w:ascii="Times New Roman" w:hAnsi="Times New Roman" w:cs="Times New Roman"/>
        </w:rPr>
        <w:t xml:space="preserve">The new structure will comply with current safety, accessibility, and sustainability standards. Key design objectives include step-free access, real-time digital passenger information for multimodal journeys, logistics coordination platforms for freight, and construction methods that </w:t>
      </w:r>
      <w:r>
        <w:rPr>
          <w:rFonts w:ascii="Times New Roman" w:hAnsi="Times New Roman" w:cs="Times New Roman"/>
        </w:rPr>
        <w:t>minimise</w:t>
      </w:r>
      <w:r w:rsidRPr="00F4026B">
        <w:rPr>
          <w:rFonts w:ascii="Times New Roman" w:hAnsi="Times New Roman" w:cs="Times New Roman"/>
        </w:rPr>
        <w:t xml:space="preserve"> embodied carbon.</w:t>
      </w:r>
    </w:p>
    <w:p w14:paraId="01977F40" w14:textId="6CD4C740" w:rsidR="00F4026B" w:rsidRPr="00F4026B" w:rsidRDefault="00F4026B" w:rsidP="00F4026B">
      <w:pPr>
        <w:rPr>
          <w:rFonts w:ascii="Times New Roman" w:hAnsi="Times New Roman" w:cs="Times New Roman"/>
        </w:rPr>
      </w:pPr>
      <w:r>
        <w:rPr>
          <w:rFonts w:ascii="Times New Roman" w:hAnsi="Times New Roman" w:cs="Times New Roman"/>
        </w:rPr>
        <w:t>The main objectives are to restore full operational capacity by the end of 2029, achieve Equality Act 2010 accessibility compliance, deliver BREEAM Excellent environmental performance for permanent works, and generate measurable economic and social benefits for the adjacent urban area. The project aligns with national net-zero transport goals and local inclusive growth strategies. Secondary objectives include facilitating knowledge transfer to local supply-chain partners and developing a template for future hub modernisations across the city region.</w:t>
      </w:r>
    </w:p>
    <w:p w14:paraId="2BF97A8A" w14:textId="6604BD03" w:rsidR="00F4026B" w:rsidRPr="00F4026B" w:rsidRDefault="00F4026B" w:rsidP="00F4026B">
      <w:pPr>
        <w:rPr>
          <w:rFonts w:ascii="Times New Roman" w:hAnsi="Times New Roman" w:cs="Times New Roman"/>
        </w:rPr>
      </w:pPr>
      <w:r>
        <w:rPr>
          <w:rFonts w:ascii="Times New Roman" w:hAnsi="Times New Roman" w:cs="Times New Roman"/>
        </w:rPr>
        <w:t>Project success will be evaluated against completion within the approved 48-month programme, adherence to the £850 million capital budget, including contingency, achievement of performance targets for journey-time reduction (30 per cent for key corridors) and operational emissions reduction (40 per cent), and sustained stakeholder support, as measured by regular independent surveys. The project uses a hybrid governance model that integrates formal stage-gate control with adaptive techniques for digital and design components (Leyba et al., 2024). This approach addresses the limitations of traditional waterfall methods for complex infrastructure projects whilst maintaining the accountability required by public funders.</w:t>
      </w:r>
    </w:p>
    <w:p w14:paraId="006F45BC" w14:textId="77777777" w:rsidR="00F4026B" w:rsidRDefault="00F4026B" w:rsidP="00A7675F">
      <w:pPr>
        <w:rPr>
          <w:rFonts w:ascii="Times New Roman" w:hAnsi="Times New Roman" w:cs="Times New Roman"/>
        </w:rPr>
      </w:pPr>
    </w:p>
    <w:p w14:paraId="30D6A411" w14:textId="77777777" w:rsidR="00F4026B" w:rsidRDefault="00F4026B" w:rsidP="00F4026B">
      <w:pPr>
        <w:rPr>
          <w:rFonts w:ascii="Times New Roman" w:hAnsi="Times New Roman" w:cs="Times New Roman"/>
        </w:rPr>
      </w:pPr>
    </w:p>
    <w:p w14:paraId="6244F591" w14:textId="77777777" w:rsidR="00F4026B" w:rsidRDefault="00F4026B" w:rsidP="00F4026B">
      <w:pPr>
        <w:rPr>
          <w:rFonts w:ascii="Times New Roman" w:hAnsi="Times New Roman" w:cs="Times New Roman"/>
        </w:rPr>
      </w:pPr>
    </w:p>
    <w:p w14:paraId="765A075A" w14:textId="77777777" w:rsidR="00F4026B" w:rsidRDefault="00F4026B" w:rsidP="00F4026B">
      <w:pPr>
        <w:rPr>
          <w:rFonts w:ascii="Times New Roman" w:hAnsi="Times New Roman" w:cs="Times New Roman"/>
        </w:rPr>
      </w:pPr>
    </w:p>
    <w:p w14:paraId="7EF6F589" w14:textId="77777777" w:rsidR="00F4026B" w:rsidRDefault="00F4026B" w:rsidP="00F4026B">
      <w:pPr>
        <w:rPr>
          <w:rFonts w:ascii="Times New Roman" w:hAnsi="Times New Roman" w:cs="Times New Roman"/>
        </w:rPr>
      </w:pPr>
    </w:p>
    <w:p w14:paraId="4008F4FF" w14:textId="77777777" w:rsidR="00F4026B" w:rsidRDefault="00F4026B" w:rsidP="00F4026B">
      <w:pPr>
        <w:rPr>
          <w:rFonts w:ascii="Times New Roman" w:hAnsi="Times New Roman" w:cs="Times New Roman"/>
        </w:rPr>
      </w:pPr>
    </w:p>
    <w:p w14:paraId="7DA53B9B" w14:textId="77777777" w:rsidR="00F4026B" w:rsidRDefault="00F4026B" w:rsidP="00F4026B">
      <w:pPr>
        <w:rPr>
          <w:rFonts w:ascii="Times New Roman" w:hAnsi="Times New Roman" w:cs="Times New Roman"/>
        </w:rPr>
      </w:pPr>
    </w:p>
    <w:p w14:paraId="7DD1538C" w14:textId="77777777" w:rsidR="00F4026B" w:rsidRDefault="00F4026B" w:rsidP="00F4026B">
      <w:pPr>
        <w:rPr>
          <w:rFonts w:ascii="Times New Roman" w:hAnsi="Times New Roman" w:cs="Times New Roman"/>
        </w:rPr>
      </w:pPr>
    </w:p>
    <w:p w14:paraId="404DC886" w14:textId="77777777" w:rsidR="00F4026B" w:rsidRDefault="00F4026B" w:rsidP="00F4026B">
      <w:pPr>
        <w:rPr>
          <w:rFonts w:ascii="Times New Roman" w:hAnsi="Times New Roman" w:cs="Times New Roman"/>
        </w:rPr>
      </w:pPr>
    </w:p>
    <w:p w14:paraId="7D3EC5CD" w14:textId="77777777" w:rsidR="00F4026B" w:rsidRDefault="00F4026B" w:rsidP="00F4026B">
      <w:pPr>
        <w:rPr>
          <w:rFonts w:ascii="Times New Roman" w:hAnsi="Times New Roman" w:cs="Times New Roman"/>
        </w:rPr>
      </w:pPr>
    </w:p>
    <w:p w14:paraId="4A93990D" w14:textId="77777777" w:rsidR="00F4026B" w:rsidRPr="00506527" w:rsidRDefault="00F4026B" w:rsidP="00F4026B">
      <w:pPr>
        <w:rPr>
          <w:rFonts w:ascii="Times New Roman" w:hAnsi="Times New Roman" w:cs="Times New Roman"/>
        </w:rPr>
      </w:pPr>
    </w:p>
    <w:p w14:paraId="7CABE4F5" w14:textId="52776CBE" w:rsidR="00F4026B" w:rsidRPr="00506527" w:rsidRDefault="00F4026B" w:rsidP="00142062">
      <w:pPr>
        <w:pStyle w:val="Heading1"/>
        <w:rPr>
          <w:rFonts w:ascii="Times New Roman" w:hAnsi="Times New Roman" w:cs="Times New Roman"/>
          <w:sz w:val="24"/>
          <w:szCs w:val="24"/>
        </w:rPr>
      </w:pPr>
      <w:bookmarkStart w:id="2" w:name="_Toc235975663"/>
      <w:r w:rsidRPr="00506527">
        <w:rPr>
          <w:rFonts w:ascii="Times New Roman" w:hAnsi="Times New Roman" w:cs="Times New Roman"/>
          <w:sz w:val="24"/>
          <w:szCs w:val="24"/>
        </w:rPr>
        <w:lastRenderedPageBreak/>
        <w:t xml:space="preserve">3. </w:t>
      </w:r>
      <w:r w:rsidRPr="00506527">
        <w:rPr>
          <w:rStyle w:val="Heading1Char"/>
          <w:rFonts w:ascii="Times New Roman" w:hAnsi="Times New Roman" w:cs="Times New Roman"/>
          <w:sz w:val="24"/>
          <w:szCs w:val="24"/>
        </w:rPr>
        <w:t>Scope</w:t>
      </w:r>
      <w:bookmarkEnd w:id="2"/>
    </w:p>
    <w:p w14:paraId="697B9492" w14:textId="77777777" w:rsidR="00F4026B" w:rsidRPr="00506527" w:rsidRDefault="00F4026B" w:rsidP="00506527">
      <w:pPr>
        <w:pStyle w:val="Heading2"/>
        <w:rPr>
          <w:rFonts w:ascii="Times New Roman" w:hAnsi="Times New Roman" w:cs="Times New Roman"/>
          <w:sz w:val="24"/>
          <w:szCs w:val="24"/>
        </w:rPr>
      </w:pPr>
      <w:bookmarkStart w:id="3" w:name="_Toc235975664"/>
      <w:r w:rsidRPr="00506527">
        <w:rPr>
          <w:rFonts w:ascii="Times New Roman" w:hAnsi="Times New Roman" w:cs="Times New Roman"/>
          <w:sz w:val="24"/>
          <w:szCs w:val="24"/>
        </w:rPr>
        <w:t>3.1 In Scope</w:t>
      </w:r>
      <w:bookmarkEnd w:id="3"/>
    </w:p>
    <w:p w14:paraId="44FF91C3"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The project scope encompasses selective demolition of non-compliant structures, construction of a new multimodal concourse and platforms, installation of advanced signalling and digital control systems, and provision of fully accessible vertical circulation, including lifts, escalators, and ramps. The scope further includes integration of a high-capacity bus interchange, establishment of dedicated freight handling and consolidation zones, enhancement of the public realm adjacent to the hub, and full commissioning of all operational systems. Temporary arrangements for passenger and freight services during construction, as well as necessary utility diversions and site preparation, are also included.</w:t>
      </w:r>
    </w:p>
    <w:p w14:paraId="1B87AED3" w14:textId="77777777" w:rsidR="00F4026B" w:rsidRPr="00506527" w:rsidRDefault="00F4026B" w:rsidP="00506527">
      <w:pPr>
        <w:pStyle w:val="Heading2"/>
        <w:rPr>
          <w:rFonts w:ascii="Times New Roman" w:hAnsi="Times New Roman" w:cs="Times New Roman"/>
          <w:sz w:val="24"/>
          <w:szCs w:val="24"/>
        </w:rPr>
      </w:pPr>
      <w:bookmarkStart w:id="4" w:name="_Toc235975665"/>
      <w:r w:rsidRPr="00506527">
        <w:rPr>
          <w:rFonts w:ascii="Times New Roman" w:hAnsi="Times New Roman" w:cs="Times New Roman"/>
          <w:sz w:val="24"/>
          <w:szCs w:val="24"/>
        </w:rPr>
        <w:t>3.2 Out of Scope</w:t>
      </w:r>
      <w:bookmarkEnd w:id="4"/>
    </w:p>
    <w:p w14:paraId="3F4A84FB"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Upgrades to the wider city transport network past the immediate hub area, long-term operational staffing and maintenance of the completed facility, and commercial retail fit-out of non-transport spaces fall outside the current project boundary. Future regional rail capacity enhancements or tram extensions are regarded as separate programmes and are excluded from the present cost and schedule baselines.</w:t>
      </w:r>
    </w:p>
    <w:p w14:paraId="28DC7118" w14:textId="77777777" w:rsidR="00F4026B" w:rsidRPr="00506527" w:rsidRDefault="00F4026B" w:rsidP="00506527">
      <w:pPr>
        <w:pStyle w:val="Heading2"/>
        <w:rPr>
          <w:rStyle w:val="SubtleEmphasis"/>
          <w:rFonts w:ascii="Times New Roman" w:hAnsi="Times New Roman" w:cs="Times New Roman"/>
          <w:i w:val="0"/>
          <w:iCs w:val="0"/>
          <w:color w:val="0F4761" w:themeColor="accent1" w:themeShade="BF"/>
          <w:sz w:val="24"/>
          <w:szCs w:val="24"/>
        </w:rPr>
      </w:pPr>
      <w:bookmarkStart w:id="5" w:name="_Toc235975666"/>
      <w:r w:rsidRPr="00506527">
        <w:rPr>
          <w:rStyle w:val="SubtleEmphasis"/>
          <w:rFonts w:ascii="Times New Roman" w:hAnsi="Times New Roman" w:cs="Times New Roman"/>
          <w:i w:val="0"/>
          <w:iCs w:val="0"/>
          <w:color w:val="0F4761" w:themeColor="accent1" w:themeShade="BF"/>
          <w:sz w:val="24"/>
          <w:szCs w:val="24"/>
        </w:rPr>
        <w:t>3.3 Boundaries, Assumptions and Constraints</w:t>
      </w:r>
      <w:bookmarkEnd w:id="5"/>
    </w:p>
    <w:p w14:paraId="2BEB6C61"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Physical boundaries are delineated by the existing operational site and temporary works and compound areas as agreed with the local highway authority. Key assumptions comprise on-time approval of planning and listed-building consents, availability of specialist signalling and systems resources according to schedule, sustained political and funding support, and the capacity to maintain passenger and freight services throughout construction. Constraints contain stringent environmental noise and air quality limits, protection of adjacent commercial and residential properties, and coordination with concurrent utility and highway projects in the city centre.</w:t>
      </w:r>
    </w:p>
    <w:p w14:paraId="01A983BC" w14:textId="77777777" w:rsidR="00F4026B" w:rsidRPr="00506527" w:rsidRDefault="00F4026B" w:rsidP="00506527">
      <w:pPr>
        <w:pStyle w:val="Heading1"/>
        <w:rPr>
          <w:rFonts w:ascii="Times New Roman" w:hAnsi="Times New Roman" w:cs="Times New Roman"/>
          <w:sz w:val="24"/>
          <w:szCs w:val="24"/>
        </w:rPr>
      </w:pPr>
      <w:bookmarkStart w:id="6" w:name="_Toc235975667"/>
      <w:r w:rsidRPr="00506527">
        <w:rPr>
          <w:rFonts w:ascii="Times New Roman" w:hAnsi="Times New Roman" w:cs="Times New Roman"/>
          <w:sz w:val="24"/>
          <w:szCs w:val="24"/>
        </w:rPr>
        <w:t>4. Work Breakdown Structure (WBS)</w:t>
      </w:r>
      <w:bookmarkEnd w:id="6"/>
    </w:p>
    <w:p w14:paraId="5F2F6324" w14:textId="26A90D2E" w:rsidR="00F4026B" w:rsidRDefault="00F4026B" w:rsidP="00F4026B">
      <w:pPr>
        <w:rPr>
          <w:rFonts w:ascii="Times New Roman" w:hAnsi="Times New Roman" w:cs="Times New Roman"/>
        </w:rPr>
      </w:pPr>
      <w:r w:rsidRPr="00F4026B">
        <w:rPr>
          <w:rFonts w:ascii="Times New Roman" w:hAnsi="Times New Roman" w:cs="Times New Roman"/>
        </w:rPr>
        <w:t>The Work Breakdown Structure (WBS) segments the project into controllable work packages to facilitate planning, cost control, progress monitoring, and earned-value analysis. Table 1 presents the principal levels of the WBS. Each work package contains defined deliverables, acceptance criteria, and an assigned responsible owner within the project organisation.</w:t>
      </w:r>
    </w:p>
    <w:p w14:paraId="2575C2F5" w14:textId="77777777" w:rsidR="00506527" w:rsidRDefault="00506527" w:rsidP="00F4026B">
      <w:pPr>
        <w:rPr>
          <w:rFonts w:ascii="Times New Roman" w:hAnsi="Times New Roman" w:cs="Times New Roma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4"/>
        <w:gridCol w:w="7616"/>
      </w:tblGrid>
      <w:tr w:rsidR="00F4026B" w:rsidRPr="00F4026B" w14:paraId="18ABBEA5"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1A5276"/>
            <w:hideMark/>
          </w:tcPr>
          <w:p w14:paraId="79289C64" w14:textId="77777777" w:rsidR="00F4026B" w:rsidRPr="00F4026B" w:rsidRDefault="00F4026B" w:rsidP="00F4026B">
            <w:pPr>
              <w:rPr>
                <w:rFonts w:ascii="Times New Roman" w:hAnsi="Times New Roman" w:cs="Times New Roman"/>
              </w:rPr>
            </w:pPr>
            <w:r w:rsidRPr="00F4026B">
              <w:rPr>
                <w:rFonts w:ascii="Times New Roman" w:hAnsi="Times New Roman" w:cs="Times New Roman"/>
                <w:b/>
                <w:bCs/>
              </w:rPr>
              <w:t>WBS Code</w:t>
            </w:r>
            <w:r w:rsidRPr="00F4026B">
              <w:rPr>
                <w:rFonts w:ascii="Times New Roman" w:hAnsi="Times New Roman" w:cs="Times New Roman"/>
              </w:rPr>
              <w:t> </w:t>
            </w:r>
          </w:p>
        </w:tc>
        <w:tc>
          <w:tcPr>
            <w:tcW w:w="7620" w:type="dxa"/>
            <w:tcBorders>
              <w:top w:val="single" w:sz="6" w:space="0" w:color="999999"/>
              <w:left w:val="single" w:sz="6" w:space="0" w:color="999999"/>
              <w:bottom w:val="single" w:sz="6" w:space="0" w:color="999999"/>
              <w:right w:val="single" w:sz="6" w:space="0" w:color="999999"/>
            </w:tcBorders>
            <w:shd w:val="clear" w:color="auto" w:fill="1A5276"/>
            <w:hideMark/>
          </w:tcPr>
          <w:p w14:paraId="260493ED" w14:textId="77777777" w:rsidR="00F4026B" w:rsidRPr="00F4026B" w:rsidRDefault="00F4026B" w:rsidP="00F4026B">
            <w:pPr>
              <w:rPr>
                <w:rFonts w:ascii="Times New Roman" w:hAnsi="Times New Roman" w:cs="Times New Roman"/>
              </w:rPr>
            </w:pPr>
            <w:r w:rsidRPr="00F4026B">
              <w:rPr>
                <w:rFonts w:ascii="Times New Roman" w:hAnsi="Times New Roman" w:cs="Times New Roman"/>
                <w:b/>
                <w:bCs/>
              </w:rPr>
              <w:t>Work Package / Activity</w:t>
            </w:r>
            <w:r w:rsidRPr="00F4026B">
              <w:rPr>
                <w:rFonts w:ascii="Times New Roman" w:hAnsi="Times New Roman" w:cs="Times New Roman"/>
              </w:rPr>
              <w:t> </w:t>
            </w:r>
          </w:p>
        </w:tc>
      </w:tr>
      <w:tr w:rsidR="00F4026B" w:rsidRPr="00F4026B" w14:paraId="00294342"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0FBD87B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1 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750C9E7E"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Project Management &amp; Governance </w:t>
            </w:r>
          </w:p>
        </w:tc>
      </w:tr>
      <w:tr w:rsidR="00F4026B" w:rsidRPr="00F4026B" w14:paraId="527D4518"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4A05FBA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1.1 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6293930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Project board establishment and terms of reference </w:t>
            </w:r>
          </w:p>
        </w:tc>
      </w:tr>
      <w:tr w:rsidR="00F4026B" w:rsidRPr="00F4026B" w14:paraId="06590CDD"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2AD08EB9"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1.2 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1E00235B"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Stage-gate reviews, assurance and change control </w:t>
            </w:r>
          </w:p>
        </w:tc>
      </w:tr>
      <w:tr w:rsidR="00F4026B" w:rsidRPr="00F4026B" w14:paraId="7EB9B573"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214F339C"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1.3 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767B996C"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Benefits realisation planning and tracking </w:t>
            </w:r>
          </w:p>
        </w:tc>
      </w:tr>
      <w:tr w:rsidR="00F4026B" w:rsidRPr="00F4026B" w14:paraId="744032FE"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3572E84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lastRenderedPageBreak/>
              <w:t>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14469EA1"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Design &amp; Consents </w:t>
            </w:r>
          </w:p>
        </w:tc>
      </w:tr>
      <w:tr w:rsidR="00F4026B" w:rsidRPr="00F4026B" w14:paraId="7096126F"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5DF1366E"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2.1 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09C1F30E"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Concept design, detailed design and design coordination </w:t>
            </w:r>
          </w:p>
        </w:tc>
      </w:tr>
      <w:tr w:rsidR="00F4026B" w:rsidRPr="00F4026B" w14:paraId="769E4A3D"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484E2EE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2.2 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7A6B04A6"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Environmental impact assessment and mitigation design </w:t>
            </w:r>
          </w:p>
        </w:tc>
      </w:tr>
      <w:tr w:rsidR="00F4026B" w:rsidRPr="00F4026B" w14:paraId="31293A03"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319302C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2.3 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6FDDF5B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Planning, listed-building and statutory approvals </w:t>
            </w:r>
          </w:p>
        </w:tc>
      </w:tr>
      <w:tr w:rsidR="00F4026B" w:rsidRPr="00F4026B" w14:paraId="7B5C44BD"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15A363B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3 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383599DB"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 xml:space="preserve">Procurement &amp; </w:t>
            </w:r>
            <w:proofErr w:type="gramStart"/>
            <w:r w:rsidRPr="00F4026B">
              <w:rPr>
                <w:rFonts w:ascii="Times New Roman" w:hAnsi="Times New Roman" w:cs="Times New Roman"/>
              </w:rPr>
              <w:t>Contracting</w:t>
            </w:r>
            <w:proofErr w:type="gramEnd"/>
            <w:r w:rsidRPr="00F4026B">
              <w:rPr>
                <w:rFonts w:ascii="Times New Roman" w:hAnsi="Times New Roman" w:cs="Times New Roman"/>
              </w:rPr>
              <w:t> </w:t>
            </w:r>
          </w:p>
        </w:tc>
      </w:tr>
      <w:tr w:rsidR="00F4026B" w:rsidRPr="00F4026B" w14:paraId="6CA6595A"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1DC6133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3.1 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52DC689E"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Main contractor and specialist package tendering </w:t>
            </w:r>
          </w:p>
        </w:tc>
      </w:tr>
      <w:tr w:rsidR="00F4026B" w:rsidRPr="00F4026B" w14:paraId="4BDC9B09"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44BEB760"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3.2 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638DA415"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Contract award, mobilisation and supply-chain management </w:t>
            </w:r>
          </w:p>
        </w:tc>
      </w:tr>
      <w:tr w:rsidR="00F4026B" w:rsidRPr="00F4026B" w14:paraId="1DB5816D"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6934873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4 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1F33B50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Temporary Works &amp; Enabling </w:t>
            </w:r>
          </w:p>
        </w:tc>
      </w:tr>
      <w:tr w:rsidR="00F4026B" w:rsidRPr="00F4026B" w14:paraId="18B6BE91"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5732F3EF"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4.1 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58C500A6"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Temporary multimodal passenger and freight arrangements </w:t>
            </w:r>
          </w:p>
        </w:tc>
      </w:tr>
      <w:tr w:rsidR="00F4026B" w:rsidRPr="00F4026B" w14:paraId="7E414248"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35B9877C"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4.2 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298F6C7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Site preparation, compounds and utilities diversion </w:t>
            </w:r>
          </w:p>
        </w:tc>
      </w:tr>
      <w:tr w:rsidR="00F4026B" w:rsidRPr="00F4026B" w14:paraId="1BF04EB7"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2898CCA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5 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08F0E0E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Main Construction </w:t>
            </w:r>
          </w:p>
        </w:tc>
      </w:tr>
      <w:tr w:rsidR="00F4026B" w:rsidRPr="00F4026B" w14:paraId="671DFF87"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6D088BAF"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5.1 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7BE3A42B"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Structural works, platforms and track interfaces </w:t>
            </w:r>
          </w:p>
        </w:tc>
      </w:tr>
      <w:tr w:rsidR="00F4026B" w:rsidRPr="00F4026B" w14:paraId="58754994"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04E0CC4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5.2 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3F090799"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Concourse, vertical circulation and public realm </w:t>
            </w:r>
          </w:p>
        </w:tc>
      </w:tr>
      <w:tr w:rsidR="00F4026B" w:rsidRPr="00F4026B" w14:paraId="32B33FC9"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26949A2B"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5.3 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2DEB3093"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Freight handling and logistics facilities </w:t>
            </w:r>
          </w:p>
        </w:tc>
      </w:tr>
      <w:tr w:rsidR="00F4026B" w:rsidRPr="00F4026B" w14:paraId="48CB4291"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21A2C755"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6 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7CC5BC07"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Systems &amp; Digital Integration </w:t>
            </w:r>
          </w:p>
        </w:tc>
      </w:tr>
      <w:tr w:rsidR="00F4026B" w:rsidRPr="00F4026B" w14:paraId="56F1DD34"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38C58F6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6.1 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0E1BAE1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Signalling, control and communications systems </w:t>
            </w:r>
          </w:p>
        </w:tc>
      </w:tr>
      <w:tr w:rsidR="00F4026B" w:rsidRPr="00F4026B" w14:paraId="476CF816"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17BFE69D"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6.2 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37FEDCE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Passenger information, digital platforms and cybersecurity </w:t>
            </w:r>
          </w:p>
        </w:tc>
      </w:tr>
      <w:tr w:rsidR="00F4026B" w:rsidRPr="00F4026B" w14:paraId="7EC78B03"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3A7634FE"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7 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63DBB54F"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Commissioning, Handover &amp; Close-out </w:t>
            </w:r>
          </w:p>
        </w:tc>
      </w:tr>
      <w:tr w:rsidR="00F4026B" w:rsidRPr="00F4026B" w14:paraId="0EE487FB"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482CE0D5"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7.1 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7CBA3733" w14:textId="07717481" w:rsidR="00F4026B" w:rsidRPr="00F4026B" w:rsidRDefault="00F4026B" w:rsidP="00F4026B">
            <w:pPr>
              <w:rPr>
                <w:rFonts w:ascii="Times New Roman" w:hAnsi="Times New Roman" w:cs="Times New Roman"/>
              </w:rPr>
            </w:pPr>
            <w:r w:rsidRPr="00F4026B">
              <w:rPr>
                <w:rFonts w:ascii="Times New Roman" w:hAnsi="Times New Roman" w:cs="Times New Roman"/>
              </w:rPr>
              <w:t>Integrated testing, systems proving and safety case</w:t>
            </w:r>
            <w:r w:rsidR="008E68FD">
              <w:rPr>
                <w:rFonts w:ascii="Times New Roman" w:hAnsi="Times New Roman" w:cs="Times New Roman"/>
              </w:rPr>
              <w:t>.</w:t>
            </w:r>
            <w:r w:rsidRPr="00F4026B">
              <w:rPr>
                <w:rFonts w:ascii="Times New Roman" w:hAnsi="Times New Roman" w:cs="Times New Roman"/>
              </w:rPr>
              <w:t> </w:t>
            </w:r>
          </w:p>
        </w:tc>
      </w:tr>
      <w:tr w:rsidR="00F4026B" w:rsidRPr="00F4026B" w14:paraId="6F9CF5E7"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FFFFF"/>
            <w:hideMark/>
          </w:tcPr>
          <w:p w14:paraId="704163C0"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7.2 </w:t>
            </w:r>
          </w:p>
        </w:tc>
        <w:tc>
          <w:tcPr>
            <w:tcW w:w="7620" w:type="dxa"/>
            <w:tcBorders>
              <w:top w:val="single" w:sz="6" w:space="0" w:color="999999"/>
              <w:left w:val="single" w:sz="6" w:space="0" w:color="999999"/>
              <w:bottom w:val="single" w:sz="6" w:space="0" w:color="999999"/>
              <w:right w:val="single" w:sz="6" w:space="0" w:color="999999"/>
            </w:tcBorders>
            <w:shd w:val="clear" w:color="auto" w:fill="FFFFFF"/>
            <w:hideMark/>
          </w:tcPr>
          <w:p w14:paraId="179CA61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Operational readiness, training and soft landings </w:t>
            </w:r>
          </w:p>
        </w:tc>
      </w:tr>
      <w:tr w:rsidR="00F4026B" w:rsidRPr="00F4026B" w14:paraId="10CE8695" w14:textId="77777777">
        <w:trPr>
          <w:trHeight w:val="300"/>
        </w:trPr>
        <w:tc>
          <w:tcPr>
            <w:tcW w:w="1395" w:type="dxa"/>
            <w:tcBorders>
              <w:top w:val="single" w:sz="6" w:space="0" w:color="999999"/>
              <w:left w:val="single" w:sz="6" w:space="0" w:color="999999"/>
              <w:bottom w:val="single" w:sz="6" w:space="0" w:color="999999"/>
              <w:right w:val="single" w:sz="6" w:space="0" w:color="999999"/>
            </w:tcBorders>
            <w:shd w:val="clear" w:color="auto" w:fill="F0F4F8"/>
            <w:hideMark/>
          </w:tcPr>
          <w:p w14:paraId="7392A38A"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7.3 </w:t>
            </w:r>
          </w:p>
        </w:tc>
        <w:tc>
          <w:tcPr>
            <w:tcW w:w="7620" w:type="dxa"/>
            <w:tcBorders>
              <w:top w:val="single" w:sz="6" w:space="0" w:color="999999"/>
              <w:left w:val="single" w:sz="6" w:space="0" w:color="999999"/>
              <w:bottom w:val="single" w:sz="6" w:space="0" w:color="999999"/>
              <w:right w:val="single" w:sz="6" w:space="0" w:color="999999"/>
            </w:tcBorders>
            <w:shd w:val="clear" w:color="auto" w:fill="F0F4F8"/>
            <w:hideMark/>
          </w:tcPr>
          <w:p w14:paraId="5B98D274" w14:textId="77777777" w:rsidR="00F4026B" w:rsidRPr="00F4026B" w:rsidRDefault="00F4026B" w:rsidP="00F4026B">
            <w:pPr>
              <w:rPr>
                <w:rFonts w:ascii="Times New Roman" w:hAnsi="Times New Roman" w:cs="Times New Roman"/>
              </w:rPr>
            </w:pPr>
            <w:r w:rsidRPr="00F4026B">
              <w:rPr>
                <w:rFonts w:ascii="Times New Roman" w:hAnsi="Times New Roman" w:cs="Times New Roman"/>
              </w:rPr>
              <w:t>Defects liability period management and project close-out </w:t>
            </w:r>
          </w:p>
        </w:tc>
      </w:tr>
    </w:tbl>
    <w:p w14:paraId="5E0DBED2" w14:textId="31A4A942" w:rsidR="00F4026B" w:rsidRPr="00F4026B" w:rsidRDefault="00F4026B" w:rsidP="00142062">
      <w:pPr>
        <w:jc w:val="center"/>
        <w:rPr>
          <w:rFonts w:ascii="Times New Roman" w:hAnsi="Times New Roman" w:cs="Times New Roman"/>
        </w:rPr>
      </w:pPr>
      <w:r w:rsidRPr="00F4026B">
        <w:rPr>
          <w:rFonts w:ascii="Times New Roman" w:hAnsi="Times New Roman" w:cs="Times New Roman"/>
          <w:i/>
          <w:iCs/>
        </w:rPr>
        <w:t>Table 1: High-level Work Breakdown Structure for the Central Transport Hub Redevelopment</w:t>
      </w:r>
    </w:p>
    <w:p w14:paraId="71B0789E" w14:textId="77777777" w:rsidR="00142062" w:rsidRDefault="00142062" w:rsidP="00F4026B">
      <w:pPr>
        <w:rPr>
          <w:rFonts w:ascii="Times New Roman" w:hAnsi="Times New Roman" w:cs="Times New Roman"/>
        </w:rPr>
      </w:pPr>
    </w:p>
    <w:p w14:paraId="528FA63D" w14:textId="77777777" w:rsidR="00506527" w:rsidRDefault="008E68FD" w:rsidP="00506527">
      <w:pPr>
        <w:rPr>
          <w:rFonts w:ascii="Times New Roman" w:hAnsi="Times New Roman" w:cs="Times New Roman"/>
        </w:rPr>
      </w:pPr>
      <w:r w:rsidRPr="008E68FD">
        <w:rPr>
          <w:rFonts w:ascii="Times New Roman" w:hAnsi="Times New Roman" w:cs="Times New Roman"/>
        </w:rPr>
        <w:t>The structure supports progressive elaboration. Early packages such as design and consents are developed in greater detail first, while construction packages remain at a higher level until contractor appointment. This approach is consistent with good practice for major infrastructure (APM, 2019; PMI, 2021).</w:t>
      </w:r>
    </w:p>
    <w:p w14:paraId="0AFEFFDE" w14:textId="7202053B" w:rsidR="008E68FD" w:rsidRPr="00506527" w:rsidRDefault="008E68FD" w:rsidP="00506527">
      <w:pPr>
        <w:pStyle w:val="Heading1"/>
        <w:rPr>
          <w:rFonts w:ascii="Times New Roman" w:hAnsi="Times New Roman" w:cs="Times New Roman"/>
        </w:rPr>
      </w:pPr>
      <w:bookmarkStart w:id="7" w:name="_Toc235975668"/>
      <w:r w:rsidRPr="00506527">
        <w:rPr>
          <w:rFonts w:ascii="Times New Roman" w:hAnsi="Times New Roman" w:cs="Times New Roman"/>
          <w:sz w:val="24"/>
          <w:szCs w:val="24"/>
        </w:rPr>
        <w:lastRenderedPageBreak/>
        <w:t>5. Quad Chart Overview</w:t>
      </w:r>
      <w:bookmarkEnd w:id="7"/>
    </w:p>
    <w:p w14:paraId="73AAA10A" w14:textId="5844AF14" w:rsidR="008E68FD" w:rsidRDefault="008E68FD" w:rsidP="008E68FD">
      <w:pPr>
        <w:rPr>
          <w:rFonts w:ascii="Times New Roman" w:hAnsi="Times New Roman" w:cs="Times New Roman"/>
        </w:rPr>
      </w:pPr>
      <w:r w:rsidRPr="008E68FD">
        <w:rPr>
          <w:rFonts w:ascii="Times New Roman" w:hAnsi="Times New Roman" w:cs="Times New Roman"/>
        </w:rPr>
        <w:t xml:space="preserve">Figure 1 presents a Quad Chart that consolidates essential project dimensions to enable effective stakeholder interaction. The chart </w:t>
      </w:r>
      <w:r>
        <w:rPr>
          <w:rFonts w:ascii="Times New Roman" w:hAnsi="Times New Roman" w:cs="Times New Roman"/>
        </w:rPr>
        <w:t>summarises</w:t>
      </w:r>
      <w:r w:rsidRPr="008E68FD">
        <w:rPr>
          <w:rFonts w:ascii="Times New Roman" w:hAnsi="Times New Roman" w:cs="Times New Roman"/>
        </w:rPr>
        <w:t xml:space="preserve"> objectives and scope, schedule and milestones, key risks with corresponding mitigations, and resource requirements alongside anticipated benefits. This format </w:t>
      </w:r>
      <w:r>
        <w:rPr>
          <w:rFonts w:ascii="Times New Roman" w:hAnsi="Times New Roman" w:cs="Times New Roman"/>
        </w:rPr>
        <w:t>keeps the Project Board and external stakeholders informed about project status without requiring</w:t>
      </w:r>
      <w:r w:rsidRPr="008E68FD">
        <w:rPr>
          <w:rFonts w:ascii="Times New Roman" w:hAnsi="Times New Roman" w:cs="Times New Roman"/>
        </w:rPr>
        <w:t xml:space="preserve"> detailed schedule or cost reports at every meeting.</w:t>
      </w:r>
    </w:p>
    <w:p w14:paraId="4D4685E3" w14:textId="0E42312D" w:rsidR="008E68FD" w:rsidRDefault="008E68FD" w:rsidP="008E68FD">
      <w:pPr>
        <w:rPr>
          <w:rFonts w:ascii="Times New Roman" w:hAnsi="Times New Roman" w:cs="Times New Roman"/>
        </w:rPr>
      </w:pPr>
      <w:r>
        <w:rPr>
          <w:noProof/>
        </w:rPr>
        <w:drawing>
          <wp:anchor distT="0" distB="0" distL="114300" distR="114300" simplePos="0" relativeHeight="251659264" behindDoc="0" locked="0" layoutInCell="1" allowOverlap="1" wp14:anchorId="09FC1C7C" wp14:editId="4BC8F843">
            <wp:simplePos x="0" y="0"/>
            <wp:positionH relativeFrom="margin">
              <wp:align>center</wp:align>
            </wp:positionH>
            <wp:positionV relativeFrom="paragraph">
              <wp:posOffset>64005</wp:posOffset>
            </wp:positionV>
            <wp:extent cx="4761865" cy="3571240"/>
            <wp:effectExtent l="0" t="0" r="635" b="0"/>
            <wp:wrapSquare wrapText="bothSides"/>
            <wp:docPr id="1318564116" name="Picture 1" descr="Quad Chart&#10;Four-quadrant summary of objectives, schedule, risks and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d Chart&#10;Four-quadrant summary of objectives, schedule, risks and resou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1865" cy="3571240"/>
                    </a:xfrm>
                    <a:prstGeom prst="rect">
                      <a:avLst/>
                    </a:prstGeom>
                    <a:noFill/>
                    <a:ln>
                      <a:noFill/>
                    </a:ln>
                  </pic:spPr>
                </pic:pic>
              </a:graphicData>
            </a:graphic>
          </wp:anchor>
        </w:drawing>
      </w:r>
    </w:p>
    <w:p w14:paraId="659A4C6A" w14:textId="02F1B890" w:rsidR="008E68FD" w:rsidRPr="008E68FD" w:rsidRDefault="008E68FD" w:rsidP="008E68FD">
      <w:pPr>
        <w:rPr>
          <w:rFonts w:ascii="Times New Roman" w:hAnsi="Times New Roman" w:cs="Times New Roman"/>
        </w:rPr>
      </w:pPr>
    </w:p>
    <w:p w14:paraId="1DE6AE2E" w14:textId="77777777" w:rsidR="008E68FD" w:rsidRPr="00F4026B" w:rsidRDefault="008E68FD" w:rsidP="00F4026B">
      <w:pPr>
        <w:rPr>
          <w:rFonts w:ascii="Times New Roman" w:hAnsi="Times New Roman" w:cs="Times New Roman"/>
        </w:rPr>
      </w:pPr>
    </w:p>
    <w:p w14:paraId="049F1442" w14:textId="77777777" w:rsidR="00F4026B" w:rsidRPr="00A7675F" w:rsidRDefault="00F4026B" w:rsidP="00A7675F">
      <w:pPr>
        <w:rPr>
          <w:rFonts w:ascii="Times New Roman" w:hAnsi="Times New Roman" w:cs="Times New Roman"/>
        </w:rPr>
      </w:pPr>
    </w:p>
    <w:p w14:paraId="0953C54D" w14:textId="77777777" w:rsidR="00A7675F" w:rsidRPr="00A7675F" w:rsidRDefault="00A7675F" w:rsidP="00A7675F">
      <w:pPr>
        <w:rPr>
          <w:rFonts w:ascii="Times New Roman" w:hAnsi="Times New Roman" w:cs="Times New Roman"/>
        </w:rPr>
      </w:pPr>
    </w:p>
    <w:p w14:paraId="73E629AA" w14:textId="77777777" w:rsidR="00786BA6" w:rsidRPr="00786BA6" w:rsidRDefault="00786BA6" w:rsidP="00786BA6">
      <w:pPr>
        <w:rPr>
          <w:rFonts w:ascii="Times New Roman" w:hAnsi="Times New Roman" w:cs="Times New Roman"/>
        </w:rPr>
      </w:pPr>
    </w:p>
    <w:p w14:paraId="305D38EC" w14:textId="77777777" w:rsidR="003F6B21" w:rsidRDefault="003F6B21">
      <w:pPr>
        <w:rPr>
          <w:rFonts w:ascii="Times New Roman" w:hAnsi="Times New Roman" w:cs="Times New Roman"/>
        </w:rPr>
      </w:pPr>
    </w:p>
    <w:p w14:paraId="408F5D57" w14:textId="77777777" w:rsidR="008E68FD" w:rsidRPr="008E68FD" w:rsidRDefault="008E68FD" w:rsidP="008E68FD">
      <w:pPr>
        <w:rPr>
          <w:rFonts w:ascii="Times New Roman" w:hAnsi="Times New Roman" w:cs="Times New Roman"/>
        </w:rPr>
      </w:pPr>
    </w:p>
    <w:p w14:paraId="2530C4F8" w14:textId="77777777" w:rsidR="008E68FD" w:rsidRPr="008E68FD" w:rsidRDefault="008E68FD" w:rsidP="008E68FD">
      <w:pPr>
        <w:rPr>
          <w:rFonts w:ascii="Times New Roman" w:hAnsi="Times New Roman" w:cs="Times New Roman"/>
        </w:rPr>
      </w:pPr>
    </w:p>
    <w:p w14:paraId="5786CC1C" w14:textId="77777777" w:rsidR="008E68FD" w:rsidRPr="008E68FD" w:rsidRDefault="008E68FD" w:rsidP="008E68FD">
      <w:pPr>
        <w:rPr>
          <w:rFonts w:ascii="Times New Roman" w:hAnsi="Times New Roman" w:cs="Times New Roman"/>
        </w:rPr>
      </w:pPr>
    </w:p>
    <w:p w14:paraId="6A33A45A" w14:textId="77777777" w:rsidR="008E68FD" w:rsidRPr="008E68FD" w:rsidRDefault="008E68FD" w:rsidP="008E68FD">
      <w:pPr>
        <w:rPr>
          <w:rFonts w:ascii="Times New Roman" w:hAnsi="Times New Roman" w:cs="Times New Roman"/>
        </w:rPr>
      </w:pPr>
    </w:p>
    <w:p w14:paraId="40DEB8D7" w14:textId="77777777" w:rsidR="008E68FD" w:rsidRPr="008E68FD" w:rsidRDefault="008E68FD" w:rsidP="008E68FD">
      <w:pPr>
        <w:rPr>
          <w:rFonts w:ascii="Times New Roman" w:hAnsi="Times New Roman" w:cs="Times New Roman"/>
        </w:rPr>
      </w:pPr>
    </w:p>
    <w:p w14:paraId="4AB0910B" w14:textId="6FBB3BB7" w:rsidR="008E68FD" w:rsidRDefault="008E68FD" w:rsidP="008E68FD">
      <w:pPr>
        <w:jc w:val="center"/>
        <w:rPr>
          <w:rFonts w:ascii="Times New Roman" w:hAnsi="Times New Roman" w:cs="Times New Roman"/>
        </w:rPr>
      </w:pPr>
      <w:r w:rsidRPr="008E68FD">
        <w:rPr>
          <w:rFonts w:ascii="Times New Roman" w:hAnsi="Times New Roman" w:cs="Times New Roman"/>
          <w:i/>
          <w:iCs/>
        </w:rPr>
        <w:t>Figure 1: Project Quad Chart – Central Transport Hub Redevelopment</w:t>
      </w:r>
      <w:r w:rsidRPr="008E68FD">
        <w:rPr>
          <w:rFonts w:ascii="Times New Roman" w:hAnsi="Times New Roman" w:cs="Times New Roman"/>
        </w:rPr>
        <w:t> </w:t>
      </w:r>
    </w:p>
    <w:p w14:paraId="74717E5D" w14:textId="77777777" w:rsidR="008E68FD" w:rsidRDefault="008E68FD" w:rsidP="008E68FD">
      <w:pPr>
        <w:rPr>
          <w:rFonts w:ascii="Times New Roman" w:hAnsi="Times New Roman" w:cs="Times New Roman"/>
        </w:rPr>
      </w:pPr>
    </w:p>
    <w:p w14:paraId="2449F660" w14:textId="12C7C33D" w:rsidR="008E68FD" w:rsidRDefault="008E68FD" w:rsidP="008E68FD">
      <w:pPr>
        <w:rPr>
          <w:rFonts w:ascii="Times New Roman" w:hAnsi="Times New Roman" w:cs="Times New Roman"/>
        </w:rPr>
      </w:pPr>
      <w:r>
        <w:rPr>
          <w:rFonts w:ascii="Times New Roman" w:hAnsi="Times New Roman" w:cs="Times New Roman"/>
        </w:rPr>
        <w:t>The Quad Chart is a dynamic management tool that is updated at each stage-gate review and following significant changes. This approach provides the Project Board with a consistent, single-page summary of progress, emerging risks, and benefit trajectories. Colour coding and concise bullet points facilitate efficient information review during board discussions.</w:t>
      </w:r>
    </w:p>
    <w:p w14:paraId="2BB1041B" w14:textId="77777777" w:rsidR="008E68FD" w:rsidRDefault="008E68FD" w:rsidP="008E68FD">
      <w:pPr>
        <w:rPr>
          <w:rFonts w:ascii="Times New Roman" w:hAnsi="Times New Roman" w:cs="Times New Roman"/>
        </w:rPr>
      </w:pPr>
    </w:p>
    <w:p w14:paraId="6B4E3173" w14:textId="77777777" w:rsidR="008E68FD" w:rsidRDefault="008E68FD" w:rsidP="008E68FD">
      <w:pPr>
        <w:rPr>
          <w:rFonts w:ascii="Times New Roman" w:hAnsi="Times New Roman" w:cs="Times New Roman"/>
        </w:rPr>
      </w:pPr>
    </w:p>
    <w:p w14:paraId="79B84B6A" w14:textId="77777777" w:rsidR="008E68FD" w:rsidRDefault="008E68FD" w:rsidP="008E68FD">
      <w:pPr>
        <w:rPr>
          <w:rFonts w:ascii="Times New Roman" w:hAnsi="Times New Roman" w:cs="Times New Roman"/>
        </w:rPr>
      </w:pPr>
    </w:p>
    <w:p w14:paraId="517EEE6A" w14:textId="77777777" w:rsidR="00506527" w:rsidRDefault="00506527" w:rsidP="00506527">
      <w:pPr>
        <w:pStyle w:val="Heading1"/>
        <w:rPr>
          <w:rFonts w:ascii="Times New Roman" w:hAnsi="Times New Roman" w:cs="Times New Roman"/>
          <w:sz w:val="24"/>
          <w:szCs w:val="24"/>
        </w:rPr>
      </w:pPr>
    </w:p>
    <w:p w14:paraId="7CF99031" w14:textId="77777777" w:rsidR="00506527" w:rsidRPr="00506527" w:rsidRDefault="00506527" w:rsidP="00506527"/>
    <w:p w14:paraId="08B7A680" w14:textId="3A4A5A82" w:rsidR="008801C1" w:rsidRPr="00506527" w:rsidRDefault="008801C1" w:rsidP="00506527">
      <w:pPr>
        <w:pStyle w:val="Heading1"/>
        <w:rPr>
          <w:rFonts w:ascii="Times New Roman" w:hAnsi="Times New Roman" w:cs="Times New Roman"/>
        </w:rPr>
      </w:pPr>
      <w:bookmarkStart w:id="8" w:name="_Toc235975669"/>
      <w:r w:rsidRPr="00506527">
        <w:rPr>
          <w:rFonts w:ascii="Times New Roman" w:hAnsi="Times New Roman" w:cs="Times New Roman"/>
          <w:sz w:val="24"/>
          <w:szCs w:val="24"/>
        </w:rPr>
        <w:lastRenderedPageBreak/>
        <w:t>6. Project Timeline: Gantt Chart</w:t>
      </w:r>
      <w:bookmarkEnd w:id="8"/>
    </w:p>
    <w:p w14:paraId="087B2F9B"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Figure 2 presents a high-level Gantt Chart that outlines the principal phases from project initiation to post-implementation review. The primary delivery schedule extends over 48 months, from January 2026 to December 2029, followed by a brief post-completion review period in early 2030.</w:t>
      </w:r>
    </w:p>
    <w:p w14:paraId="78DDFC23" w14:textId="6C8084EE" w:rsidR="008801C1" w:rsidRPr="008801C1" w:rsidRDefault="008801C1" w:rsidP="008801C1">
      <w:pPr>
        <w:rPr>
          <w:rFonts w:ascii="Times New Roman" w:hAnsi="Times New Roman" w:cs="Times New Roman"/>
          <w:b/>
          <w:bCs/>
        </w:rPr>
      </w:pPr>
      <w:r w:rsidRPr="008E68FD">
        <w:rPr>
          <w:rFonts w:ascii="Times New Roman" w:hAnsi="Times New Roman" w:cs="Times New Roman"/>
        </w:rPr>
        <w:drawing>
          <wp:anchor distT="0" distB="0" distL="114300" distR="114300" simplePos="0" relativeHeight="251660288" behindDoc="0" locked="0" layoutInCell="1" allowOverlap="1" wp14:anchorId="4F243464" wp14:editId="19788D95">
            <wp:simplePos x="0" y="0"/>
            <wp:positionH relativeFrom="margin">
              <wp:align>center</wp:align>
            </wp:positionH>
            <wp:positionV relativeFrom="paragraph">
              <wp:posOffset>306070</wp:posOffset>
            </wp:positionV>
            <wp:extent cx="4953000" cy="2476500"/>
            <wp:effectExtent l="0" t="0" r="0" b="0"/>
            <wp:wrapSquare wrapText="bothSides"/>
            <wp:docPr id="242416624" name="Picture 3" descr="Gantt Chart&#10;High-level project schedule showing major phases and du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antt Chart&#10;High-level project schedule showing major phases and dur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0" cy="2476500"/>
                    </a:xfrm>
                    <a:prstGeom prst="rect">
                      <a:avLst/>
                    </a:prstGeom>
                    <a:noFill/>
                    <a:ln>
                      <a:noFill/>
                    </a:ln>
                  </pic:spPr>
                </pic:pic>
              </a:graphicData>
            </a:graphic>
          </wp:anchor>
        </w:drawing>
      </w:r>
    </w:p>
    <w:p w14:paraId="4848EF85" w14:textId="1DFF76E2" w:rsidR="008E68FD" w:rsidRPr="008E68FD" w:rsidRDefault="008E68FD" w:rsidP="008E68FD">
      <w:pPr>
        <w:rPr>
          <w:rFonts w:ascii="Times New Roman" w:hAnsi="Times New Roman" w:cs="Times New Roman"/>
        </w:rPr>
      </w:pPr>
      <w:r w:rsidRPr="008E68FD">
        <w:rPr>
          <w:rFonts w:ascii="Times New Roman" w:hAnsi="Times New Roman" w:cs="Times New Roman"/>
        </w:rPr>
        <w:t> </w:t>
      </w:r>
    </w:p>
    <w:p w14:paraId="3119ACB1" w14:textId="40DC4EFE" w:rsidR="008E68FD" w:rsidRPr="008E68FD" w:rsidRDefault="008E68FD" w:rsidP="008801C1">
      <w:pPr>
        <w:jc w:val="center"/>
        <w:rPr>
          <w:rFonts w:ascii="Times New Roman" w:hAnsi="Times New Roman" w:cs="Times New Roman"/>
        </w:rPr>
      </w:pPr>
      <w:r w:rsidRPr="008E68FD">
        <w:rPr>
          <w:rFonts w:ascii="Times New Roman" w:hAnsi="Times New Roman" w:cs="Times New Roman"/>
          <w:i/>
          <w:iCs/>
        </w:rPr>
        <w:t>Figure 2: High-Level Gantt Chart – Central Transport Hub Redevelopment (2026–2030)</w:t>
      </w:r>
    </w:p>
    <w:p w14:paraId="4DEA2094" w14:textId="77777777" w:rsidR="008801C1" w:rsidRDefault="008801C1" w:rsidP="008E68FD">
      <w:pPr>
        <w:rPr>
          <w:rFonts w:ascii="Times New Roman" w:hAnsi="Times New Roman" w:cs="Times New Roman"/>
        </w:rPr>
      </w:pPr>
    </w:p>
    <w:p w14:paraId="186FDF0B" w14:textId="77777777" w:rsidR="008801C1" w:rsidRDefault="008801C1" w:rsidP="008801C1">
      <w:pPr>
        <w:rPr>
          <w:rFonts w:ascii="Times New Roman" w:hAnsi="Times New Roman" w:cs="Times New Roman"/>
        </w:rPr>
      </w:pPr>
      <w:r w:rsidRPr="008801C1">
        <w:rPr>
          <w:rFonts w:ascii="Times New Roman" w:hAnsi="Times New Roman" w:cs="Times New Roman"/>
        </w:rPr>
        <w:t>Critical-path activities focus on the main structural construction package, followed by systems integration and testing. Carefully managed overlaps among design finalisation, procurement, and early site-enabling works reduce the overall schedule while preserving necessary sequencing. Ongoing schedule risk analysis, including quantitative Monte-Carlo simulation, informs contingency planning and protects key milestones from likely delays.</w:t>
      </w:r>
    </w:p>
    <w:p w14:paraId="2F64F596" w14:textId="77777777" w:rsidR="008801C1" w:rsidRDefault="008801C1" w:rsidP="008801C1">
      <w:pPr>
        <w:rPr>
          <w:rFonts w:ascii="Times New Roman" w:hAnsi="Times New Roman" w:cs="Times New Roman"/>
        </w:rPr>
      </w:pPr>
    </w:p>
    <w:p w14:paraId="079F40BF" w14:textId="77777777" w:rsidR="008801C1" w:rsidRDefault="008801C1" w:rsidP="008801C1">
      <w:pPr>
        <w:rPr>
          <w:rFonts w:ascii="Times New Roman" w:hAnsi="Times New Roman" w:cs="Times New Roman"/>
          <w:b/>
          <w:bCs/>
        </w:rPr>
      </w:pPr>
    </w:p>
    <w:p w14:paraId="6AC28D27" w14:textId="77777777" w:rsidR="008801C1" w:rsidRDefault="008801C1" w:rsidP="008801C1">
      <w:pPr>
        <w:rPr>
          <w:rFonts w:ascii="Times New Roman" w:hAnsi="Times New Roman" w:cs="Times New Roman"/>
          <w:b/>
          <w:bCs/>
        </w:rPr>
      </w:pPr>
    </w:p>
    <w:p w14:paraId="6125C5FD" w14:textId="77777777" w:rsidR="008801C1" w:rsidRDefault="008801C1" w:rsidP="008801C1">
      <w:pPr>
        <w:rPr>
          <w:rFonts w:ascii="Times New Roman" w:hAnsi="Times New Roman" w:cs="Times New Roman"/>
          <w:b/>
          <w:bCs/>
        </w:rPr>
      </w:pPr>
    </w:p>
    <w:p w14:paraId="40D9DD53" w14:textId="5A6FEBF2" w:rsidR="00506527" w:rsidRDefault="00506527" w:rsidP="00506527">
      <w:pPr>
        <w:pStyle w:val="Heading1"/>
        <w:rPr>
          <w:rFonts w:ascii="Times New Roman" w:hAnsi="Times New Roman" w:cs="Times New Roman"/>
          <w:sz w:val="24"/>
          <w:szCs w:val="24"/>
        </w:rPr>
      </w:pPr>
    </w:p>
    <w:p w14:paraId="3D9C9607" w14:textId="77777777" w:rsidR="00506527" w:rsidRDefault="00506527" w:rsidP="00506527"/>
    <w:p w14:paraId="60ABDB6C" w14:textId="77777777" w:rsidR="00506527" w:rsidRDefault="00506527" w:rsidP="00506527"/>
    <w:p w14:paraId="747555B2" w14:textId="77777777" w:rsidR="00506527" w:rsidRPr="00506527" w:rsidRDefault="00506527" w:rsidP="00506527"/>
    <w:p w14:paraId="3B2872A9" w14:textId="660DF76C" w:rsidR="008801C1" w:rsidRPr="00506527" w:rsidRDefault="008801C1" w:rsidP="00506527">
      <w:pPr>
        <w:pStyle w:val="Heading1"/>
        <w:rPr>
          <w:rFonts w:ascii="Times New Roman" w:hAnsi="Times New Roman" w:cs="Times New Roman"/>
          <w:sz w:val="24"/>
          <w:szCs w:val="24"/>
        </w:rPr>
      </w:pPr>
      <w:bookmarkStart w:id="9" w:name="_Toc235975670"/>
      <w:r w:rsidRPr="00506527">
        <w:rPr>
          <w:rFonts w:ascii="Times New Roman" w:hAnsi="Times New Roman" w:cs="Times New Roman"/>
          <w:sz w:val="24"/>
          <w:szCs w:val="24"/>
        </w:rPr>
        <w:lastRenderedPageBreak/>
        <w:t>7. Stakeholder Involvement</w:t>
      </w:r>
      <w:bookmarkEnd w:id="9"/>
    </w:p>
    <w:p w14:paraId="19C39224"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Effective stakeholder management is critical for the success of major transport infrastructure projects (Zhang et al., 2013; Woodier et al., 2024). Table 2 presents the primary stakeholder groups, their principal interests, and the corresponding interaction strategies. The ranking of engagement intensity is determined through a formal power-interest matrix.</w:t>
      </w:r>
    </w:p>
    <w:p w14:paraId="2B30FEA0"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9"/>
        <w:gridCol w:w="3388"/>
        <w:gridCol w:w="3523"/>
      </w:tblGrid>
      <w:tr w:rsidR="008801C1" w:rsidRPr="008801C1" w14:paraId="32CC6790"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1A5276"/>
            <w:hideMark/>
          </w:tcPr>
          <w:p w14:paraId="11A4FD32" w14:textId="77777777" w:rsidR="008801C1" w:rsidRPr="008801C1" w:rsidRDefault="008801C1" w:rsidP="008801C1">
            <w:pPr>
              <w:rPr>
                <w:rFonts w:ascii="Times New Roman" w:hAnsi="Times New Roman" w:cs="Times New Roman"/>
              </w:rPr>
            </w:pPr>
            <w:r w:rsidRPr="008801C1">
              <w:rPr>
                <w:rFonts w:ascii="Times New Roman" w:hAnsi="Times New Roman" w:cs="Times New Roman"/>
                <w:b/>
                <w:bCs/>
              </w:rPr>
              <w:t>Stakeholder Group</w:t>
            </w:r>
            <w:r w:rsidRPr="008801C1">
              <w:rPr>
                <w:rFonts w:ascii="Times New Roman" w:hAnsi="Times New Roman" w:cs="Times New Roman"/>
              </w:rPr>
              <w:t> </w:t>
            </w:r>
          </w:p>
        </w:tc>
        <w:tc>
          <w:tcPr>
            <w:tcW w:w="3390" w:type="dxa"/>
            <w:tcBorders>
              <w:top w:val="single" w:sz="6" w:space="0" w:color="999999"/>
              <w:left w:val="single" w:sz="6" w:space="0" w:color="999999"/>
              <w:bottom w:val="single" w:sz="6" w:space="0" w:color="999999"/>
              <w:right w:val="single" w:sz="6" w:space="0" w:color="999999"/>
            </w:tcBorders>
            <w:shd w:val="clear" w:color="auto" w:fill="1A5276"/>
            <w:hideMark/>
          </w:tcPr>
          <w:p w14:paraId="01921C11" w14:textId="77777777" w:rsidR="008801C1" w:rsidRPr="008801C1" w:rsidRDefault="008801C1" w:rsidP="008801C1">
            <w:pPr>
              <w:rPr>
                <w:rFonts w:ascii="Times New Roman" w:hAnsi="Times New Roman" w:cs="Times New Roman"/>
              </w:rPr>
            </w:pPr>
            <w:r w:rsidRPr="008801C1">
              <w:rPr>
                <w:rFonts w:ascii="Times New Roman" w:hAnsi="Times New Roman" w:cs="Times New Roman"/>
                <w:b/>
                <w:bCs/>
              </w:rPr>
              <w:t>Primary Interests</w:t>
            </w:r>
            <w:r w:rsidRPr="008801C1">
              <w:rPr>
                <w:rFonts w:ascii="Times New Roman" w:hAnsi="Times New Roman" w:cs="Times New Roman"/>
              </w:rPr>
              <w:t> </w:t>
            </w:r>
          </w:p>
        </w:tc>
        <w:tc>
          <w:tcPr>
            <w:tcW w:w="3525" w:type="dxa"/>
            <w:tcBorders>
              <w:top w:val="single" w:sz="6" w:space="0" w:color="999999"/>
              <w:left w:val="single" w:sz="6" w:space="0" w:color="999999"/>
              <w:bottom w:val="single" w:sz="6" w:space="0" w:color="999999"/>
              <w:right w:val="single" w:sz="6" w:space="0" w:color="999999"/>
            </w:tcBorders>
            <w:shd w:val="clear" w:color="auto" w:fill="1A5276"/>
            <w:hideMark/>
          </w:tcPr>
          <w:p w14:paraId="5D4B74CB" w14:textId="77777777" w:rsidR="008801C1" w:rsidRPr="008801C1" w:rsidRDefault="008801C1" w:rsidP="008801C1">
            <w:pPr>
              <w:rPr>
                <w:rFonts w:ascii="Times New Roman" w:hAnsi="Times New Roman" w:cs="Times New Roman"/>
              </w:rPr>
            </w:pPr>
            <w:r w:rsidRPr="008801C1">
              <w:rPr>
                <w:rFonts w:ascii="Times New Roman" w:hAnsi="Times New Roman" w:cs="Times New Roman"/>
                <w:b/>
                <w:bCs/>
              </w:rPr>
              <w:t>Engagement Approach</w:t>
            </w:r>
            <w:r w:rsidRPr="008801C1">
              <w:rPr>
                <w:rFonts w:ascii="Times New Roman" w:hAnsi="Times New Roman" w:cs="Times New Roman"/>
              </w:rPr>
              <w:t> </w:t>
            </w:r>
          </w:p>
        </w:tc>
      </w:tr>
      <w:tr w:rsidR="008801C1" w:rsidRPr="008801C1" w14:paraId="2B171439"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0F4F8"/>
            <w:hideMark/>
          </w:tcPr>
          <w:p w14:paraId="66ADE01E"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Local Authorities </w:t>
            </w:r>
          </w:p>
        </w:tc>
        <w:tc>
          <w:tcPr>
            <w:tcW w:w="3390" w:type="dxa"/>
            <w:tcBorders>
              <w:top w:val="single" w:sz="6" w:space="0" w:color="999999"/>
              <w:left w:val="single" w:sz="6" w:space="0" w:color="999999"/>
              <w:bottom w:val="single" w:sz="6" w:space="0" w:color="999999"/>
              <w:right w:val="single" w:sz="6" w:space="0" w:color="999999"/>
            </w:tcBorders>
            <w:shd w:val="clear" w:color="auto" w:fill="F0F4F8"/>
            <w:hideMark/>
          </w:tcPr>
          <w:p w14:paraId="377BD2D0"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Political delivery, cost control, public satisfaction </w:t>
            </w:r>
          </w:p>
        </w:tc>
        <w:tc>
          <w:tcPr>
            <w:tcW w:w="3525" w:type="dxa"/>
            <w:tcBorders>
              <w:top w:val="single" w:sz="6" w:space="0" w:color="999999"/>
              <w:left w:val="single" w:sz="6" w:space="0" w:color="999999"/>
              <w:bottom w:val="single" w:sz="6" w:space="0" w:color="999999"/>
              <w:right w:val="single" w:sz="6" w:space="0" w:color="999999"/>
            </w:tcBorders>
            <w:shd w:val="clear" w:color="auto" w:fill="F0F4F8"/>
            <w:hideMark/>
          </w:tcPr>
          <w:p w14:paraId="24534F54"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Monthly Project Board; formal progress and exception reports </w:t>
            </w:r>
          </w:p>
        </w:tc>
      </w:tr>
      <w:tr w:rsidR="008801C1" w:rsidRPr="008801C1" w14:paraId="0367D875"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FFFFF"/>
            <w:hideMark/>
          </w:tcPr>
          <w:p w14:paraId="2F6F85DB"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Transport Users </w:t>
            </w:r>
          </w:p>
        </w:tc>
        <w:tc>
          <w:tcPr>
            <w:tcW w:w="3390" w:type="dxa"/>
            <w:tcBorders>
              <w:top w:val="single" w:sz="6" w:space="0" w:color="999999"/>
              <w:left w:val="single" w:sz="6" w:space="0" w:color="999999"/>
              <w:bottom w:val="single" w:sz="6" w:space="0" w:color="999999"/>
              <w:right w:val="single" w:sz="6" w:space="0" w:color="999999"/>
            </w:tcBorders>
            <w:shd w:val="clear" w:color="auto" w:fill="FFFFFF"/>
            <w:hideMark/>
          </w:tcPr>
          <w:p w14:paraId="646EF068"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Service continuity, journey times, accessibility </w:t>
            </w:r>
          </w:p>
        </w:tc>
        <w:tc>
          <w:tcPr>
            <w:tcW w:w="3525" w:type="dxa"/>
            <w:tcBorders>
              <w:top w:val="single" w:sz="6" w:space="0" w:color="999999"/>
              <w:left w:val="single" w:sz="6" w:space="0" w:color="999999"/>
              <w:bottom w:val="single" w:sz="6" w:space="0" w:color="999999"/>
              <w:right w:val="single" w:sz="6" w:space="0" w:color="999999"/>
            </w:tcBorders>
            <w:shd w:val="clear" w:color="auto" w:fill="FFFFFF"/>
            <w:hideMark/>
          </w:tcPr>
          <w:p w14:paraId="0F09BB6C"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Public consultations; real-time information campaigns; user forums </w:t>
            </w:r>
          </w:p>
        </w:tc>
      </w:tr>
      <w:tr w:rsidR="008801C1" w:rsidRPr="008801C1" w14:paraId="23C275A5"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0F4F8"/>
            <w:hideMark/>
          </w:tcPr>
          <w:p w14:paraId="41E7B926"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Local Businesses </w:t>
            </w:r>
          </w:p>
        </w:tc>
        <w:tc>
          <w:tcPr>
            <w:tcW w:w="3390" w:type="dxa"/>
            <w:tcBorders>
              <w:top w:val="single" w:sz="6" w:space="0" w:color="999999"/>
              <w:left w:val="single" w:sz="6" w:space="0" w:color="999999"/>
              <w:bottom w:val="single" w:sz="6" w:space="0" w:color="999999"/>
              <w:right w:val="single" w:sz="6" w:space="0" w:color="999999"/>
            </w:tcBorders>
            <w:shd w:val="clear" w:color="auto" w:fill="F0F4F8"/>
            <w:hideMark/>
          </w:tcPr>
          <w:p w14:paraId="71B6CCEE"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Minimised disruption, economic recovery, access </w:t>
            </w:r>
          </w:p>
        </w:tc>
        <w:tc>
          <w:tcPr>
            <w:tcW w:w="3525" w:type="dxa"/>
            <w:tcBorders>
              <w:top w:val="single" w:sz="6" w:space="0" w:color="999999"/>
              <w:left w:val="single" w:sz="6" w:space="0" w:color="999999"/>
              <w:bottom w:val="single" w:sz="6" w:space="0" w:color="999999"/>
              <w:right w:val="single" w:sz="6" w:space="0" w:color="999999"/>
            </w:tcBorders>
            <w:shd w:val="clear" w:color="auto" w:fill="F0F4F8"/>
            <w:hideMark/>
          </w:tcPr>
          <w:p w14:paraId="0CE0B668"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Business liaison forums; advance works notices; disruption compensation protocol </w:t>
            </w:r>
          </w:p>
        </w:tc>
      </w:tr>
      <w:tr w:rsidR="008801C1" w:rsidRPr="008801C1" w14:paraId="3B7A9060"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FFFFF"/>
            <w:hideMark/>
          </w:tcPr>
          <w:p w14:paraId="762807D1"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Community Groups </w:t>
            </w:r>
          </w:p>
        </w:tc>
        <w:tc>
          <w:tcPr>
            <w:tcW w:w="3390" w:type="dxa"/>
            <w:tcBorders>
              <w:top w:val="single" w:sz="6" w:space="0" w:color="999999"/>
              <w:left w:val="single" w:sz="6" w:space="0" w:color="999999"/>
              <w:bottom w:val="single" w:sz="6" w:space="0" w:color="999999"/>
              <w:right w:val="single" w:sz="6" w:space="0" w:color="999999"/>
            </w:tcBorders>
            <w:shd w:val="clear" w:color="auto" w:fill="FFFFFF"/>
            <w:hideMark/>
          </w:tcPr>
          <w:p w14:paraId="78C0C4B3"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Inclusive design, environmental impact, local benefit </w:t>
            </w:r>
          </w:p>
        </w:tc>
        <w:tc>
          <w:tcPr>
            <w:tcW w:w="3525" w:type="dxa"/>
            <w:tcBorders>
              <w:top w:val="single" w:sz="6" w:space="0" w:color="999999"/>
              <w:left w:val="single" w:sz="6" w:space="0" w:color="999999"/>
              <w:bottom w:val="single" w:sz="6" w:space="0" w:color="999999"/>
              <w:right w:val="single" w:sz="6" w:space="0" w:color="999999"/>
            </w:tcBorders>
            <w:shd w:val="clear" w:color="auto" w:fill="FFFFFF"/>
            <w:hideMark/>
          </w:tcPr>
          <w:p w14:paraId="1646F6E6"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Design workshops; community liaison officers; benefit-sharing discussions </w:t>
            </w:r>
          </w:p>
        </w:tc>
      </w:tr>
      <w:tr w:rsidR="008801C1" w:rsidRPr="008801C1" w14:paraId="6B12D863"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0F4F8"/>
            <w:hideMark/>
          </w:tcPr>
          <w:p w14:paraId="68017CE7"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Investors &amp; Funders </w:t>
            </w:r>
          </w:p>
        </w:tc>
        <w:tc>
          <w:tcPr>
            <w:tcW w:w="3390" w:type="dxa"/>
            <w:tcBorders>
              <w:top w:val="single" w:sz="6" w:space="0" w:color="999999"/>
              <w:left w:val="single" w:sz="6" w:space="0" w:color="999999"/>
              <w:bottom w:val="single" w:sz="6" w:space="0" w:color="999999"/>
              <w:right w:val="single" w:sz="6" w:space="0" w:color="999999"/>
            </w:tcBorders>
            <w:shd w:val="clear" w:color="auto" w:fill="F0F4F8"/>
            <w:hideMark/>
          </w:tcPr>
          <w:p w14:paraId="1C219571"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Value for money, risk transparency, benefits realisation </w:t>
            </w:r>
          </w:p>
        </w:tc>
        <w:tc>
          <w:tcPr>
            <w:tcW w:w="3525" w:type="dxa"/>
            <w:tcBorders>
              <w:top w:val="single" w:sz="6" w:space="0" w:color="999999"/>
              <w:left w:val="single" w:sz="6" w:space="0" w:color="999999"/>
              <w:bottom w:val="single" w:sz="6" w:space="0" w:color="999999"/>
              <w:right w:val="single" w:sz="6" w:space="0" w:color="999999"/>
            </w:tcBorders>
            <w:shd w:val="clear" w:color="auto" w:fill="F0F4F8"/>
            <w:hideMark/>
          </w:tcPr>
          <w:p w14:paraId="4F6EDCA0"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Stage-gate reviews; independent assurance; benefits tracking reports </w:t>
            </w:r>
          </w:p>
        </w:tc>
      </w:tr>
      <w:tr w:rsidR="008801C1" w:rsidRPr="008801C1" w14:paraId="2911AAA5" w14:textId="77777777">
        <w:trPr>
          <w:trHeight w:val="300"/>
        </w:trPr>
        <w:tc>
          <w:tcPr>
            <w:tcW w:w="2100" w:type="dxa"/>
            <w:tcBorders>
              <w:top w:val="single" w:sz="6" w:space="0" w:color="999999"/>
              <w:left w:val="single" w:sz="6" w:space="0" w:color="999999"/>
              <w:bottom w:val="single" w:sz="6" w:space="0" w:color="999999"/>
              <w:right w:val="single" w:sz="6" w:space="0" w:color="999999"/>
            </w:tcBorders>
            <w:shd w:val="clear" w:color="auto" w:fill="FFFFFF"/>
            <w:hideMark/>
          </w:tcPr>
          <w:p w14:paraId="4D044E3E"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Regulatory Bodies </w:t>
            </w:r>
          </w:p>
        </w:tc>
        <w:tc>
          <w:tcPr>
            <w:tcW w:w="3390" w:type="dxa"/>
            <w:tcBorders>
              <w:top w:val="single" w:sz="6" w:space="0" w:color="999999"/>
              <w:left w:val="single" w:sz="6" w:space="0" w:color="999999"/>
              <w:bottom w:val="single" w:sz="6" w:space="0" w:color="999999"/>
              <w:right w:val="single" w:sz="6" w:space="0" w:color="999999"/>
            </w:tcBorders>
            <w:shd w:val="clear" w:color="auto" w:fill="FFFFFF"/>
            <w:hideMark/>
          </w:tcPr>
          <w:p w14:paraId="393A792A"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Safety, environmental compliance, planning conditions </w:t>
            </w:r>
          </w:p>
        </w:tc>
        <w:tc>
          <w:tcPr>
            <w:tcW w:w="3525" w:type="dxa"/>
            <w:tcBorders>
              <w:top w:val="single" w:sz="6" w:space="0" w:color="999999"/>
              <w:left w:val="single" w:sz="6" w:space="0" w:color="999999"/>
              <w:bottom w:val="single" w:sz="6" w:space="0" w:color="999999"/>
              <w:right w:val="single" w:sz="6" w:space="0" w:color="999999"/>
            </w:tcBorders>
            <w:shd w:val="clear" w:color="auto" w:fill="FFFFFF"/>
            <w:hideMark/>
          </w:tcPr>
          <w:p w14:paraId="13471587" w14:textId="77777777" w:rsidR="008801C1" w:rsidRPr="008801C1" w:rsidRDefault="008801C1" w:rsidP="008801C1">
            <w:pPr>
              <w:rPr>
                <w:rFonts w:ascii="Times New Roman" w:hAnsi="Times New Roman" w:cs="Times New Roman"/>
              </w:rPr>
            </w:pPr>
            <w:r w:rsidRPr="008801C1">
              <w:rPr>
                <w:rFonts w:ascii="Times New Roman" w:hAnsi="Times New Roman" w:cs="Times New Roman"/>
              </w:rPr>
              <w:t>Statutory consultation; compliance monitoring; early warning of issues </w:t>
            </w:r>
          </w:p>
        </w:tc>
      </w:tr>
    </w:tbl>
    <w:p w14:paraId="25CC442D" w14:textId="2886B253" w:rsidR="008801C1" w:rsidRPr="008801C1" w:rsidRDefault="008801C1" w:rsidP="008801C1">
      <w:pPr>
        <w:jc w:val="center"/>
        <w:rPr>
          <w:rFonts w:ascii="Times New Roman" w:hAnsi="Times New Roman" w:cs="Times New Roman"/>
        </w:rPr>
      </w:pPr>
      <w:r w:rsidRPr="008801C1">
        <w:rPr>
          <w:rFonts w:ascii="Times New Roman" w:hAnsi="Times New Roman" w:cs="Times New Roman"/>
          <w:i/>
          <w:iCs/>
        </w:rPr>
        <w:t>Table 2: Stakeholder Groups, Interests and Engagement Approaches</w:t>
      </w:r>
    </w:p>
    <w:p w14:paraId="2EED2A7D" w14:textId="167FF8AB" w:rsidR="00142062" w:rsidRDefault="008801C1" w:rsidP="00142062">
      <w:pPr>
        <w:rPr>
          <w:rFonts w:ascii="Times New Roman" w:hAnsi="Times New Roman" w:cs="Times New Roman"/>
        </w:rPr>
      </w:pPr>
      <w:r w:rsidRPr="008801C1">
        <w:rPr>
          <w:rFonts w:ascii="Times New Roman" w:hAnsi="Times New Roman" w:cs="Times New Roman"/>
        </w:rPr>
        <w:t>High-power, high-interest stakeholders exist engaged through intensive two-way communication and formal representation on the Project Board or its sub-groups. Lower-interest groups receive targeted, swift updates. Sentiment is continuously monitored using structured surveys, social listening, and community feedback to enable rapid adjustment of interaction strategies. Accessibility groups and freight operators are given priority to ensure their functional requirements are maintained during the temporary works phase.</w:t>
      </w:r>
    </w:p>
    <w:p w14:paraId="5427876F" w14:textId="77777777" w:rsidR="00142062" w:rsidRDefault="00142062" w:rsidP="00142062">
      <w:pPr>
        <w:rPr>
          <w:rFonts w:ascii="Times New Roman" w:hAnsi="Times New Roman" w:cs="Times New Roman"/>
        </w:rPr>
      </w:pPr>
    </w:p>
    <w:p w14:paraId="536E9F31" w14:textId="77777777" w:rsidR="00142062" w:rsidRDefault="00142062" w:rsidP="00142062">
      <w:pPr>
        <w:rPr>
          <w:rFonts w:ascii="Times New Roman" w:hAnsi="Times New Roman" w:cs="Times New Roman"/>
        </w:rPr>
      </w:pPr>
    </w:p>
    <w:p w14:paraId="3FDC5F4B" w14:textId="77777777" w:rsidR="00142062" w:rsidRDefault="00142062" w:rsidP="00142062">
      <w:pPr>
        <w:rPr>
          <w:rFonts w:ascii="Times New Roman" w:hAnsi="Times New Roman" w:cs="Times New Roman"/>
        </w:rPr>
      </w:pPr>
    </w:p>
    <w:p w14:paraId="3BC3426B" w14:textId="77777777" w:rsidR="00142062" w:rsidRPr="00142062" w:rsidRDefault="00142062" w:rsidP="00142062">
      <w:pPr>
        <w:rPr>
          <w:rFonts w:ascii="Times New Roman" w:hAnsi="Times New Roman" w:cs="Times New Roman"/>
        </w:rPr>
      </w:pPr>
    </w:p>
    <w:p w14:paraId="09BE2B24" w14:textId="3EED4141" w:rsidR="009725B6" w:rsidRPr="00506527" w:rsidRDefault="009725B6" w:rsidP="00506527">
      <w:pPr>
        <w:pStyle w:val="Heading1"/>
        <w:rPr>
          <w:rFonts w:ascii="Times New Roman" w:hAnsi="Times New Roman" w:cs="Times New Roman"/>
          <w:sz w:val="24"/>
          <w:szCs w:val="24"/>
        </w:rPr>
      </w:pPr>
      <w:bookmarkStart w:id="10" w:name="_Toc235975671"/>
      <w:r w:rsidRPr="00506527">
        <w:rPr>
          <w:rFonts w:ascii="Times New Roman" w:hAnsi="Times New Roman" w:cs="Times New Roman"/>
          <w:sz w:val="24"/>
          <w:szCs w:val="24"/>
        </w:rPr>
        <w:lastRenderedPageBreak/>
        <w:t>8. Allocation of Resources</w:t>
      </w:r>
      <w:bookmarkEnd w:id="10"/>
      <w:r w:rsidRPr="00506527">
        <w:rPr>
          <w:rFonts w:ascii="Times New Roman" w:hAnsi="Times New Roman" w:cs="Times New Roman"/>
          <w:sz w:val="24"/>
          <w:szCs w:val="24"/>
        </w:rPr>
        <w:t xml:space="preserve"> </w:t>
      </w:r>
    </w:p>
    <w:p w14:paraId="5F89B2AF" w14:textId="22E0BB41"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Resource planning encompasses human, financial, material, and plant resources. The capital budget totals £850 million and incorporates a 15 </w:t>
      </w:r>
      <w:r>
        <w:rPr>
          <w:rFonts w:ascii="Times New Roman" w:hAnsi="Times New Roman" w:cs="Times New Roman"/>
        </w:rPr>
        <w:t>per cent</w:t>
      </w:r>
      <w:r w:rsidRPr="009725B6">
        <w:rPr>
          <w:rFonts w:ascii="Times New Roman" w:hAnsi="Times New Roman" w:cs="Times New Roman"/>
        </w:rPr>
        <w:t xml:space="preserve"> contingency reserve, determined through quantitative risk analysis. Funding sources include local authority capital contributions, Department for Transport grants, and private investment linked to commercial development opportunities within and adjacent to the completed hub.</w:t>
      </w:r>
    </w:p>
    <w:p w14:paraId="4098BCAA"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Human resources peak at approximately 1,200 personnel during the main construction phase. A core Project Management Office, comprising 35 professionals, oversees governance, planning, cost, risk, quality, and stakeholder management during the project lifecycle. Specialist teams in design, signalling, digital systems, and environmental management are engaged through multi-year framework contracts to guarantee both capacity and continuity of expertise. A dedicated supply-chain unit manages material and equipment logistics, maintaining dual-source arrangements for critical long-lead items such as switches, crossings, and major structural steel components.</w:t>
      </w:r>
    </w:p>
    <w:p w14:paraId="1437E8BE" w14:textId="56792543" w:rsidR="00142062" w:rsidRDefault="009725B6" w:rsidP="00142062">
      <w:pPr>
        <w:rPr>
          <w:rFonts w:ascii="Times New Roman" w:hAnsi="Times New Roman" w:cs="Times New Roman"/>
        </w:rPr>
      </w:pPr>
      <w:r w:rsidRPr="009725B6">
        <w:rPr>
          <w:rFonts w:ascii="Times New Roman" w:hAnsi="Times New Roman" w:cs="Times New Roman"/>
        </w:rPr>
        <w:t xml:space="preserve">Resource levelling is performed monthly against the approved baseline schedule. Early identification of capacity constraints results in either the re-sequencing of non-critical activities or additional procurement. Sustainability criteria are explicitly integrated into all major resource decisions, </w:t>
      </w:r>
      <w:r>
        <w:rPr>
          <w:rFonts w:ascii="Times New Roman" w:hAnsi="Times New Roman" w:cs="Times New Roman"/>
        </w:rPr>
        <w:t>prioritising</w:t>
      </w:r>
      <w:r w:rsidRPr="009725B6">
        <w:rPr>
          <w:rFonts w:ascii="Times New Roman" w:hAnsi="Times New Roman" w:cs="Times New Roman"/>
        </w:rPr>
        <w:t xml:space="preserve"> lower-carbon materials, local or regional supply, and high-efficiency plant where technical and whole-life cost requirements are satisfied. Regular resource histograms and cash-flow forecasts are submitted to the Project Board to facilitate anticipatory decision-making.</w:t>
      </w:r>
    </w:p>
    <w:p w14:paraId="4A7A6290" w14:textId="77777777" w:rsidR="00142062" w:rsidRDefault="00142062" w:rsidP="00142062">
      <w:pPr>
        <w:rPr>
          <w:rFonts w:ascii="Times New Roman" w:hAnsi="Times New Roman" w:cs="Times New Roman"/>
        </w:rPr>
      </w:pPr>
    </w:p>
    <w:p w14:paraId="0396519D" w14:textId="77777777" w:rsidR="00142062" w:rsidRDefault="00142062" w:rsidP="00142062">
      <w:pPr>
        <w:rPr>
          <w:rFonts w:ascii="Times New Roman" w:hAnsi="Times New Roman" w:cs="Times New Roman"/>
        </w:rPr>
      </w:pPr>
    </w:p>
    <w:p w14:paraId="0FACF5CD" w14:textId="77777777" w:rsidR="00142062" w:rsidRDefault="00142062" w:rsidP="00142062">
      <w:pPr>
        <w:rPr>
          <w:rFonts w:ascii="Times New Roman" w:hAnsi="Times New Roman" w:cs="Times New Roman"/>
        </w:rPr>
      </w:pPr>
    </w:p>
    <w:p w14:paraId="399FD442" w14:textId="77777777" w:rsidR="00142062" w:rsidRDefault="00142062" w:rsidP="00142062">
      <w:pPr>
        <w:rPr>
          <w:rFonts w:ascii="Times New Roman" w:hAnsi="Times New Roman" w:cs="Times New Roman"/>
        </w:rPr>
      </w:pPr>
    </w:p>
    <w:p w14:paraId="38B86C0D" w14:textId="77777777" w:rsidR="00142062" w:rsidRDefault="00142062" w:rsidP="00142062">
      <w:pPr>
        <w:rPr>
          <w:rFonts w:ascii="Times New Roman" w:hAnsi="Times New Roman" w:cs="Times New Roman"/>
        </w:rPr>
      </w:pPr>
    </w:p>
    <w:p w14:paraId="66CC088D" w14:textId="77777777" w:rsidR="00142062" w:rsidRDefault="00142062" w:rsidP="00142062">
      <w:pPr>
        <w:rPr>
          <w:rFonts w:ascii="Times New Roman" w:hAnsi="Times New Roman" w:cs="Times New Roman"/>
        </w:rPr>
      </w:pPr>
    </w:p>
    <w:p w14:paraId="54810EEE" w14:textId="77777777" w:rsidR="00142062" w:rsidRDefault="00142062" w:rsidP="00142062">
      <w:pPr>
        <w:rPr>
          <w:rFonts w:ascii="Times New Roman" w:hAnsi="Times New Roman" w:cs="Times New Roman"/>
        </w:rPr>
      </w:pPr>
    </w:p>
    <w:p w14:paraId="40B29C63" w14:textId="77777777" w:rsidR="00142062" w:rsidRDefault="00142062" w:rsidP="00142062">
      <w:pPr>
        <w:rPr>
          <w:rFonts w:ascii="Times New Roman" w:hAnsi="Times New Roman" w:cs="Times New Roman"/>
        </w:rPr>
      </w:pPr>
    </w:p>
    <w:p w14:paraId="1EF5AFFE" w14:textId="77777777" w:rsidR="00142062" w:rsidRDefault="00142062" w:rsidP="00142062">
      <w:pPr>
        <w:rPr>
          <w:rFonts w:ascii="Times New Roman" w:hAnsi="Times New Roman" w:cs="Times New Roman"/>
        </w:rPr>
      </w:pPr>
    </w:p>
    <w:p w14:paraId="0DBA00A2" w14:textId="77777777" w:rsidR="00142062" w:rsidRDefault="00142062" w:rsidP="00142062">
      <w:pPr>
        <w:rPr>
          <w:rFonts w:ascii="Times New Roman" w:hAnsi="Times New Roman" w:cs="Times New Roman"/>
        </w:rPr>
      </w:pPr>
    </w:p>
    <w:p w14:paraId="0D5ADDF1" w14:textId="77777777" w:rsidR="00142062" w:rsidRDefault="00142062" w:rsidP="00142062">
      <w:pPr>
        <w:rPr>
          <w:rFonts w:ascii="Times New Roman" w:hAnsi="Times New Roman" w:cs="Times New Roman"/>
        </w:rPr>
      </w:pPr>
    </w:p>
    <w:p w14:paraId="2FE8A95D" w14:textId="77777777" w:rsidR="00142062" w:rsidRPr="00142062" w:rsidRDefault="00142062" w:rsidP="00142062">
      <w:pPr>
        <w:rPr>
          <w:rFonts w:ascii="Times New Roman" w:hAnsi="Times New Roman" w:cs="Times New Roman"/>
        </w:rPr>
      </w:pPr>
    </w:p>
    <w:p w14:paraId="66EE6431" w14:textId="193B54FB" w:rsidR="009725B6" w:rsidRPr="00506527" w:rsidRDefault="009725B6" w:rsidP="00506527">
      <w:pPr>
        <w:pStyle w:val="Heading1"/>
        <w:rPr>
          <w:rFonts w:ascii="Times New Roman" w:hAnsi="Times New Roman" w:cs="Times New Roman"/>
          <w:sz w:val="24"/>
          <w:szCs w:val="24"/>
        </w:rPr>
      </w:pPr>
      <w:bookmarkStart w:id="11" w:name="_Toc235975672"/>
      <w:r w:rsidRPr="00506527">
        <w:rPr>
          <w:rFonts w:ascii="Times New Roman" w:hAnsi="Times New Roman" w:cs="Times New Roman"/>
          <w:sz w:val="24"/>
          <w:szCs w:val="24"/>
        </w:rPr>
        <w:lastRenderedPageBreak/>
        <w:t>9. Risk Analysis</w:t>
      </w:r>
      <w:bookmarkEnd w:id="11"/>
      <w:r w:rsidRPr="00506527">
        <w:rPr>
          <w:rFonts w:ascii="Times New Roman" w:hAnsi="Times New Roman" w:cs="Times New Roman"/>
          <w:sz w:val="24"/>
          <w:szCs w:val="24"/>
        </w:rPr>
        <w:t xml:space="preserve"> </w:t>
      </w:r>
    </w:p>
    <w:p w14:paraId="62869CA4"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Risk management adheres to a structured cycle comprising identification, qualitative and quantitative assessment, response planning, ownership assignment, monitoring, and control. Table 3 presents the principal risks identified during the planning stage, together with residual ratings following planned mitigations. This procedure is informed by established practices for major infrastructure projects and latest analyses of cost drivers in UK transport initiatives (</w:t>
      </w:r>
      <w:proofErr w:type="spellStart"/>
      <w:r w:rsidRPr="009725B6">
        <w:rPr>
          <w:rFonts w:ascii="Times New Roman" w:hAnsi="Times New Roman" w:cs="Times New Roman"/>
        </w:rPr>
        <w:t>Catalão</w:t>
      </w:r>
      <w:proofErr w:type="spellEnd"/>
      <w:r w:rsidRPr="009725B6">
        <w:rPr>
          <w:rFonts w:ascii="Times New Roman" w:hAnsi="Times New Roman" w:cs="Times New Roman"/>
        </w:rPr>
        <w:t xml:space="preserve"> et al., 2021; APM, 2019).</w:t>
      </w:r>
    </w:p>
    <w:tbl>
      <w:tblPr>
        <w:tblW w:w="95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9"/>
        <w:gridCol w:w="1252"/>
        <w:gridCol w:w="1154"/>
        <w:gridCol w:w="4310"/>
      </w:tblGrid>
      <w:tr w:rsidR="008801C1" w:rsidRPr="008801C1" w14:paraId="06D07343"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922B21"/>
            <w:hideMark/>
          </w:tcPr>
          <w:p w14:paraId="586890B8"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b/>
                <w:bCs/>
                <w:sz w:val="23"/>
                <w:szCs w:val="23"/>
              </w:rPr>
              <w:t>Risk Description</w:t>
            </w:r>
            <w:r w:rsidRPr="008801C1">
              <w:rPr>
                <w:rFonts w:ascii="Times New Roman" w:hAnsi="Times New Roman" w:cs="Times New Roman"/>
                <w:sz w:val="23"/>
                <w:szCs w:val="23"/>
              </w:rPr>
              <w:t> </w:t>
            </w:r>
          </w:p>
        </w:tc>
        <w:tc>
          <w:tcPr>
            <w:tcW w:w="1252" w:type="dxa"/>
            <w:tcBorders>
              <w:top w:val="single" w:sz="6" w:space="0" w:color="999999"/>
              <w:left w:val="single" w:sz="6" w:space="0" w:color="999999"/>
              <w:bottom w:val="single" w:sz="6" w:space="0" w:color="999999"/>
              <w:right w:val="single" w:sz="6" w:space="0" w:color="999999"/>
            </w:tcBorders>
            <w:shd w:val="clear" w:color="auto" w:fill="922B21"/>
            <w:hideMark/>
          </w:tcPr>
          <w:p w14:paraId="3E84C899"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b/>
                <w:bCs/>
                <w:sz w:val="23"/>
                <w:szCs w:val="23"/>
              </w:rPr>
              <w:t>Likelihood</w:t>
            </w:r>
            <w:r w:rsidRPr="008801C1">
              <w:rPr>
                <w:rFonts w:ascii="Times New Roman" w:hAnsi="Times New Roman" w:cs="Times New Roman"/>
                <w:sz w:val="23"/>
                <w:szCs w:val="23"/>
              </w:rPr>
              <w:t> </w:t>
            </w:r>
          </w:p>
        </w:tc>
        <w:tc>
          <w:tcPr>
            <w:tcW w:w="1154" w:type="dxa"/>
            <w:tcBorders>
              <w:top w:val="single" w:sz="6" w:space="0" w:color="999999"/>
              <w:left w:val="single" w:sz="6" w:space="0" w:color="999999"/>
              <w:bottom w:val="single" w:sz="6" w:space="0" w:color="999999"/>
              <w:right w:val="single" w:sz="6" w:space="0" w:color="999999"/>
            </w:tcBorders>
            <w:shd w:val="clear" w:color="auto" w:fill="922B21"/>
            <w:hideMark/>
          </w:tcPr>
          <w:p w14:paraId="071062B0"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b/>
                <w:bCs/>
                <w:sz w:val="23"/>
                <w:szCs w:val="23"/>
              </w:rPr>
              <w:t>Impact</w:t>
            </w:r>
            <w:r w:rsidRPr="008801C1">
              <w:rPr>
                <w:rFonts w:ascii="Times New Roman" w:hAnsi="Times New Roman" w:cs="Times New Roman"/>
                <w:sz w:val="23"/>
                <w:szCs w:val="23"/>
              </w:rPr>
              <w:t> </w:t>
            </w:r>
          </w:p>
        </w:tc>
        <w:tc>
          <w:tcPr>
            <w:tcW w:w="4310" w:type="dxa"/>
            <w:tcBorders>
              <w:top w:val="single" w:sz="6" w:space="0" w:color="999999"/>
              <w:left w:val="single" w:sz="6" w:space="0" w:color="999999"/>
              <w:bottom w:val="single" w:sz="6" w:space="0" w:color="999999"/>
              <w:right w:val="single" w:sz="6" w:space="0" w:color="999999"/>
            </w:tcBorders>
            <w:shd w:val="clear" w:color="auto" w:fill="922B21"/>
            <w:hideMark/>
          </w:tcPr>
          <w:p w14:paraId="1AA6A9E5"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b/>
                <w:bCs/>
                <w:sz w:val="23"/>
                <w:szCs w:val="23"/>
              </w:rPr>
              <w:t>Primary Mitigation</w:t>
            </w:r>
            <w:r w:rsidRPr="008801C1">
              <w:rPr>
                <w:rFonts w:ascii="Times New Roman" w:hAnsi="Times New Roman" w:cs="Times New Roman"/>
                <w:sz w:val="23"/>
                <w:szCs w:val="23"/>
              </w:rPr>
              <w:t> </w:t>
            </w:r>
          </w:p>
        </w:tc>
      </w:tr>
      <w:tr w:rsidR="008801C1" w:rsidRPr="008801C1" w14:paraId="2A42D057"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DEDEC"/>
            <w:hideMark/>
          </w:tcPr>
          <w:p w14:paraId="05E2863E"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Significant cost overrun relative to approved budget </w:t>
            </w:r>
          </w:p>
        </w:tc>
        <w:tc>
          <w:tcPr>
            <w:tcW w:w="1252" w:type="dxa"/>
            <w:tcBorders>
              <w:top w:val="single" w:sz="6" w:space="0" w:color="999999"/>
              <w:left w:val="single" w:sz="6" w:space="0" w:color="999999"/>
              <w:bottom w:val="single" w:sz="6" w:space="0" w:color="999999"/>
              <w:right w:val="single" w:sz="6" w:space="0" w:color="999999"/>
            </w:tcBorders>
            <w:shd w:val="clear" w:color="auto" w:fill="FDEDEC"/>
            <w:hideMark/>
          </w:tcPr>
          <w:p w14:paraId="5E44B524"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1154" w:type="dxa"/>
            <w:tcBorders>
              <w:top w:val="single" w:sz="6" w:space="0" w:color="999999"/>
              <w:left w:val="single" w:sz="6" w:space="0" w:color="999999"/>
              <w:bottom w:val="single" w:sz="6" w:space="0" w:color="999999"/>
              <w:right w:val="single" w:sz="6" w:space="0" w:color="999999"/>
            </w:tcBorders>
            <w:shd w:val="clear" w:color="auto" w:fill="FDEDEC"/>
            <w:hideMark/>
          </w:tcPr>
          <w:p w14:paraId="0CE5FDE6"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4310" w:type="dxa"/>
            <w:tcBorders>
              <w:top w:val="single" w:sz="6" w:space="0" w:color="999999"/>
              <w:left w:val="single" w:sz="6" w:space="0" w:color="999999"/>
              <w:bottom w:val="single" w:sz="6" w:space="0" w:color="999999"/>
              <w:right w:val="single" w:sz="6" w:space="0" w:color="999999"/>
            </w:tcBorders>
            <w:shd w:val="clear" w:color="auto" w:fill="FDEDEC"/>
            <w:hideMark/>
          </w:tcPr>
          <w:p w14:paraId="6E4A0F88"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15% quantified contingency; staged funding gates; independent cost assurance at each gate </w:t>
            </w:r>
          </w:p>
        </w:tc>
      </w:tr>
      <w:tr w:rsidR="008801C1" w:rsidRPr="008801C1" w14:paraId="1DE5025F"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FFFFF"/>
            <w:hideMark/>
          </w:tcPr>
          <w:p w14:paraId="603F5DDD"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Prolonged disruption to passenger and freight services </w:t>
            </w:r>
          </w:p>
        </w:tc>
        <w:tc>
          <w:tcPr>
            <w:tcW w:w="1252" w:type="dxa"/>
            <w:tcBorders>
              <w:top w:val="single" w:sz="6" w:space="0" w:color="999999"/>
              <w:left w:val="single" w:sz="6" w:space="0" w:color="999999"/>
              <w:bottom w:val="single" w:sz="6" w:space="0" w:color="999999"/>
              <w:right w:val="single" w:sz="6" w:space="0" w:color="999999"/>
            </w:tcBorders>
            <w:shd w:val="clear" w:color="auto" w:fill="FFFFFF"/>
            <w:hideMark/>
          </w:tcPr>
          <w:p w14:paraId="7A00D354"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1154" w:type="dxa"/>
            <w:tcBorders>
              <w:top w:val="single" w:sz="6" w:space="0" w:color="999999"/>
              <w:left w:val="single" w:sz="6" w:space="0" w:color="999999"/>
              <w:bottom w:val="single" w:sz="6" w:space="0" w:color="999999"/>
              <w:right w:val="single" w:sz="6" w:space="0" w:color="999999"/>
            </w:tcBorders>
            <w:shd w:val="clear" w:color="auto" w:fill="FFFFFF"/>
            <w:hideMark/>
          </w:tcPr>
          <w:p w14:paraId="0CB83AE0"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4310" w:type="dxa"/>
            <w:tcBorders>
              <w:top w:val="single" w:sz="6" w:space="0" w:color="999999"/>
              <w:left w:val="single" w:sz="6" w:space="0" w:color="999999"/>
              <w:bottom w:val="single" w:sz="6" w:space="0" w:color="999999"/>
              <w:right w:val="single" w:sz="6" w:space="0" w:color="999999"/>
            </w:tcBorders>
            <w:shd w:val="clear" w:color="auto" w:fill="FFFFFF"/>
            <w:hideMark/>
          </w:tcPr>
          <w:p w14:paraId="12B75282"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Robust temporary multimodal solution; carefully phased construction sequence; advance communication </w:t>
            </w:r>
          </w:p>
        </w:tc>
      </w:tr>
      <w:tr w:rsidR="008801C1" w:rsidRPr="008801C1" w14:paraId="4769CE3A"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DEDEC"/>
            <w:hideMark/>
          </w:tcPr>
          <w:p w14:paraId="7598B260"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Delay in specialist signalling or systems resources </w:t>
            </w:r>
          </w:p>
        </w:tc>
        <w:tc>
          <w:tcPr>
            <w:tcW w:w="1252" w:type="dxa"/>
            <w:tcBorders>
              <w:top w:val="single" w:sz="6" w:space="0" w:color="999999"/>
              <w:left w:val="single" w:sz="6" w:space="0" w:color="999999"/>
              <w:bottom w:val="single" w:sz="6" w:space="0" w:color="999999"/>
              <w:right w:val="single" w:sz="6" w:space="0" w:color="999999"/>
            </w:tcBorders>
            <w:shd w:val="clear" w:color="auto" w:fill="FDEDEC"/>
            <w:hideMark/>
          </w:tcPr>
          <w:p w14:paraId="7E001218"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1154" w:type="dxa"/>
            <w:tcBorders>
              <w:top w:val="single" w:sz="6" w:space="0" w:color="999999"/>
              <w:left w:val="single" w:sz="6" w:space="0" w:color="999999"/>
              <w:bottom w:val="single" w:sz="6" w:space="0" w:color="999999"/>
              <w:right w:val="single" w:sz="6" w:space="0" w:color="999999"/>
            </w:tcBorders>
            <w:shd w:val="clear" w:color="auto" w:fill="FDEDEC"/>
            <w:hideMark/>
          </w:tcPr>
          <w:p w14:paraId="63C3216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4310" w:type="dxa"/>
            <w:tcBorders>
              <w:top w:val="single" w:sz="6" w:space="0" w:color="999999"/>
              <w:left w:val="single" w:sz="6" w:space="0" w:color="999999"/>
              <w:bottom w:val="single" w:sz="6" w:space="0" w:color="999999"/>
              <w:right w:val="single" w:sz="6" w:space="0" w:color="999999"/>
            </w:tcBorders>
            <w:shd w:val="clear" w:color="auto" w:fill="FDEDEC"/>
            <w:hideMark/>
          </w:tcPr>
          <w:p w14:paraId="4FE60C11"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Early engagement of framework suppliers; dual sourcing of critical packages; schedule float </w:t>
            </w:r>
          </w:p>
        </w:tc>
      </w:tr>
      <w:tr w:rsidR="008801C1" w:rsidRPr="008801C1" w14:paraId="20941C76"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FFFFF"/>
            <w:hideMark/>
          </w:tcPr>
          <w:p w14:paraId="4119700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Planning, listed-building or environmental consent delay </w:t>
            </w:r>
          </w:p>
        </w:tc>
        <w:tc>
          <w:tcPr>
            <w:tcW w:w="1252" w:type="dxa"/>
            <w:tcBorders>
              <w:top w:val="single" w:sz="6" w:space="0" w:color="999999"/>
              <w:left w:val="single" w:sz="6" w:space="0" w:color="999999"/>
              <w:bottom w:val="single" w:sz="6" w:space="0" w:color="999999"/>
              <w:right w:val="single" w:sz="6" w:space="0" w:color="999999"/>
            </w:tcBorders>
            <w:shd w:val="clear" w:color="auto" w:fill="FFFFFF"/>
            <w:hideMark/>
          </w:tcPr>
          <w:p w14:paraId="07EC4232"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1154" w:type="dxa"/>
            <w:tcBorders>
              <w:top w:val="single" w:sz="6" w:space="0" w:color="999999"/>
              <w:left w:val="single" w:sz="6" w:space="0" w:color="999999"/>
              <w:bottom w:val="single" w:sz="6" w:space="0" w:color="999999"/>
              <w:right w:val="single" w:sz="6" w:space="0" w:color="999999"/>
            </w:tcBorders>
            <w:shd w:val="clear" w:color="auto" w:fill="FFFFFF"/>
            <w:hideMark/>
          </w:tcPr>
          <w:p w14:paraId="0DB436B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4310" w:type="dxa"/>
            <w:tcBorders>
              <w:top w:val="single" w:sz="6" w:space="0" w:color="999999"/>
              <w:left w:val="single" w:sz="6" w:space="0" w:color="999999"/>
              <w:bottom w:val="single" w:sz="6" w:space="0" w:color="999999"/>
              <w:right w:val="single" w:sz="6" w:space="0" w:color="999999"/>
            </w:tcBorders>
            <w:shd w:val="clear" w:color="auto" w:fill="FFFFFF"/>
            <w:hideMark/>
          </w:tcPr>
          <w:p w14:paraId="55A4711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Pre-application consultation; dedicated EIA and heritage team; contingency programme float </w:t>
            </w:r>
          </w:p>
        </w:tc>
      </w:tr>
      <w:tr w:rsidR="008801C1" w:rsidRPr="008801C1" w14:paraId="7C85C05E"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DEDEC"/>
            <w:hideMark/>
          </w:tcPr>
          <w:p w14:paraId="6D1493CF"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Stakeholder or community opposition leading to delay </w:t>
            </w:r>
          </w:p>
        </w:tc>
        <w:tc>
          <w:tcPr>
            <w:tcW w:w="1252" w:type="dxa"/>
            <w:tcBorders>
              <w:top w:val="single" w:sz="6" w:space="0" w:color="999999"/>
              <w:left w:val="single" w:sz="6" w:space="0" w:color="999999"/>
              <w:bottom w:val="single" w:sz="6" w:space="0" w:color="999999"/>
              <w:right w:val="single" w:sz="6" w:space="0" w:color="999999"/>
            </w:tcBorders>
            <w:shd w:val="clear" w:color="auto" w:fill="FDEDEC"/>
            <w:hideMark/>
          </w:tcPr>
          <w:p w14:paraId="49776E33"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1154" w:type="dxa"/>
            <w:tcBorders>
              <w:top w:val="single" w:sz="6" w:space="0" w:color="999999"/>
              <w:left w:val="single" w:sz="6" w:space="0" w:color="999999"/>
              <w:bottom w:val="single" w:sz="6" w:space="0" w:color="999999"/>
              <w:right w:val="single" w:sz="6" w:space="0" w:color="999999"/>
            </w:tcBorders>
            <w:shd w:val="clear" w:color="auto" w:fill="FDEDEC"/>
            <w:hideMark/>
          </w:tcPr>
          <w:p w14:paraId="05CB7A11"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4310" w:type="dxa"/>
            <w:tcBorders>
              <w:top w:val="single" w:sz="6" w:space="0" w:color="999999"/>
              <w:left w:val="single" w:sz="6" w:space="0" w:color="999999"/>
              <w:bottom w:val="single" w:sz="6" w:space="0" w:color="999999"/>
              <w:right w:val="single" w:sz="6" w:space="0" w:color="999999"/>
            </w:tcBorders>
            <w:shd w:val="clear" w:color="auto" w:fill="FDEDEC"/>
            <w:hideMark/>
          </w:tcPr>
          <w:p w14:paraId="6A1681FD"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Continuous structured engagement; transparent benefits communication; rapid issues resolution </w:t>
            </w:r>
          </w:p>
        </w:tc>
      </w:tr>
      <w:tr w:rsidR="008801C1" w:rsidRPr="008801C1" w14:paraId="22311146" w14:textId="77777777" w:rsidTr="008801C1">
        <w:trPr>
          <w:trHeight w:val="245"/>
        </w:trPr>
        <w:tc>
          <w:tcPr>
            <w:tcW w:w="2829" w:type="dxa"/>
            <w:tcBorders>
              <w:top w:val="single" w:sz="6" w:space="0" w:color="999999"/>
              <w:left w:val="single" w:sz="6" w:space="0" w:color="999999"/>
              <w:bottom w:val="single" w:sz="6" w:space="0" w:color="999999"/>
              <w:right w:val="single" w:sz="6" w:space="0" w:color="999999"/>
            </w:tcBorders>
            <w:shd w:val="clear" w:color="auto" w:fill="FFFFFF"/>
            <w:hideMark/>
          </w:tcPr>
          <w:p w14:paraId="3231C0D9"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Supply-chain inflation or critical material shortage </w:t>
            </w:r>
          </w:p>
        </w:tc>
        <w:tc>
          <w:tcPr>
            <w:tcW w:w="1252" w:type="dxa"/>
            <w:tcBorders>
              <w:top w:val="single" w:sz="6" w:space="0" w:color="999999"/>
              <w:left w:val="single" w:sz="6" w:space="0" w:color="999999"/>
              <w:bottom w:val="single" w:sz="6" w:space="0" w:color="999999"/>
              <w:right w:val="single" w:sz="6" w:space="0" w:color="999999"/>
            </w:tcBorders>
            <w:shd w:val="clear" w:color="auto" w:fill="FFFFFF"/>
            <w:hideMark/>
          </w:tcPr>
          <w:p w14:paraId="39C0117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1154" w:type="dxa"/>
            <w:tcBorders>
              <w:top w:val="single" w:sz="6" w:space="0" w:color="999999"/>
              <w:left w:val="single" w:sz="6" w:space="0" w:color="999999"/>
              <w:bottom w:val="single" w:sz="6" w:space="0" w:color="999999"/>
              <w:right w:val="single" w:sz="6" w:space="0" w:color="999999"/>
            </w:tcBorders>
            <w:shd w:val="clear" w:color="auto" w:fill="FFFFFF"/>
            <w:hideMark/>
          </w:tcPr>
          <w:p w14:paraId="186B94E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Medium </w:t>
            </w:r>
          </w:p>
        </w:tc>
        <w:tc>
          <w:tcPr>
            <w:tcW w:w="4310" w:type="dxa"/>
            <w:tcBorders>
              <w:top w:val="single" w:sz="6" w:space="0" w:color="999999"/>
              <w:left w:val="single" w:sz="6" w:space="0" w:color="999999"/>
              <w:bottom w:val="single" w:sz="6" w:space="0" w:color="999999"/>
              <w:right w:val="single" w:sz="6" w:space="0" w:color="999999"/>
            </w:tcBorders>
            <w:shd w:val="clear" w:color="auto" w:fill="FFFFFF"/>
            <w:hideMark/>
          </w:tcPr>
          <w:p w14:paraId="723CD129"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Early procurement of long-lead items; price-fluctuation clauses; strategic stockpiling where justified </w:t>
            </w:r>
          </w:p>
        </w:tc>
      </w:tr>
      <w:tr w:rsidR="008801C1" w:rsidRPr="008801C1" w14:paraId="17AD322E" w14:textId="77777777" w:rsidTr="008801C1">
        <w:trPr>
          <w:trHeight w:val="801"/>
        </w:trPr>
        <w:tc>
          <w:tcPr>
            <w:tcW w:w="2829" w:type="dxa"/>
            <w:tcBorders>
              <w:top w:val="single" w:sz="6" w:space="0" w:color="999999"/>
              <w:left w:val="single" w:sz="6" w:space="0" w:color="999999"/>
              <w:bottom w:val="single" w:sz="6" w:space="0" w:color="999999"/>
              <w:right w:val="single" w:sz="6" w:space="0" w:color="999999"/>
            </w:tcBorders>
            <w:shd w:val="clear" w:color="auto" w:fill="FDEDEC"/>
            <w:hideMark/>
          </w:tcPr>
          <w:p w14:paraId="4F707C2D"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Interface failure between digital, signalling and operational systems </w:t>
            </w:r>
          </w:p>
        </w:tc>
        <w:tc>
          <w:tcPr>
            <w:tcW w:w="1252" w:type="dxa"/>
            <w:tcBorders>
              <w:top w:val="single" w:sz="6" w:space="0" w:color="999999"/>
              <w:left w:val="single" w:sz="6" w:space="0" w:color="999999"/>
              <w:bottom w:val="single" w:sz="6" w:space="0" w:color="999999"/>
              <w:right w:val="single" w:sz="6" w:space="0" w:color="999999"/>
            </w:tcBorders>
            <w:shd w:val="clear" w:color="auto" w:fill="FDEDEC"/>
            <w:hideMark/>
          </w:tcPr>
          <w:p w14:paraId="2958AAB5"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Low </w:t>
            </w:r>
          </w:p>
        </w:tc>
        <w:tc>
          <w:tcPr>
            <w:tcW w:w="1154" w:type="dxa"/>
            <w:tcBorders>
              <w:top w:val="single" w:sz="6" w:space="0" w:color="999999"/>
              <w:left w:val="single" w:sz="6" w:space="0" w:color="999999"/>
              <w:bottom w:val="single" w:sz="6" w:space="0" w:color="999999"/>
              <w:right w:val="single" w:sz="6" w:space="0" w:color="999999"/>
            </w:tcBorders>
            <w:shd w:val="clear" w:color="auto" w:fill="FDEDEC"/>
            <w:hideMark/>
          </w:tcPr>
          <w:p w14:paraId="4999ABDC"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High </w:t>
            </w:r>
          </w:p>
        </w:tc>
        <w:tc>
          <w:tcPr>
            <w:tcW w:w="4310" w:type="dxa"/>
            <w:tcBorders>
              <w:top w:val="single" w:sz="6" w:space="0" w:color="999999"/>
              <w:left w:val="single" w:sz="6" w:space="0" w:color="999999"/>
              <w:bottom w:val="single" w:sz="6" w:space="0" w:color="999999"/>
              <w:right w:val="single" w:sz="6" w:space="0" w:color="999999"/>
            </w:tcBorders>
            <w:shd w:val="clear" w:color="auto" w:fill="FDEDEC"/>
            <w:hideMark/>
          </w:tcPr>
          <w:p w14:paraId="2762E30D" w14:textId="77777777" w:rsidR="008801C1" w:rsidRPr="008801C1" w:rsidRDefault="008801C1" w:rsidP="008801C1">
            <w:pPr>
              <w:rPr>
                <w:rFonts w:ascii="Times New Roman" w:hAnsi="Times New Roman" w:cs="Times New Roman"/>
                <w:sz w:val="23"/>
                <w:szCs w:val="23"/>
              </w:rPr>
            </w:pPr>
            <w:r w:rsidRPr="008801C1">
              <w:rPr>
                <w:rFonts w:ascii="Times New Roman" w:hAnsi="Times New Roman" w:cs="Times New Roman"/>
                <w:sz w:val="23"/>
                <w:szCs w:val="23"/>
              </w:rPr>
              <w:t>Integrated systems testing regime; digital-twin simulation; staged commissioning </w:t>
            </w:r>
          </w:p>
        </w:tc>
      </w:tr>
    </w:tbl>
    <w:p w14:paraId="6A6ADAFC" w14:textId="340EC2AA" w:rsidR="008801C1" w:rsidRPr="008801C1" w:rsidRDefault="008801C1" w:rsidP="008801C1">
      <w:pPr>
        <w:jc w:val="center"/>
        <w:rPr>
          <w:rFonts w:ascii="Times New Roman" w:hAnsi="Times New Roman" w:cs="Times New Roman"/>
        </w:rPr>
      </w:pPr>
      <w:r w:rsidRPr="008801C1">
        <w:rPr>
          <w:rFonts w:ascii="Times New Roman" w:hAnsi="Times New Roman" w:cs="Times New Roman"/>
          <w:i/>
          <w:iCs/>
        </w:rPr>
        <w:t>Table 3: Principal Project Risks and Mitigations</w:t>
      </w:r>
    </w:p>
    <w:p w14:paraId="6F9B9D2C" w14:textId="77777777" w:rsidR="009725B6" w:rsidRDefault="009725B6" w:rsidP="009725B6">
      <w:pPr>
        <w:rPr>
          <w:rFonts w:ascii="Times New Roman" w:hAnsi="Times New Roman" w:cs="Times New Roman"/>
        </w:rPr>
      </w:pPr>
      <w:r w:rsidRPr="009725B6">
        <w:rPr>
          <w:rFonts w:ascii="Times New Roman" w:hAnsi="Times New Roman" w:cs="Times New Roman"/>
        </w:rPr>
        <w:t>Designated members of the Project Board or the Project Management Office assume responsibility for risk ownership. The core team carries out monthly reviews of the risk register and provides updates to the Board during each formal meeting. For the most major risks, quantitative analyses of schedule and cost, including examination of correlations among major risk drivers, are used to supplement qualitative evaluations. Residual risks that surpass the Board’s tolerance are escalated for formal consideration of additional contingency measures, insurance, or controlled scope adjustments. Insights from previous UK transport projects inform the identification of political and external cost drivers that could otherwise be overlooked (</w:t>
      </w:r>
      <w:proofErr w:type="spellStart"/>
      <w:r w:rsidRPr="009725B6">
        <w:rPr>
          <w:rFonts w:ascii="Times New Roman" w:hAnsi="Times New Roman" w:cs="Times New Roman"/>
        </w:rPr>
        <w:t>Catalão</w:t>
      </w:r>
      <w:proofErr w:type="spellEnd"/>
      <w:r w:rsidRPr="009725B6">
        <w:rPr>
          <w:rFonts w:ascii="Times New Roman" w:hAnsi="Times New Roman" w:cs="Times New Roman"/>
        </w:rPr>
        <w:t xml:space="preserve"> et al., 2021).</w:t>
      </w:r>
    </w:p>
    <w:p w14:paraId="4786687D" w14:textId="77777777" w:rsidR="00142062" w:rsidRPr="009725B6" w:rsidRDefault="00142062" w:rsidP="009725B6">
      <w:pPr>
        <w:rPr>
          <w:rFonts w:ascii="Times New Roman" w:hAnsi="Times New Roman" w:cs="Times New Roman"/>
        </w:rPr>
      </w:pPr>
    </w:p>
    <w:p w14:paraId="6002C3D9" w14:textId="77777777" w:rsidR="009725B6" w:rsidRPr="00506527" w:rsidRDefault="009725B6" w:rsidP="00506527">
      <w:pPr>
        <w:pStyle w:val="Heading1"/>
        <w:rPr>
          <w:rFonts w:ascii="Times New Roman" w:hAnsi="Times New Roman" w:cs="Times New Roman"/>
          <w:sz w:val="24"/>
          <w:szCs w:val="24"/>
        </w:rPr>
      </w:pPr>
      <w:bookmarkStart w:id="12" w:name="_Toc235975673"/>
      <w:r w:rsidRPr="00506527">
        <w:rPr>
          <w:rFonts w:ascii="Times New Roman" w:hAnsi="Times New Roman" w:cs="Times New Roman"/>
          <w:sz w:val="24"/>
          <w:szCs w:val="24"/>
        </w:rPr>
        <w:t>10. Conclusion</w:t>
      </w:r>
      <w:bookmarkEnd w:id="12"/>
      <w:r w:rsidRPr="00506527">
        <w:rPr>
          <w:rFonts w:ascii="Times New Roman" w:hAnsi="Times New Roman" w:cs="Times New Roman"/>
          <w:sz w:val="24"/>
          <w:szCs w:val="24"/>
        </w:rPr>
        <w:t xml:space="preserve"> </w:t>
      </w:r>
    </w:p>
    <w:p w14:paraId="65205164"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The Project Management Plan delivers a structured and actionable framework for the redevelopment of the central transport hub. Clearly defined objectives, a focused project scope, a hierarchical work breakdown structure, and visual management tools such as the Quad Chart and Gantt Chart, together with a realistic, risk-informed schedule, structured stakeholder engagement, disciplined resource assignment, and active risk management, jointly enable the controlled delivery of this complex project, even in urgent circumstances.</w:t>
      </w:r>
    </w:p>
    <w:p w14:paraId="23DF694F" w14:textId="3036A43F"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The application of hybrid project management approaches, </w:t>
      </w:r>
      <w:r>
        <w:rPr>
          <w:rFonts w:ascii="Times New Roman" w:hAnsi="Times New Roman" w:cs="Times New Roman"/>
        </w:rPr>
        <w:t>customised to major transport infrastructure, ensures governance accountability while providing the flexibility required for digital systems and evolving stakeholder expectations</w:t>
      </w:r>
      <w:r w:rsidRPr="009725B6">
        <w:rPr>
          <w:rFonts w:ascii="Times New Roman" w:hAnsi="Times New Roman" w:cs="Times New Roman"/>
        </w:rPr>
        <w:t>. Regular stage-gate reviews, open reporting, and continuous stakeholder engagement coordinate technical delivery with the city’s wider economic, social, and environmental objectives.</w:t>
      </w:r>
    </w:p>
    <w:p w14:paraId="3D368A73" w14:textId="30A230AD" w:rsidR="008801C1" w:rsidRPr="008801C1" w:rsidRDefault="009725B6" w:rsidP="008801C1">
      <w:pPr>
        <w:rPr>
          <w:rFonts w:ascii="Times New Roman" w:hAnsi="Times New Roman" w:cs="Times New Roman"/>
        </w:rPr>
      </w:pPr>
      <w:r w:rsidRPr="009725B6">
        <w:rPr>
          <w:rFonts w:ascii="Times New Roman" w:hAnsi="Times New Roman" w:cs="Times New Roman"/>
        </w:rPr>
        <w:t>Effective execution of this plan will restore essential multimodal connectivity, decrease operational emissions, boost accessibility for all users, and generate enduring economic and social benefits for the city and its communities. Sustained commitment from all stakeholders to the governance, resource, and risk management measures outlined is critical to attaining these outcomes within the approved timeframe and budget.</w:t>
      </w:r>
    </w:p>
    <w:p w14:paraId="69E564B2" w14:textId="77777777" w:rsidR="00142062" w:rsidRDefault="00142062" w:rsidP="009725B6">
      <w:pPr>
        <w:rPr>
          <w:rFonts w:ascii="Times New Roman" w:hAnsi="Times New Roman" w:cs="Times New Roman"/>
          <w:b/>
          <w:bCs/>
        </w:rPr>
      </w:pPr>
    </w:p>
    <w:p w14:paraId="7504195D" w14:textId="77777777" w:rsidR="00142062" w:rsidRDefault="00142062" w:rsidP="009725B6">
      <w:pPr>
        <w:rPr>
          <w:rFonts w:ascii="Times New Roman" w:hAnsi="Times New Roman" w:cs="Times New Roman"/>
          <w:b/>
          <w:bCs/>
        </w:rPr>
      </w:pPr>
    </w:p>
    <w:p w14:paraId="01B4C924" w14:textId="77777777" w:rsidR="00142062" w:rsidRDefault="00142062" w:rsidP="009725B6">
      <w:pPr>
        <w:rPr>
          <w:rFonts w:ascii="Times New Roman" w:hAnsi="Times New Roman" w:cs="Times New Roman"/>
          <w:b/>
          <w:bCs/>
        </w:rPr>
      </w:pPr>
    </w:p>
    <w:p w14:paraId="65E0CAAA" w14:textId="77777777" w:rsidR="00142062" w:rsidRDefault="00142062" w:rsidP="009725B6">
      <w:pPr>
        <w:rPr>
          <w:rFonts w:ascii="Times New Roman" w:hAnsi="Times New Roman" w:cs="Times New Roman"/>
          <w:b/>
          <w:bCs/>
        </w:rPr>
      </w:pPr>
    </w:p>
    <w:p w14:paraId="5449DA7D" w14:textId="77777777" w:rsidR="00142062" w:rsidRDefault="00142062" w:rsidP="009725B6">
      <w:pPr>
        <w:rPr>
          <w:rFonts w:ascii="Times New Roman" w:hAnsi="Times New Roman" w:cs="Times New Roman"/>
          <w:b/>
          <w:bCs/>
        </w:rPr>
      </w:pPr>
    </w:p>
    <w:p w14:paraId="48358EF5" w14:textId="77777777" w:rsidR="00142062" w:rsidRDefault="00142062" w:rsidP="009725B6">
      <w:pPr>
        <w:rPr>
          <w:rFonts w:ascii="Times New Roman" w:hAnsi="Times New Roman" w:cs="Times New Roman"/>
          <w:b/>
          <w:bCs/>
        </w:rPr>
      </w:pPr>
    </w:p>
    <w:p w14:paraId="033D977E" w14:textId="77777777" w:rsidR="00142062" w:rsidRDefault="00142062" w:rsidP="009725B6">
      <w:pPr>
        <w:rPr>
          <w:rFonts w:ascii="Times New Roman" w:hAnsi="Times New Roman" w:cs="Times New Roman"/>
          <w:b/>
          <w:bCs/>
        </w:rPr>
      </w:pPr>
    </w:p>
    <w:p w14:paraId="52C35614" w14:textId="77777777" w:rsidR="00142062" w:rsidRDefault="00142062" w:rsidP="009725B6">
      <w:pPr>
        <w:rPr>
          <w:rFonts w:ascii="Times New Roman" w:hAnsi="Times New Roman" w:cs="Times New Roman"/>
          <w:b/>
          <w:bCs/>
        </w:rPr>
      </w:pPr>
    </w:p>
    <w:p w14:paraId="2732A97B" w14:textId="77777777" w:rsidR="00142062" w:rsidRDefault="00142062" w:rsidP="009725B6">
      <w:pPr>
        <w:rPr>
          <w:rFonts w:ascii="Times New Roman" w:hAnsi="Times New Roman" w:cs="Times New Roman"/>
          <w:b/>
          <w:bCs/>
        </w:rPr>
      </w:pPr>
    </w:p>
    <w:p w14:paraId="5C021EA6" w14:textId="77777777" w:rsidR="00142062" w:rsidRDefault="00142062" w:rsidP="009725B6">
      <w:pPr>
        <w:rPr>
          <w:rFonts w:ascii="Times New Roman" w:hAnsi="Times New Roman" w:cs="Times New Roman"/>
          <w:b/>
          <w:bCs/>
        </w:rPr>
      </w:pPr>
    </w:p>
    <w:p w14:paraId="411B7E26" w14:textId="77777777" w:rsidR="00142062" w:rsidRDefault="00142062" w:rsidP="009725B6">
      <w:pPr>
        <w:rPr>
          <w:rFonts w:ascii="Times New Roman" w:hAnsi="Times New Roman" w:cs="Times New Roman"/>
          <w:b/>
          <w:bCs/>
        </w:rPr>
      </w:pPr>
    </w:p>
    <w:p w14:paraId="1D3FC2B4" w14:textId="77777777" w:rsidR="00142062" w:rsidRDefault="00142062" w:rsidP="009725B6">
      <w:pPr>
        <w:rPr>
          <w:rFonts w:ascii="Times New Roman" w:hAnsi="Times New Roman" w:cs="Times New Roman"/>
          <w:b/>
          <w:bCs/>
        </w:rPr>
      </w:pPr>
    </w:p>
    <w:p w14:paraId="11831FD3" w14:textId="77777777" w:rsidR="00142062" w:rsidRDefault="00142062" w:rsidP="009725B6">
      <w:pPr>
        <w:rPr>
          <w:rFonts w:ascii="Times New Roman" w:hAnsi="Times New Roman" w:cs="Times New Roman"/>
          <w:b/>
          <w:bCs/>
        </w:rPr>
      </w:pPr>
    </w:p>
    <w:p w14:paraId="3F756A68" w14:textId="77777777" w:rsidR="00142062" w:rsidRDefault="00142062" w:rsidP="009725B6">
      <w:pPr>
        <w:rPr>
          <w:rFonts w:ascii="Times New Roman" w:hAnsi="Times New Roman" w:cs="Times New Roman"/>
          <w:b/>
          <w:bCs/>
        </w:rPr>
      </w:pPr>
    </w:p>
    <w:p w14:paraId="2EE117B5" w14:textId="7BCBCB79" w:rsidR="009725B6" w:rsidRPr="00506527" w:rsidRDefault="009725B6" w:rsidP="00506527">
      <w:pPr>
        <w:pStyle w:val="Heading1"/>
        <w:rPr>
          <w:rFonts w:ascii="Times New Roman" w:hAnsi="Times New Roman" w:cs="Times New Roman"/>
          <w:sz w:val="24"/>
          <w:szCs w:val="24"/>
        </w:rPr>
      </w:pPr>
      <w:bookmarkStart w:id="13" w:name="_Toc235975674"/>
      <w:r w:rsidRPr="00506527">
        <w:rPr>
          <w:rFonts w:ascii="Times New Roman" w:hAnsi="Times New Roman" w:cs="Times New Roman"/>
          <w:sz w:val="24"/>
          <w:szCs w:val="24"/>
        </w:rPr>
        <w:lastRenderedPageBreak/>
        <w:t>11. References</w:t>
      </w:r>
      <w:bookmarkEnd w:id="13"/>
      <w:r w:rsidRPr="00506527">
        <w:rPr>
          <w:rFonts w:ascii="Times New Roman" w:hAnsi="Times New Roman" w:cs="Times New Roman"/>
          <w:sz w:val="24"/>
          <w:szCs w:val="24"/>
        </w:rPr>
        <w:t> </w:t>
      </w:r>
    </w:p>
    <w:p w14:paraId="0C573ABF"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Association for Project Management (APM) (2019) </w:t>
      </w:r>
      <w:r w:rsidRPr="009725B6">
        <w:rPr>
          <w:rFonts w:ascii="Times New Roman" w:hAnsi="Times New Roman" w:cs="Times New Roman"/>
          <w:i/>
          <w:iCs/>
        </w:rPr>
        <w:t>APM Body of Knowledge</w:t>
      </w:r>
      <w:r w:rsidRPr="009725B6">
        <w:rPr>
          <w:rFonts w:ascii="Times New Roman" w:hAnsi="Times New Roman" w:cs="Times New Roman"/>
        </w:rPr>
        <w:t xml:space="preserve">. 7th </w:t>
      </w:r>
      <w:proofErr w:type="spellStart"/>
      <w:r w:rsidRPr="009725B6">
        <w:rPr>
          <w:rFonts w:ascii="Times New Roman" w:hAnsi="Times New Roman" w:cs="Times New Roman"/>
        </w:rPr>
        <w:t>edn</w:t>
      </w:r>
      <w:proofErr w:type="spellEnd"/>
      <w:r w:rsidRPr="009725B6">
        <w:rPr>
          <w:rFonts w:ascii="Times New Roman" w:hAnsi="Times New Roman" w:cs="Times New Roman"/>
        </w:rPr>
        <w:t>. Princes Risborough: Association for Project Management. </w:t>
      </w:r>
    </w:p>
    <w:p w14:paraId="09756983" w14:textId="77777777" w:rsidR="009725B6" w:rsidRPr="009725B6" w:rsidRDefault="009725B6" w:rsidP="009725B6">
      <w:pPr>
        <w:rPr>
          <w:rFonts w:ascii="Times New Roman" w:hAnsi="Times New Roman" w:cs="Times New Roman"/>
        </w:rPr>
      </w:pPr>
      <w:proofErr w:type="spellStart"/>
      <w:r w:rsidRPr="009725B6">
        <w:rPr>
          <w:rFonts w:ascii="Times New Roman" w:hAnsi="Times New Roman" w:cs="Times New Roman"/>
        </w:rPr>
        <w:t>Catalão</w:t>
      </w:r>
      <w:proofErr w:type="spellEnd"/>
      <w:r w:rsidRPr="009725B6">
        <w:rPr>
          <w:rFonts w:ascii="Times New Roman" w:hAnsi="Times New Roman" w:cs="Times New Roman"/>
        </w:rPr>
        <w:t xml:space="preserve">, F.P., Cruz, C.O. and Sarmento, J.M. (2021) ‘Determinants of cost deviations and overruns in UK transport projects’, </w:t>
      </w:r>
      <w:r w:rsidRPr="009725B6">
        <w:rPr>
          <w:rFonts w:ascii="Times New Roman" w:hAnsi="Times New Roman" w:cs="Times New Roman"/>
          <w:i/>
          <w:iCs/>
        </w:rPr>
        <w:t>Proceedings of the Institution of Civil Engineers – Transport</w:t>
      </w:r>
      <w:r w:rsidRPr="009725B6">
        <w:rPr>
          <w:rFonts w:ascii="Times New Roman" w:hAnsi="Times New Roman" w:cs="Times New Roman"/>
        </w:rPr>
        <w:t>, 176(5), pp. 312–322. </w:t>
      </w:r>
    </w:p>
    <w:p w14:paraId="785D7BF0"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Davies, R. (2024) </w:t>
      </w:r>
      <w:r w:rsidRPr="009725B6">
        <w:rPr>
          <w:rFonts w:ascii="Times New Roman" w:hAnsi="Times New Roman" w:cs="Times New Roman"/>
          <w:i/>
          <w:iCs/>
        </w:rPr>
        <w:t xml:space="preserve">Developing legacy in project management: a study of construction and infrastructure projects in the </w:t>
      </w:r>
      <w:proofErr w:type="gramStart"/>
      <w:r w:rsidRPr="009725B6">
        <w:rPr>
          <w:rFonts w:ascii="Times New Roman" w:hAnsi="Times New Roman" w:cs="Times New Roman"/>
          <w:i/>
          <w:iCs/>
        </w:rPr>
        <w:t>north east</w:t>
      </w:r>
      <w:proofErr w:type="gramEnd"/>
      <w:r w:rsidRPr="009725B6">
        <w:rPr>
          <w:rFonts w:ascii="Times New Roman" w:hAnsi="Times New Roman" w:cs="Times New Roman"/>
          <w:i/>
          <w:iCs/>
        </w:rPr>
        <w:t xml:space="preserve"> of Scotland</w:t>
      </w:r>
      <w:r w:rsidRPr="009725B6">
        <w:rPr>
          <w:rFonts w:ascii="Times New Roman" w:hAnsi="Times New Roman" w:cs="Times New Roman"/>
        </w:rPr>
        <w:t>. PhD thesis. Robert Gordon University. </w:t>
      </w:r>
    </w:p>
    <w:p w14:paraId="35688C9E"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Flyvbjerg, B. (2014) ‘What you should know about megaprojects and why: an overview’, </w:t>
      </w:r>
      <w:r w:rsidRPr="009725B6">
        <w:rPr>
          <w:rFonts w:ascii="Times New Roman" w:hAnsi="Times New Roman" w:cs="Times New Roman"/>
          <w:i/>
          <w:iCs/>
        </w:rPr>
        <w:t>Project Management Journal</w:t>
      </w:r>
      <w:r w:rsidRPr="009725B6">
        <w:rPr>
          <w:rFonts w:ascii="Times New Roman" w:hAnsi="Times New Roman" w:cs="Times New Roman"/>
        </w:rPr>
        <w:t>, 45(2), pp. 6–19. </w:t>
      </w:r>
    </w:p>
    <w:p w14:paraId="06E74891"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Leyba, A.C.G., Rana, M.Q., Salazar, A., Saini, M., Oladinrin, O. and Lee, A. (2024) ‘Deploying the hybrid project management methodology framework in major transportation projects in the United Kingdom’, </w:t>
      </w:r>
      <w:r w:rsidRPr="009725B6">
        <w:rPr>
          <w:rFonts w:ascii="Times New Roman" w:hAnsi="Times New Roman" w:cs="Times New Roman"/>
          <w:i/>
          <w:iCs/>
        </w:rPr>
        <w:t>Journal of Architectural Engineering Technology</w:t>
      </w:r>
      <w:r w:rsidRPr="009725B6">
        <w:rPr>
          <w:rFonts w:ascii="Times New Roman" w:hAnsi="Times New Roman" w:cs="Times New Roman"/>
        </w:rPr>
        <w:t>, 13(2). </w:t>
      </w:r>
    </w:p>
    <w:p w14:paraId="71D79ADF"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McGrath, S.K. and Whitty, S.J. (2019) ‘The suitability of PRINCE2 for engineering infrastructure’, </w:t>
      </w:r>
      <w:r w:rsidRPr="009725B6">
        <w:rPr>
          <w:rFonts w:ascii="Times New Roman" w:hAnsi="Times New Roman" w:cs="Times New Roman"/>
          <w:i/>
          <w:iCs/>
        </w:rPr>
        <w:t>The Journal of Modern Project Management</w:t>
      </w:r>
      <w:r w:rsidRPr="009725B6">
        <w:rPr>
          <w:rFonts w:ascii="Times New Roman" w:hAnsi="Times New Roman" w:cs="Times New Roman"/>
        </w:rPr>
        <w:t>, 7(2). </w:t>
      </w:r>
    </w:p>
    <w:p w14:paraId="775D3FB0"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Office of Government Commerce (2009) </w:t>
      </w:r>
      <w:r w:rsidRPr="009725B6">
        <w:rPr>
          <w:rFonts w:ascii="Times New Roman" w:hAnsi="Times New Roman" w:cs="Times New Roman"/>
          <w:i/>
          <w:iCs/>
        </w:rPr>
        <w:t>Managing Successful Projects with PRINCE2</w:t>
      </w:r>
      <w:r w:rsidRPr="009725B6">
        <w:rPr>
          <w:rFonts w:ascii="Times New Roman" w:hAnsi="Times New Roman" w:cs="Times New Roman"/>
        </w:rPr>
        <w:t>. London: The Stationery Office. </w:t>
      </w:r>
    </w:p>
    <w:p w14:paraId="4F614BAE"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Preece, C., Moodley, K. and Graham, C. (1996) ‘The public relations role of the project manager on transport infrastructure schemes’, in </w:t>
      </w:r>
      <w:r w:rsidRPr="009725B6">
        <w:rPr>
          <w:rFonts w:ascii="Times New Roman" w:hAnsi="Times New Roman" w:cs="Times New Roman"/>
          <w:i/>
          <w:iCs/>
        </w:rPr>
        <w:t>Roads: Finance, Provision and Operation. Proceedings of Seminar G</w:t>
      </w:r>
      <w:r w:rsidRPr="009725B6">
        <w:rPr>
          <w:rFonts w:ascii="Times New Roman" w:hAnsi="Times New Roman" w:cs="Times New Roman"/>
        </w:rPr>
        <w:t>. London: PTRC. </w:t>
      </w:r>
    </w:p>
    <w:p w14:paraId="62A13F14"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Project Management Institute (2021) </w:t>
      </w:r>
      <w:r w:rsidRPr="009725B6">
        <w:rPr>
          <w:rFonts w:ascii="Times New Roman" w:hAnsi="Times New Roman" w:cs="Times New Roman"/>
          <w:i/>
          <w:iCs/>
        </w:rPr>
        <w:t>A Guide to the Project Management Body of Knowledge (PMBOK Guide)</w:t>
      </w:r>
      <w:r w:rsidRPr="009725B6">
        <w:rPr>
          <w:rFonts w:ascii="Times New Roman" w:hAnsi="Times New Roman" w:cs="Times New Roman"/>
        </w:rPr>
        <w:t xml:space="preserve">. 7th </w:t>
      </w:r>
      <w:proofErr w:type="spellStart"/>
      <w:r w:rsidRPr="009725B6">
        <w:rPr>
          <w:rFonts w:ascii="Times New Roman" w:hAnsi="Times New Roman" w:cs="Times New Roman"/>
        </w:rPr>
        <w:t>edn</w:t>
      </w:r>
      <w:proofErr w:type="spellEnd"/>
      <w:r w:rsidRPr="009725B6">
        <w:rPr>
          <w:rFonts w:ascii="Times New Roman" w:hAnsi="Times New Roman" w:cs="Times New Roman"/>
        </w:rPr>
        <w:t>. Newtown Square, PA: Project Management Institute. </w:t>
      </w:r>
    </w:p>
    <w:p w14:paraId="5EFDDF8B"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Spang, K. (ed.) (2022) </w:t>
      </w:r>
      <w:proofErr w:type="spellStart"/>
      <w:r w:rsidRPr="009725B6">
        <w:rPr>
          <w:rFonts w:ascii="Times New Roman" w:hAnsi="Times New Roman" w:cs="Times New Roman"/>
          <w:i/>
          <w:iCs/>
        </w:rPr>
        <w:t>Projektmanagement</w:t>
      </w:r>
      <w:proofErr w:type="spellEnd"/>
      <w:r w:rsidRPr="009725B6">
        <w:rPr>
          <w:rFonts w:ascii="Times New Roman" w:hAnsi="Times New Roman" w:cs="Times New Roman"/>
          <w:i/>
          <w:iCs/>
        </w:rPr>
        <w:t xml:space="preserve"> von </w:t>
      </w:r>
      <w:proofErr w:type="spellStart"/>
      <w:r w:rsidRPr="009725B6">
        <w:rPr>
          <w:rFonts w:ascii="Times New Roman" w:hAnsi="Times New Roman" w:cs="Times New Roman"/>
          <w:i/>
          <w:iCs/>
        </w:rPr>
        <w:t>Verkehrsinfrastrukturprojekten</w:t>
      </w:r>
      <w:proofErr w:type="spellEnd"/>
      <w:r w:rsidRPr="009725B6">
        <w:rPr>
          <w:rFonts w:ascii="Times New Roman" w:hAnsi="Times New Roman" w:cs="Times New Roman"/>
        </w:rPr>
        <w:t>. Berlin: Springer. </w:t>
      </w:r>
    </w:p>
    <w:p w14:paraId="4C75CC4F"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Vinci, F. (2022) </w:t>
      </w:r>
      <w:r w:rsidRPr="009725B6">
        <w:rPr>
          <w:rFonts w:ascii="Times New Roman" w:hAnsi="Times New Roman" w:cs="Times New Roman"/>
          <w:i/>
          <w:iCs/>
        </w:rPr>
        <w:t>Project-based networks in the delivery of infrastructure projects and programmes</w:t>
      </w:r>
      <w:r w:rsidRPr="009725B6">
        <w:rPr>
          <w:rFonts w:ascii="Times New Roman" w:hAnsi="Times New Roman" w:cs="Times New Roman"/>
        </w:rPr>
        <w:t>. PhD thesis. University College London. </w:t>
      </w:r>
    </w:p>
    <w:p w14:paraId="5E2BD35B"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Woodier, D. et al. (2024) ‘Distributed leadership and the shaping of infrastructure project portfolios’, </w:t>
      </w:r>
      <w:r w:rsidRPr="009725B6">
        <w:rPr>
          <w:rFonts w:ascii="Times New Roman" w:hAnsi="Times New Roman" w:cs="Times New Roman"/>
          <w:i/>
          <w:iCs/>
        </w:rPr>
        <w:t>Project Leadership and Society</w:t>
      </w:r>
      <w:r w:rsidRPr="009725B6">
        <w:rPr>
          <w:rFonts w:ascii="Times New Roman" w:hAnsi="Times New Roman" w:cs="Times New Roman"/>
        </w:rPr>
        <w:t>, 5, article 100146. </w:t>
      </w:r>
    </w:p>
    <w:p w14:paraId="52583009" w14:textId="77777777" w:rsidR="009725B6" w:rsidRPr="009725B6" w:rsidRDefault="009725B6" w:rsidP="009725B6">
      <w:pPr>
        <w:rPr>
          <w:rFonts w:ascii="Times New Roman" w:hAnsi="Times New Roman" w:cs="Times New Roman"/>
        </w:rPr>
      </w:pPr>
      <w:r w:rsidRPr="009725B6">
        <w:rPr>
          <w:rFonts w:ascii="Times New Roman" w:hAnsi="Times New Roman" w:cs="Times New Roman"/>
        </w:rPr>
        <w:t xml:space="preserve">Zhang, X., Yin, Y. and Ao, G. (2013) ‘Research on functional demands of urban integrated transportation hub project based on the stakeholder theory: a case study of Tianjin Station’, in </w:t>
      </w:r>
      <w:proofErr w:type="gramStart"/>
      <w:r w:rsidRPr="009725B6">
        <w:rPr>
          <w:rFonts w:ascii="Times New Roman" w:hAnsi="Times New Roman" w:cs="Times New Roman"/>
          <w:i/>
          <w:iCs/>
        </w:rPr>
        <w:t>The</w:t>
      </w:r>
      <w:proofErr w:type="gramEnd"/>
      <w:r w:rsidRPr="009725B6">
        <w:rPr>
          <w:rFonts w:ascii="Times New Roman" w:hAnsi="Times New Roman" w:cs="Times New Roman"/>
          <w:i/>
          <w:iCs/>
        </w:rPr>
        <w:t xml:space="preserve"> 19th International Conference on Industrial Engineering and Engineering Management</w:t>
      </w:r>
      <w:r w:rsidRPr="009725B6">
        <w:rPr>
          <w:rFonts w:ascii="Times New Roman" w:hAnsi="Times New Roman" w:cs="Times New Roman"/>
        </w:rPr>
        <w:t>. Berlin: Springer, pp. 797–806. </w:t>
      </w:r>
    </w:p>
    <w:p w14:paraId="4102C0F1" w14:textId="54E60C3A" w:rsidR="008E68FD" w:rsidRPr="008E68FD" w:rsidRDefault="008E68FD" w:rsidP="008E68FD">
      <w:pPr>
        <w:rPr>
          <w:rFonts w:ascii="Times New Roman" w:hAnsi="Times New Roman" w:cs="Times New Roman"/>
        </w:rPr>
      </w:pPr>
    </w:p>
    <w:p w14:paraId="54A8B069" w14:textId="77777777" w:rsidR="008E68FD" w:rsidRDefault="008E68FD" w:rsidP="008E68FD">
      <w:pPr>
        <w:rPr>
          <w:rFonts w:ascii="Times New Roman" w:hAnsi="Times New Roman" w:cs="Times New Roman"/>
        </w:rPr>
      </w:pPr>
    </w:p>
    <w:p w14:paraId="1C57C87C" w14:textId="77777777" w:rsidR="008E68FD" w:rsidRPr="008E68FD" w:rsidRDefault="008E68FD" w:rsidP="008E68FD">
      <w:pPr>
        <w:rPr>
          <w:rFonts w:ascii="Times New Roman" w:hAnsi="Times New Roman" w:cs="Times New Roman"/>
        </w:rPr>
      </w:pPr>
    </w:p>
    <w:sectPr w:rsidR="008E68FD" w:rsidRPr="008E68F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08205" w14:textId="77777777" w:rsidR="00AE5D54" w:rsidRDefault="00AE5D54" w:rsidP="00D443D8">
      <w:pPr>
        <w:spacing w:after="0" w:line="240" w:lineRule="auto"/>
      </w:pPr>
      <w:r>
        <w:separator/>
      </w:r>
    </w:p>
  </w:endnote>
  <w:endnote w:type="continuationSeparator" w:id="0">
    <w:p w14:paraId="24CA4677" w14:textId="77777777" w:rsidR="00AE5D54" w:rsidRDefault="00AE5D54" w:rsidP="00D44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21505"/>
      <w:docPartObj>
        <w:docPartGallery w:val="Page Numbers (Bottom of Page)"/>
        <w:docPartUnique/>
      </w:docPartObj>
    </w:sdtPr>
    <w:sdtContent>
      <w:p w14:paraId="11385F10" w14:textId="34BA9182" w:rsidR="00D443D8" w:rsidRDefault="00D443D8">
        <w:pPr>
          <w:pStyle w:val="Footer"/>
          <w:jc w:val="right"/>
        </w:pPr>
        <w:r>
          <w:fldChar w:fldCharType="begin"/>
        </w:r>
        <w:r>
          <w:instrText>PAGE   \* MERGEFORMAT</w:instrText>
        </w:r>
        <w:r>
          <w:fldChar w:fldCharType="separate"/>
        </w:r>
        <w:r>
          <w:t>2</w:t>
        </w:r>
        <w:r>
          <w:fldChar w:fldCharType="end"/>
        </w:r>
      </w:p>
    </w:sdtContent>
  </w:sdt>
  <w:p w14:paraId="2A584155" w14:textId="77777777" w:rsidR="00D443D8" w:rsidRDefault="00D44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E2293" w14:textId="77777777" w:rsidR="00AE5D54" w:rsidRDefault="00AE5D54" w:rsidP="00D443D8">
      <w:pPr>
        <w:spacing w:after="0" w:line="240" w:lineRule="auto"/>
      </w:pPr>
      <w:r>
        <w:separator/>
      </w:r>
    </w:p>
  </w:footnote>
  <w:footnote w:type="continuationSeparator" w:id="0">
    <w:p w14:paraId="5B16D7ED" w14:textId="77777777" w:rsidR="00AE5D54" w:rsidRDefault="00AE5D54" w:rsidP="00D443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1" w15:restartNumberingAfterBreak="0">
    <w:nsid w:val="40FF46F7"/>
    <w:multiLevelType w:val="hybridMultilevel"/>
    <w:tmpl w:val="80EA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419405">
    <w:abstractNumId w:val="1"/>
  </w:num>
  <w:num w:numId="2" w16cid:durableId="203195088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F6F"/>
    <w:rsid w:val="00142062"/>
    <w:rsid w:val="0025446E"/>
    <w:rsid w:val="00261D5C"/>
    <w:rsid w:val="003F6B21"/>
    <w:rsid w:val="00506527"/>
    <w:rsid w:val="006E0DCB"/>
    <w:rsid w:val="00716F6F"/>
    <w:rsid w:val="00786BA6"/>
    <w:rsid w:val="00836D30"/>
    <w:rsid w:val="008801C1"/>
    <w:rsid w:val="008E68FD"/>
    <w:rsid w:val="009725B6"/>
    <w:rsid w:val="00A7675F"/>
    <w:rsid w:val="00AE5D54"/>
    <w:rsid w:val="00D443D8"/>
    <w:rsid w:val="00F40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3AFDD"/>
  <w15:chartTrackingRefBased/>
  <w15:docId w15:val="{54E21E30-5FDD-4E66-8A29-CB8290E4E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F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F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6F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16F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F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F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F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F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F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F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F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F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6F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F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F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F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F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F6F"/>
    <w:rPr>
      <w:rFonts w:eastAsiaTheme="majorEastAsia" w:cstheme="majorBidi"/>
      <w:color w:val="272727" w:themeColor="text1" w:themeTint="D8"/>
    </w:rPr>
  </w:style>
  <w:style w:type="paragraph" w:styleId="Title">
    <w:name w:val="Title"/>
    <w:basedOn w:val="Normal"/>
    <w:next w:val="Normal"/>
    <w:link w:val="TitleChar"/>
    <w:uiPriority w:val="10"/>
    <w:qFormat/>
    <w:rsid w:val="00716F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F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F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F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F6F"/>
    <w:pPr>
      <w:spacing w:before="160"/>
      <w:jc w:val="center"/>
    </w:pPr>
    <w:rPr>
      <w:i/>
      <w:iCs/>
      <w:color w:val="404040" w:themeColor="text1" w:themeTint="BF"/>
    </w:rPr>
  </w:style>
  <w:style w:type="character" w:customStyle="1" w:styleId="QuoteChar">
    <w:name w:val="Quote Char"/>
    <w:basedOn w:val="DefaultParagraphFont"/>
    <w:link w:val="Quote"/>
    <w:uiPriority w:val="29"/>
    <w:rsid w:val="00716F6F"/>
    <w:rPr>
      <w:i/>
      <w:iCs/>
      <w:color w:val="404040" w:themeColor="text1" w:themeTint="BF"/>
    </w:rPr>
  </w:style>
  <w:style w:type="paragraph" w:styleId="ListParagraph">
    <w:name w:val="List Paragraph"/>
    <w:basedOn w:val="Normal"/>
    <w:uiPriority w:val="34"/>
    <w:qFormat/>
    <w:rsid w:val="00716F6F"/>
    <w:pPr>
      <w:ind w:left="720"/>
      <w:contextualSpacing/>
    </w:pPr>
  </w:style>
  <w:style w:type="character" w:styleId="IntenseEmphasis">
    <w:name w:val="Intense Emphasis"/>
    <w:basedOn w:val="DefaultParagraphFont"/>
    <w:uiPriority w:val="21"/>
    <w:qFormat/>
    <w:rsid w:val="00716F6F"/>
    <w:rPr>
      <w:i/>
      <w:iCs/>
      <w:color w:val="0F4761" w:themeColor="accent1" w:themeShade="BF"/>
    </w:rPr>
  </w:style>
  <w:style w:type="paragraph" w:styleId="IntenseQuote">
    <w:name w:val="Intense Quote"/>
    <w:basedOn w:val="Normal"/>
    <w:next w:val="Normal"/>
    <w:link w:val="IntenseQuoteChar"/>
    <w:uiPriority w:val="30"/>
    <w:qFormat/>
    <w:rsid w:val="00716F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F6F"/>
    <w:rPr>
      <w:i/>
      <w:iCs/>
      <w:color w:val="0F4761" w:themeColor="accent1" w:themeShade="BF"/>
    </w:rPr>
  </w:style>
  <w:style w:type="character" w:styleId="IntenseReference">
    <w:name w:val="Intense Reference"/>
    <w:basedOn w:val="DefaultParagraphFont"/>
    <w:uiPriority w:val="32"/>
    <w:qFormat/>
    <w:rsid w:val="00716F6F"/>
    <w:rPr>
      <w:b/>
      <w:bCs/>
      <w:smallCaps/>
      <w:color w:val="0F4761" w:themeColor="accent1" w:themeShade="BF"/>
      <w:spacing w:val="5"/>
    </w:rPr>
  </w:style>
  <w:style w:type="paragraph" w:styleId="Header">
    <w:name w:val="header"/>
    <w:basedOn w:val="Normal"/>
    <w:link w:val="HeaderChar"/>
    <w:uiPriority w:val="99"/>
    <w:unhideWhenUsed/>
    <w:rsid w:val="00D44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3D8"/>
  </w:style>
  <w:style w:type="paragraph" w:styleId="Footer">
    <w:name w:val="footer"/>
    <w:basedOn w:val="Normal"/>
    <w:link w:val="FooterChar"/>
    <w:uiPriority w:val="99"/>
    <w:unhideWhenUsed/>
    <w:rsid w:val="00D44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3D8"/>
  </w:style>
  <w:style w:type="paragraph" w:styleId="TOCHeading">
    <w:name w:val="TOC Heading"/>
    <w:basedOn w:val="Heading1"/>
    <w:next w:val="Normal"/>
    <w:uiPriority w:val="39"/>
    <w:unhideWhenUsed/>
    <w:qFormat/>
    <w:rsid w:val="00142062"/>
    <w:pPr>
      <w:spacing w:before="240" w:after="0" w:line="259" w:lineRule="auto"/>
      <w:outlineLvl w:val="9"/>
    </w:pPr>
    <w:rPr>
      <w:kern w:val="0"/>
      <w:sz w:val="32"/>
      <w:szCs w:val="32"/>
      <w:lang w:eastAsia="en-GB"/>
      <w14:ligatures w14:val="none"/>
    </w:rPr>
  </w:style>
  <w:style w:type="character" w:styleId="SubtleEmphasis">
    <w:name w:val="Subtle Emphasis"/>
    <w:basedOn w:val="DefaultParagraphFont"/>
    <w:uiPriority w:val="19"/>
    <w:qFormat/>
    <w:rsid w:val="00142062"/>
    <w:rPr>
      <w:i/>
      <w:iCs/>
      <w:color w:val="404040" w:themeColor="text1" w:themeTint="BF"/>
    </w:rPr>
  </w:style>
  <w:style w:type="paragraph" w:styleId="TOC1">
    <w:name w:val="toc 1"/>
    <w:basedOn w:val="Normal"/>
    <w:next w:val="Normal"/>
    <w:autoRedefine/>
    <w:uiPriority w:val="39"/>
    <w:unhideWhenUsed/>
    <w:rsid w:val="00506527"/>
    <w:pPr>
      <w:spacing w:after="100"/>
    </w:pPr>
  </w:style>
  <w:style w:type="character" w:styleId="Hyperlink">
    <w:name w:val="Hyperlink"/>
    <w:basedOn w:val="DefaultParagraphFont"/>
    <w:uiPriority w:val="99"/>
    <w:unhideWhenUsed/>
    <w:rsid w:val="00506527"/>
    <w:rPr>
      <w:color w:val="467886" w:themeColor="hyperlink"/>
      <w:u w:val="single"/>
    </w:rPr>
  </w:style>
  <w:style w:type="paragraph" w:styleId="TOC2">
    <w:name w:val="toc 2"/>
    <w:basedOn w:val="Normal"/>
    <w:next w:val="Normal"/>
    <w:autoRedefine/>
    <w:uiPriority w:val="39"/>
    <w:unhideWhenUsed/>
    <w:rsid w:val="005065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F851A-698C-4DEE-B35D-894D78306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15</Pages>
  <Words>3824</Words>
  <Characters>21799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aamna yasin</dc:creator>
  <cp:keywords/>
  <dc:description/>
  <cp:lastModifiedBy>aamna yasin</cp:lastModifiedBy>
  <cp:revision>1</cp:revision>
  <dcterms:created xsi:type="dcterms:W3CDTF">2026-07-25T16:08:00Z</dcterms:created>
  <dcterms:modified xsi:type="dcterms:W3CDTF">2026-07-26T15:29:00Z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75ee38d1-b130-4005-87bb-c95039504d40</vt:lpwstr>
  </property>
</Properties>
</file>