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EC3657" wp14:paraId="293EE28F" wp14:textId="1039AC8C">
      <w:pPr>
        <w:spacing w:after="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1DACD5FF">
        <w:drawing>
          <wp:inline xmlns:wp14="http://schemas.microsoft.com/office/word/2010/wordprocessingDrawing" wp14:editId="68419CFE" wp14:anchorId="1D82A812">
            <wp:extent cx="2705100" cy="1466850"/>
            <wp:effectExtent l="0" t="0" r="0" b="0"/>
            <wp:docPr id="377642522" name="drawing" title="Picture 109346342, Picture, Picture, Picture, 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7642522" name="Picture 377642522"/>
                    <pic:cNvPicPr/>
                  </pic:nvPicPr>
                  <pic:blipFill>
                    <a:blip xmlns:r="http://schemas.openxmlformats.org/officeDocument/2006/relationships" r:embed="rId788917558">
                      <a:extLst>
                        <a:ext uri="{28A0092B-C50C-407E-A947-70E740481C1C}">
                          <a14:useLocalDpi xmlns:a14="http://schemas.microsoft.com/office/drawing/2010/main"/>
                        </a:ext>
                      </a:extLst>
                    </a:blip>
                    <a:stretch>
                      <a:fillRect/>
                    </a:stretch>
                  </pic:blipFill>
                  <pic:spPr>
                    <a:xfrm>
                      <a:off x="0" y="0"/>
                      <a:ext cx="2705100" cy="1466850"/>
                    </a:xfrm>
                    <a:prstGeom prst="rect">
                      <a:avLst/>
                    </a:prstGeom>
                  </pic:spPr>
                </pic:pic>
              </a:graphicData>
            </a:graphic>
          </wp:inline>
        </w:drawing>
      </w:r>
    </w:p>
    <w:p xmlns:wp14="http://schemas.microsoft.com/office/word/2010/wordml" w:rsidP="4CEC3657" wp14:paraId="574FEEC3" wp14:textId="17E48FC3">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EC3657" wp14:paraId="056040A4" wp14:textId="76B82A3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EC3657" wp14:paraId="5848E391" wp14:textId="67CFDB12">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EC3657" wp14:paraId="312538B7" wp14:textId="3CE7CC3A">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EC3657" wp14:paraId="6E88788F" wp14:textId="143EF2AE">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4CEC3657" wp14:paraId="218C1071" wp14:textId="21ABF649">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4CEC3657" w:rsidR="1DACD5F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EC3657" w:rsidR="1DACD5F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Simon Haylett   </w:t>
      </w:r>
    </w:p>
    <w:p xmlns:wp14="http://schemas.microsoft.com/office/word/2010/wordml" w:rsidP="4CEC3657" wp14:paraId="4F25F00D" wp14:textId="572049B6">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4CEC3657" w:rsidR="1DACD5F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2321018</w:t>
      </w:r>
    </w:p>
    <w:p xmlns:wp14="http://schemas.microsoft.com/office/word/2010/wordml" w:rsidP="4CEC3657" wp14:paraId="4FAA0625" wp14:textId="066C98DC">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4CEC3657" w:rsidR="1DACD5F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BMHP6026</w:t>
      </w:r>
    </w:p>
    <w:p xmlns:wp14="http://schemas.microsoft.com/office/word/2010/wordml" w:rsidP="4CEC3657" wp14:paraId="6ABAAA67" wp14:textId="43C6B2B5">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4CEC3657" w:rsidR="1DACD5F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Digital Transformation in Health and care Profession</w:t>
      </w:r>
    </w:p>
    <w:p xmlns:wp14="http://schemas.microsoft.com/office/word/2010/wordml" w:rsidP="4CEC3657" wp14:paraId="2371AD94" wp14:textId="074C2777">
      <w:pPr>
        <w:spacing w:after="0" w:line="240" w:lineRule="auto"/>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Pr="4CEC3657" w:rsidR="1DACD5FF">
        <w:rPr>
          <w:rStyle w:val="normaltextrun"/>
          <w:rFonts w:ascii="Arial" w:hAnsi="Arial" w:eastAsia="Arial" w:cs="Arial"/>
          <w:b w:val="0"/>
          <w:bCs w:val="0"/>
          <w:i w:val="0"/>
          <w:iCs w:val="0"/>
          <w:caps w:val="0"/>
          <w:smallCaps w:val="0"/>
          <w:noProof w:val="0"/>
          <w:color w:val="000000" w:themeColor="text1" w:themeTint="FF" w:themeShade="FF"/>
          <w:sz w:val="56"/>
          <w:szCs w:val="56"/>
          <w:lang w:val="en-GB"/>
        </w:rPr>
        <w:t>Martin Svejda</w:t>
      </w:r>
    </w:p>
    <w:p xmlns:wp14="http://schemas.microsoft.com/office/word/2010/wordml" wp14:paraId="5E5787A5" wp14:textId="69A84992"/>
    <w:p w:rsidR="4CEC3657" w:rsidRDefault="4CEC3657" w14:paraId="6B7A7B23" w14:textId="23CBBE8D"/>
    <w:p w:rsidR="4CEC3657" w:rsidRDefault="4CEC3657" w14:paraId="761A8AA2" w14:textId="0E7C1351"/>
    <w:p w:rsidR="4CEC3657" w:rsidRDefault="4CEC3657" w14:paraId="552D09BA" w14:textId="12D9B4C6"/>
    <w:p w:rsidR="4CEC3657" w:rsidRDefault="4CEC3657" w14:paraId="6FB46453" w14:textId="17DAAF31"/>
    <w:p w:rsidR="4CEC3657" w:rsidRDefault="4CEC3657" w14:paraId="13D41324" w14:textId="47A766A9"/>
    <w:p w:rsidR="4CEC3657" w:rsidRDefault="4CEC3657" w14:paraId="3CD49F2D" w14:textId="30C39FF4"/>
    <w:p w:rsidR="4CEC3657" w:rsidRDefault="4CEC3657" w14:paraId="2A627976" w14:textId="08DC1379"/>
    <w:p w:rsidR="4CEC3657" w:rsidRDefault="4CEC3657" w14:paraId="0E0DED1B" w14:textId="1BC4E9E2"/>
    <w:p w:rsidR="4CEC3657" w:rsidRDefault="4CEC3657" w14:paraId="25D97D85" w14:textId="5071928F"/>
    <w:p w:rsidR="4CEC3657" w:rsidP="4CEC3657" w:rsidRDefault="4CEC3657" w14:paraId="48E20597" w14:textId="65179536">
      <w:pPr>
        <w:pStyle w:val="Normal"/>
      </w:pPr>
    </w:p>
    <w:p w:rsidR="2DE4E169" w:rsidP="46D86585" w:rsidRDefault="2DE4E169" w14:paraId="563444E9" w14:textId="5866CAF7">
      <w:pPr>
        <w:pStyle w:val="Normal"/>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pP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 xml:space="preserve">A </w:t>
      </w:r>
      <w:r w:rsidRPr="46D86585" w:rsidR="27CBE0CB">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Report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4"/>
          <w:szCs w:val="24"/>
          <w:lang w:val="en-GB"/>
        </w:rPr>
        <w:t xml:space="preserve"> of the NHS App as a Digital Innovation in UK Health Care</w:t>
      </w:r>
      <w:r>
        <w:br/>
      </w:r>
      <w:r>
        <w:br/>
      </w:r>
    </w:p>
    <w:p w:rsidR="2DE4E169" w:rsidP="46D86585" w:rsidRDefault="2DE4E169" w14:paraId="15490796" w14:textId="065C64BD">
      <w:pPr>
        <w:pStyle w:val="Normal"/>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Introduction</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NHS App, launched nationally in 2019, </w:t>
      </w:r>
      <w:r w:rsidRPr="46D86585" w:rsidR="55C5E826">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emphasises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significant digital innovation within UK healthcare. Designed to streamline patient interaction with healthcare services, the app enables functionalities such as booking GP appointments, ordering repeat prescriptions, accessing medical records, and receiving NHS communications, all through a single platform. This innovation is crucial as it addresses growing pressures within the NHS, including rising patient demand, workforce shortages, and the need for efficient service delivery.</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app aligns with the NHS Long Term Plan, which emphasi</w:t>
      </w:r>
      <w:r w:rsidRPr="46D86585" w:rsidR="318DF0D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es a “digital-first” approach in primary care, encouraging the integration of digital services into everyday practice. This strategic direction is further supported by the UK government’s A Plan for Digital Health and Social Care, which outlines the vision for a digitally enabled health and care system that prioritizes patient empowerment and improved health outcomes. Additionally, the framework defined in What Good Looks Like serves as a benchmark for digital maturity, </w:t>
      </w:r>
      <w:r w:rsidRPr="46D86585" w:rsidR="4E5A067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guiding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organizations in their digital transformation efforts. The app’s rapid adoption during the COVID-19 pandemic, particularly for vaccination certification, further underscored its relevance and scalability in crisis situations (NHS Digital, 2021). However, the transition to digital platforms is not without challenges. Research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indicates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while digital innovations can enhance efficiency, they may also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exacerbate</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inequalities and introduce new governance issues (Greenhalgh,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Wherton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and Shaw, 2020; National Audit Office, 2020).</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This report critically assesses the NHS App focusing on its impact on service delivery and the workforce, while also considering the patient experience. It explores both the benefits and limitations of this digital tool, shedding light on the implications for healthcare quality, equity, and sustainability. This evaluation will also reference relevant UK policies and legislation, including the General Data Protection Regulation (GDPR), to contextualize the app’s operational framework.</w:t>
      </w:r>
      <w:r>
        <w:br/>
      </w:r>
      <w:r>
        <w:br/>
      </w:r>
      <w:r>
        <w:br/>
      </w:r>
      <w:r>
        <w:br/>
      </w:r>
    </w:p>
    <w:p w:rsidR="2DE4E169" w:rsidP="46D86585" w:rsidRDefault="2DE4E169" w14:paraId="19AEC6DD" w14:textId="716395D9">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1.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Impact on Service Delivery</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NHS App has transformed service delivery by digitizing traditional contact methods, offering significant benefits but also presenting challenges.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Benefits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Administrative Efficiency</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The app reduces reliance on telephone calls and in-person visits, allowing for online appointment bookings and prescription orders. This shift decreases administrative burdens on healthcare staff, enabling them to focus on more complex tasks, which is essential in alleviating clinician burnout (Baird, Beech, and Buck, 2022). The reduction in administrative workload is particularly relevant given that the NHS workforce has faced increasing pressures, particularly during the pandemic.</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Information Transparency</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Patients can access essential health information, including test results and medication histories, which enhances communication and continuity of care (Maguire, Dunn, and McKenna, 2021). The app’s integration with vaccination records during the pandemic </w:t>
      </w:r>
      <w:r w:rsidRPr="46D86585" w:rsidR="54F7852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highlighted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its capability to support public health initiatives rapidly. This transparency not only empowers patients but also aligns with the principles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set forth in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NHS Constitution, which emphasizes the importance of information-sharing in promoting patient-</w:t>
      </w:r>
      <w:r w:rsidRPr="46D86585" w:rsidR="3877FE6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centred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care.</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u</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ppor</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t for Public Health Initiatives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integration of vaccination records and notifications about health campaigns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how digital infrastructure can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facilitate</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rapid responses to public health needs. The NHS App served as a vital tool during the COVID-19 vaccination rollout, allowing for efficient dissemination of information and scheduling.</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Challenges: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Digital Maturity Variability:</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National Audit Office (2020) highlights inconsistencies in digital maturity across GP practices, which can lead to disparities in app functionality. This variability risks undermining the NHS’s commitment to universal access, as not all practices can provide the same level of service through the app.</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Demand Stimulation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indicates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easier access to healthcare services may lead to increased consultations for minor issues, potentially straining resources (Greenhalgh,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herton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Shaw, 2020). Thus, improving efficiency does not automatically correlate with reduced demand. Policymakers must consider demand management strategies to mitigate this effect.</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Implementation Costs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Short-term challenges include the financial burden of infrastructure investments, cybersecurity measures, and the need for interoperability among various IT systems. The implementation of the NHS App has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required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substantial investment in technology and training, raising concerns about sustainability in the long term. Without continuous funding and evaluation, digital tools risk becoming an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layer of complexity rather than a streamlin</w:t>
      </w:r>
      <w:r w:rsidRPr="46D86585" w:rsidR="3B5F3F0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  </w:t>
      </w:r>
    </w:p>
    <w:p w:rsidR="2DE4E169" w:rsidP="46D86585" w:rsidRDefault="2DE4E169" w14:paraId="36BE576F" w14:textId="4E193DC8">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solution.</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Legislative Compliance</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NHS App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operates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within a complex legal framework, including GDPR, which governs data protection and privacy. Compliance with these regulations is essential to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public trust and ensure that patient data is handled securely. However, the requirements for data protection can pose challenges for healthcare providers, particularly smaller practices that may lack the resources to fully comply.</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Overall, while the NHS App has modernized service delivery, its success hinges on consistent implementation, integration with existing systems, and effective demand management strategies.</w:t>
      </w:r>
      <w:r>
        <w:br/>
      </w:r>
      <w:r>
        <w:br/>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Impact on the Workforce</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introduction of the NHS App has significantly altered the roles and responsibilities of the healthcare workforce, particularly in primary care settings.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Benefits: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Role Enhancement</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Administrative staff are increasingly tasked with supporting patients in navigating the app, which includes digital onboarding and troubleshooting. This shift allows clinicians to focus more on direct patient care (Baird, Beech, and Buck, 2022). The redistribution of tasks can lead to improved job satisfaction among clinical staff as they engage more with patient care rather than administrative duties.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Improved Consultation Quality: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 to digital records can enhance the quality of consultations. When patients review their results prior to appointments, they are more likely to engage in shared decision-making, which is crucial for effective treatment planning. This aligns with the NHS’s goal of fostering a collaborative approach to healthcare.</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Training and Development Opportunities: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Digital innovation creates opportunities for staff to upskill, contributing to professional development and career advancement. Health Education England’s Topol Review emphasizes the necessity of equipping healthcare professionals with digital skills to meet the demands of a modern healthcare system (Health Education England, 2019).</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Challenges: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Workload Redistribution: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Evidence suggests that digital systems can lead to increased workloads as staff manage both traditional and digital queries, creating parallel systems instead of simplifying processes (Maguire, Dunn, and McKenna, 2021). This redistribution of </w:t>
      </w:r>
      <w:r w:rsidRPr="46D86585" w:rsidR="460B6F6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labour</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can contribute to role strain, particularly in under-resourced practices where staff are already stretched thin.</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Digital Skills Gap:</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workforce faces challenges due to varying levels of digital literacy. Older staff members or those lacking prior training may resist adopting </w:t>
      </w:r>
      <w:r w:rsidRPr="46D86585" w:rsidR="11B678D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innovative technologies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which can lead to increased stress and job dissatisfaction (Charles, Wenzel, and Kershaw, 2023). Without structured professional development, digital transformation risks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exacerbating</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workforce stress and contributing to retention issues.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Medico-Legal Issues: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increased transparency afforded by digital access to records can lead to a rise in follow-up queries from patients, requiring clinicians to spend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time clarifying information. This highlights how digital transparency, while beneficial, can create new responsibilities and workload pressures for healthcare professionals.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Compliance with Data Protection Regulations: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necessity for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patient confidentiality and adhering to GDPR can add an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layer of complexity to clinicians’ responsibilities, particularly in ensuring that patient data is handled properly and securely.</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 summary, while the NHS App can enhance workforce efficiency and care quality, these benefits are contingent on adequate investment in training, clear role definitions, and an understanding that digital innovation often redistributes rather than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eliminates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work.</w:t>
      </w:r>
      <w:r>
        <w:br/>
      </w:r>
      <w:r>
        <w:br/>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3.</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Impact on Patients and Service Users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NHS App has fundamentally changed the patient experience by enhancing convenience and autonomy but has also introduced new challenges.</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Benefits: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Increased Convenience: The ability to book appointments and manage prescriptions online significantly reduces waiting times and provides flexibility for working individuals, aligning with patient-</w:t>
      </w:r>
      <w:r w:rsidRPr="46D86585" w:rsidR="34225FB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centred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care principles (NHS Digital, 2021). The app offers users the ability to interact with healthcare services at their convenience, which is particularly beneficial for those balancing work and personal commitments.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Empowerment Through Information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Access to personal health records can increase health literacy, allowing patients to take a more active role in their healthcare decisions. The app promotes self-management, enabling users to track their health and engage in preventive care.</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Support for Patient Engagement</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app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facilitates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better communication between patients and healthcare providers, fostering an environment where patients feel more engaged in their care. This aligns with the NHS’s commitment to develop a patient-</w:t>
      </w:r>
      <w:r w:rsidRPr="46D86585" w:rsidR="1A786DD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centred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approach in healthcare delivery.</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Challenges: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Digital Exclusion: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Many individuals, particularly older </w:t>
      </w:r>
      <w:r w:rsidRPr="46D86585" w:rsidR="5356E89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adults,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or those from socioeconomically disadvantaged backgrounds, may lack access to devices or the internet, risking further marginalization (Watts, Patel, and Webb, 2020). This is especially prevalent in rural areas with limited connectivity. If digital-first approaches replace traditional methods without adequate alternatives, health inequalities are likely to widen.</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Privacy Concerns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Despite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operating</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under strict data protection regulations, concerns about cybersecurity and data breaches persist. Trust is essential for encouraging patient engagement with digital platforms. The NHS must continue to prioritize data security to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public confidence in the app.</w:t>
      </w:r>
      <w:r>
        <w:br/>
      </w:r>
      <w:r>
        <w:br/>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Potential for Misinterpretation: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Providing patients with direct access to test results without clinical context can lead to misunderstandings and anxiety. Patients may misinterpret medical terminology,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necessitating</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additional</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clarifications from healthcare providers. This highlights the importance of effective communication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strategies to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accompany</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digital access.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Impact on Vulnerable Populations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reliance on digital tools raises concerns about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equitable</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 Vulnerable populations, including those with disabilities or low health literacy, may find it challenging to navigate digital platforms effectively (World Health Organization, 2021).</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To address these challenges, the NHS must focus on inclusivity, ensuring that digital health strategies prioritize access for all demographics. Maintaining non-digital pathways alongside the app is crucial to uphold the NHS’s principles of universality.</w:t>
      </w:r>
      <w:r>
        <w:br/>
      </w:r>
      <w:r>
        <w:br/>
      </w:r>
      <w:r>
        <w:br/>
      </w:r>
      <w:r>
        <w:br/>
      </w:r>
    </w:p>
    <w:p w:rsidR="2DE4E169" w:rsidP="46D86585" w:rsidRDefault="2DE4E169" w14:paraId="3AF34E69" w14:textId="420BA402">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Conclusion and Recommendations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NHS App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represents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pivotal digital innovation that has significantly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impacted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service delivery, the workforce, and patient experiences within UK healthcare. While it has improved administrative efficiency and patient autonomy, challenges such as digital exclusion and increased workloads must be addressed. The app reflects contemporary NHS pressures, including workforce shortages and rising demand, and its effective management is essential for maximizing its potential benefits.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Given the ongoing pressures on the NHS, effective management of digital transformation is essential. The following recommendations can help ensure the app’s success: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1. </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Invest in Workforce Training:</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Implement mandatory digital skills training and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allocate</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protected learning time to equip staff with necessary competencies and reduce resistance to change. This investment should also include mentorship programs to foster a supportive learning environment.</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2</w:t>
      </w:r>
      <w:r w:rsidRPr="46D86585" w:rsidR="2DE4E169">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Ensure Equity in Access</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non-digital access routes and provide funded support for patients who may struggle with digital engagement, thereby mitigating inequalities. Strategies such as community outreach programs can help bridge the digital divide, particularly in underserved populations.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3. Continuous Evaluation: Foster ongoing collaboration with patients and staff to evaluate the app’s effectiveness and ensure transparency in performance data. Regular feedback mechanisms should be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established</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adapt and improve services based on user experiences.</w:t>
      </w:r>
      <w:r>
        <w:br/>
      </w:r>
      <w:r>
        <w:br/>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4. Strengthen Data Protection Measures: Ensure robust compliance with GDPR and other data protection regulations to </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w:t>
      </w:r>
      <w:r w:rsidRPr="46D86585" w:rsidR="2DE4E16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patient trust. This includes regular audits and updates to data management practices, alongside clear communication with patients about how their data is used.</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ote Digital Literacy Initiatives: Develop programs aimed at improving digital literacy among patients, particularly targeting vulnerable groups. Educational resources should be easily accessible, focusing on empowering patients to </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utilize</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digital tools effectively.</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By adopting these measures, the NHS can harness the potential of digital innovation while addressing existing systemic challenges, </w:t>
      </w:r>
      <w:r w:rsidRPr="46D86585" w:rsidR="73D459C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leading</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improved health outcomes and patient satisfaction.</w:t>
      </w:r>
      <w:r>
        <w:br/>
      </w:r>
      <w:r>
        <w:br/>
      </w:r>
      <w:r>
        <w:br/>
      </w:r>
      <w:r>
        <w:br/>
      </w:r>
      <w:r w:rsidRPr="46D86585" w:rsidR="41B17350">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 Reference List</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Baird, B., Beech, </w:t>
      </w:r>
      <w:r w:rsidRPr="46D86585" w:rsidR="404537E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J.,</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Buck, D. (2022) Building a digital NHS: improving access and outcomes. London: The King’s Fund.</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Charles, A., Wenzel, </w:t>
      </w:r>
      <w:r w:rsidRPr="46D86585" w:rsidR="6D3354F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Kershaw, M. (2023) ‘Digital transformation in primary care: implications for the workforce’, Journal of Health Services Research &amp; Policy, 28(1), pp. 45–52.</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General Data Protection Regulation (GDPR) (2018) Regulation (EU) 2016/679 of the European Parliament and of the Council of 27 April 2016 on the protection of natural persons </w:t>
      </w:r>
      <w:r w:rsidRPr="46D86585" w:rsidR="5BAF696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regarding</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the processing of personal data and on the free movement of such data</w:t>
      </w:r>
      <w:r w:rsidRPr="46D86585" w:rsidR="02ED865E">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(Accessed: 19 February 2026).</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Greenhalgh, T., </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herton</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 and Shaw, S. (2020) ‘The impact of digital-first primary care</w:t>
      </w:r>
      <w:r w:rsidRPr="46D86585" w:rsidR="4D04993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Health Education England (2019) The Topol Review: Preparing the healthcare workforce to deliver the digital future. London: HEE.</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Maguire, D., Dunn, </w:t>
      </w:r>
      <w:r w:rsidRPr="46D86585" w:rsidR="1E691BD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McKenna, H. (2021) How the NHS is using digital technology. London: The King’s Fund.</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National Audit Office (2020) Digital transformation in the NHS. London: NAO.</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NHS Digital (2021) NHS App statistics and user uptake report. Leeds: NHS Digital.</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NHS England (2019) The NHS Long Term Plan. London: NHS England.</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Watts, G., Patel, </w:t>
      </w:r>
      <w:r w:rsidRPr="46D86585" w:rsidR="7D84DDDC">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K.,</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Webb, E. (2020) ‘Digital exclusion and health inequalities’, Public Health, 185, pp. 132–134.</w:t>
      </w:r>
      <w:r>
        <w:br/>
      </w:r>
      <w:r>
        <w:br/>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World Health Organization (2021) Global strategy on digital health 2020–2025. WHO</w:t>
      </w:r>
      <w:r w:rsidRPr="46D86585" w:rsidR="6CEC760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t>
      </w:r>
      <w:r w:rsidRPr="46D86585" w:rsidR="41B1735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p>
    <w:sectPr>
      <w:pgSz w:w="11906" w:h="16838" w:orient="portrait"/>
      <w:pgMar w:top="1440" w:right="1440" w:bottom="1440" w:left="1440" w:header="720" w:footer="720" w:gutter="0"/>
      <w:cols w:space="720"/>
      <w:docGrid w:linePitch="360"/>
      <w:headerReference w:type="default" r:id="R2ba8fbf1d3eb434a"/>
      <w:footerReference w:type="default" r:id="R4cbde4daeb6840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EC3657" w:rsidTr="4CEC3657" w14:paraId="04D9B0C2">
      <w:trPr>
        <w:trHeight w:val="300"/>
      </w:trPr>
      <w:tc>
        <w:tcPr>
          <w:tcW w:w="3005" w:type="dxa"/>
          <w:tcMar/>
        </w:tcPr>
        <w:p w:rsidR="4CEC3657" w:rsidP="4CEC3657" w:rsidRDefault="4CEC3657" w14:paraId="1F2E5476" w14:textId="0DA14F17">
          <w:pPr>
            <w:pStyle w:val="Header"/>
            <w:bidi w:val="0"/>
            <w:ind w:left="-115"/>
            <w:jc w:val="left"/>
          </w:pPr>
        </w:p>
      </w:tc>
      <w:tc>
        <w:tcPr>
          <w:tcW w:w="3005" w:type="dxa"/>
          <w:tcMar/>
        </w:tcPr>
        <w:p w:rsidR="4CEC3657" w:rsidP="4CEC3657" w:rsidRDefault="4CEC3657" w14:paraId="2A9D0A6F" w14:textId="029C7BB9">
          <w:pPr>
            <w:pStyle w:val="Header"/>
            <w:bidi w:val="0"/>
            <w:jc w:val="center"/>
          </w:pPr>
        </w:p>
      </w:tc>
      <w:tc>
        <w:tcPr>
          <w:tcW w:w="3005" w:type="dxa"/>
          <w:tcMar/>
        </w:tcPr>
        <w:p w:rsidR="4CEC3657" w:rsidP="4CEC3657" w:rsidRDefault="4CEC3657" w14:paraId="26435A84" w14:textId="3952146D">
          <w:pPr>
            <w:pStyle w:val="Header"/>
            <w:bidi w:val="0"/>
            <w:ind w:right="-115"/>
            <w:jc w:val="right"/>
          </w:pPr>
        </w:p>
      </w:tc>
    </w:tr>
  </w:tbl>
  <w:p w:rsidR="4CEC3657" w:rsidRDefault="4CEC3657" w14:paraId="04D8900A" w14:textId="2EE21F39"/>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EC3657" w:rsidTr="4CEC3657" w14:paraId="1D0B1DCB">
      <w:trPr>
        <w:trHeight w:val="300"/>
      </w:trPr>
      <w:tc>
        <w:tcPr>
          <w:tcW w:w="3005" w:type="dxa"/>
          <w:tcMar/>
        </w:tcPr>
        <w:p w:rsidR="4CEC3657" w:rsidP="4CEC3657" w:rsidRDefault="4CEC3657" w14:paraId="463D662D" w14:textId="72909373">
          <w:pPr>
            <w:pStyle w:val="Header"/>
            <w:bidi w:val="0"/>
            <w:ind w:left="-115"/>
            <w:jc w:val="left"/>
          </w:pPr>
        </w:p>
      </w:tc>
      <w:tc>
        <w:tcPr>
          <w:tcW w:w="3005" w:type="dxa"/>
          <w:tcMar/>
        </w:tcPr>
        <w:p w:rsidR="4CEC3657" w:rsidP="4CEC3657" w:rsidRDefault="4CEC3657" w14:paraId="1293CABA" w14:textId="19ECC36F">
          <w:pPr>
            <w:pStyle w:val="Header"/>
            <w:bidi w:val="0"/>
            <w:jc w:val="center"/>
          </w:pPr>
        </w:p>
      </w:tc>
      <w:tc>
        <w:tcPr>
          <w:tcW w:w="3005" w:type="dxa"/>
          <w:tcMar/>
        </w:tcPr>
        <w:p w:rsidR="4CEC3657" w:rsidP="4CEC3657" w:rsidRDefault="4CEC3657" w14:paraId="44D1C8C2" w14:textId="5EAD163D">
          <w:pPr>
            <w:pStyle w:val="Header"/>
            <w:bidi w:val="0"/>
            <w:ind w:right="-115"/>
            <w:jc w:val="right"/>
          </w:pPr>
        </w:p>
      </w:tc>
    </w:tr>
  </w:tbl>
  <w:p w:rsidR="4CEC3657" w:rsidP="4CEC3657" w:rsidRDefault="4CEC3657" w14:paraId="484BF8BE" w14:textId="7E5B4FE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1E53D3"/>
    <w:rsid w:val="0261D1D3"/>
    <w:rsid w:val="02ED865E"/>
    <w:rsid w:val="05F51752"/>
    <w:rsid w:val="06506A93"/>
    <w:rsid w:val="0792C446"/>
    <w:rsid w:val="091B215E"/>
    <w:rsid w:val="09A38D9F"/>
    <w:rsid w:val="0EEA0857"/>
    <w:rsid w:val="111AAD21"/>
    <w:rsid w:val="11AE5402"/>
    <w:rsid w:val="11B678D0"/>
    <w:rsid w:val="12A3B30C"/>
    <w:rsid w:val="12ECC8CE"/>
    <w:rsid w:val="13F54FF5"/>
    <w:rsid w:val="148EA437"/>
    <w:rsid w:val="16002522"/>
    <w:rsid w:val="191FEEDF"/>
    <w:rsid w:val="1A786DD4"/>
    <w:rsid w:val="1D0D1642"/>
    <w:rsid w:val="1DACD5FF"/>
    <w:rsid w:val="1E691BD8"/>
    <w:rsid w:val="2004D755"/>
    <w:rsid w:val="201E53D3"/>
    <w:rsid w:val="23E5F325"/>
    <w:rsid w:val="24E8DAF0"/>
    <w:rsid w:val="26C2F4FC"/>
    <w:rsid w:val="27CBE0CB"/>
    <w:rsid w:val="2877C2C9"/>
    <w:rsid w:val="29471773"/>
    <w:rsid w:val="299C0D93"/>
    <w:rsid w:val="2B26981B"/>
    <w:rsid w:val="2CCD97D4"/>
    <w:rsid w:val="2D730FC5"/>
    <w:rsid w:val="2DE4E169"/>
    <w:rsid w:val="2FA95386"/>
    <w:rsid w:val="305E3F55"/>
    <w:rsid w:val="318DF0D2"/>
    <w:rsid w:val="31B7E89F"/>
    <w:rsid w:val="335D4510"/>
    <w:rsid w:val="34225FB9"/>
    <w:rsid w:val="364BEB42"/>
    <w:rsid w:val="367D24C2"/>
    <w:rsid w:val="3877FE64"/>
    <w:rsid w:val="3937BEEF"/>
    <w:rsid w:val="3B5F3F01"/>
    <w:rsid w:val="3D7DC6FF"/>
    <w:rsid w:val="404537E4"/>
    <w:rsid w:val="41B17350"/>
    <w:rsid w:val="43103CAE"/>
    <w:rsid w:val="4366DF51"/>
    <w:rsid w:val="460B6F68"/>
    <w:rsid w:val="46D86585"/>
    <w:rsid w:val="47903AAF"/>
    <w:rsid w:val="4922F237"/>
    <w:rsid w:val="4CEC3657"/>
    <w:rsid w:val="4D049931"/>
    <w:rsid w:val="4E5A0675"/>
    <w:rsid w:val="5356E899"/>
    <w:rsid w:val="54F7852B"/>
    <w:rsid w:val="55C5E826"/>
    <w:rsid w:val="5930FDCD"/>
    <w:rsid w:val="59D8D8C5"/>
    <w:rsid w:val="5BAF696B"/>
    <w:rsid w:val="5C4BE43E"/>
    <w:rsid w:val="5E25912C"/>
    <w:rsid w:val="604A962A"/>
    <w:rsid w:val="62C8FAD4"/>
    <w:rsid w:val="66CC68CF"/>
    <w:rsid w:val="6A161581"/>
    <w:rsid w:val="6CEC760B"/>
    <w:rsid w:val="6D3354F2"/>
    <w:rsid w:val="73753088"/>
    <w:rsid w:val="73D459C9"/>
    <w:rsid w:val="7433FBEE"/>
    <w:rsid w:val="773D6760"/>
    <w:rsid w:val="7A144BB6"/>
    <w:rsid w:val="7B5A8573"/>
    <w:rsid w:val="7C10AD0F"/>
    <w:rsid w:val="7C69EB8D"/>
    <w:rsid w:val="7D84DDDC"/>
    <w:rsid w:val="7FD00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3DA83"/>
  <w15:chartTrackingRefBased/>
  <w15:docId w15:val="{C22C5A05-2EDC-4BA7-B2FA-89DB066015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CEC3657"/>
    <w:pPr>
      <w:tabs>
        <w:tab w:val="center" w:leader="none" w:pos="4680"/>
        <w:tab w:val="right" w:leader="none" w:pos="9360"/>
      </w:tabs>
      <w:spacing w:after="0" w:line="240" w:lineRule="auto"/>
    </w:pPr>
  </w:style>
  <w:style w:type="paragraph" w:styleId="Footer">
    <w:uiPriority w:val="99"/>
    <w:name w:val="footer"/>
    <w:basedOn w:val="Normal"/>
    <w:unhideWhenUsed/>
    <w:rsid w:val="4CEC3657"/>
    <w:pPr>
      <w:tabs>
        <w:tab w:val="center" w:leader="none" w:pos="4680"/>
        <w:tab w:val="right" w:leader="none" w:pos="9360"/>
      </w:tabs>
      <w:spacing w:after="0" w:line="240" w:lineRule="auto"/>
    </w:pPr>
  </w:style>
  <w:style w:type="character" w:styleId="normaltextrun" w:customStyle="true">
    <w:uiPriority w:val="1"/>
    <w:name w:val="normaltextrun"/>
    <w:basedOn w:val="DefaultParagraphFont"/>
    <w:rsid w:val="4CEC3657"/>
    <w:rPr>
      <w:rFonts w:ascii="Arial" w:hAnsi="Arial" w:eastAsia="" w:cs="" w:asciiTheme="minorAscii" w:hAnsiTheme="minorAscii" w:eastAsiaTheme="minorEastAsia" w:cstheme="minorBidi"/>
      <w:sz w:val="24"/>
      <w:szCs w:val="24"/>
    </w:rPr>
  </w:style>
  <w:style w:type="character" w:styleId="Hyperlink">
    <w:uiPriority w:val="99"/>
    <w:name w:val="Hyperlink"/>
    <w:basedOn w:val="DefaultParagraphFont"/>
    <w:unhideWhenUsed/>
    <w:rsid w:val="4CEC365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88917558" /><Relationship Type="http://schemas.openxmlformats.org/officeDocument/2006/relationships/header" Target="/word/header.xml" Id="R2ba8fbf1d3eb434a" /><Relationship Type="http://schemas.openxmlformats.org/officeDocument/2006/relationships/footer" Target="/word/footer.xml" Id="R4cbde4daeb6840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Haylett (2321018)</dc:creator>
  <keywords/>
  <dc:description/>
  <lastModifiedBy>Simon Haylett (2321018)</lastModifiedBy>
  <revision>3</revision>
  <dcterms:created xsi:type="dcterms:W3CDTF">2026-02-19T17:52:03.0210938Z</dcterms:created>
  <dcterms:modified xsi:type="dcterms:W3CDTF">2026-03-01T00:38:22.3296924Z</dcterms:modified>
</coreProperties>
</file>