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1ACEE" w14:textId="77777777" w:rsidR="00F947C3" w:rsidRDefault="00F947C3" w:rsidP="00F947C3">
      <w:pPr>
        <w:jc w:val="center"/>
        <w:rPr>
          <w:rFonts w:ascii="Times New Roman" w:hAnsi="Times New Roman" w:cs="Times New Roman"/>
          <w:b/>
          <w:bCs/>
        </w:rPr>
      </w:pPr>
    </w:p>
    <w:p w14:paraId="0FB3D2BE" w14:textId="77777777" w:rsidR="00F947C3" w:rsidRDefault="00F947C3" w:rsidP="00F947C3">
      <w:pPr>
        <w:jc w:val="center"/>
        <w:rPr>
          <w:rFonts w:ascii="Times New Roman" w:hAnsi="Times New Roman" w:cs="Times New Roman"/>
          <w:b/>
          <w:bCs/>
        </w:rPr>
      </w:pPr>
    </w:p>
    <w:p w14:paraId="5866FA3A" w14:textId="77777777" w:rsidR="00F947C3" w:rsidRDefault="00F947C3" w:rsidP="00F947C3">
      <w:pPr>
        <w:jc w:val="center"/>
        <w:rPr>
          <w:rFonts w:ascii="Times New Roman" w:hAnsi="Times New Roman" w:cs="Times New Roman"/>
          <w:b/>
          <w:bCs/>
        </w:rPr>
      </w:pPr>
    </w:p>
    <w:p w14:paraId="1A9BFBDE" w14:textId="77777777" w:rsidR="00F947C3" w:rsidRDefault="00F947C3" w:rsidP="00F947C3">
      <w:pPr>
        <w:jc w:val="center"/>
        <w:rPr>
          <w:rFonts w:ascii="Times New Roman" w:hAnsi="Times New Roman" w:cs="Times New Roman"/>
          <w:b/>
          <w:bCs/>
        </w:rPr>
      </w:pPr>
    </w:p>
    <w:p w14:paraId="20DFE257" w14:textId="77777777" w:rsidR="00F947C3" w:rsidRDefault="00F947C3" w:rsidP="00F947C3">
      <w:pPr>
        <w:jc w:val="center"/>
        <w:rPr>
          <w:rFonts w:ascii="Times New Roman" w:hAnsi="Times New Roman" w:cs="Times New Roman"/>
          <w:b/>
          <w:bCs/>
        </w:rPr>
      </w:pPr>
    </w:p>
    <w:p w14:paraId="54DAF6F1" w14:textId="35A41197" w:rsidR="00F947C3" w:rsidRPr="00B06A1F" w:rsidRDefault="00F947C3" w:rsidP="00B06A1F">
      <w:pPr>
        <w:jc w:val="center"/>
        <w:rPr>
          <w:rFonts w:ascii="Arial" w:hAnsi="Arial" w:cs="Arial"/>
          <w:b/>
          <w:bCs/>
        </w:rPr>
      </w:pPr>
      <w:r w:rsidRPr="00B06A1F">
        <w:rPr>
          <w:rFonts w:ascii="Arial" w:hAnsi="Arial" w:cs="Arial"/>
          <w:b/>
          <w:bCs/>
        </w:rPr>
        <w:t>E</w:t>
      </w:r>
      <w:r w:rsidR="00FA1FE5">
        <w:rPr>
          <w:rFonts w:ascii="Arial" w:hAnsi="Arial" w:cs="Arial"/>
          <w:b/>
          <w:bCs/>
        </w:rPr>
        <w:t>valuation</w:t>
      </w:r>
      <w:r w:rsidRPr="00B06A1F">
        <w:rPr>
          <w:rFonts w:ascii="Arial" w:hAnsi="Arial" w:cs="Arial"/>
          <w:b/>
          <w:bCs/>
        </w:rPr>
        <w:t xml:space="preserve"> </w:t>
      </w:r>
      <w:r w:rsidR="00FA1FE5">
        <w:rPr>
          <w:rFonts w:ascii="Arial" w:hAnsi="Arial" w:cs="Arial"/>
          <w:b/>
          <w:bCs/>
        </w:rPr>
        <w:t>of</w:t>
      </w:r>
      <w:r w:rsidRPr="00B06A1F">
        <w:rPr>
          <w:rFonts w:ascii="Arial" w:hAnsi="Arial" w:cs="Arial"/>
          <w:b/>
          <w:bCs/>
        </w:rPr>
        <w:t xml:space="preserve"> P</w:t>
      </w:r>
      <w:r w:rsidR="00FA1FE5">
        <w:rPr>
          <w:rFonts w:ascii="Arial" w:hAnsi="Arial" w:cs="Arial"/>
          <w:b/>
          <w:bCs/>
        </w:rPr>
        <w:t>erson</w:t>
      </w:r>
      <w:r w:rsidRPr="00B06A1F">
        <w:rPr>
          <w:rFonts w:ascii="Arial" w:hAnsi="Arial" w:cs="Arial"/>
          <w:b/>
          <w:bCs/>
        </w:rPr>
        <w:t>-C</w:t>
      </w:r>
      <w:r w:rsidR="00FA1FE5">
        <w:rPr>
          <w:rFonts w:ascii="Arial" w:hAnsi="Arial" w:cs="Arial"/>
          <w:b/>
          <w:bCs/>
        </w:rPr>
        <w:t>entered</w:t>
      </w:r>
      <w:r w:rsidRPr="00B06A1F">
        <w:rPr>
          <w:rFonts w:ascii="Arial" w:hAnsi="Arial" w:cs="Arial"/>
          <w:b/>
          <w:bCs/>
        </w:rPr>
        <w:t xml:space="preserve"> C</w:t>
      </w:r>
      <w:r w:rsidR="00FA1FE5">
        <w:rPr>
          <w:rFonts w:ascii="Arial" w:hAnsi="Arial" w:cs="Arial"/>
          <w:b/>
          <w:bCs/>
        </w:rPr>
        <w:t>are</w:t>
      </w:r>
      <w:r w:rsidRPr="00B06A1F">
        <w:rPr>
          <w:rFonts w:ascii="Arial" w:hAnsi="Arial" w:cs="Arial"/>
          <w:b/>
          <w:bCs/>
        </w:rPr>
        <w:t xml:space="preserve"> </w:t>
      </w:r>
      <w:r w:rsidR="00FA1FE5">
        <w:rPr>
          <w:rFonts w:ascii="Arial" w:hAnsi="Arial" w:cs="Arial"/>
          <w:b/>
          <w:bCs/>
        </w:rPr>
        <w:t>and</w:t>
      </w:r>
      <w:r w:rsidRPr="00B06A1F">
        <w:rPr>
          <w:rFonts w:ascii="Arial" w:hAnsi="Arial" w:cs="Arial"/>
          <w:b/>
          <w:bCs/>
        </w:rPr>
        <w:t xml:space="preserve"> P</w:t>
      </w:r>
      <w:r w:rsidR="00FA1FE5">
        <w:rPr>
          <w:rFonts w:ascii="Arial" w:hAnsi="Arial" w:cs="Arial"/>
          <w:b/>
          <w:bCs/>
        </w:rPr>
        <w:t>artnership</w:t>
      </w:r>
      <w:r w:rsidRPr="00B06A1F">
        <w:rPr>
          <w:rFonts w:ascii="Arial" w:hAnsi="Arial" w:cs="Arial"/>
          <w:b/>
          <w:bCs/>
        </w:rPr>
        <w:t xml:space="preserve"> W</w:t>
      </w:r>
      <w:r w:rsidR="00FA1FE5">
        <w:rPr>
          <w:rFonts w:ascii="Arial" w:hAnsi="Arial" w:cs="Arial"/>
          <w:b/>
          <w:bCs/>
        </w:rPr>
        <w:t>orking</w:t>
      </w:r>
      <w:r w:rsidRPr="00B06A1F">
        <w:rPr>
          <w:rFonts w:ascii="Arial" w:hAnsi="Arial" w:cs="Arial"/>
          <w:b/>
          <w:bCs/>
        </w:rPr>
        <w:t xml:space="preserve"> </w:t>
      </w:r>
      <w:r w:rsidR="00FA1FE5">
        <w:rPr>
          <w:rFonts w:ascii="Arial" w:hAnsi="Arial" w:cs="Arial"/>
          <w:b/>
          <w:bCs/>
        </w:rPr>
        <w:t>in</w:t>
      </w:r>
      <w:r w:rsidRPr="00B06A1F">
        <w:rPr>
          <w:rFonts w:ascii="Arial" w:hAnsi="Arial" w:cs="Arial"/>
          <w:b/>
          <w:bCs/>
        </w:rPr>
        <w:t xml:space="preserve"> H</w:t>
      </w:r>
      <w:r w:rsidR="00FA1FE5">
        <w:rPr>
          <w:rFonts w:ascii="Arial" w:hAnsi="Arial" w:cs="Arial"/>
          <w:b/>
          <w:bCs/>
        </w:rPr>
        <w:t>ealth</w:t>
      </w:r>
      <w:r w:rsidRPr="00B06A1F">
        <w:rPr>
          <w:rFonts w:ascii="Arial" w:hAnsi="Arial" w:cs="Arial"/>
          <w:b/>
          <w:bCs/>
        </w:rPr>
        <w:t xml:space="preserve"> </w:t>
      </w:r>
      <w:r w:rsidR="00FA1FE5">
        <w:rPr>
          <w:rFonts w:ascii="Arial" w:hAnsi="Arial" w:cs="Arial"/>
          <w:b/>
          <w:bCs/>
        </w:rPr>
        <w:t>and</w:t>
      </w:r>
      <w:r w:rsidRPr="00B06A1F">
        <w:rPr>
          <w:rFonts w:ascii="Arial" w:hAnsi="Arial" w:cs="Arial"/>
          <w:b/>
          <w:bCs/>
        </w:rPr>
        <w:t xml:space="preserve"> S</w:t>
      </w:r>
      <w:r w:rsidR="00FA1FE5">
        <w:rPr>
          <w:rFonts w:ascii="Arial" w:hAnsi="Arial" w:cs="Arial"/>
          <w:b/>
          <w:bCs/>
        </w:rPr>
        <w:t>ocial</w:t>
      </w:r>
      <w:r w:rsidRPr="00B06A1F">
        <w:rPr>
          <w:rFonts w:ascii="Arial" w:hAnsi="Arial" w:cs="Arial"/>
          <w:b/>
          <w:bCs/>
        </w:rPr>
        <w:t xml:space="preserve"> C</w:t>
      </w:r>
      <w:r w:rsidR="00FA1FE5">
        <w:rPr>
          <w:rFonts w:ascii="Arial" w:hAnsi="Arial" w:cs="Arial"/>
          <w:b/>
          <w:bCs/>
        </w:rPr>
        <w:t>are</w:t>
      </w:r>
      <w:r w:rsidRPr="00B06A1F">
        <w:rPr>
          <w:rFonts w:ascii="Arial" w:hAnsi="Arial" w:cs="Arial"/>
          <w:b/>
          <w:bCs/>
        </w:rPr>
        <w:t xml:space="preserve"> P</w:t>
      </w:r>
      <w:r w:rsidR="00FA1FE5">
        <w:rPr>
          <w:rFonts w:ascii="Arial" w:hAnsi="Arial" w:cs="Arial"/>
          <w:b/>
          <w:bCs/>
        </w:rPr>
        <w:t>ractice</w:t>
      </w:r>
    </w:p>
    <w:p w14:paraId="0F82B126" w14:textId="77777777" w:rsidR="00B06A1F" w:rsidRPr="00B06A1F" w:rsidRDefault="00B06A1F" w:rsidP="00B06A1F">
      <w:pPr>
        <w:jc w:val="center"/>
        <w:rPr>
          <w:rFonts w:ascii="Arial" w:hAnsi="Arial" w:cs="Arial"/>
          <w:b/>
          <w:bCs/>
        </w:rPr>
      </w:pPr>
    </w:p>
    <w:p w14:paraId="6808038E" w14:textId="77777777" w:rsidR="00B06A1F" w:rsidRPr="00B06A1F" w:rsidRDefault="00B06A1F" w:rsidP="00B06A1F">
      <w:pPr>
        <w:jc w:val="center"/>
        <w:rPr>
          <w:rFonts w:ascii="Arial" w:hAnsi="Arial" w:cs="Arial"/>
          <w:b/>
          <w:bCs/>
        </w:rPr>
      </w:pPr>
    </w:p>
    <w:p w14:paraId="5FE9FCBD" w14:textId="77777777" w:rsidR="00B06A1F" w:rsidRPr="00B06A1F" w:rsidRDefault="00B06A1F" w:rsidP="00B06A1F">
      <w:pPr>
        <w:jc w:val="center"/>
        <w:rPr>
          <w:rFonts w:ascii="Arial" w:hAnsi="Arial" w:cs="Arial"/>
          <w:b/>
          <w:bCs/>
        </w:rPr>
      </w:pPr>
    </w:p>
    <w:p w14:paraId="770A32B5" w14:textId="77777777" w:rsidR="00B06A1F" w:rsidRPr="00B06A1F" w:rsidRDefault="00B06A1F" w:rsidP="00B06A1F">
      <w:pPr>
        <w:jc w:val="center"/>
        <w:rPr>
          <w:rFonts w:ascii="Arial" w:hAnsi="Arial" w:cs="Arial"/>
          <w:b/>
          <w:bCs/>
        </w:rPr>
      </w:pPr>
      <w:r w:rsidRPr="00B06A1F">
        <w:rPr>
          <w:rFonts w:ascii="Arial" w:hAnsi="Arial" w:cs="Arial"/>
          <w:b/>
          <w:bCs/>
        </w:rPr>
        <w:t>Student Name: Sabia Alam</w:t>
      </w:r>
    </w:p>
    <w:p w14:paraId="5D483A5F" w14:textId="77777777" w:rsidR="00B06A1F" w:rsidRPr="00B06A1F" w:rsidRDefault="00B06A1F" w:rsidP="00B06A1F">
      <w:pPr>
        <w:jc w:val="center"/>
        <w:rPr>
          <w:rFonts w:ascii="Arial" w:hAnsi="Arial" w:cs="Arial"/>
          <w:b/>
          <w:bCs/>
        </w:rPr>
      </w:pPr>
      <w:r w:rsidRPr="00B06A1F">
        <w:rPr>
          <w:rFonts w:ascii="Arial" w:hAnsi="Arial" w:cs="Arial"/>
          <w:b/>
          <w:bCs/>
        </w:rPr>
        <w:t>Student I.D: 2507875</w:t>
      </w:r>
    </w:p>
    <w:p w14:paraId="36F428A7" w14:textId="77777777" w:rsidR="00B06A1F" w:rsidRPr="00B06A1F" w:rsidRDefault="00B06A1F" w:rsidP="00B06A1F">
      <w:pPr>
        <w:jc w:val="center"/>
        <w:rPr>
          <w:rFonts w:ascii="Arial" w:hAnsi="Arial" w:cs="Arial"/>
          <w:b/>
          <w:bCs/>
        </w:rPr>
      </w:pPr>
      <w:r w:rsidRPr="00B06A1F">
        <w:rPr>
          <w:rFonts w:ascii="Arial" w:hAnsi="Arial" w:cs="Arial"/>
          <w:b/>
          <w:bCs/>
        </w:rPr>
        <w:t>University of Wales</w:t>
      </w:r>
    </w:p>
    <w:p w14:paraId="4FC855D9" w14:textId="77777777" w:rsidR="00B06A1F" w:rsidRPr="00B06A1F" w:rsidRDefault="00B06A1F" w:rsidP="00B06A1F">
      <w:pPr>
        <w:jc w:val="center"/>
        <w:rPr>
          <w:rFonts w:ascii="Arial" w:hAnsi="Arial" w:cs="Arial"/>
          <w:b/>
          <w:bCs/>
        </w:rPr>
      </w:pPr>
      <w:r w:rsidRPr="00B06A1F">
        <w:rPr>
          <w:rFonts w:ascii="Arial" w:hAnsi="Arial" w:cs="Arial"/>
          <w:b/>
          <w:bCs/>
        </w:rPr>
        <w:t>Module Code: BMHP5016</w:t>
      </w:r>
    </w:p>
    <w:p w14:paraId="5392551A" w14:textId="77777777" w:rsidR="00B06A1F" w:rsidRPr="00B06A1F" w:rsidRDefault="00B06A1F" w:rsidP="00B06A1F">
      <w:pPr>
        <w:jc w:val="center"/>
        <w:rPr>
          <w:rFonts w:ascii="Arial" w:hAnsi="Arial" w:cs="Arial"/>
          <w:b/>
          <w:bCs/>
        </w:rPr>
      </w:pPr>
      <w:r w:rsidRPr="00B06A1F">
        <w:rPr>
          <w:rFonts w:ascii="Arial" w:hAnsi="Arial" w:cs="Arial"/>
          <w:b/>
          <w:bCs/>
        </w:rPr>
        <w:t>Lecturer: Azida Zainol</w:t>
      </w:r>
    </w:p>
    <w:p w14:paraId="003960CD" w14:textId="3B11E36B" w:rsidR="00E46AF2" w:rsidRPr="00B06A1F" w:rsidRDefault="00E46AF2" w:rsidP="00B06A1F">
      <w:pPr>
        <w:jc w:val="center"/>
        <w:rPr>
          <w:rFonts w:ascii="Arial" w:hAnsi="Arial" w:cs="Arial"/>
          <w:sz w:val="22"/>
          <w:szCs w:val="22"/>
        </w:rPr>
      </w:pPr>
      <w:r w:rsidRPr="00B06A1F">
        <w:rPr>
          <w:rFonts w:ascii="Arial" w:hAnsi="Arial" w:cs="Arial"/>
          <w:sz w:val="22"/>
          <w:szCs w:val="22"/>
        </w:rPr>
        <w:br w:type="page"/>
      </w:r>
    </w:p>
    <w:sdt>
      <w:sdtPr>
        <w:rPr>
          <w:rFonts w:ascii="Arial" w:eastAsiaTheme="minorHAnsi" w:hAnsi="Arial" w:cs="Arial"/>
          <w:color w:val="auto"/>
          <w:kern w:val="2"/>
          <w:sz w:val="22"/>
          <w:szCs w:val="22"/>
          <w14:ligatures w14:val="standardContextual"/>
        </w:rPr>
        <w:id w:val="1184400764"/>
        <w:docPartObj>
          <w:docPartGallery w:val="Table of Contents"/>
          <w:docPartUnique/>
        </w:docPartObj>
      </w:sdtPr>
      <w:sdtEndPr>
        <w:rPr>
          <w:b/>
          <w:bCs/>
          <w:noProof/>
        </w:rPr>
      </w:sdtEndPr>
      <w:sdtContent>
        <w:p w14:paraId="0F5795A8" w14:textId="25CC224B" w:rsidR="00E46AF2" w:rsidRPr="00B06A1F" w:rsidRDefault="00E46AF2" w:rsidP="00B06A1F">
          <w:pPr>
            <w:pStyle w:val="TOCHeading"/>
            <w:spacing w:line="360" w:lineRule="auto"/>
            <w:rPr>
              <w:rFonts w:ascii="Arial" w:hAnsi="Arial" w:cs="Arial"/>
              <w:b/>
              <w:bCs/>
              <w:color w:val="auto"/>
              <w:sz w:val="22"/>
              <w:szCs w:val="22"/>
            </w:rPr>
          </w:pPr>
          <w:r w:rsidRPr="00B06A1F">
            <w:rPr>
              <w:rFonts w:ascii="Arial" w:hAnsi="Arial" w:cs="Arial"/>
              <w:b/>
              <w:bCs/>
              <w:color w:val="auto"/>
              <w:sz w:val="22"/>
              <w:szCs w:val="22"/>
            </w:rPr>
            <w:t>Table of Contents</w:t>
          </w:r>
        </w:p>
        <w:p w14:paraId="4500E60A" w14:textId="6FE654B7" w:rsidR="00F947C3" w:rsidRPr="00B06A1F" w:rsidRDefault="00E46AF2" w:rsidP="00B06A1F">
          <w:pPr>
            <w:pStyle w:val="TOC1"/>
            <w:tabs>
              <w:tab w:val="right" w:leader="dot" w:pos="9350"/>
            </w:tabs>
            <w:spacing w:line="360" w:lineRule="auto"/>
            <w:rPr>
              <w:rFonts w:ascii="Arial" w:eastAsiaTheme="minorEastAsia" w:hAnsi="Arial" w:cs="Arial"/>
              <w:noProof/>
              <w:sz w:val="22"/>
              <w:szCs w:val="22"/>
            </w:rPr>
          </w:pPr>
          <w:r w:rsidRPr="00B06A1F">
            <w:rPr>
              <w:rFonts w:ascii="Arial" w:hAnsi="Arial" w:cs="Arial"/>
              <w:sz w:val="22"/>
              <w:szCs w:val="22"/>
            </w:rPr>
            <w:fldChar w:fldCharType="begin"/>
          </w:r>
          <w:r w:rsidRPr="00B06A1F">
            <w:rPr>
              <w:rFonts w:ascii="Arial" w:hAnsi="Arial" w:cs="Arial"/>
              <w:sz w:val="22"/>
              <w:szCs w:val="22"/>
            </w:rPr>
            <w:instrText xml:space="preserve"> TOC \o "1-3" \h \z \u </w:instrText>
          </w:r>
          <w:r w:rsidRPr="00B06A1F">
            <w:rPr>
              <w:rFonts w:ascii="Arial" w:hAnsi="Arial" w:cs="Arial"/>
              <w:sz w:val="22"/>
              <w:szCs w:val="22"/>
            </w:rPr>
            <w:fldChar w:fldCharType="separate"/>
          </w:r>
          <w:hyperlink w:anchor="_Toc242964619" w:history="1">
            <w:r w:rsidR="00F947C3" w:rsidRPr="00B06A1F">
              <w:rPr>
                <w:rStyle w:val="Hyperlink"/>
                <w:rFonts w:ascii="Arial" w:hAnsi="Arial" w:cs="Arial"/>
                <w:noProof/>
                <w:color w:val="auto"/>
                <w:sz w:val="22"/>
                <w:szCs w:val="22"/>
              </w:rPr>
              <w:t>Introduction</w:t>
            </w:r>
            <w:r w:rsidR="00F947C3" w:rsidRPr="00B06A1F">
              <w:rPr>
                <w:rFonts w:ascii="Arial" w:hAnsi="Arial" w:cs="Arial"/>
                <w:noProof/>
                <w:webHidden/>
                <w:sz w:val="22"/>
                <w:szCs w:val="22"/>
              </w:rPr>
              <w:tab/>
            </w:r>
            <w:r w:rsidR="00F947C3" w:rsidRPr="00B06A1F">
              <w:rPr>
                <w:rFonts w:ascii="Arial" w:hAnsi="Arial" w:cs="Arial"/>
                <w:noProof/>
                <w:webHidden/>
                <w:sz w:val="22"/>
                <w:szCs w:val="22"/>
              </w:rPr>
              <w:fldChar w:fldCharType="begin"/>
            </w:r>
            <w:r w:rsidR="00F947C3" w:rsidRPr="00B06A1F">
              <w:rPr>
                <w:rFonts w:ascii="Arial" w:hAnsi="Arial" w:cs="Arial"/>
                <w:noProof/>
                <w:webHidden/>
                <w:sz w:val="22"/>
                <w:szCs w:val="22"/>
              </w:rPr>
              <w:instrText xml:space="preserve"> PAGEREF _Toc242964619 \h </w:instrText>
            </w:r>
            <w:r w:rsidR="00F947C3" w:rsidRPr="00B06A1F">
              <w:rPr>
                <w:rFonts w:ascii="Arial" w:hAnsi="Arial" w:cs="Arial"/>
                <w:noProof/>
                <w:webHidden/>
                <w:sz w:val="22"/>
                <w:szCs w:val="22"/>
              </w:rPr>
            </w:r>
            <w:r w:rsidR="00F947C3" w:rsidRPr="00B06A1F">
              <w:rPr>
                <w:rFonts w:ascii="Arial" w:hAnsi="Arial" w:cs="Arial"/>
                <w:noProof/>
                <w:webHidden/>
                <w:sz w:val="22"/>
                <w:szCs w:val="22"/>
              </w:rPr>
              <w:fldChar w:fldCharType="separate"/>
            </w:r>
            <w:r w:rsidR="00F947C3" w:rsidRPr="00B06A1F">
              <w:rPr>
                <w:rFonts w:ascii="Arial" w:hAnsi="Arial" w:cs="Arial"/>
                <w:noProof/>
                <w:webHidden/>
                <w:sz w:val="22"/>
                <w:szCs w:val="22"/>
              </w:rPr>
              <w:t>1</w:t>
            </w:r>
            <w:r w:rsidR="00F947C3" w:rsidRPr="00B06A1F">
              <w:rPr>
                <w:rFonts w:ascii="Arial" w:hAnsi="Arial" w:cs="Arial"/>
                <w:noProof/>
                <w:webHidden/>
                <w:sz w:val="22"/>
                <w:szCs w:val="22"/>
              </w:rPr>
              <w:fldChar w:fldCharType="end"/>
            </w:r>
          </w:hyperlink>
        </w:p>
        <w:p w14:paraId="4E85DC9B" w14:textId="0C5E3F77" w:rsidR="00F947C3" w:rsidRPr="00B06A1F" w:rsidRDefault="00F947C3" w:rsidP="00B06A1F">
          <w:pPr>
            <w:pStyle w:val="TOC1"/>
            <w:tabs>
              <w:tab w:val="right" w:leader="dot" w:pos="9350"/>
            </w:tabs>
            <w:spacing w:line="360" w:lineRule="auto"/>
            <w:rPr>
              <w:rFonts w:ascii="Arial" w:eastAsiaTheme="minorEastAsia" w:hAnsi="Arial" w:cs="Arial"/>
              <w:noProof/>
              <w:sz w:val="22"/>
              <w:szCs w:val="22"/>
            </w:rPr>
          </w:pPr>
          <w:hyperlink w:anchor="_Toc242964620" w:history="1">
            <w:r w:rsidRPr="00B06A1F">
              <w:rPr>
                <w:rStyle w:val="Hyperlink"/>
                <w:rFonts w:ascii="Arial" w:hAnsi="Arial" w:cs="Arial"/>
                <w:noProof/>
                <w:color w:val="auto"/>
                <w:sz w:val="22"/>
                <w:szCs w:val="22"/>
              </w:rPr>
              <w:t>Definition of Person-Centred Care: Benefits and Limitations</w:t>
            </w:r>
            <w:r w:rsidRPr="00B06A1F">
              <w:rPr>
                <w:rFonts w:ascii="Arial" w:hAnsi="Arial" w:cs="Arial"/>
                <w:noProof/>
                <w:webHidden/>
                <w:sz w:val="22"/>
                <w:szCs w:val="22"/>
              </w:rPr>
              <w:tab/>
            </w:r>
            <w:r w:rsidRPr="00B06A1F">
              <w:rPr>
                <w:rFonts w:ascii="Arial" w:hAnsi="Arial" w:cs="Arial"/>
                <w:noProof/>
                <w:webHidden/>
                <w:sz w:val="22"/>
                <w:szCs w:val="22"/>
              </w:rPr>
              <w:fldChar w:fldCharType="begin"/>
            </w:r>
            <w:r w:rsidRPr="00B06A1F">
              <w:rPr>
                <w:rFonts w:ascii="Arial" w:hAnsi="Arial" w:cs="Arial"/>
                <w:noProof/>
                <w:webHidden/>
                <w:sz w:val="22"/>
                <w:szCs w:val="22"/>
              </w:rPr>
              <w:instrText xml:space="preserve"> PAGEREF _Toc242964620 \h </w:instrText>
            </w:r>
            <w:r w:rsidRPr="00B06A1F">
              <w:rPr>
                <w:rFonts w:ascii="Arial" w:hAnsi="Arial" w:cs="Arial"/>
                <w:noProof/>
                <w:webHidden/>
                <w:sz w:val="22"/>
                <w:szCs w:val="22"/>
              </w:rPr>
            </w:r>
            <w:r w:rsidRPr="00B06A1F">
              <w:rPr>
                <w:rFonts w:ascii="Arial" w:hAnsi="Arial" w:cs="Arial"/>
                <w:noProof/>
                <w:webHidden/>
                <w:sz w:val="22"/>
                <w:szCs w:val="22"/>
              </w:rPr>
              <w:fldChar w:fldCharType="separate"/>
            </w:r>
            <w:r w:rsidRPr="00B06A1F">
              <w:rPr>
                <w:rFonts w:ascii="Arial" w:hAnsi="Arial" w:cs="Arial"/>
                <w:noProof/>
                <w:webHidden/>
                <w:sz w:val="22"/>
                <w:szCs w:val="22"/>
              </w:rPr>
              <w:t>1</w:t>
            </w:r>
            <w:r w:rsidRPr="00B06A1F">
              <w:rPr>
                <w:rFonts w:ascii="Arial" w:hAnsi="Arial" w:cs="Arial"/>
                <w:noProof/>
                <w:webHidden/>
                <w:sz w:val="22"/>
                <w:szCs w:val="22"/>
              </w:rPr>
              <w:fldChar w:fldCharType="end"/>
            </w:r>
          </w:hyperlink>
        </w:p>
        <w:p w14:paraId="006D1163" w14:textId="46B2EA4A" w:rsidR="00F947C3" w:rsidRPr="00B06A1F" w:rsidRDefault="00F947C3" w:rsidP="00B06A1F">
          <w:pPr>
            <w:pStyle w:val="TOC1"/>
            <w:tabs>
              <w:tab w:val="right" w:leader="dot" w:pos="9350"/>
            </w:tabs>
            <w:spacing w:line="360" w:lineRule="auto"/>
            <w:rPr>
              <w:rFonts w:ascii="Arial" w:eastAsiaTheme="minorEastAsia" w:hAnsi="Arial" w:cs="Arial"/>
              <w:noProof/>
              <w:sz w:val="22"/>
              <w:szCs w:val="22"/>
            </w:rPr>
          </w:pPr>
          <w:hyperlink w:anchor="_Toc242964621" w:history="1">
            <w:r w:rsidRPr="00B06A1F">
              <w:rPr>
                <w:rStyle w:val="Hyperlink"/>
                <w:rFonts w:ascii="Arial" w:hAnsi="Arial" w:cs="Arial"/>
                <w:noProof/>
                <w:color w:val="auto"/>
                <w:sz w:val="22"/>
                <w:szCs w:val="22"/>
              </w:rPr>
              <w:t>Theoretical Underpinning of Person-Centred Care</w:t>
            </w:r>
            <w:r w:rsidRPr="00B06A1F">
              <w:rPr>
                <w:rFonts w:ascii="Arial" w:hAnsi="Arial" w:cs="Arial"/>
                <w:noProof/>
                <w:webHidden/>
                <w:sz w:val="22"/>
                <w:szCs w:val="22"/>
              </w:rPr>
              <w:tab/>
            </w:r>
            <w:r w:rsidRPr="00B06A1F">
              <w:rPr>
                <w:rFonts w:ascii="Arial" w:hAnsi="Arial" w:cs="Arial"/>
                <w:noProof/>
                <w:webHidden/>
                <w:sz w:val="22"/>
                <w:szCs w:val="22"/>
              </w:rPr>
              <w:fldChar w:fldCharType="begin"/>
            </w:r>
            <w:r w:rsidRPr="00B06A1F">
              <w:rPr>
                <w:rFonts w:ascii="Arial" w:hAnsi="Arial" w:cs="Arial"/>
                <w:noProof/>
                <w:webHidden/>
                <w:sz w:val="22"/>
                <w:szCs w:val="22"/>
              </w:rPr>
              <w:instrText xml:space="preserve"> PAGEREF _Toc242964621 \h </w:instrText>
            </w:r>
            <w:r w:rsidRPr="00B06A1F">
              <w:rPr>
                <w:rFonts w:ascii="Arial" w:hAnsi="Arial" w:cs="Arial"/>
                <w:noProof/>
                <w:webHidden/>
                <w:sz w:val="22"/>
                <w:szCs w:val="22"/>
              </w:rPr>
            </w:r>
            <w:r w:rsidRPr="00B06A1F">
              <w:rPr>
                <w:rFonts w:ascii="Arial" w:hAnsi="Arial" w:cs="Arial"/>
                <w:noProof/>
                <w:webHidden/>
                <w:sz w:val="22"/>
                <w:szCs w:val="22"/>
              </w:rPr>
              <w:fldChar w:fldCharType="separate"/>
            </w:r>
            <w:r w:rsidRPr="00B06A1F">
              <w:rPr>
                <w:rFonts w:ascii="Arial" w:hAnsi="Arial" w:cs="Arial"/>
                <w:noProof/>
                <w:webHidden/>
                <w:sz w:val="22"/>
                <w:szCs w:val="22"/>
              </w:rPr>
              <w:t>3</w:t>
            </w:r>
            <w:r w:rsidRPr="00B06A1F">
              <w:rPr>
                <w:rFonts w:ascii="Arial" w:hAnsi="Arial" w:cs="Arial"/>
                <w:noProof/>
                <w:webHidden/>
                <w:sz w:val="22"/>
                <w:szCs w:val="22"/>
              </w:rPr>
              <w:fldChar w:fldCharType="end"/>
            </w:r>
          </w:hyperlink>
        </w:p>
        <w:p w14:paraId="7340A5BB" w14:textId="326E1595" w:rsidR="00F947C3" w:rsidRPr="00B06A1F" w:rsidRDefault="00F947C3" w:rsidP="00B06A1F">
          <w:pPr>
            <w:pStyle w:val="TOC1"/>
            <w:tabs>
              <w:tab w:val="right" w:leader="dot" w:pos="9350"/>
            </w:tabs>
            <w:spacing w:line="360" w:lineRule="auto"/>
            <w:rPr>
              <w:rFonts w:ascii="Arial" w:eastAsiaTheme="minorEastAsia" w:hAnsi="Arial" w:cs="Arial"/>
              <w:noProof/>
              <w:sz w:val="22"/>
              <w:szCs w:val="22"/>
            </w:rPr>
          </w:pPr>
          <w:hyperlink w:anchor="_Toc242964622" w:history="1">
            <w:r w:rsidRPr="00B06A1F">
              <w:rPr>
                <w:rStyle w:val="Hyperlink"/>
                <w:rFonts w:ascii="Arial" w:hAnsi="Arial" w:cs="Arial"/>
                <w:noProof/>
                <w:color w:val="auto"/>
                <w:sz w:val="22"/>
                <w:szCs w:val="22"/>
              </w:rPr>
              <w:t>Ethical Fundamentals of Health and Social Care</w:t>
            </w:r>
            <w:r w:rsidRPr="00B06A1F">
              <w:rPr>
                <w:rFonts w:ascii="Arial" w:hAnsi="Arial" w:cs="Arial"/>
                <w:noProof/>
                <w:webHidden/>
                <w:sz w:val="22"/>
                <w:szCs w:val="22"/>
              </w:rPr>
              <w:tab/>
            </w:r>
            <w:r w:rsidRPr="00B06A1F">
              <w:rPr>
                <w:rFonts w:ascii="Arial" w:hAnsi="Arial" w:cs="Arial"/>
                <w:noProof/>
                <w:webHidden/>
                <w:sz w:val="22"/>
                <w:szCs w:val="22"/>
              </w:rPr>
              <w:fldChar w:fldCharType="begin"/>
            </w:r>
            <w:r w:rsidRPr="00B06A1F">
              <w:rPr>
                <w:rFonts w:ascii="Arial" w:hAnsi="Arial" w:cs="Arial"/>
                <w:noProof/>
                <w:webHidden/>
                <w:sz w:val="22"/>
                <w:szCs w:val="22"/>
              </w:rPr>
              <w:instrText xml:space="preserve"> PAGEREF _Toc242964622 \h </w:instrText>
            </w:r>
            <w:r w:rsidRPr="00B06A1F">
              <w:rPr>
                <w:rFonts w:ascii="Arial" w:hAnsi="Arial" w:cs="Arial"/>
                <w:noProof/>
                <w:webHidden/>
                <w:sz w:val="22"/>
                <w:szCs w:val="22"/>
              </w:rPr>
            </w:r>
            <w:r w:rsidRPr="00B06A1F">
              <w:rPr>
                <w:rFonts w:ascii="Arial" w:hAnsi="Arial" w:cs="Arial"/>
                <w:noProof/>
                <w:webHidden/>
                <w:sz w:val="22"/>
                <w:szCs w:val="22"/>
              </w:rPr>
              <w:fldChar w:fldCharType="separate"/>
            </w:r>
            <w:r w:rsidRPr="00B06A1F">
              <w:rPr>
                <w:rFonts w:ascii="Arial" w:hAnsi="Arial" w:cs="Arial"/>
                <w:noProof/>
                <w:webHidden/>
                <w:sz w:val="22"/>
                <w:szCs w:val="22"/>
              </w:rPr>
              <w:t>4</w:t>
            </w:r>
            <w:r w:rsidRPr="00B06A1F">
              <w:rPr>
                <w:rFonts w:ascii="Arial" w:hAnsi="Arial" w:cs="Arial"/>
                <w:noProof/>
                <w:webHidden/>
                <w:sz w:val="22"/>
                <w:szCs w:val="22"/>
              </w:rPr>
              <w:fldChar w:fldCharType="end"/>
            </w:r>
          </w:hyperlink>
        </w:p>
        <w:p w14:paraId="1222DB91" w14:textId="388B5249" w:rsidR="00F947C3" w:rsidRPr="00B06A1F" w:rsidRDefault="00F947C3" w:rsidP="00B06A1F">
          <w:pPr>
            <w:pStyle w:val="TOC1"/>
            <w:tabs>
              <w:tab w:val="right" w:leader="dot" w:pos="9350"/>
            </w:tabs>
            <w:spacing w:line="360" w:lineRule="auto"/>
            <w:rPr>
              <w:rFonts w:ascii="Arial" w:eastAsiaTheme="minorEastAsia" w:hAnsi="Arial" w:cs="Arial"/>
              <w:noProof/>
              <w:sz w:val="22"/>
              <w:szCs w:val="22"/>
            </w:rPr>
          </w:pPr>
          <w:hyperlink w:anchor="_Toc242964623" w:history="1">
            <w:r w:rsidRPr="00B06A1F">
              <w:rPr>
                <w:rStyle w:val="Hyperlink"/>
                <w:rFonts w:ascii="Arial" w:hAnsi="Arial" w:cs="Arial"/>
                <w:noProof/>
                <w:color w:val="auto"/>
                <w:sz w:val="22"/>
                <w:szCs w:val="22"/>
              </w:rPr>
              <w:t>5. Evaluation of Partnership Working in Health and Social Care</w:t>
            </w:r>
            <w:r w:rsidRPr="00B06A1F">
              <w:rPr>
                <w:rFonts w:ascii="Arial" w:hAnsi="Arial" w:cs="Arial"/>
                <w:noProof/>
                <w:webHidden/>
                <w:sz w:val="22"/>
                <w:szCs w:val="22"/>
              </w:rPr>
              <w:tab/>
            </w:r>
            <w:r w:rsidRPr="00B06A1F">
              <w:rPr>
                <w:rFonts w:ascii="Arial" w:hAnsi="Arial" w:cs="Arial"/>
                <w:noProof/>
                <w:webHidden/>
                <w:sz w:val="22"/>
                <w:szCs w:val="22"/>
              </w:rPr>
              <w:fldChar w:fldCharType="begin"/>
            </w:r>
            <w:r w:rsidRPr="00B06A1F">
              <w:rPr>
                <w:rFonts w:ascii="Arial" w:hAnsi="Arial" w:cs="Arial"/>
                <w:noProof/>
                <w:webHidden/>
                <w:sz w:val="22"/>
                <w:szCs w:val="22"/>
              </w:rPr>
              <w:instrText xml:space="preserve"> PAGEREF _Toc242964623 \h </w:instrText>
            </w:r>
            <w:r w:rsidRPr="00B06A1F">
              <w:rPr>
                <w:rFonts w:ascii="Arial" w:hAnsi="Arial" w:cs="Arial"/>
                <w:noProof/>
                <w:webHidden/>
                <w:sz w:val="22"/>
                <w:szCs w:val="22"/>
              </w:rPr>
            </w:r>
            <w:r w:rsidRPr="00B06A1F">
              <w:rPr>
                <w:rFonts w:ascii="Arial" w:hAnsi="Arial" w:cs="Arial"/>
                <w:noProof/>
                <w:webHidden/>
                <w:sz w:val="22"/>
                <w:szCs w:val="22"/>
              </w:rPr>
              <w:fldChar w:fldCharType="separate"/>
            </w:r>
            <w:r w:rsidRPr="00B06A1F">
              <w:rPr>
                <w:rFonts w:ascii="Arial" w:hAnsi="Arial" w:cs="Arial"/>
                <w:noProof/>
                <w:webHidden/>
                <w:sz w:val="22"/>
                <w:szCs w:val="22"/>
              </w:rPr>
              <w:t>5</w:t>
            </w:r>
            <w:r w:rsidRPr="00B06A1F">
              <w:rPr>
                <w:rFonts w:ascii="Arial" w:hAnsi="Arial" w:cs="Arial"/>
                <w:noProof/>
                <w:webHidden/>
                <w:sz w:val="22"/>
                <w:szCs w:val="22"/>
              </w:rPr>
              <w:fldChar w:fldCharType="end"/>
            </w:r>
          </w:hyperlink>
        </w:p>
        <w:p w14:paraId="5E4E0697" w14:textId="664FC5A1" w:rsidR="00F947C3" w:rsidRPr="00B06A1F" w:rsidRDefault="00F947C3" w:rsidP="00B06A1F">
          <w:pPr>
            <w:pStyle w:val="TOC1"/>
            <w:tabs>
              <w:tab w:val="right" w:leader="dot" w:pos="9350"/>
            </w:tabs>
            <w:spacing w:line="360" w:lineRule="auto"/>
            <w:rPr>
              <w:rFonts w:ascii="Arial" w:eastAsiaTheme="minorEastAsia" w:hAnsi="Arial" w:cs="Arial"/>
              <w:noProof/>
              <w:sz w:val="22"/>
              <w:szCs w:val="22"/>
            </w:rPr>
          </w:pPr>
          <w:hyperlink w:anchor="_Toc242964624" w:history="1">
            <w:r w:rsidRPr="00B06A1F">
              <w:rPr>
                <w:rStyle w:val="Hyperlink"/>
                <w:rFonts w:ascii="Arial" w:hAnsi="Arial" w:cs="Arial"/>
                <w:noProof/>
                <w:color w:val="auto"/>
                <w:sz w:val="22"/>
                <w:szCs w:val="22"/>
              </w:rPr>
              <w:t>Partnership Working in Care Homes</w:t>
            </w:r>
            <w:r w:rsidRPr="00B06A1F">
              <w:rPr>
                <w:rFonts w:ascii="Arial" w:hAnsi="Arial" w:cs="Arial"/>
                <w:noProof/>
                <w:webHidden/>
                <w:sz w:val="22"/>
                <w:szCs w:val="22"/>
              </w:rPr>
              <w:tab/>
            </w:r>
            <w:r w:rsidRPr="00B06A1F">
              <w:rPr>
                <w:rFonts w:ascii="Arial" w:hAnsi="Arial" w:cs="Arial"/>
                <w:noProof/>
                <w:webHidden/>
                <w:sz w:val="22"/>
                <w:szCs w:val="22"/>
              </w:rPr>
              <w:fldChar w:fldCharType="begin"/>
            </w:r>
            <w:r w:rsidRPr="00B06A1F">
              <w:rPr>
                <w:rFonts w:ascii="Arial" w:hAnsi="Arial" w:cs="Arial"/>
                <w:noProof/>
                <w:webHidden/>
                <w:sz w:val="22"/>
                <w:szCs w:val="22"/>
              </w:rPr>
              <w:instrText xml:space="preserve"> PAGEREF _Toc242964624 \h </w:instrText>
            </w:r>
            <w:r w:rsidRPr="00B06A1F">
              <w:rPr>
                <w:rFonts w:ascii="Arial" w:hAnsi="Arial" w:cs="Arial"/>
                <w:noProof/>
                <w:webHidden/>
                <w:sz w:val="22"/>
                <w:szCs w:val="22"/>
              </w:rPr>
            </w:r>
            <w:r w:rsidRPr="00B06A1F">
              <w:rPr>
                <w:rFonts w:ascii="Arial" w:hAnsi="Arial" w:cs="Arial"/>
                <w:noProof/>
                <w:webHidden/>
                <w:sz w:val="22"/>
                <w:szCs w:val="22"/>
              </w:rPr>
              <w:fldChar w:fldCharType="separate"/>
            </w:r>
            <w:r w:rsidRPr="00B06A1F">
              <w:rPr>
                <w:rFonts w:ascii="Arial" w:hAnsi="Arial" w:cs="Arial"/>
                <w:noProof/>
                <w:webHidden/>
                <w:sz w:val="22"/>
                <w:szCs w:val="22"/>
              </w:rPr>
              <w:t>5</w:t>
            </w:r>
            <w:r w:rsidRPr="00B06A1F">
              <w:rPr>
                <w:rFonts w:ascii="Arial" w:hAnsi="Arial" w:cs="Arial"/>
                <w:noProof/>
                <w:webHidden/>
                <w:sz w:val="22"/>
                <w:szCs w:val="22"/>
              </w:rPr>
              <w:fldChar w:fldCharType="end"/>
            </w:r>
          </w:hyperlink>
        </w:p>
        <w:p w14:paraId="725FC28B" w14:textId="2E76A4F9" w:rsidR="00F947C3" w:rsidRPr="00B06A1F" w:rsidRDefault="00F947C3" w:rsidP="00B06A1F">
          <w:pPr>
            <w:pStyle w:val="TOC1"/>
            <w:tabs>
              <w:tab w:val="right" w:leader="dot" w:pos="9350"/>
            </w:tabs>
            <w:spacing w:line="360" w:lineRule="auto"/>
            <w:rPr>
              <w:rFonts w:ascii="Arial" w:eastAsiaTheme="minorEastAsia" w:hAnsi="Arial" w:cs="Arial"/>
              <w:noProof/>
              <w:sz w:val="22"/>
              <w:szCs w:val="22"/>
            </w:rPr>
          </w:pPr>
          <w:hyperlink w:anchor="_Toc242964625" w:history="1">
            <w:r w:rsidRPr="00B06A1F">
              <w:rPr>
                <w:rStyle w:val="Hyperlink"/>
                <w:rFonts w:ascii="Arial" w:hAnsi="Arial" w:cs="Arial"/>
                <w:noProof/>
                <w:color w:val="auto"/>
                <w:sz w:val="22"/>
                <w:szCs w:val="22"/>
              </w:rPr>
              <w:t>Policy and Legislation Background</w:t>
            </w:r>
            <w:r w:rsidRPr="00B06A1F">
              <w:rPr>
                <w:rFonts w:ascii="Arial" w:hAnsi="Arial" w:cs="Arial"/>
                <w:noProof/>
                <w:webHidden/>
                <w:sz w:val="22"/>
                <w:szCs w:val="22"/>
              </w:rPr>
              <w:tab/>
            </w:r>
            <w:r w:rsidRPr="00B06A1F">
              <w:rPr>
                <w:rFonts w:ascii="Arial" w:hAnsi="Arial" w:cs="Arial"/>
                <w:noProof/>
                <w:webHidden/>
                <w:sz w:val="22"/>
                <w:szCs w:val="22"/>
              </w:rPr>
              <w:fldChar w:fldCharType="begin"/>
            </w:r>
            <w:r w:rsidRPr="00B06A1F">
              <w:rPr>
                <w:rFonts w:ascii="Arial" w:hAnsi="Arial" w:cs="Arial"/>
                <w:noProof/>
                <w:webHidden/>
                <w:sz w:val="22"/>
                <w:szCs w:val="22"/>
              </w:rPr>
              <w:instrText xml:space="preserve"> PAGEREF _Toc242964625 \h </w:instrText>
            </w:r>
            <w:r w:rsidRPr="00B06A1F">
              <w:rPr>
                <w:rFonts w:ascii="Arial" w:hAnsi="Arial" w:cs="Arial"/>
                <w:noProof/>
                <w:webHidden/>
                <w:sz w:val="22"/>
                <w:szCs w:val="22"/>
              </w:rPr>
            </w:r>
            <w:r w:rsidRPr="00B06A1F">
              <w:rPr>
                <w:rFonts w:ascii="Arial" w:hAnsi="Arial" w:cs="Arial"/>
                <w:noProof/>
                <w:webHidden/>
                <w:sz w:val="22"/>
                <w:szCs w:val="22"/>
              </w:rPr>
              <w:fldChar w:fldCharType="separate"/>
            </w:r>
            <w:r w:rsidRPr="00B06A1F">
              <w:rPr>
                <w:rFonts w:ascii="Arial" w:hAnsi="Arial" w:cs="Arial"/>
                <w:noProof/>
                <w:webHidden/>
                <w:sz w:val="22"/>
                <w:szCs w:val="22"/>
              </w:rPr>
              <w:t>7</w:t>
            </w:r>
            <w:r w:rsidRPr="00B06A1F">
              <w:rPr>
                <w:rFonts w:ascii="Arial" w:hAnsi="Arial" w:cs="Arial"/>
                <w:noProof/>
                <w:webHidden/>
                <w:sz w:val="22"/>
                <w:szCs w:val="22"/>
              </w:rPr>
              <w:fldChar w:fldCharType="end"/>
            </w:r>
          </w:hyperlink>
        </w:p>
        <w:p w14:paraId="5EB739B8" w14:textId="5CB6FC0E" w:rsidR="00F947C3" w:rsidRPr="00B06A1F" w:rsidRDefault="00F947C3" w:rsidP="00B06A1F">
          <w:pPr>
            <w:pStyle w:val="TOC1"/>
            <w:tabs>
              <w:tab w:val="right" w:leader="dot" w:pos="9350"/>
            </w:tabs>
            <w:spacing w:line="360" w:lineRule="auto"/>
            <w:rPr>
              <w:rFonts w:ascii="Arial" w:eastAsiaTheme="minorEastAsia" w:hAnsi="Arial" w:cs="Arial"/>
              <w:noProof/>
              <w:sz w:val="22"/>
              <w:szCs w:val="22"/>
            </w:rPr>
          </w:pPr>
          <w:hyperlink w:anchor="_Toc242964626" w:history="1">
            <w:r w:rsidRPr="00B06A1F">
              <w:rPr>
                <w:rStyle w:val="Hyperlink"/>
                <w:rFonts w:ascii="Arial" w:hAnsi="Arial" w:cs="Arial"/>
                <w:noProof/>
                <w:color w:val="auto"/>
                <w:sz w:val="22"/>
                <w:szCs w:val="22"/>
              </w:rPr>
              <w:t>Recommendations for future development</w:t>
            </w:r>
            <w:r w:rsidRPr="00B06A1F">
              <w:rPr>
                <w:rFonts w:ascii="Arial" w:hAnsi="Arial" w:cs="Arial"/>
                <w:noProof/>
                <w:webHidden/>
                <w:sz w:val="22"/>
                <w:szCs w:val="22"/>
              </w:rPr>
              <w:tab/>
            </w:r>
            <w:r w:rsidRPr="00B06A1F">
              <w:rPr>
                <w:rFonts w:ascii="Arial" w:hAnsi="Arial" w:cs="Arial"/>
                <w:noProof/>
                <w:webHidden/>
                <w:sz w:val="22"/>
                <w:szCs w:val="22"/>
              </w:rPr>
              <w:fldChar w:fldCharType="begin"/>
            </w:r>
            <w:r w:rsidRPr="00B06A1F">
              <w:rPr>
                <w:rFonts w:ascii="Arial" w:hAnsi="Arial" w:cs="Arial"/>
                <w:noProof/>
                <w:webHidden/>
                <w:sz w:val="22"/>
                <w:szCs w:val="22"/>
              </w:rPr>
              <w:instrText xml:space="preserve"> PAGEREF _Toc242964626 \h </w:instrText>
            </w:r>
            <w:r w:rsidRPr="00B06A1F">
              <w:rPr>
                <w:rFonts w:ascii="Arial" w:hAnsi="Arial" w:cs="Arial"/>
                <w:noProof/>
                <w:webHidden/>
                <w:sz w:val="22"/>
                <w:szCs w:val="22"/>
              </w:rPr>
            </w:r>
            <w:r w:rsidRPr="00B06A1F">
              <w:rPr>
                <w:rFonts w:ascii="Arial" w:hAnsi="Arial" w:cs="Arial"/>
                <w:noProof/>
                <w:webHidden/>
                <w:sz w:val="22"/>
                <w:szCs w:val="22"/>
              </w:rPr>
              <w:fldChar w:fldCharType="separate"/>
            </w:r>
            <w:r w:rsidRPr="00B06A1F">
              <w:rPr>
                <w:rFonts w:ascii="Arial" w:hAnsi="Arial" w:cs="Arial"/>
                <w:noProof/>
                <w:webHidden/>
                <w:sz w:val="22"/>
                <w:szCs w:val="22"/>
              </w:rPr>
              <w:t>7</w:t>
            </w:r>
            <w:r w:rsidRPr="00B06A1F">
              <w:rPr>
                <w:rFonts w:ascii="Arial" w:hAnsi="Arial" w:cs="Arial"/>
                <w:noProof/>
                <w:webHidden/>
                <w:sz w:val="22"/>
                <w:szCs w:val="22"/>
              </w:rPr>
              <w:fldChar w:fldCharType="end"/>
            </w:r>
          </w:hyperlink>
        </w:p>
        <w:p w14:paraId="362E1EFC" w14:textId="12E571DF" w:rsidR="00F947C3" w:rsidRPr="00B06A1F" w:rsidRDefault="00F947C3" w:rsidP="00B06A1F">
          <w:pPr>
            <w:pStyle w:val="TOC1"/>
            <w:tabs>
              <w:tab w:val="right" w:leader="dot" w:pos="9350"/>
            </w:tabs>
            <w:spacing w:line="360" w:lineRule="auto"/>
            <w:rPr>
              <w:rFonts w:ascii="Arial" w:eastAsiaTheme="minorEastAsia" w:hAnsi="Arial" w:cs="Arial"/>
              <w:noProof/>
              <w:sz w:val="22"/>
              <w:szCs w:val="22"/>
            </w:rPr>
          </w:pPr>
          <w:hyperlink w:anchor="_Toc242964627" w:history="1">
            <w:r w:rsidRPr="00B06A1F">
              <w:rPr>
                <w:rStyle w:val="Hyperlink"/>
                <w:rFonts w:ascii="Arial" w:hAnsi="Arial" w:cs="Arial"/>
                <w:noProof/>
                <w:color w:val="auto"/>
                <w:sz w:val="22"/>
                <w:szCs w:val="22"/>
              </w:rPr>
              <w:t>Conclusion</w:t>
            </w:r>
            <w:r w:rsidRPr="00B06A1F">
              <w:rPr>
                <w:rFonts w:ascii="Arial" w:hAnsi="Arial" w:cs="Arial"/>
                <w:noProof/>
                <w:webHidden/>
                <w:sz w:val="22"/>
                <w:szCs w:val="22"/>
              </w:rPr>
              <w:tab/>
            </w:r>
            <w:r w:rsidRPr="00B06A1F">
              <w:rPr>
                <w:rFonts w:ascii="Arial" w:hAnsi="Arial" w:cs="Arial"/>
                <w:noProof/>
                <w:webHidden/>
                <w:sz w:val="22"/>
                <w:szCs w:val="22"/>
              </w:rPr>
              <w:fldChar w:fldCharType="begin"/>
            </w:r>
            <w:r w:rsidRPr="00B06A1F">
              <w:rPr>
                <w:rFonts w:ascii="Arial" w:hAnsi="Arial" w:cs="Arial"/>
                <w:noProof/>
                <w:webHidden/>
                <w:sz w:val="22"/>
                <w:szCs w:val="22"/>
              </w:rPr>
              <w:instrText xml:space="preserve"> PAGEREF _Toc242964627 \h </w:instrText>
            </w:r>
            <w:r w:rsidRPr="00B06A1F">
              <w:rPr>
                <w:rFonts w:ascii="Arial" w:hAnsi="Arial" w:cs="Arial"/>
                <w:noProof/>
                <w:webHidden/>
                <w:sz w:val="22"/>
                <w:szCs w:val="22"/>
              </w:rPr>
            </w:r>
            <w:r w:rsidRPr="00B06A1F">
              <w:rPr>
                <w:rFonts w:ascii="Arial" w:hAnsi="Arial" w:cs="Arial"/>
                <w:noProof/>
                <w:webHidden/>
                <w:sz w:val="22"/>
                <w:szCs w:val="22"/>
              </w:rPr>
              <w:fldChar w:fldCharType="separate"/>
            </w:r>
            <w:r w:rsidRPr="00B06A1F">
              <w:rPr>
                <w:rFonts w:ascii="Arial" w:hAnsi="Arial" w:cs="Arial"/>
                <w:noProof/>
                <w:webHidden/>
                <w:sz w:val="22"/>
                <w:szCs w:val="22"/>
              </w:rPr>
              <w:t>8</w:t>
            </w:r>
            <w:r w:rsidRPr="00B06A1F">
              <w:rPr>
                <w:rFonts w:ascii="Arial" w:hAnsi="Arial" w:cs="Arial"/>
                <w:noProof/>
                <w:webHidden/>
                <w:sz w:val="22"/>
                <w:szCs w:val="22"/>
              </w:rPr>
              <w:fldChar w:fldCharType="end"/>
            </w:r>
          </w:hyperlink>
        </w:p>
        <w:p w14:paraId="2E151643" w14:textId="22678CE7" w:rsidR="00E46AF2" w:rsidRPr="00B06A1F" w:rsidRDefault="00E46AF2" w:rsidP="00B06A1F">
          <w:pPr>
            <w:spacing w:line="360" w:lineRule="auto"/>
            <w:rPr>
              <w:rFonts w:ascii="Arial" w:hAnsi="Arial" w:cs="Arial"/>
              <w:sz w:val="22"/>
              <w:szCs w:val="22"/>
            </w:rPr>
          </w:pPr>
          <w:r w:rsidRPr="00B06A1F">
            <w:rPr>
              <w:rFonts w:ascii="Arial" w:hAnsi="Arial" w:cs="Arial"/>
              <w:b/>
              <w:bCs/>
              <w:noProof/>
              <w:sz w:val="22"/>
              <w:szCs w:val="22"/>
            </w:rPr>
            <w:fldChar w:fldCharType="end"/>
          </w:r>
        </w:p>
      </w:sdtContent>
    </w:sdt>
    <w:p w14:paraId="08D33B39" w14:textId="2A93B953" w:rsidR="00E46AF2" w:rsidRPr="00B06A1F" w:rsidRDefault="00E46AF2" w:rsidP="00B06A1F">
      <w:pPr>
        <w:spacing w:line="360" w:lineRule="auto"/>
        <w:rPr>
          <w:rFonts w:ascii="Arial" w:eastAsiaTheme="majorEastAsia" w:hAnsi="Arial" w:cs="Arial"/>
          <w:b/>
          <w:sz w:val="22"/>
          <w:szCs w:val="22"/>
        </w:rPr>
      </w:pPr>
      <w:r w:rsidRPr="00B06A1F">
        <w:rPr>
          <w:rFonts w:ascii="Arial" w:hAnsi="Arial" w:cs="Arial"/>
          <w:sz w:val="22"/>
          <w:szCs w:val="22"/>
        </w:rPr>
        <w:br w:type="page"/>
      </w:r>
    </w:p>
    <w:p w14:paraId="47FAF880" w14:textId="77777777" w:rsidR="00F947C3" w:rsidRPr="00B06A1F" w:rsidRDefault="00F947C3" w:rsidP="00B06A1F">
      <w:pPr>
        <w:pStyle w:val="Heading1"/>
        <w:spacing w:line="360" w:lineRule="auto"/>
        <w:rPr>
          <w:rFonts w:ascii="Arial" w:hAnsi="Arial" w:cs="Arial"/>
          <w:sz w:val="22"/>
          <w:szCs w:val="22"/>
        </w:rPr>
        <w:sectPr w:rsidR="00F947C3" w:rsidRPr="00B06A1F" w:rsidSect="00F947C3">
          <w:headerReference w:type="default" r:id="rId7"/>
          <w:pgSz w:w="12240" w:h="15840"/>
          <w:pgMar w:top="1440" w:right="1440" w:bottom="1440" w:left="1440" w:header="720" w:footer="720" w:gutter="0"/>
          <w:pgNumType w:fmt="lowerRoman" w:start="1"/>
          <w:cols w:space="720"/>
          <w:docGrid w:linePitch="360"/>
        </w:sectPr>
      </w:pPr>
    </w:p>
    <w:p w14:paraId="44C7F491" w14:textId="70690AE1" w:rsidR="00424719" w:rsidRPr="00B06A1F" w:rsidRDefault="007131F8" w:rsidP="00B06A1F">
      <w:pPr>
        <w:pStyle w:val="Heading1"/>
        <w:spacing w:line="360" w:lineRule="auto"/>
        <w:jc w:val="both"/>
        <w:rPr>
          <w:rFonts w:ascii="Arial" w:hAnsi="Arial" w:cs="Arial"/>
          <w:sz w:val="22"/>
          <w:szCs w:val="22"/>
        </w:rPr>
      </w:pPr>
      <w:bookmarkStart w:id="0" w:name="_Toc242964619"/>
      <w:r w:rsidRPr="00B06A1F">
        <w:rPr>
          <w:rFonts w:ascii="Arial" w:hAnsi="Arial" w:cs="Arial"/>
          <w:sz w:val="22"/>
          <w:szCs w:val="22"/>
        </w:rPr>
        <w:lastRenderedPageBreak/>
        <w:t>Introduction</w:t>
      </w:r>
      <w:bookmarkEnd w:id="0"/>
      <w:r w:rsidRPr="00B06A1F">
        <w:rPr>
          <w:rFonts w:ascii="Arial" w:hAnsi="Arial" w:cs="Arial"/>
          <w:sz w:val="22"/>
          <w:szCs w:val="22"/>
        </w:rPr>
        <w:t xml:space="preserve"> </w:t>
      </w:r>
    </w:p>
    <w:p w14:paraId="22F87165" w14:textId="28141EF5" w:rsidR="007131F8" w:rsidRPr="00B06A1F" w:rsidRDefault="007131F8" w:rsidP="00B06A1F">
      <w:pPr>
        <w:spacing w:line="360" w:lineRule="auto"/>
        <w:jc w:val="both"/>
        <w:rPr>
          <w:rFonts w:ascii="Arial" w:hAnsi="Arial" w:cs="Arial"/>
          <w:sz w:val="22"/>
          <w:szCs w:val="22"/>
        </w:rPr>
      </w:pPr>
      <w:r w:rsidRPr="00B06A1F">
        <w:rPr>
          <w:rFonts w:ascii="Arial" w:hAnsi="Arial" w:cs="Arial"/>
          <w:sz w:val="22"/>
          <w:szCs w:val="22"/>
        </w:rPr>
        <w:t>The approach of person-</w:t>
      </w:r>
      <w:r w:rsidR="00E34D01" w:rsidRPr="00B06A1F">
        <w:rPr>
          <w:rFonts w:ascii="Arial" w:hAnsi="Arial" w:cs="Arial"/>
          <w:sz w:val="22"/>
          <w:szCs w:val="22"/>
        </w:rPr>
        <w:t>centered</w:t>
      </w:r>
      <w:r w:rsidRPr="00B06A1F">
        <w:rPr>
          <w:rFonts w:ascii="Arial" w:hAnsi="Arial" w:cs="Arial"/>
          <w:sz w:val="22"/>
          <w:szCs w:val="22"/>
        </w:rPr>
        <w:t xml:space="preserve"> care (PCC) and partnership working (PW) has now become the core concepts of modern health and social care practice in the United Kingdom. The approach of PCC puts the individual in the center of </w:t>
      </w:r>
      <w:r w:rsidR="00B06A1F" w:rsidRPr="00B06A1F">
        <w:rPr>
          <w:rFonts w:ascii="Arial" w:hAnsi="Arial" w:cs="Arial"/>
          <w:sz w:val="22"/>
          <w:szCs w:val="22"/>
        </w:rPr>
        <w:t>care</w:t>
      </w:r>
      <w:r w:rsidRPr="00B06A1F">
        <w:rPr>
          <w:rFonts w:ascii="Arial" w:hAnsi="Arial" w:cs="Arial"/>
          <w:sz w:val="22"/>
          <w:szCs w:val="22"/>
        </w:rPr>
        <w:t xml:space="preserve"> planning and provision by recognizing his or her unique values, preferences, and life circumstances (Forsgren et al., 2025). The concept of PW expands the application of the former to professionals, organizations and sectors to coordinate actions in dealing with complex needs of the clients. These approaches together are expected to improve the outcome and experiences of the client. Nevertheless, despite widespread support for these concepts, </w:t>
      </w:r>
      <w:r w:rsidR="00B06A1F" w:rsidRPr="00B06A1F">
        <w:rPr>
          <w:rFonts w:ascii="Arial" w:hAnsi="Arial" w:cs="Arial"/>
          <w:sz w:val="22"/>
          <w:szCs w:val="22"/>
        </w:rPr>
        <w:t>both</w:t>
      </w:r>
      <w:r w:rsidRPr="00B06A1F">
        <w:rPr>
          <w:rFonts w:ascii="Arial" w:hAnsi="Arial" w:cs="Arial"/>
          <w:sz w:val="22"/>
          <w:szCs w:val="22"/>
        </w:rPr>
        <w:t xml:space="preserve"> remain underdeveloped due to some theoretical gaps, organizational culture that prioritizes efficiency over relations, work force issues, and persistence of power issues (Byrne, Baldwin and Cassar, 2020; Feo and Kitson, 2026). This report will critically evaluate the theories and practices of person-</w:t>
      </w:r>
      <w:r w:rsidR="00E34D01" w:rsidRPr="00B06A1F">
        <w:rPr>
          <w:rFonts w:ascii="Arial" w:hAnsi="Arial" w:cs="Arial"/>
          <w:sz w:val="22"/>
          <w:szCs w:val="22"/>
        </w:rPr>
        <w:t>centered</w:t>
      </w:r>
      <w:r w:rsidRPr="00B06A1F">
        <w:rPr>
          <w:rFonts w:ascii="Arial" w:hAnsi="Arial" w:cs="Arial"/>
          <w:sz w:val="22"/>
          <w:szCs w:val="22"/>
        </w:rPr>
        <w:t xml:space="preserve"> care, contribution of partnership working and interaction of these concepts in professional health and social care. In particular, the report will focus on care homes for older people as a setting where the interplay of PCC and PW becomes especially apparent. Relevant ethical principles, policies and legislation will be analyzed and evidence-informed recommendations for further development of the two concepts in the UK will be offered.</w:t>
      </w:r>
    </w:p>
    <w:p w14:paraId="3022F4B4" w14:textId="51EDE319" w:rsidR="007131F8" w:rsidRPr="00B06A1F" w:rsidRDefault="007131F8" w:rsidP="00B06A1F">
      <w:pPr>
        <w:pStyle w:val="Heading1"/>
        <w:spacing w:line="360" w:lineRule="auto"/>
        <w:jc w:val="both"/>
        <w:rPr>
          <w:rFonts w:ascii="Arial" w:hAnsi="Arial" w:cs="Arial"/>
          <w:sz w:val="22"/>
          <w:szCs w:val="22"/>
        </w:rPr>
      </w:pPr>
      <w:bookmarkStart w:id="1" w:name="_Toc242964620"/>
      <w:r w:rsidRPr="00B06A1F">
        <w:rPr>
          <w:rFonts w:ascii="Arial" w:hAnsi="Arial" w:cs="Arial"/>
          <w:sz w:val="22"/>
          <w:szCs w:val="22"/>
        </w:rPr>
        <w:t>Definition of Person-</w:t>
      </w:r>
      <w:r w:rsidR="00E34D01" w:rsidRPr="00B06A1F">
        <w:rPr>
          <w:rFonts w:ascii="Arial" w:hAnsi="Arial" w:cs="Arial"/>
          <w:sz w:val="22"/>
          <w:szCs w:val="22"/>
        </w:rPr>
        <w:t>Centered</w:t>
      </w:r>
      <w:r w:rsidRPr="00B06A1F">
        <w:rPr>
          <w:rFonts w:ascii="Arial" w:hAnsi="Arial" w:cs="Arial"/>
          <w:sz w:val="22"/>
          <w:szCs w:val="22"/>
        </w:rPr>
        <w:t xml:space="preserve"> Care: Benefits and Limitations</w:t>
      </w:r>
      <w:bookmarkEnd w:id="1"/>
    </w:p>
    <w:p w14:paraId="5CC24CF4" w14:textId="00D07683" w:rsidR="007131F8" w:rsidRPr="00B06A1F" w:rsidRDefault="007131F8" w:rsidP="00B06A1F">
      <w:pPr>
        <w:spacing w:line="360" w:lineRule="auto"/>
        <w:jc w:val="both"/>
        <w:rPr>
          <w:rFonts w:ascii="Arial" w:hAnsi="Arial" w:cs="Arial"/>
          <w:sz w:val="22"/>
          <w:szCs w:val="22"/>
        </w:rPr>
      </w:pPr>
      <w:r w:rsidRPr="00B06A1F">
        <w:rPr>
          <w:rFonts w:ascii="Arial" w:hAnsi="Arial" w:cs="Arial"/>
          <w:sz w:val="22"/>
          <w:szCs w:val="22"/>
        </w:rPr>
        <w:t>Person-</w:t>
      </w:r>
      <w:r w:rsidR="00E34D01" w:rsidRPr="00B06A1F">
        <w:rPr>
          <w:rFonts w:ascii="Arial" w:hAnsi="Arial" w:cs="Arial"/>
          <w:sz w:val="22"/>
          <w:szCs w:val="22"/>
        </w:rPr>
        <w:t>centered</w:t>
      </w:r>
      <w:r w:rsidRPr="00B06A1F">
        <w:rPr>
          <w:rFonts w:ascii="Arial" w:hAnsi="Arial" w:cs="Arial"/>
          <w:sz w:val="22"/>
          <w:szCs w:val="22"/>
        </w:rPr>
        <w:t xml:space="preserve"> care is considered as an approach to health care that integrates the preferences, values and beliefs of individuals into the process of decision making while positioning the service user as a partner but not a recipient of the care (Giusti et al., 2020). This approach emphasizes respect for the personhood, decision making in cooperation with the client, continuity of care and consideration of physical, psychological, social and existential needs of the client. There are three key themes in terms of which Byrne, Baldwin and Cassar (2020) define the understanding and implementation of the PCC. These are people, practice, and power.</w:t>
      </w:r>
    </w:p>
    <w:p w14:paraId="474297EC" w14:textId="070241E0" w:rsidR="007131F8" w:rsidRPr="00B06A1F" w:rsidRDefault="007131F8" w:rsidP="00B06A1F">
      <w:pPr>
        <w:spacing w:line="360" w:lineRule="auto"/>
        <w:jc w:val="both"/>
        <w:rPr>
          <w:rFonts w:ascii="Arial" w:hAnsi="Arial" w:cs="Arial"/>
          <w:sz w:val="22"/>
          <w:szCs w:val="22"/>
        </w:rPr>
      </w:pPr>
      <w:r w:rsidRPr="00B06A1F">
        <w:rPr>
          <w:rFonts w:ascii="Arial" w:hAnsi="Arial" w:cs="Arial"/>
          <w:sz w:val="22"/>
          <w:szCs w:val="22"/>
        </w:rPr>
        <w:t xml:space="preserve">There have been demonstrated </w:t>
      </w:r>
      <w:r w:rsidR="00B06A1F" w:rsidRPr="00B06A1F">
        <w:rPr>
          <w:rFonts w:ascii="Arial" w:hAnsi="Arial" w:cs="Arial"/>
          <w:sz w:val="22"/>
          <w:szCs w:val="22"/>
        </w:rPr>
        <w:t>several</w:t>
      </w:r>
      <w:r w:rsidRPr="00B06A1F">
        <w:rPr>
          <w:rFonts w:ascii="Arial" w:hAnsi="Arial" w:cs="Arial"/>
          <w:sz w:val="22"/>
          <w:szCs w:val="22"/>
        </w:rPr>
        <w:t xml:space="preserve"> advantages empirically. According to systematic reviews, increased patient engagement, adherence to treatment, better disease management, lessened anxiety and quality of life have been identified (Nkhoma et al., 2022). Most economic evaluations reveal the cost-effectiveness or cost-savings of PCC compared to usual care with some additional benefits concerning job satisfaction (Nkhoma et al., 2022). Communication in line with context and health literacy in primary care has been associated with increased satisfaction on the part of </w:t>
      </w:r>
      <w:r w:rsidRPr="00B06A1F">
        <w:rPr>
          <w:rFonts w:ascii="Arial" w:hAnsi="Arial" w:cs="Arial"/>
          <w:sz w:val="22"/>
          <w:szCs w:val="22"/>
        </w:rPr>
        <w:lastRenderedPageBreak/>
        <w:t>patients and practitioners (Ahmed et al., 2022). For patients with severe diseases, approaches related to family networks, continuity of self-identity and services structuring for continuity have been associated with more positive experiences (Giusti et al., 2020).</w:t>
      </w:r>
    </w:p>
    <w:p w14:paraId="60CB1B30" w14:textId="2994555A" w:rsidR="007131F8" w:rsidRPr="00B06A1F" w:rsidRDefault="007131F8" w:rsidP="00B06A1F">
      <w:pPr>
        <w:spacing w:line="360" w:lineRule="auto"/>
        <w:jc w:val="both"/>
        <w:rPr>
          <w:rFonts w:ascii="Arial" w:hAnsi="Arial" w:cs="Arial"/>
          <w:sz w:val="22"/>
          <w:szCs w:val="22"/>
        </w:rPr>
      </w:pPr>
      <w:r w:rsidRPr="00B06A1F">
        <w:rPr>
          <w:rFonts w:ascii="Arial" w:hAnsi="Arial" w:cs="Arial"/>
          <w:sz w:val="22"/>
          <w:szCs w:val="22"/>
        </w:rPr>
        <w:t xml:space="preserve">However, </w:t>
      </w:r>
      <w:r w:rsidR="00B06A1F" w:rsidRPr="00B06A1F">
        <w:rPr>
          <w:rFonts w:ascii="Arial" w:hAnsi="Arial" w:cs="Arial"/>
          <w:sz w:val="22"/>
          <w:szCs w:val="22"/>
        </w:rPr>
        <w:t>several</w:t>
      </w:r>
      <w:r w:rsidRPr="00B06A1F">
        <w:rPr>
          <w:rFonts w:ascii="Arial" w:hAnsi="Arial" w:cs="Arial"/>
          <w:sz w:val="22"/>
          <w:szCs w:val="22"/>
        </w:rPr>
        <w:t xml:space="preserve"> limitations are present. No agreed definition of PCC exists at </w:t>
      </w:r>
      <w:r w:rsidR="00B06A1F" w:rsidRPr="00B06A1F">
        <w:rPr>
          <w:rFonts w:ascii="Arial" w:hAnsi="Arial" w:cs="Arial"/>
          <w:sz w:val="22"/>
          <w:szCs w:val="22"/>
        </w:rPr>
        <w:t>present,</w:t>
      </w:r>
      <w:r w:rsidRPr="00B06A1F">
        <w:rPr>
          <w:rFonts w:ascii="Arial" w:hAnsi="Arial" w:cs="Arial"/>
          <w:sz w:val="22"/>
          <w:szCs w:val="22"/>
        </w:rPr>
        <w:t xml:space="preserve"> and its implementation and measurement have therefore been hindered (Byrne et al., 2020; Forsgren et al., 2025). </w:t>
      </w:r>
      <w:r w:rsidR="00E34D01" w:rsidRPr="00B06A1F">
        <w:rPr>
          <w:rFonts w:ascii="Arial" w:hAnsi="Arial" w:cs="Arial"/>
          <w:sz w:val="22"/>
          <w:szCs w:val="22"/>
        </w:rPr>
        <w:t>Organizational</w:t>
      </w:r>
      <w:r w:rsidRPr="00B06A1F">
        <w:rPr>
          <w:rFonts w:ascii="Arial" w:hAnsi="Arial" w:cs="Arial"/>
          <w:sz w:val="22"/>
          <w:szCs w:val="22"/>
        </w:rPr>
        <w:t xml:space="preserve"> cultures that are still task-driven and siloed neglect the relational side of care (Feo and Kitson, 2026). Moreover, due to limited resources, staff shortage and hierarchical structures, the opportunity for choice and control on the part of patients is restricted especially in case of </w:t>
      </w:r>
      <w:r w:rsidR="00B06A1F" w:rsidRPr="00B06A1F">
        <w:rPr>
          <w:rFonts w:ascii="Arial" w:hAnsi="Arial" w:cs="Arial"/>
          <w:sz w:val="22"/>
          <w:szCs w:val="22"/>
        </w:rPr>
        <w:t>best interests</w:t>
      </w:r>
      <w:r w:rsidR="00E34D01" w:rsidRPr="00B06A1F">
        <w:rPr>
          <w:rFonts w:ascii="Arial" w:hAnsi="Arial" w:cs="Arial"/>
          <w:sz w:val="22"/>
          <w:szCs w:val="22"/>
        </w:rPr>
        <w:t>’</w:t>
      </w:r>
      <w:r w:rsidRPr="00B06A1F">
        <w:rPr>
          <w:rFonts w:ascii="Arial" w:hAnsi="Arial" w:cs="Arial"/>
          <w:sz w:val="22"/>
          <w:szCs w:val="22"/>
        </w:rPr>
        <w:t xml:space="preserve"> decisions under the Mental Capacity Act with lack of funds or time (Birchley and Finnerty, 2026). Without any shifts in leadership, workforce development and resource allocation, aspirations about PCC may stay only rhetorical and not transformational.</w:t>
      </w:r>
    </w:p>
    <w:p w14:paraId="6ADEF433" w14:textId="64CE6959" w:rsidR="007131F8" w:rsidRPr="00B06A1F" w:rsidRDefault="007131F8" w:rsidP="00B06A1F">
      <w:pPr>
        <w:pStyle w:val="Heading1"/>
        <w:spacing w:line="360" w:lineRule="auto"/>
        <w:jc w:val="both"/>
        <w:rPr>
          <w:rFonts w:ascii="Arial" w:hAnsi="Arial" w:cs="Arial"/>
          <w:sz w:val="22"/>
          <w:szCs w:val="22"/>
        </w:rPr>
      </w:pPr>
      <w:bookmarkStart w:id="2" w:name="_Toc242964621"/>
      <w:r w:rsidRPr="00B06A1F">
        <w:rPr>
          <w:rFonts w:ascii="Arial" w:hAnsi="Arial" w:cs="Arial"/>
          <w:sz w:val="22"/>
          <w:szCs w:val="22"/>
        </w:rPr>
        <w:t>Theoretical Underpinning of Person-</w:t>
      </w:r>
      <w:r w:rsidR="00E34D01" w:rsidRPr="00B06A1F">
        <w:rPr>
          <w:rFonts w:ascii="Arial" w:hAnsi="Arial" w:cs="Arial"/>
          <w:sz w:val="22"/>
          <w:szCs w:val="22"/>
        </w:rPr>
        <w:t>Centered</w:t>
      </w:r>
      <w:r w:rsidRPr="00B06A1F">
        <w:rPr>
          <w:rFonts w:ascii="Arial" w:hAnsi="Arial" w:cs="Arial"/>
          <w:sz w:val="22"/>
          <w:szCs w:val="22"/>
        </w:rPr>
        <w:t xml:space="preserve"> Care</w:t>
      </w:r>
      <w:bookmarkEnd w:id="2"/>
    </w:p>
    <w:p w14:paraId="064B3AB9" w14:textId="7DC506A0" w:rsidR="007131F8" w:rsidRPr="00B06A1F" w:rsidRDefault="007131F8" w:rsidP="00B06A1F">
      <w:pPr>
        <w:spacing w:line="360" w:lineRule="auto"/>
        <w:jc w:val="both"/>
        <w:rPr>
          <w:rFonts w:ascii="Arial" w:hAnsi="Arial" w:cs="Arial"/>
          <w:sz w:val="22"/>
          <w:szCs w:val="22"/>
        </w:rPr>
      </w:pPr>
      <w:r w:rsidRPr="00B06A1F">
        <w:rPr>
          <w:rFonts w:ascii="Arial" w:hAnsi="Arial" w:cs="Arial"/>
          <w:sz w:val="22"/>
          <w:szCs w:val="22"/>
        </w:rPr>
        <w:t>One of the most widely used mid-range theories behind PCC is the Person-</w:t>
      </w:r>
      <w:r w:rsidR="00E34D01" w:rsidRPr="00B06A1F">
        <w:rPr>
          <w:rFonts w:ascii="Arial" w:hAnsi="Arial" w:cs="Arial"/>
          <w:sz w:val="22"/>
          <w:szCs w:val="22"/>
        </w:rPr>
        <w:t>centered</w:t>
      </w:r>
      <w:r w:rsidRPr="00B06A1F">
        <w:rPr>
          <w:rFonts w:ascii="Arial" w:hAnsi="Arial" w:cs="Arial"/>
          <w:sz w:val="22"/>
          <w:szCs w:val="22"/>
        </w:rPr>
        <w:t xml:space="preserve"> Nursing Framework (PCNF) proposed by McCance and McCormack (2025). This framework consists of five interconnected domains: the metaparadigm of nursing (person, nursing, environment and health), prerequisites of the care provider, practice environment, person-</w:t>
      </w:r>
      <w:r w:rsidR="00E34D01" w:rsidRPr="00B06A1F">
        <w:rPr>
          <w:rFonts w:ascii="Arial" w:hAnsi="Arial" w:cs="Arial"/>
          <w:sz w:val="22"/>
          <w:szCs w:val="22"/>
        </w:rPr>
        <w:t>centered</w:t>
      </w:r>
      <w:r w:rsidRPr="00B06A1F">
        <w:rPr>
          <w:rFonts w:ascii="Arial" w:hAnsi="Arial" w:cs="Arial"/>
          <w:sz w:val="22"/>
          <w:szCs w:val="22"/>
        </w:rPr>
        <w:t xml:space="preserve"> processes (collaboration with the person’s beliefs and values, engagement, shared decision-making and sympathetic presence) and outcomes.</w:t>
      </w:r>
    </w:p>
    <w:p w14:paraId="182195DE" w14:textId="73FC1066" w:rsidR="007131F8" w:rsidRPr="00B06A1F" w:rsidRDefault="007131F8" w:rsidP="00B06A1F">
      <w:pPr>
        <w:spacing w:line="360" w:lineRule="auto"/>
        <w:jc w:val="both"/>
        <w:rPr>
          <w:rFonts w:ascii="Arial" w:hAnsi="Arial" w:cs="Arial"/>
          <w:sz w:val="22"/>
          <w:szCs w:val="22"/>
        </w:rPr>
      </w:pPr>
      <w:r w:rsidRPr="00B06A1F">
        <w:rPr>
          <w:rFonts w:ascii="Arial" w:hAnsi="Arial" w:cs="Arial"/>
          <w:sz w:val="22"/>
          <w:szCs w:val="22"/>
        </w:rPr>
        <w:t xml:space="preserve">One of the key strengths of the PCNF lies in the fact that it </w:t>
      </w:r>
      <w:r w:rsidR="00B06A1F" w:rsidRPr="00B06A1F">
        <w:rPr>
          <w:rFonts w:ascii="Arial" w:hAnsi="Arial" w:cs="Arial"/>
          <w:sz w:val="22"/>
          <w:szCs w:val="22"/>
        </w:rPr>
        <w:t>considers</w:t>
      </w:r>
      <w:r w:rsidRPr="00B06A1F">
        <w:rPr>
          <w:rFonts w:ascii="Arial" w:hAnsi="Arial" w:cs="Arial"/>
          <w:sz w:val="22"/>
          <w:szCs w:val="22"/>
        </w:rPr>
        <w:t xml:space="preserve"> not only individual practitioner characteristics but also those </w:t>
      </w:r>
      <w:r w:rsidR="00E34D01" w:rsidRPr="00B06A1F">
        <w:rPr>
          <w:rFonts w:ascii="Arial" w:hAnsi="Arial" w:cs="Arial"/>
          <w:sz w:val="22"/>
          <w:szCs w:val="22"/>
        </w:rPr>
        <w:t>organizational</w:t>
      </w:r>
      <w:r w:rsidRPr="00B06A1F">
        <w:rPr>
          <w:rFonts w:ascii="Arial" w:hAnsi="Arial" w:cs="Arial"/>
          <w:sz w:val="22"/>
          <w:szCs w:val="22"/>
        </w:rPr>
        <w:t xml:space="preserve"> cultures and systems that are able to support the process of achieving person-</w:t>
      </w:r>
      <w:r w:rsidR="00E34D01" w:rsidRPr="00B06A1F">
        <w:rPr>
          <w:rFonts w:ascii="Arial" w:hAnsi="Arial" w:cs="Arial"/>
          <w:sz w:val="22"/>
          <w:szCs w:val="22"/>
        </w:rPr>
        <w:t>centered</w:t>
      </w:r>
      <w:r w:rsidRPr="00B06A1F">
        <w:rPr>
          <w:rFonts w:ascii="Arial" w:hAnsi="Arial" w:cs="Arial"/>
          <w:sz w:val="22"/>
          <w:szCs w:val="22"/>
        </w:rPr>
        <w:t xml:space="preserve"> outcomes. The development of the concept of the person in care has been further described by McCormack (2026) who traces the influence of such factors as humanistic psychology and relational ethics on the concept. The PCNF opposes all reductionist views by claiming that care is necessarily a relational activity and maintaining personhood implies having </w:t>
      </w:r>
      <w:r w:rsidR="00B06A1F" w:rsidRPr="00B06A1F">
        <w:rPr>
          <w:rFonts w:ascii="Arial" w:hAnsi="Arial" w:cs="Arial"/>
          <w:sz w:val="22"/>
          <w:szCs w:val="22"/>
        </w:rPr>
        <w:t>an</w:t>
      </w:r>
      <w:r w:rsidRPr="00B06A1F">
        <w:rPr>
          <w:rFonts w:ascii="Arial" w:hAnsi="Arial" w:cs="Arial"/>
          <w:sz w:val="22"/>
          <w:szCs w:val="22"/>
        </w:rPr>
        <w:t xml:space="preserve"> environment where individuals feel their value and are supported in preserving their continuity of self. The systems approach is particularly important for health and social care where the structure is often fragmented and hinders the continuity and relationship-</w:t>
      </w:r>
      <w:r w:rsidR="00E34D01" w:rsidRPr="00B06A1F">
        <w:rPr>
          <w:rFonts w:ascii="Arial" w:hAnsi="Arial" w:cs="Arial"/>
          <w:sz w:val="22"/>
          <w:szCs w:val="22"/>
        </w:rPr>
        <w:t>centered</w:t>
      </w:r>
      <w:r w:rsidRPr="00B06A1F">
        <w:rPr>
          <w:rFonts w:ascii="Arial" w:hAnsi="Arial" w:cs="Arial"/>
          <w:sz w:val="22"/>
          <w:szCs w:val="22"/>
        </w:rPr>
        <w:t xml:space="preserve"> care provision.</w:t>
      </w:r>
    </w:p>
    <w:p w14:paraId="5B7F154D" w14:textId="6BB7A217" w:rsidR="007131F8" w:rsidRPr="00B06A1F" w:rsidRDefault="007131F8" w:rsidP="00B06A1F">
      <w:pPr>
        <w:spacing w:line="360" w:lineRule="auto"/>
        <w:jc w:val="both"/>
        <w:rPr>
          <w:rFonts w:ascii="Arial" w:hAnsi="Arial" w:cs="Arial"/>
          <w:sz w:val="22"/>
          <w:szCs w:val="22"/>
        </w:rPr>
      </w:pPr>
      <w:r w:rsidRPr="00B06A1F">
        <w:rPr>
          <w:rFonts w:ascii="Arial" w:hAnsi="Arial" w:cs="Arial"/>
          <w:sz w:val="22"/>
          <w:szCs w:val="22"/>
        </w:rPr>
        <w:t xml:space="preserve">Critical assessment allows identifying the strengths and limitations of the PCNF. It is useful in terms of providing a common language that would be helpful in educating professionals, developing their practice, and conducting research. At the same time, implementing the PCNF in practice may prove to be difficult. According to the findings of implementation studies, the process </w:t>
      </w:r>
      <w:r w:rsidRPr="00B06A1F">
        <w:rPr>
          <w:rFonts w:ascii="Arial" w:hAnsi="Arial" w:cs="Arial"/>
          <w:sz w:val="22"/>
          <w:szCs w:val="22"/>
        </w:rPr>
        <w:lastRenderedPageBreak/>
        <w:t xml:space="preserve">requires leadership, workforce development and system redesign (Forsgren et al., 2025; Feo and Kitson, 2026). Otherwise, the adoption of the PCNF at the rhetoric level may occur, and the fundamental structures will remain the same. Nevertheless, being a mid-range theory, it provides a good connection between </w:t>
      </w:r>
      <w:r w:rsidR="00B06A1F" w:rsidRPr="00B06A1F">
        <w:rPr>
          <w:rFonts w:ascii="Arial" w:hAnsi="Arial" w:cs="Arial"/>
          <w:sz w:val="22"/>
          <w:szCs w:val="22"/>
        </w:rPr>
        <w:t>philosophical</w:t>
      </w:r>
      <w:r w:rsidRPr="00B06A1F">
        <w:rPr>
          <w:rFonts w:ascii="Arial" w:hAnsi="Arial" w:cs="Arial"/>
          <w:sz w:val="22"/>
          <w:szCs w:val="22"/>
        </w:rPr>
        <w:t xml:space="preserve"> commitment to personhood and the conditions needed for the process to develop.</w:t>
      </w:r>
    </w:p>
    <w:p w14:paraId="356118E5" w14:textId="569C3E79" w:rsidR="007131F8" w:rsidRPr="00B06A1F" w:rsidRDefault="007131F8" w:rsidP="00B06A1F">
      <w:pPr>
        <w:pStyle w:val="Heading1"/>
        <w:spacing w:line="360" w:lineRule="auto"/>
        <w:jc w:val="both"/>
        <w:rPr>
          <w:rFonts w:ascii="Arial" w:hAnsi="Arial" w:cs="Arial"/>
          <w:sz w:val="22"/>
          <w:szCs w:val="22"/>
        </w:rPr>
      </w:pPr>
      <w:bookmarkStart w:id="3" w:name="_Toc242964622"/>
      <w:r w:rsidRPr="00B06A1F">
        <w:rPr>
          <w:rFonts w:ascii="Arial" w:hAnsi="Arial" w:cs="Arial"/>
          <w:sz w:val="22"/>
          <w:szCs w:val="22"/>
        </w:rPr>
        <w:t>Ethical Fundamentals of Health and Social Care</w:t>
      </w:r>
      <w:bookmarkEnd w:id="3"/>
    </w:p>
    <w:p w14:paraId="5DE9504B" w14:textId="6448C1B3" w:rsidR="007131F8" w:rsidRPr="00B06A1F" w:rsidRDefault="007131F8" w:rsidP="00B06A1F">
      <w:pPr>
        <w:spacing w:line="360" w:lineRule="auto"/>
        <w:jc w:val="both"/>
        <w:rPr>
          <w:rFonts w:ascii="Arial" w:hAnsi="Arial" w:cs="Arial"/>
          <w:sz w:val="22"/>
          <w:szCs w:val="22"/>
        </w:rPr>
      </w:pPr>
      <w:r w:rsidRPr="00B06A1F">
        <w:rPr>
          <w:rFonts w:ascii="Arial" w:hAnsi="Arial" w:cs="Arial"/>
          <w:sz w:val="22"/>
          <w:szCs w:val="22"/>
        </w:rPr>
        <w:t>The main principles which are considered when providing the health and social care are autonomy, beneficence, non-maleficence and justice. Person-</w:t>
      </w:r>
      <w:r w:rsidR="00E34D01" w:rsidRPr="00B06A1F">
        <w:rPr>
          <w:rFonts w:ascii="Arial" w:hAnsi="Arial" w:cs="Arial"/>
          <w:sz w:val="22"/>
          <w:szCs w:val="22"/>
        </w:rPr>
        <w:t>centered</w:t>
      </w:r>
      <w:r w:rsidRPr="00B06A1F">
        <w:rPr>
          <w:rFonts w:ascii="Arial" w:hAnsi="Arial" w:cs="Arial"/>
          <w:sz w:val="22"/>
          <w:szCs w:val="22"/>
        </w:rPr>
        <w:t xml:space="preserve"> care is an approach that is based on the priority of the right of an individual to self-determination and active involvement in </w:t>
      </w:r>
      <w:r w:rsidR="00B06A1F" w:rsidRPr="00B06A1F">
        <w:rPr>
          <w:rFonts w:ascii="Arial" w:hAnsi="Arial" w:cs="Arial"/>
          <w:sz w:val="22"/>
          <w:szCs w:val="22"/>
        </w:rPr>
        <w:t>decision</w:t>
      </w:r>
      <w:r w:rsidRPr="00B06A1F">
        <w:rPr>
          <w:rFonts w:ascii="Arial" w:hAnsi="Arial" w:cs="Arial"/>
          <w:sz w:val="22"/>
          <w:szCs w:val="22"/>
        </w:rPr>
        <w:t>-making concerning his or her life (Ekman, 2022). Autonomy as decisional and executional capacity underlies the idea of respecting individual choices and preferences (Bassul et al., 2025).</w:t>
      </w:r>
    </w:p>
    <w:p w14:paraId="48F12C32" w14:textId="09504828" w:rsidR="002E4593" w:rsidRPr="00B06A1F" w:rsidRDefault="002E4593" w:rsidP="00B06A1F">
      <w:pPr>
        <w:spacing w:line="360" w:lineRule="auto"/>
        <w:jc w:val="both"/>
        <w:rPr>
          <w:rFonts w:ascii="Arial" w:hAnsi="Arial" w:cs="Arial"/>
          <w:sz w:val="22"/>
          <w:szCs w:val="22"/>
        </w:rPr>
      </w:pPr>
      <w:r w:rsidRPr="00B06A1F">
        <w:rPr>
          <w:rFonts w:ascii="Arial" w:hAnsi="Arial" w:cs="Arial"/>
          <w:sz w:val="22"/>
          <w:szCs w:val="22"/>
        </w:rPr>
        <w:t>Beneficence and non-maleficence refer to the well-being and protection of individuals against the harm done to them. In terms of person-</w:t>
      </w:r>
      <w:r w:rsidR="00E34D01" w:rsidRPr="00B06A1F">
        <w:rPr>
          <w:rFonts w:ascii="Arial" w:hAnsi="Arial" w:cs="Arial"/>
          <w:sz w:val="22"/>
          <w:szCs w:val="22"/>
        </w:rPr>
        <w:t>centered</w:t>
      </w:r>
      <w:r w:rsidRPr="00B06A1F">
        <w:rPr>
          <w:rFonts w:ascii="Arial" w:hAnsi="Arial" w:cs="Arial"/>
          <w:sz w:val="22"/>
          <w:szCs w:val="22"/>
        </w:rPr>
        <w:t xml:space="preserve"> ethics, the benefit and non-harm are interpreted as caring through discussion (Ekman, 2022). The term justice can be defined as equal access to quality care by taking all inequalities into account. According to Tomaselli et al. (2020), in case the person-</w:t>
      </w:r>
      <w:r w:rsidR="00E34D01" w:rsidRPr="00B06A1F">
        <w:rPr>
          <w:rFonts w:ascii="Arial" w:hAnsi="Arial" w:cs="Arial"/>
          <w:sz w:val="22"/>
          <w:szCs w:val="22"/>
        </w:rPr>
        <w:t>centeredness</w:t>
      </w:r>
      <w:r w:rsidRPr="00B06A1F">
        <w:rPr>
          <w:rFonts w:ascii="Arial" w:hAnsi="Arial" w:cs="Arial"/>
          <w:sz w:val="22"/>
          <w:szCs w:val="22"/>
        </w:rPr>
        <w:t xml:space="preserve"> is discussed in the context of relational ethics, a person is a partner whose competences, resources and relations enable him/her to provide care.</w:t>
      </w:r>
    </w:p>
    <w:p w14:paraId="67394F35" w14:textId="12F5FA68" w:rsidR="002E4593" w:rsidRPr="00B06A1F" w:rsidRDefault="002E4593" w:rsidP="00B06A1F">
      <w:pPr>
        <w:spacing w:line="360" w:lineRule="auto"/>
        <w:jc w:val="both"/>
        <w:rPr>
          <w:rFonts w:ascii="Arial" w:hAnsi="Arial" w:cs="Arial"/>
          <w:sz w:val="22"/>
          <w:szCs w:val="22"/>
        </w:rPr>
      </w:pPr>
      <w:r w:rsidRPr="00B06A1F">
        <w:rPr>
          <w:rFonts w:ascii="Arial" w:hAnsi="Arial" w:cs="Arial"/>
          <w:sz w:val="22"/>
          <w:szCs w:val="22"/>
        </w:rPr>
        <w:t>The tensions associated with limited choices in the person-</w:t>
      </w:r>
      <w:r w:rsidR="00E34D01" w:rsidRPr="00B06A1F">
        <w:rPr>
          <w:rFonts w:ascii="Arial" w:hAnsi="Arial" w:cs="Arial"/>
          <w:sz w:val="22"/>
          <w:szCs w:val="22"/>
        </w:rPr>
        <w:t>centered</w:t>
      </w:r>
      <w:r w:rsidRPr="00B06A1F">
        <w:rPr>
          <w:rFonts w:ascii="Arial" w:hAnsi="Arial" w:cs="Arial"/>
          <w:sz w:val="22"/>
          <w:szCs w:val="22"/>
        </w:rPr>
        <w:t xml:space="preserve"> best interest decision making can be explained by limitations in resources (time and financial) that reduce the number of alternatives during the decision-making process. Birchley and Finnerty (2026) argue that the person-</w:t>
      </w:r>
      <w:r w:rsidR="00E34D01" w:rsidRPr="00B06A1F">
        <w:rPr>
          <w:rFonts w:ascii="Arial" w:hAnsi="Arial" w:cs="Arial"/>
          <w:sz w:val="22"/>
          <w:szCs w:val="22"/>
        </w:rPr>
        <w:t>centered</w:t>
      </w:r>
      <w:r w:rsidRPr="00B06A1F">
        <w:rPr>
          <w:rFonts w:ascii="Arial" w:hAnsi="Arial" w:cs="Arial"/>
          <w:sz w:val="22"/>
          <w:szCs w:val="22"/>
        </w:rPr>
        <w:t xml:space="preserve"> decision making in accordance with the Mental Capacity Act is quite difficult to implement in cases of limited resources.</w:t>
      </w:r>
    </w:p>
    <w:p w14:paraId="1CA08451" w14:textId="77777777" w:rsidR="002E4593" w:rsidRPr="00B06A1F" w:rsidRDefault="002E4593" w:rsidP="00B06A1F">
      <w:pPr>
        <w:pStyle w:val="Heading1"/>
        <w:spacing w:line="360" w:lineRule="auto"/>
        <w:jc w:val="both"/>
        <w:rPr>
          <w:rFonts w:ascii="Arial" w:hAnsi="Arial" w:cs="Arial"/>
          <w:sz w:val="22"/>
          <w:szCs w:val="22"/>
        </w:rPr>
      </w:pPr>
      <w:bookmarkStart w:id="4" w:name="_Toc242964623"/>
      <w:r w:rsidRPr="00B06A1F">
        <w:rPr>
          <w:rFonts w:ascii="Arial" w:hAnsi="Arial" w:cs="Arial"/>
          <w:sz w:val="22"/>
          <w:szCs w:val="22"/>
        </w:rPr>
        <w:t>5. Evaluation of Partnership Working in Health and Social Care</w:t>
      </w:r>
      <w:bookmarkEnd w:id="4"/>
    </w:p>
    <w:p w14:paraId="5500C5A8" w14:textId="3A5CC114" w:rsidR="002E4593" w:rsidRPr="00B06A1F" w:rsidRDefault="002E4593" w:rsidP="00B06A1F">
      <w:pPr>
        <w:spacing w:line="360" w:lineRule="auto"/>
        <w:jc w:val="both"/>
        <w:rPr>
          <w:rFonts w:ascii="Arial" w:hAnsi="Arial" w:cs="Arial"/>
          <w:sz w:val="22"/>
          <w:szCs w:val="22"/>
        </w:rPr>
      </w:pPr>
      <w:r w:rsidRPr="00B06A1F">
        <w:rPr>
          <w:rFonts w:ascii="Arial" w:hAnsi="Arial" w:cs="Arial"/>
          <w:sz w:val="22"/>
          <w:szCs w:val="22"/>
        </w:rPr>
        <w:t xml:space="preserve">Collaboration involves </w:t>
      </w:r>
      <w:r w:rsidR="00B06A1F" w:rsidRPr="00B06A1F">
        <w:rPr>
          <w:rFonts w:ascii="Arial" w:hAnsi="Arial" w:cs="Arial"/>
          <w:sz w:val="22"/>
          <w:szCs w:val="22"/>
        </w:rPr>
        <w:t>interaction</w:t>
      </w:r>
      <w:r w:rsidRPr="00B06A1F">
        <w:rPr>
          <w:rFonts w:ascii="Arial" w:hAnsi="Arial" w:cs="Arial"/>
          <w:sz w:val="22"/>
          <w:szCs w:val="22"/>
        </w:rPr>
        <w:t xml:space="preserve"> between various organizations that include healthcare and social care organizations as well as voluntary sector </w:t>
      </w:r>
      <w:r w:rsidR="00B06A1F" w:rsidRPr="00B06A1F">
        <w:rPr>
          <w:rFonts w:ascii="Arial" w:hAnsi="Arial" w:cs="Arial"/>
          <w:sz w:val="22"/>
          <w:szCs w:val="22"/>
        </w:rPr>
        <w:t>to</w:t>
      </w:r>
      <w:r w:rsidRPr="00B06A1F">
        <w:rPr>
          <w:rFonts w:ascii="Arial" w:hAnsi="Arial" w:cs="Arial"/>
          <w:sz w:val="22"/>
          <w:szCs w:val="22"/>
        </w:rPr>
        <w:t xml:space="preserve"> deliver the coordinated person-</w:t>
      </w:r>
      <w:r w:rsidR="00E34D01" w:rsidRPr="00B06A1F">
        <w:rPr>
          <w:rFonts w:ascii="Arial" w:hAnsi="Arial" w:cs="Arial"/>
          <w:sz w:val="22"/>
          <w:szCs w:val="22"/>
        </w:rPr>
        <w:t>centered</w:t>
      </w:r>
      <w:r w:rsidRPr="00B06A1F">
        <w:rPr>
          <w:rFonts w:ascii="Arial" w:hAnsi="Arial" w:cs="Arial"/>
          <w:sz w:val="22"/>
          <w:szCs w:val="22"/>
        </w:rPr>
        <w:t xml:space="preserve"> care. Based on the evaluation of cross-sectoral collaborations carried out </w:t>
      </w:r>
      <w:r w:rsidR="00B06A1F" w:rsidRPr="00B06A1F">
        <w:rPr>
          <w:rFonts w:ascii="Arial" w:hAnsi="Arial" w:cs="Arial"/>
          <w:sz w:val="22"/>
          <w:szCs w:val="22"/>
        </w:rPr>
        <w:t>based on</w:t>
      </w:r>
      <w:r w:rsidRPr="00B06A1F">
        <w:rPr>
          <w:rFonts w:ascii="Arial" w:hAnsi="Arial" w:cs="Arial"/>
          <w:sz w:val="22"/>
          <w:szCs w:val="22"/>
        </w:rPr>
        <w:t xml:space="preserve"> systematic review of </w:t>
      </w:r>
      <w:r w:rsidR="00B06A1F" w:rsidRPr="00B06A1F">
        <w:rPr>
          <w:rFonts w:ascii="Arial" w:hAnsi="Arial" w:cs="Arial"/>
          <w:sz w:val="22"/>
          <w:szCs w:val="22"/>
        </w:rPr>
        <w:t>scientific</w:t>
      </w:r>
      <w:r w:rsidRPr="00B06A1F">
        <w:rPr>
          <w:rFonts w:ascii="Arial" w:hAnsi="Arial" w:cs="Arial"/>
          <w:sz w:val="22"/>
          <w:szCs w:val="22"/>
        </w:rPr>
        <w:t xml:space="preserve"> literature, the impact of collaborations on the population health status is ambivalent; however, there are some factors that determine success of such collaborations (Alderwick et al., 2021). These factors include shared motivation and purposes, trustful relationships, resources and competencies, governance and leadership, and policy environment.</w:t>
      </w:r>
    </w:p>
    <w:p w14:paraId="19AB9AA5" w14:textId="1761AF96" w:rsidR="002E4593" w:rsidRPr="00B06A1F" w:rsidRDefault="002E4593" w:rsidP="00B06A1F">
      <w:pPr>
        <w:spacing w:line="360" w:lineRule="auto"/>
        <w:jc w:val="both"/>
        <w:rPr>
          <w:rFonts w:ascii="Arial" w:hAnsi="Arial" w:cs="Arial"/>
          <w:sz w:val="22"/>
          <w:szCs w:val="22"/>
        </w:rPr>
      </w:pPr>
      <w:r w:rsidRPr="00B06A1F">
        <w:rPr>
          <w:rFonts w:ascii="Arial" w:hAnsi="Arial" w:cs="Arial"/>
          <w:sz w:val="22"/>
          <w:szCs w:val="22"/>
        </w:rPr>
        <w:lastRenderedPageBreak/>
        <w:t xml:space="preserve">Interprofessional collaboration in health care is crucial; however, it does not often take place because of uncertainty about roles and responsibilities of parties, inequality of power, and lack of respect among the participants (Itua et al., 2025). Qualitative evaluation of cross-sectoral collaboration within the framework of Integrated Care Systems in England reveals that there </w:t>
      </w:r>
      <w:r w:rsidR="00E34D01" w:rsidRPr="00B06A1F">
        <w:rPr>
          <w:rFonts w:ascii="Arial" w:hAnsi="Arial" w:cs="Arial"/>
          <w:sz w:val="22"/>
          <w:szCs w:val="22"/>
        </w:rPr>
        <w:t>is</w:t>
      </w:r>
      <w:r w:rsidRPr="00B06A1F">
        <w:rPr>
          <w:rFonts w:ascii="Arial" w:hAnsi="Arial" w:cs="Arial"/>
          <w:sz w:val="22"/>
          <w:szCs w:val="22"/>
        </w:rPr>
        <w:t xml:space="preserve"> highly developed motivation to reduce health inequalities and several barriers to collaboration (Dunn et al., 2024). </w:t>
      </w:r>
      <w:r w:rsidR="00B06A1F" w:rsidRPr="00B06A1F">
        <w:rPr>
          <w:rFonts w:ascii="Arial" w:hAnsi="Arial" w:cs="Arial"/>
          <w:sz w:val="22"/>
          <w:szCs w:val="22"/>
        </w:rPr>
        <w:t>Collaboration</w:t>
      </w:r>
      <w:r w:rsidRPr="00B06A1F">
        <w:rPr>
          <w:rFonts w:ascii="Arial" w:hAnsi="Arial" w:cs="Arial"/>
          <w:sz w:val="22"/>
          <w:szCs w:val="22"/>
        </w:rPr>
        <w:t xml:space="preserve"> requires much effort in managing relationships, learning and power equalization.</w:t>
      </w:r>
    </w:p>
    <w:p w14:paraId="5828CA01" w14:textId="39BC1BDB" w:rsidR="007131F8" w:rsidRPr="00B06A1F" w:rsidRDefault="002E4593" w:rsidP="00B06A1F">
      <w:pPr>
        <w:spacing w:line="360" w:lineRule="auto"/>
        <w:jc w:val="both"/>
        <w:rPr>
          <w:rFonts w:ascii="Arial" w:hAnsi="Arial" w:cs="Arial"/>
          <w:sz w:val="22"/>
          <w:szCs w:val="22"/>
        </w:rPr>
      </w:pPr>
      <w:r w:rsidRPr="00B06A1F">
        <w:rPr>
          <w:rFonts w:ascii="Arial" w:hAnsi="Arial" w:cs="Arial"/>
          <w:sz w:val="22"/>
          <w:szCs w:val="22"/>
        </w:rPr>
        <w:t>It is important to mention that collaboration and PCC are mutually exclusive and complementary concepts. Organizational collaborations based on organizational and professional interests cannot be person-</w:t>
      </w:r>
      <w:r w:rsidR="00E34D01" w:rsidRPr="00B06A1F">
        <w:rPr>
          <w:rFonts w:ascii="Arial" w:hAnsi="Arial" w:cs="Arial"/>
          <w:sz w:val="22"/>
          <w:szCs w:val="22"/>
        </w:rPr>
        <w:t>centered</w:t>
      </w:r>
      <w:r w:rsidRPr="00B06A1F">
        <w:rPr>
          <w:rFonts w:ascii="Arial" w:hAnsi="Arial" w:cs="Arial"/>
          <w:sz w:val="22"/>
          <w:szCs w:val="22"/>
        </w:rPr>
        <w:t xml:space="preserve"> and vice versa. Collaboration is necessary for person-</w:t>
      </w:r>
      <w:r w:rsidR="00E34D01" w:rsidRPr="00B06A1F">
        <w:rPr>
          <w:rFonts w:ascii="Arial" w:hAnsi="Arial" w:cs="Arial"/>
          <w:sz w:val="22"/>
          <w:szCs w:val="22"/>
        </w:rPr>
        <w:t>centered</w:t>
      </w:r>
      <w:r w:rsidRPr="00B06A1F">
        <w:rPr>
          <w:rFonts w:ascii="Arial" w:hAnsi="Arial" w:cs="Arial"/>
          <w:sz w:val="22"/>
          <w:szCs w:val="22"/>
        </w:rPr>
        <w:t xml:space="preserve"> practice and person-</w:t>
      </w:r>
      <w:r w:rsidR="00E34D01" w:rsidRPr="00B06A1F">
        <w:rPr>
          <w:rFonts w:ascii="Arial" w:hAnsi="Arial" w:cs="Arial"/>
          <w:sz w:val="22"/>
          <w:szCs w:val="22"/>
        </w:rPr>
        <w:t>centered</w:t>
      </w:r>
      <w:r w:rsidRPr="00B06A1F">
        <w:rPr>
          <w:rFonts w:ascii="Arial" w:hAnsi="Arial" w:cs="Arial"/>
          <w:sz w:val="22"/>
          <w:szCs w:val="22"/>
        </w:rPr>
        <w:t xml:space="preserve"> practice is necessary for collaboration.</w:t>
      </w:r>
    </w:p>
    <w:p w14:paraId="6F7CCDA3" w14:textId="3043B99F" w:rsidR="00E46AF2" w:rsidRPr="00B06A1F" w:rsidRDefault="00E46AF2" w:rsidP="00B06A1F">
      <w:pPr>
        <w:pStyle w:val="Heading1"/>
        <w:spacing w:line="360" w:lineRule="auto"/>
        <w:jc w:val="both"/>
        <w:rPr>
          <w:rFonts w:ascii="Arial" w:hAnsi="Arial" w:cs="Arial"/>
          <w:sz w:val="22"/>
          <w:szCs w:val="22"/>
        </w:rPr>
      </w:pPr>
      <w:bookmarkStart w:id="5" w:name="_Toc242964624"/>
      <w:r w:rsidRPr="00B06A1F">
        <w:rPr>
          <w:rFonts w:ascii="Arial" w:hAnsi="Arial" w:cs="Arial"/>
          <w:sz w:val="22"/>
          <w:szCs w:val="22"/>
        </w:rPr>
        <w:t>Partnership Working in Care Homes</w:t>
      </w:r>
      <w:bookmarkEnd w:id="5"/>
    </w:p>
    <w:p w14:paraId="21E9DABB" w14:textId="3B27F4C8" w:rsidR="00E46AF2" w:rsidRPr="00B06A1F" w:rsidRDefault="00E46AF2" w:rsidP="00B06A1F">
      <w:pPr>
        <w:spacing w:line="360" w:lineRule="auto"/>
        <w:jc w:val="both"/>
        <w:rPr>
          <w:rFonts w:ascii="Arial" w:hAnsi="Arial" w:cs="Arial"/>
          <w:sz w:val="22"/>
          <w:szCs w:val="22"/>
        </w:rPr>
      </w:pPr>
      <w:r w:rsidRPr="00B06A1F">
        <w:rPr>
          <w:rFonts w:ascii="Arial" w:hAnsi="Arial" w:cs="Arial"/>
          <w:sz w:val="22"/>
          <w:szCs w:val="22"/>
        </w:rPr>
        <w:t xml:space="preserve">Care homes for older people serve as an extremely significant field where the intersection of person-centered care and partnership can take place. The patients usually have </w:t>
      </w:r>
      <w:r w:rsidR="00E34D01" w:rsidRPr="00B06A1F">
        <w:rPr>
          <w:rFonts w:ascii="Arial" w:hAnsi="Arial" w:cs="Arial"/>
          <w:sz w:val="22"/>
          <w:szCs w:val="22"/>
        </w:rPr>
        <w:t>multimorbidity’s</w:t>
      </w:r>
      <w:r w:rsidRPr="00B06A1F">
        <w:rPr>
          <w:rFonts w:ascii="Arial" w:hAnsi="Arial" w:cs="Arial"/>
          <w:sz w:val="22"/>
          <w:szCs w:val="22"/>
        </w:rPr>
        <w:t xml:space="preserve"> and need to be under the care of the primary care practitioners </w:t>
      </w:r>
      <w:r w:rsidR="00B06A1F" w:rsidRPr="00B06A1F">
        <w:rPr>
          <w:rFonts w:ascii="Arial" w:hAnsi="Arial" w:cs="Arial"/>
          <w:sz w:val="22"/>
          <w:szCs w:val="22"/>
        </w:rPr>
        <w:t>to</w:t>
      </w:r>
      <w:r w:rsidRPr="00B06A1F">
        <w:rPr>
          <w:rFonts w:ascii="Arial" w:hAnsi="Arial" w:cs="Arial"/>
          <w:sz w:val="22"/>
          <w:szCs w:val="22"/>
        </w:rPr>
        <w:t xml:space="preserve"> manage their health and connect them to specialists if needed. Enhanced Health in Care Homes is a model that should ensure that multidisciplinary care, nomination of the general practitioner, patient's regular medication review, and personalized care planning become common practice (Warmoth, Aylward and Goodman, 2025).</w:t>
      </w:r>
    </w:p>
    <w:p w14:paraId="2378FCCB" w14:textId="5370AB64" w:rsidR="00E46AF2" w:rsidRPr="00B06A1F" w:rsidRDefault="00E46AF2" w:rsidP="00B06A1F">
      <w:pPr>
        <w:spacing w:line="360" w:lineRule="auto"/>
        <w:jc w:val="both"/>
        <w:rPr>
          <w:rFonts w:ascii="Arial" w:hAnsi="Arial" w:cs="Arial"/>
          <w:sz w:val="22"/>
          <w:szCs w:val="22"/>
        </w:rPr>
      </w:pPr>
      <w:r w:rsidRPr="00B06A1F">
        <w:rPr>
          <w:rFonts w:ascii="Arial" w:hAnsi="Arial" w:cs="Arial"/>
          <w:sz w:val="22"/>
          <w:szCs w:val="22"/>
        </w:rPr>
        <w:t xml:space="preserve">According to the qualitative research conducted using multi-methods, there are four basic elements that should be present in a good partnership between care homes and primary care services: role clarity, communication, learning, and respect (Warmoth et al., 2025). When the same health care practitioner visits the patients in care homes regularly, there are established positive relationships between the patients and the care home staff members, increased confidence of the latter and </w:t>
      </w:r>
      <w:r w:rsidR="00B06A1F" w:rsidRPr="00B06A1F">
        <w:rPr>
          <w:rFonts w:ascii="Arial" w:hAnsi="Arial" w:cs="Arial"/>
          <w:sz w:val="22"/>
          <w:szCs w:val="22"/>
        </w:rPr>
        <w:t>better</w:t>
      </w:r>
      <w:r w:rsidRPr="00B06A1F">
        <w:rPr>
          <w:rFonts w:ascii="Arial" w:hAnsi="Arial" w:cs="Arial"/>
          <w:sz w:val="22"/>
          <w:szCs w:val="22"/>
        </w:rPr>
        <w:t xml:space="preserve"> continuity of care (Owen, Kennedy and Nieman, 2023). The large practices and those with a lot of patients in care homes are more likely to apply the structured approach to partnership working, which is associated with the higher quality of the care (Hanratty et al., 2025).</w:t>
      </w:r>
    </w:p>
    <w:p w14:paraId="7386CECF" w14:textId="4F20B9D0" w:rsidR="00E46AF2" w:rsidRPr="00B06A1F" w:rsidRDefault="00E46AF2" w:rsidP="00B06A1F">
      <w:pPr>
        <w:spacing w:line="360" w:lineRule="auto"/>
        <w:jc w:val="both"/>
        <w:rPr>
          <w:rFonts w:ascii="Arial" w:hAnsi="Arial" w:cs="Arial"/>
          <w:sz w:val="22"/>
          <w:szCs w:val="22"/>
        </w:rPr>
      </w:pPr>
      <w:r w:rsidRPr="00B06A1F">
        <w:rPr>
          <w:rFonts w:ascii="Arial" w:hAnsi="Arial" w:cs="Arial"/>
          <w:sz w:val="22"/>
          <w:szCs w:val="22"/>
        </w:rPr>
        <w:t xml:space="preserve">Nevertheless, there is some variation in this aspect. It is the trustful relationships and motivation and resourcefulness of the workforce that matter more than any </w:t>
      </w:r>
      <w:r w:rsidR="00B06A1F" w:rsidRPr="00B06A1F">
        <w:rPr>
          <w:rFonts w:ascii="Arial" w:hAnsi="Arial" w:cs="Arial"/>
          <w:sz w:val="22"/>
          <w:szCs w:val="22"/>
        </w:rPr>
        <w:t>organi</w:t>
      </w:r>
      <w:r w:rsidR="00B06A1F">
        <w:rPr>
          <w:rFonts w:ascii="Arial" w:hAnsi="Arial" w:cs="Arial"/>
          <w:sz w:val="22"/>
          <w:szCs w:val="22"/>
        </w:rPr>
        <w:t>s</w:t>
      </w:r>
      <w:r w:rsidR="00B06A1F" w:rsidRPr="00B06A1F">
        <w:rPr>
          <w:rFonts w:ascii="Arial" w:hAnsi="Arial" w:cs="Arial"/>
          <w:sz w:val="22"/>
          <w:szCs w:val="22"/>
        </w:rPr>
        <w:t>ational</w:t>
      </w:r>
      <w:r w:rsidRPr="00B06A1F">
        <w:rPr>
          <w:rFonts w:ascii="Arial" w:hAnsi="Arial" w:cs="Arial"/>
          <w:sz w:val="22"/>
          <w:szCs w:val="22"/>
        </w:rPr>
        <w:t xml:space="preserve"> form (Hanratty et al., 2025). Naturally, time, staff and funding remain to be crucial factors. It is impossible to build partnerships without the required time to establish relationships. Additionally, there is the issue of </w:t>
      </w:r>
      <w:r w:rsidR="00B06A1F" w:rsidRPr="00B06A1F">
        <w:rPr>
          <w:rFonts w:ascii="Arial" w:hAnsi="Arial" w:cs="Arial"/>
          <w:sz w:val="22"/>
          <w:szCs w:val="22"/>
        </w:rPr>
        <w:lastRenderedPageBreak/>
        <w:t>private</w:t>
      </w:r>
      <w:r w:rsidRPr="00B06A1F">
        <w:rPr>
          <w:rFonts w:ascii="Arial" w:hAnsi="Arial" w:cs="Arial"/>
          <w:sz w:val="22"/>
          <w:szCs w:val="22"/>
        </w:rPr>
        <w:t xml:space="preserve"> ownership of </w:t>
      </w:r>
      <w:r w:rsidR="00B06A1F" w:rsidRPr="00B06A1F">
        <w:rPr>
          <w:rFonts w:ascii="Arial" w:hAnsi="Arial" w:cs="Arial"/>
          <w:sz w:val="22"/>
          <w:szCs w:val="22"/>
        </w:rPr>
        <w:t>many</w:t>
      </w:r>
      <w:r w:rsidRPr="00B06A1F">
        <w:rPr>
          <w:rFonts w:ascii="Arial" w:hAnsi="Arial" w:cs="Arial"/>
          <w:sz w:val="22"/>
          <w:szCs w:val="22"/>
        </w:rPr>
        <w:t xml:space="preserve"> care homes and fragmented commissioning arrangements. In this case, the person-centered care does not rely on the skills of the practitioners, but also on the conditions of the collaboration between the health care providers and social care providers.</w:t>
      </w:r>
    </w:p>
    <w:p w14:paraId="15B8DDF4" w14:textId="7641EC40" w:rsidR="00E46AF2" w:rsidRPr="00B06A1F" w:rsidRDefault="00E46AF2" w:rsidP="00B06A1F">
      <w:pPr>
        <w:pStyle w:val="Heading1"/>
        <w:spacing w:line="360" w:lineRule="auto"/>
        <w:jc w:val="both"/>
        <w:rPr>
          <w:rFonts w:ascii="Arial" w:hAnsi="Arial" w:cs="Arial"/>
          <w:sz w:val="22"/>
          <w:szCs w:val="22"/>
        </w:rPr>
      </w:pPr>
      <w:bookmarkStart w:id="6" w:name="_Toc242964625"/>
      <w:r w:rsidRPr="00B06A1F">
        <w:rPr>
          <w:rFonts w:ascii="Arial" w:hAnsi="Arial" w:cs="Arial"/>
          <w:sz w:val="22"/>
          <w:szCs w:val="22"/>
        </w:rPr>
        <w:t>Policy and Legislation Background</w:t>
      </w:r>
      <w:bookmarkEnd w:id="6"/>
    </w:p>
    <w:p w14:paraId="00020276" w14:textId="54C20035" w:rsidR="002E4593" w:rsidRPr="00B06A1F" w:rsidRDefault="00E46AF2" w:rsidP="00B06A1F">
      <w:pPr>
        <w:spacing w:line="360" w:lineRule="auto"/>
        <w:jc w:val="both"/>
        <w:rPr>
          <w:rFonts w:ascii="Arial" w:hAnsi="Arial" w:cs="Arial"/>
          <w:sz w:val="22"/>
          <w:szCs w:val="22"/>
        </w:rPr>
      </w:pPr>
      <w:r w:rsidRPr="00B06A1F">
        <w:rPr>
          <w:rFonts w:ascii="Arial" w:hAnsi="Arial" w:cs="Arial"/>
          <w:sz w:val="22"/>
          <w:szCs w:val="22"/>
        </w:rPr>
        <w:t xml:space="preserve">The legislative and policy context of England concerning person-centered care and partnership working focuses on both these concepts. The Care Act 2014 brought the Wellbeing </w:t>
      </w:r>
      <w:r w:rsidR="00B06A1F" w:rsidRPr="00B06A1F">
        <w:rPr>
          <w:rFonts w:ascii="Arial" w:hAnsi="Arial" w:cs="Arial"/>
          <w:sz w:val="22"/>
          <w:szCs w:val="22"/>
        </w:rPr>
        <w:t>Principle,</w:t>
      </w:r>
      <w:r w:rsidRPr="00B06A1F">
        <w:rPr>
          <w:rFonts w:ascii="Arial" w:hAnsi="Arial" w:cs="Arial"/>
          <w:sz w:val="22"/>
          <w:szCs w:val="22"/>
        </w:rPr>
        <w:t xml:space="preserve"> and local authorities were obliged to promote individual choice and control (Hanratty et al., 2025). The Health and Care Act 2022 introduced the concept of statutory Integrated Care Boards and Partnerships that has transformed the English health and social care system from the competitive one into the collaborative with the triple aim duty to </w:t>
      </w:r>
      <w:r w:rsidR="00B06A1F" w:rsidRPr="00B06A1F">
        <w:rPr>
          <w:rFonts w:ascii="Arial" w:hAnsi="Arial" w:cs="Arial"/>
          <w:sz w:val="22"/>
          <w:szCs w:val="22"/>
        </w:rPr>
        <w:t>consider</w:t>
      </w:r>
      <w:r w:rsidRPr="00B06A1F">
        <w:rPr>
          <w:rFonts w:ascii="Arial" w:hAnsi="Arial" w:cs="Arial"/>
          <w:sz w:val="22"/>
          <w:szCs w:val="22"/>
        </w:rPr>
        <w:t xml:space="preserve"> the interests of the whole system for all NHS organizations.</w:t>
      </w:r>
    </w:p>
    <w:p w14:paraId="56E53D18" w14:textId="2BE575B0" w:rsidR="00E46AF2" w:rsidRPr="00B06A1F" w:rsidRDefault="00E46AF2" w:rsidP="00B06A1F">
      <w:pPr>
        <w:spacing w:line="360" w:lineRule="auto"/>
        <w:jc w:val="both"/>
        <w:rPr>
          <w:rFonts w:ascii="Arial" w:hAnsi="Arial" w:cs="Arial"/>
          <w:sz w:val="22"/>
          <w:szCs w:val="22"/>
        </w:rPr>
      </w:pPr>
      <w:r w:rsidRPr="00B06A1F">
        <w:rPr>
          <w:rFonts w:ascii="Arial" w:hAnsi="Arial" w:cs="Arial"/>
          <w:sz w:val="22"/>
          <w:szCs w:val="22"/>
        </w:rPr>
        <w:t xml:space="preserve">Regulation 9 of CQC regulation highlights that </w:t>
      </w:r>
      <w:r w:rsidR="00B06A1F" w:rsidRPr="00B06A1F">
        <w:rPr>
          <w:rFonts w:ascii="Arial" w:hAnsi="Arial" w:cs="Arial"/>
          <w:sz w:val="22"/>
          <w:szCs w:val="22"/>
        </w:rPr>
        <w:t>care,</w:t>
      </w:r>
      <w:r w:rsidRPr="00B06A1F">
        <w:rPr>
          <w:rFonts w:ascii="Arial" w:hAnsi="Arial" w:cs="Arial"/>
          <w:sz w:val="22"/>
          <w:szCs w:val="22"/>
        </w:rPr>
        <w:t xml:space="preserve"> and treatment should be appropriate, meet needs and </w:t>
      </w:r>
      <w:r w:rsidR="00B06A1F" w:rsidRPr="00B06A1F">
        <w:rPr>
          <w:rFonts w:ascii="Arial" w:hAnsi="Arial" w:cs="Arial"/>
          <w:sz w:val="22"/>
          <w:szCs w:val="22"/>
        </w:rPr>
        <w:t>consider</w:t>
      </w:r>
      <w:r w:rsidRPr="00B06A1F">
        <w:rPr>
          <w:rFonts w:ascii="Arial" w:hAnsi="Arial" w:cs="Arial"/>
          <w:sz w:val="22"/>
          <w:szCs w:val="22"/>
        </w:rPr>
        <w:t xml:space="preserve"> individual preferences thus making person-</w:t>
      </w:r>
      <w:r w:rsidR="00E34D01" w:rsidRPr="00B06A1F">
        <w:rPr>
          <w:rFonts w:ascii="Arial" w:hAnsi="Arial" w:cs="Arial"/>
          <w:sz w:val="22"/>
          <w:szCs w:val="22"/>
        </w:rPr>
        <w:t>centered</w:t>
      </w:r>
      <w:r w:rsidRPr="00B06A1F">
        <w:rPr>
          <w:rFonts w:ascii="Arial" w:hAnsi="Arial" w:cs="Arial"/>
          <w:sz w:val="22"/>
          <w:szCs w:val="22"/>
        </w:rPr>
        <w:t xml:space="preserve"> care an absolute norm. This is reinforced by NHS Long Term Plan as well as the new model of personalized care which focuses on the principles of shared decision-making, personal health budgets and co-production of care plans with individuals and their families. Together, all the </w:t>
      </w:r>
      <w:r w:rsidR="00E34D01" w:rsidRPr="00B06A1F">
        <w:rPr>
          <w:rFonts w:ascii="Arial" w:hAnsi="Arial" w:cs="Arial"/>
          <w:sz w:val="22"/>
          <w:szCs w:val="22"/>
        </w:rPr>
        <w:t>above-mentioned</w:t>
      </w:r>
      <w:r w:rsidRPr="00B06A1F">
        <w:rPr>
          <w:rFonts w:ascii="Arial" w:hAnsi="Arial" w:cs="Arial"/>
          <w:sz w:val="22"/>
          <w:szCs w:val="22"/>
        </w:rPr>
        <w:t xml:space="preserve"> instruments build an enabling environment. However, putting the above into practice consistently remains challenging due to issues of workforce, funding and organizational culture which continues to prioritize organizational over person-</w:t>
      </w:r>
      <w:r w:rsidR="00E34D01" w:rsidRPr="00B06A1F">
        <w:rPr>
          <w:rFonts w:ascii="Arial" w:hAnsi="Arial" w:cs="Arial"/>
          <w:sz w:val="22"/>
          <w:szCs w:val="22"/>
        </w:rPr>
        <w:t>centered</w:t>
      </w:r>
      <w:r w:rsidRPr="00B06A1F">
        <w:rPr>
          <w:rFonts w:ascii="Arial" w:hAnsi="Arial" w:cs="Arial"/>
          <w:sz w:val="22"/>
          <w:szCs w:val="22"/>
        </w:rPr>
        <w:t xml:space="preserve"> interests (Dunn et al., 2024). Not only policies but implementation, culture and funding need attention.</w:t>
      </w:r>
    </w:p>
    <w:p w14:paraId="33659D35" w14:textId="7FF06751" w:rsidR="00E46AF2" w:rsidRPr="00B06A1F" w:rsidRDefault="00E46AF2" w:rsidP="00B06A1F">
      <w:pPr>
        <w:pStyle w:val="Heading1"/>
        <w:spacing w:line="360" w:lineRule="auto"/>
        <w:jc w:val="both"/>
        <w:rPr>
          <w:rFonts w:ascii="Arial" w:hAnsi="Arial" w:cs="Arial"/>
          <w:sz w:val="22"/>
          <w:szCs w:val="22"/>
        </w:rPr>
      </w:pPr>
      <w:bookmarkStart w:id="7" w:name="_Toc242964626"/>
      <w:r w:rsidRPr="00B06A1F">
        <w:rPr>
          <w:rFonts w:ascii="Arial" w:hAnsi="Arial" w:cs="Arial"/>
          <w:sz w:val="22"/>
          <w:szCs w:val="22"/>
        </w:rPr>
        <w:t>Recommendations for future development</w:t>
      </w:r>
      <w:bookmarkEnd w:id="7"/>
    </w:p>
    <w:p w14:paraId="5C4CCBC6" w14:textId="77777777" w:rsidR="00E46AF2" w:rsidRPr="00B06A1F" w:rsidRDefault="00E46AF2" w:rsidP="00B06A1F">
      <w:pPr>
        <w:spacing w:line="360" w:lineRule="auto"/>
        <w:jc w:val="both"/>
        <w:rPr>
          <w:rFonts w:ascii="Arial" w:hAnsi="Arial" w:cs="Arial"/>
          <w:sz w:val="22"/>
          <w:szCs w:val="22"/>
        </w:rPr>
      </w:pPr>
      <w:r w:rsidRPr="00B06A1F">
        <w:rPr>
          <w:rFonts w:ascii="Arial" w:hAnsi="Arial" w:cs="Arial"/>
          <w:sz w:val="22"/>
          <w:szCs w:val="22"/>
        </w:rPr>
        <w:t>First, there is a need for continuous investment in relationship-based workforce development. Staff should receive training which will enable them to develop communication, ethical reasoning and interprofessional skills for partnership building. At the same time, organizational cultures should value and protect the process of developing relationships (McCance and McCormack, 2025; Feo and Kitson, 2026).</w:t>
      </w:r>
    </w:p>
    <w:p w14:paraId="09325CC0" w14:textId="77777777" w:rsidR="00E46AF2" w:rsidRPr="00B06A1F" w:rsidRDefault="00E46AF2" w:rsidP="00B06A1F">
      <w:pPr>
        <w:spacing w:line="360" w:lineRule="auto"/>
        <w:jc w:val="both"/>
        <w:rPr>
          <w:rFonts w:ascii="Arial" w:hAnsi="Arial" w:cs="Arial"/>
          <w:sz w:val="22"/>
          <w:szCs w:val="22"/>
        </w:rPr>
      </w:pPr>
      <w:r w:rsidRPr="00B06A1F">
        <w:rPr>
          <w:rFonts w:ascii="Arial" w:hAnsi="Arial" w:cs="Arial"/>
          <w:sz w:val="22"/>
          <w:szCs w:val="22"/>
        </w:rPr>
        <w:t>Second, care-home-primary care partnerships should be developed by establishing named clinicians, conducting regular multidisciplinary reviews and learning events. Such approach has proven benefits for continuity, staff confidence and experience of residents (Warmoth et al., 2025; Owen et al., 2023). Of course, sufficient and stable funding should precede these practices.</w:t>
      </w:r>
    </w:p>
    <w:p w14:paraId="50E1ABEE" w14:textId="42A202DB" w:rsidR="00E46AF2" w:rsidRPr="00B06A1F" w:rsidRDefault="00E46AF2" w:rsidP="00B06A1F">
      <w:pPr>
        <w:spacing w:line="360" w:lineRule="auto"/>
        <w:jc w:val="both"/>
        <w:rPr>
          <w:rFonts w:ascii="Arial" w:hAnsi="Arial" w:cs="Arial"/>
          <w:sz w:val="22"/>
          <w:szCs w:val="22"/>
        </w:rPr>
      </w:pPr>
      <w:r w:rsidRPr="00B06A1F">
        <w:rPr>
          <w:rFonts w:ascii="Arial" w:hAnsi="Arial" w:cs="Arial"/>
          <w:sz w:val="22"/>
          <w:szCs w:val="22"/>
        </w:rPr>
        <w:lastRenderedPageBreak/>
        <w:t xml:space="preserve">Third, there is a need not just for policy development but for its implementation which would </w:t>
      </w:r>
      <w:r w:rsidR="00B06A1F" w:rsidRPr="00B06A1F">
        <w:rPr>
          <w:rFonts w:ascii="Arial" w:hAnsi="Arial" w:cs="Arial"/>
          <w:sz w:val="22"/>
          <w:szCs w:val="22"/>
        </w:rPr>
        <w:t>consider</w:t>
      </w:r>
      <w:r w:rsidRPr="00B06A1F">
        <w:rPr>
          <w:rFonts w:ascii="Arial" w:hAnsi="Arial" w:cs="Arial"/>
          <w:sz w:val="22"/>
          <w:szCs w:val="22"/>
        </w:rPr>
        <w:t xml:space="preserve"> power imbalances and resource constraints that currently hinder person-</w:t>
      </w:r>
      <w:r w:rsidR="00E34D01" w:rsidRPr="00B06A1F">
        <w:rPr>
          <w:rFonts w:ascii="Arial" w:hAnsi="Arial" w:cs="Arial"/>
          <w:sz w:val="22"/>
          <w:szCs w:val="22"/>
        </w:rPr>
        <w:t>centered</w:t>
      </w:r>
      <w:r w:rsidRPr="00B06A1F">
        <w:rPr>
          <w:rFonts w:ascii="Arial" w:hAnsi="Arial" w:cs="Arial"/>
          <w:sz w:val="22"/>
          <w:szCs w:val="22"/>
        </w:rPr>
        <w:t xml:space="preserve"> decision-making (Birchley and Finnerty, 2026). Co-production of services with people using services, their families and frontline staff is needed at the stage of designing, delivering and evaluating them (Itua et al., 2025).</w:t>
      </w:r>
    </w:p>
    <w:p w14:paraId="35176844" w14:textId="77777777" w:rsidR="00E46AF2" w:rsidRPr="00B06A1F" w:rsidRDefault="00E46AF2" w:rsidP="00B06A1F">
      <w:pPr>
        <w:pStyle w:val="Heading1"/>
        <w:spacing w:line="360" w:lineRule="auto"/>
        <w:jc w:val="both"/>
        <w:rPr>
          <w:rFonts w:ascii="Arial" w:hAnsi="Arial" w:cs="Arial"/>
          <w:sz w:val="22"/>
          <w:szCs w:val="22"/>
        </w:rPr>
      </w:pPr>
      <w:bookmarkStart w:id="8" w:name="_Toc242964627"/>
      <w:r w:rsidRPr="00B06A1F">
        <w:rPr>
          <w:rFonts w:ascii="Arial" w:hAnsi="Arial" w:cs="Arial"/>
          <w:sz w:val="22"/>
          <w:szCs w:val="22"/>
        </w:rPr>
        <w:t>Conclusion</w:t>
      </w:r>
      <w:bookmarkEnd w:id="8"/>
    </w:p>
    <w:p w14:paraId="7D31511C" w14:textId="5E07C04C" w:rsidR="00E46AF2" w:rsidRPr="00B06A1F" w:rsidRDefault="00E46AF2" w:rsidP="00B06A1F">
      <w:pPr>
        <w:spacing w:line="360" w:lineRule="auto"/>
        <w:jc w:val="both"/>
        <w:rPr>
          <w:rFonts w:ascii="Arial" w:hAnsi="Arial" w:cs="Arial"/>
          <w:sz w:val="22"/>
          <w:szCs w:val="22"/>
        </w:rPr>
      </w:pPr>
      <w:r w:rsidRPr="00B06A1F">
        <w:rPr>
          <w:rFonts w:ascii="Arial" w:hAnsi="Arial" w:cs="Arial"/>
          <w:sz w:val="22"/>
          <w:szCs w:val="22"/>
        </w:rPr>
        <w:t>The person-centered approach and partnership working are interrelated foundations of successful health and social care work. The Person-Centered Nursing Framework provides an integrated theoretical framework that highlights the moral, relational and contextual issues necessary for person-centered approach. Issues related to autonomy, beneficence, non-maleficence and justice in terms of ethical considerations lead healthcare professionals to collaboration with individuals, whereas policy and laws require more collaboration and person-centered approaches from professionals. Studies carried out in care homes have demonstrated that trust-based partnerships together with appropriate resource provision enable continuity and positive experience but there are lots of difficulties related to definitions, culture, resource provision and power relations. Future development of partnership working and person-centered approach in the UK will depend on continued efforts of relationship building, capability of the workforce, equal resources and co-production.</w:t>
      </w:r>
    </w:p>
    <w:p w14:paraId="2B37AF7F" w14:textId="77777777" w:rsidR="00E46AF2" w:rsidRPr="00B06A1F" w:rsidRDefault="00E46AF2" w:rsidP="00B06A1F">
      <w:pPr>
        <w:spacing w:line="360" w:lineRule="auto"/>
        <w:ind w:firstLine="720"/>
        <w:jc w:val="both"/>
        <w:rPr>
          <w:rFonts w:ascii="Arial" w:hAnsi="Arial" w:cs="Arial"/>
          <w:b/>
          <w:bCs/>
          <w:sz w:val="22"/>
          <w:szCs w:val="22"/>
        </w:rPr>
      </w:pPr>
      <w:r w:rsidRPr="00B06A1F">
        <w:rPr>
          <w:rFonts w:ascii="Arial" w:hAnsi="Arial" w:cs="Arial"/>
          <w:b/>
          <w:bCs/>
          <w:sz w:val="22"/>
          <w:szCs w:val="22"/>
        </w:rPr>
        <w:br w:type="page"/>
      </w:r>
    </w:p>
    <w:p w14:paraId="5924C2AC" w14:textId="4278B154" w:rsidR="00E46AF2" w:rsidRPr="00B06A1F" w:rsidRDefault="00E46AF2" w:rsidP="00B06A1F">
      <w:pPr>
        <w:spacing w:line="360" w:lineRule="auto"/>
        <w:jc w:val="both"/>
        <w:rPr>
          <w:rFonts w:ascii="Arial" w:hAnsi="Arial" w:cs="Arial"/>
          <w:b/>
          <w:bCs/>
          <w:sz w:val="22"/>
          <w:szCs w:val="22"/>
        </w:rPr>
      </w:pPr>
      <w:r w:rsidRPr="00B06A1F">
        <w:rPr>
          <w:rFonts w:ascii="Arial" w:hAnsi="Arial" w:cs="Arial"/>
          <w:b/>
          <w:bCs/>
          <w:sz w:val="22"/>
          <w:szCs w:val="22"/>
        </w:rPr>
        <w:lastRenderedPageBreak/>
        <w:t xml:space="preserve">References </w:t>
      </w:r>
    </w:p>
    <w:p w14:paraId="34B6EFA4" w14:textId="7C059B97" w:rsidR="00E46AF2" w:rsidRPr="00B06A1F" w:rsidRDefault="00E46AF2" w:rsidP="00B06A1F">
      <w:pPr>
        <w:spacing w:after="140" w:line="360" w:lineRule="auto"/>
        <w:ind w:left="720" w:hanging="720"/>
        <w:jc w:val="both"/>
        <w:rPr>
          <w:rFonts w:ascii="Arial" w:hAnsi="Arial" w:cs="Arial"/>
          <w:sz w:val="22"/>
          <w:szCs w:val="22"/>
        </w:rPr>
      </w:pPr>
      <w:r w:rsidRPr="00B06A1F">
        <w:rPr>
          <w:rFonts w:ascii="Arial" w:eastAsia="Arial" w:hAnsi="Arial" w:cs="Arial"/>
          <w:sz w:val="22"/>
          <w:szCs w:val="22"/>
        </w:rPr>
        <w:t>Ahmed, A., van den Muijsenbergh, M.E.T.C., Vrijhoef, H.J.M. and Wensing, M. (2022) ‘Person-</w:t>
      </w:r>
      <w:r w:rsidR="00E34D01" w:rsidRPr="00B06A1F">
        <w:rPr>
          <w:rFonts w:ascii="Arial" w:eastAsia="Arial" w:hAnsi="Arial" w:cs="Arial"/>
          <w:sz w:val="22"/>
          <w:szCs w:val="22"/>
        </w:rPr>
        <w:t>centered</w:t>
      </w:r>
      <w:r w:rsidRPr="00B06A1F">
        <w:rPr>
          <w:rFonts w:ascii="Arial" w:eastAsia="Arial" w:hAnsi="Arial" w:cs="Arial"/>
          <w:sz w:val="22"/>
          <w:szCs w:val="22"/>
        </w:rPr>
        <w:t xml:space="preserve"> care in primary care: what works for whom, how and in what circumstances?’, </w:t>
      </w:r>
      <w:r w:rsidRPr="00B06A1F">
        <w:rPr>
          <w:rFonts w:ascii="Arial" w:eastAsia="Arial" w:hAnsi="Arial" w:cs="Arial"/>
          <w:i/>
          <w:iCs/>
          <w:sz w:val="22"/>
          <w:szCs w:val="22"/>
        </w:rPr>
        <w:t>Health &amp; Social Care in the Community</w:t>
      </w:r>
      <w:r w:rsidRPr="00B06A1F">
        <w:rPr>
          <w:rFonts w:ascii="Arial" w:hAnsi="Arial" w:cs="Arial"/>
          <w:sz w:val="22"/>
          <w:szCs w:val="22"/>
        </w:rPr>
        <w:t>, 30(6), pp. e3929–e3943. doi: 10.1111/hsc.13913.</w:t>
      </w:r>
    </w:p>
    <w:p w14:paraId="691446A2" w14:textId="77777777" w:rsidR="00E46AF2" w:rsidRPr="00B06A1F" w:rsidRDefault="00E46AF2" w:rsidP="00B06A1F">
      <w:pPr>
        <w:spacing w:after="140" w:line="360" w:lineRule="auto"/>
        <w:ind w:left="720" w:hanging="720"/>
        <w:jc w:val="both"/>
        <w:rPr>
          <w:rFonts w:ascii="Arial" w:hAnsi="Arial" w:cs="Arial"/>
          <w:sz w:val="22"/>
          <w:szCs w:val="22"/>
        </w:rPr>
      </w:pPr>
      <w:r w:rsidRPr="00B06A1F">
        <w:rPr>
          <w:rFonts w:ascii="Arial" w:eastAsia="Arial" w:hAnsi="Arial" w:cs="Arial"/>
          <w:sz w:val="22"/>
          <w:szCs w:val="22"/>
        </w:rPr>
        <w:t xml:space="preserve">Alderwick, H., Hutchings, A., Briggs, A. and Mays, N. (2021) ‘The impacts of collaboration between local health care and non-health care organizations and factors shaping how they work: a systematic review of reviews’, </w:t>
      </w:r>
      <w:r w:rsidRPr="00B06A1F">
        <w:rPr>
          <w:rFonts w:ascii="Arial" w:eastAsia="Arial" w:hAnsi="Arial" w:cs="Arial"/>
          <w:i/>
          <w:iCs/>
          <w:sz w:val="22"/>
          <w:szCs w:val="22"/>
        </w:rPr>
        <w:t>BMC Public Health</w:t>
      </w:r>
      <w:r w:rsidRPr="00B06A1F">
        <w:rPr>
          <w:rFonts w:ascii="Arial" w:hAnsi="Arial" w:cs="Arial"/>
          <w:sz w:val="22"/>
          <w:szCs w:val="22"/>
        </w:rPr>
        <w:t>, 21, 753. doi: 10.1186/s12889-021-10630-1.</w:t>
      </w:r>
    </w:p>
    <w:p w14:paraId="49E6AFCF" w14:textId="77777777" w:rsidR="00E46AF2" w:rsidRPr="00B06A1F" w:rsidRDefault="00E46AF2" w:rsidP="00B06A1F">
      <w:pPr>
        <w:spacing w:after="140" w:line="360" w:lineRule="auto"/>
        <w:ind w:left="720" w:hanging="720"/>
        <w:jc w:val="both"/>
        <w:rPr>
          <w:rFonts w:ascii="Arial" w:hAnsi="Arial" w:cs="Arial"/>
          <w:sz w:val="22"/>
          <w:szCs w:val="22"/>
        </w:rPr>
      </w:pPr>
      <w:r w:rsidRPr="00B06A1F">
        <w:rPr>
          <w:rFonts w:ascii="Arial" w:eastAsia="Arial" w:hAnsi="Arial" w:cs="Arial"/>
          <w:sz w:val="22"/>
          <w:szCs w:val="22"/>
        </w:rPr>
        <w:t xml:space="preserve">Bassul, C., Gannon, J., Kelly, Y., Williams, M., Morrissey, D., McKee, J., O’Rourke, N. and Flynn, R. (2025) ‘How to achieve person-centered care for people using home care services: a narrative review’, </w:t>
      </w:r>
      <w:r w:rsidRPr="00B06A1F">
        <w:rPr>
          <w:rFonts w:ascii="Arial" w:eastAsia="Arial" w:hAnsi="Arial" w:cs="Arial"/>
          <w:i/>
          <w:iCs/>
          <w:sz w:val="22"/>
          <w:szCs w:val="22"/>
        </w:rPr>
        <w:t>Home Health Care Management &amp; Practice</w:t>
      </w:r>
      <w:r w:rsidRPr="00B06A1F">
        <w:rPr>
          <w:rFonts w:ascii="Arial" w:hAnsi="Arial" w:cs="Arial"/>
          <w:sz w:val="22"/>
          <w:szCs w:val="22"/>
        </w:rPr>
        <w:t>, 37(1), pp. 3–14. doi: 10.1177/10848223241267874.</w:t>
      </w:r>
    </w:p>
    <w:p w14:paraId="31F374D0" w14:textId="47135EB2" w:rsidR="00E46AF2" w:rsidRPr="00B06A1F" w:rsidRDefault="00E46AF2" w:rsidP="00B06A1F">
      <w:pPr>
        <w:spacing w:after="140" w:line="360" w:lineRule="auto"/>
        <w:ind w:left="720" w:hanging="720"/>
        <w:jc w:val="both"/>
        <w:rPr>
          <w:rFonts w:ascii="Arial" w:hAnsi="Arial" w:cs="Arial"/>
          <w:sz w:val="22"/>
          <w:szCs w:val="22"/>
        </w:rPr>
      </w:pPr>
      <w:r w:rsidRPr="00B06A1F">
        <w:rPr>
          <w:rFonts w:ascii="Arial" w:eastAsia="Arial" w:hAnsi="Arial" w:cs="Arial"/>
          <w:sz w:val="22"/>
          <w:szCs w:val="22"/>
        </w:rPr>
        <w:t>Birchley, G. and Finnerty, A.M. (2026) ‘Freedom isn’t free: resource limits on person-</w:t>
      </w:r>
      <w:r w:rsidR="00E34D01" w:rsidRPr="00B06A1F">
        <w:rPr>
          <w:rFonts w:ascii="Arial" w:eastAsia="Arial" w:hAnsi="Arial" w:cs="Arial"/>
          <w:sz w:val="22"/>
          <w:szCs w:val="22"/>
        </w:rPr>
        <w:t>centered</w:t>
      </w:r>
      <w:r w:rsidRPr="00B06A1F">
        <w:rPr>
          <w:rFonts w:ascii="Arial" w:eastAsia="Arial" w:hAnsi="Arial" w:cs="Arial"/>
          <w:sz w:val="22"/>
          <w:szCs w:val="22"/>
        </w:rPr>
        <w:t xml:space="preserve"> best </w:t>
      </w:r>
      <w:r w:rsidR="00E34D01" w:rsidRPr="00B06A1F">
        <w:rPr>
          <w:rFonts w:ascii="Arial" w:eastAsia="Arial" w:hAnsi="Arial" w:cs="Arial"/>
          <w:sz w:val="22"/>
          <w:szCs w:val="22"/>
        </w:rPr>
        <w:t>interests’</w:t>
      </w:r>
      <w:r w:rsidRPr="00B06A1F">
        <w:rPr>
          <w:rFonts w:ascii="Arial" w:eastAsia="Arial" w:hAnsi="Arial" w:cs="Arial"/>
          <w:sz w:val="22"/>
          <w:szCs w:val="22"/>
        </w:rPr>
        <w:t xml:space="preserve"> decisions under the Mental Capacity Act’, </w:t>
      </w:r>
      <w:r w:rsidRPr="00B06A1F">
        <w:rPr>
          <w:rFonts w:ascii="Arial" w:eastAsia="Arial" w:hAnsi="Arial" w:cs="Arial"/>
          <w:i/>
          <w:iCs/>
          <w:sz w:val="22"/>
          <w:szCs w:val="22"/>
        </w:rPr>
        <w:t>Medical Law Review</w:t>
      </w:r>
      <w:r w:rsidRPr="00B06A1F">
        <w:rPr>
          <w:rFonts w:ascii="Arial" w:hAnsi="Arial" w:cs="Arial"/>
          <w:sz w:val="22"/>
          <w:szCs w:val="22"/>
        </w:rPr>
        <w:t>, 34(1), fwag001. doi: 10.1093/medlaw/fwag001.</w:t>
      </w:r>
    </w:p>
    <w:p w14:paraId="63D51685" w14:textId="303C17B9" w:rsidR="00E46AF2" w:rsidRPr="00B06A1F" w:rsidRDefault="00E46AF2" w:rsidP="00B06A1F">
      <w:pPr>
        <w:spacing w:after="140" w:line="360" w:lineRule="auto"/>
        <w:ind w:left="720" w:hanging="720"/>
        <w:jc w:val="both"/>
        <w:rPr>
          <w:rFonts w:ascii="Arial" w:hAnsi="Arial" w:cs="Arial"/>
          <w:sz w:val="22"/>
          <w:szCs w:val="22"/>
        </w:rPr>
      </w:pPr>
      <w:r w:rsidRPr="00B06A1F">
        <w:rPr>
          <w:rFonts w:ascii="Arial" w:eastAsia="Arial" w:hAnsi="Arial" w:cs="Arial"/>
          <w:sz w:val="22"/>
          <w:szCs w:val="22"/>
        </w:rPr>
        <w:t xml:space="preserve">Byrne, A.L., Baldwin, A. and Cassar, M. (2020) ‘Whose </w:t>
      </w:r>
      <w:r w:rsidR="00E34D01" w:rsidRPr="00B06A1F">
        <w:rPr>
          <w:rFonts w:ascii="Arial" w:eastAsia="Arial" w:hAnsi="Arial" w:cs="Arial"/>
          <w:sz w:val="22"/>
          <w:szCs w:val="22"/>
        </w:rPr>
        <w:t>center</w:t>
      </w:r>
      <w:r w:rsidRPr="00B06A1F">
        <w:rPr>
          <w:rFonts w:ascii="Arial" w:eastAsia="Arial" w:hAnsi="Arial" w:cs="Arial"/>
          <w:sz w:val="22"/>
          <w:szCs w:val="22"/>
        </w:rPr>
        <w:t xml:space="preserve"> is it anyway? Defining person-</w:t>
      </w:r>
      <w:r w:rsidR="00E34D01" w:rsidRPr="00B06A1F">
        <w:rPr>
          <w:rFonts w:ascii="Arial" w:eastAsia="Arial" w:hAnsi="Arial" w:cs="Arial"/>
          <w:sz w:val="22"/>
          <w:szCs w:val="22"/>
        </w:rPr>
        <w:t>centered</w:t>
      </w:r>
      <w:r w:rsidRPr="00B06A1F">
        <w:rPr>
          <w:rFonts w:ascii="Arial" w:eastAsia="Arial" w:hAnsi="Arial" w:cs="Arial"/>
          <w:sz w:val="22"/>
          <w:szCs w:val="22"/>
        </w:rPr>
        <w:t xml:space="preserve"> care in nursing: an integrative review’, </w:t>
      </w:r>
      <w:r w:rsidRPr="00B06A1F">
        <w:rPr>
          <w:rFonts w:ascii="Arial" w:eastAsia="Arial" w:hAnsi="Arial" w:cs="Arial"/>
          <w:i/>
          <w:iCs/>
          <w:sz w:val="22"/>
          <w:szCs w:val="22"/>
        </w:rPr>
        <w:t>PLoS ONE</w:t>
      </w:r>
      <w:r w:rsidRPr="00B06A1F">
        <w:rPr>
          <w:rFonts w:ascii="Arial" w:hAnsi="Arial" w:cs="Arial"/>
          <w:sz w:val="22"/>
          <w:szCs w:val="22"/>
        </w:rPr>
        <w:t>, 15(3), e0229923. doi: 10.1371/journal.pone.0229923.</w:t>
      </w:r>
    </w:p>
    <w:p w14:paraId="00CDC6AF" w14:textId="77777777" w:rsidR="00E46AF2" w:rsidRPr="00B06A1F" w:rsidRDefault="00E46AF2" w:rsidP="00B06A1F">
      <w:pPr>
        <w:spacing w:after="140" w:line="360" w:lineRule="auto"/>
        <w:ind w:left="720" w:hanging="720"/>
        <w:jc w:val="both"/>
        <w:rPr>
          <w:rFonts w:ascii="Arial" w:hAnsi="Arial" w:cs="Arial"/>
          <w:sz w:val="22"/>
          <w:szCs w:val="22"/>
        </w:rPr>
      </w:pPr>
      <w:r w:rsidRPr="00B06A1F">
        <w:rPr>
          <w:rFonts w:ascii="Arial" w:eastAsia="Arial" w:hAnsi="Arial" w:cs="Arial"/>
          <w:sz w:val="22"/>
          <w:szCs w:val="22"/>
        </w:rPr>
        <w:t xml:space="preserve">Dunn, P., Fraser, C., Williamson, S. and Alderwick, H. (2024) ‘Cross-sector collaboration to reduce health inequalities: a qualitative study of local collaboration between health care, social services, and other sectors under health system reforms in England’, </w:t>
      </w:r>
      <w:r w:rsidRPr="00B06A1F">
        <w:rPr>
          <w:rFonts w:ascii="Arial" w:eastAsia="Arial" w:hAnsi="Arial" w:cs="Arial"/>
          <w:i/>
          <w:iCs/>
          <w:sz w:val="22"/>
          <w:szCs w:val="22"/>
        </w:rPr>
        <w:t>BMC Public Health</w:t>
      </w:r>
      <w:r w:rsidRPr="00B06A1F">
        <w:rPr>
          <w:rFonts w:ascii="Arial" w:hAnsi="Arial" w:cs="Arial"/>
          <w:sz w:val="22"/>
          <w:szCs w:val="22"/>
        </w:rPr>
        <w:t>, 24, 2613. doi: 10.1186/s12889-024-20089-5.</w:t>
      </w:r>
    </w:p>
    <w:p w14:paraId="714BDD4C" w14:textId="26B46DCA" w:rsidR="00E46AF2" w:rsidRPr="00B06A1F" w:rsidRDefault="00E46AF2" w:rsidP="00B06A1F">
      <w:pPr>
        <w:spacing w:after="140" w:line="360" w:lineRule="auto"/>
        <w:ind w:left="720" w:hanging="720"/>
        <w:jc w:val="both"/>
        <w:rPr>
          <w:rFonts w:ascii="Arial" w:hAnsi="Arial" w:cs="Arial"/>
          <w:sz w:val="22"/>
          <w:szCs w:val="22"/>
        </w:rPr>
      </w:pPr>
      <w:r w:rsidRPr="00B06A1F">
        <w:rPr>
          <w:rFonts w:ascii="Arial" w:eastAsia="Arial" w:hAnsi="Arial" w:cs="Arial"/>
          <w:sz w:val="22"/>
          <w:szCs w:val="22"/>
        </w:rPr>
        <w:t>Ekman, I. (2022) ‘</w:t>
      </w:r>
      <w:r w:rsidR="00E34D01" w:rsidRPr="00B06A1F">
        <w:rPr>
          <w:rFonts w:ascii="Arial" w:eastAsia="Arial" w:hAnsi="Arial" w:cs="Arial"/>
          <w:sz w:val="22"/>
          <w:szCs w:val="22"/>
        </w:rPr>
        <w:t>Practicing</w:t>
      </w:r>
      <w:r w:rsidRPr="00B06A1F">
        <w:rPr>
          <w:rFonts w:ascii="Arial" w:eastAsia="Arial" w:hAnsi="Arial" w:cs="Arial"/>
          <w:sz w:val="22"/>
          <w:szCs w:val="22"/>
        </w:rPr>
        <w:t xml:space="preserve"> the ethics of person-</w:t>
      </w:r>
      <w:r w:rsidR="00E34D01" w:rsidRPr="00B06A1F">
        <w:rPr>
          <w:rFonts w:ascii="Arial" w:eastAsia="Arial" w:hAnsi="Arial" w:cs="Arial"/>
          <w:sz w:val="22"/>
          <w:szCs w:val="22"/>
        </w:rPr>
        <w:t>centered</w:t>
      </w:r>
      <w:r w:rsidRPr="00B06A1F">
        <w:rPr>
          <w:rFonts w:ascii="Arial" w:eastAsia="Arial" w:hAnsi="Arial" w:cs="Arial"/>
          <w:sz w:val="22"/>
          <w:szCs w:val="22"/>
        </w:rPr>
        <w:t xml:space="preserve"> care: balancing ethical conviction and moral obligations’, </w:t>
      </w:r>
      <w:r w:rsidRPr="00B06A1F">
        <w:rPr>
          <w:rFonts w:ascii="Arial" w:eastAsia="Arial" w:hAnsi="Arial" w:cs="Arial"/>
          <w:i/>
          <w:iCs/>
          <w:sz w:val="22"/>
          <w:szCs w:val="22"/>
        </w:rPr>
        <w:t>Nursing Philosophy</w:t>
      </w:r>
      <w:r w:rsidRPr="00B06A1F">
        <w:rPr>
          <w:rFonts w:ascii="Arial" w:hAnsi="Arial" w:cs="Arial"/>
          <w:sz w:val="22"/>
          <w:szCs w:val="22"/>
        </w:rPr>
        <w:t>, 23(3), e12382. doi: 10.1111/nup.12382.</w:t>
      </w:r>
    </w:p>
    <w:p w14:paraId="06758F85" w14:textId="5FC23E9D" w:rsidR="00E46AF2" w:rsidRPr="00B06A1F" w:rsidRDefault="00E46AF2" w:rsidP="00B06A1F">
      <w:pPr>
        <w:spacing w:after="140" w:line="360" w:lineRule="auto"/>
        <w:ind w:left="720" w:hanging="720"/>
        <w:jc w:val="both"/>
        <w:rPr>
          <w:rFonts w:ascii="Arial" w:hAnsi="Arial" w:cs="Arial"/>
          <w:sz w:val="22"/>
          <w:szCs w:val="22"/>
        </w:rPr>
      </w:pPr>
      <w:r w:rsidRPr="00B06A1F">
        <w:rPr>
          <w:rFonts w:ascii="Arial" w:eastAsia="Arial" w:hAnsi="Arial" w:cs="Arial"/>
          <w:sz w:val="22"/>
          <w:szCs w:val="22"/>
        </w:rPr>
        <w:t>Feo, R. and Kitson, A. (2026) ‘Delivering on person-</w:t>
      </w:r>
      <w:r w:rsidR="00E34D01" w:rsidRPr="00B06A1F">
        <w:rPr>
          <w:rFonts w:ascii="Arial" w:eastAsia="Arial" w:hAnsi="Arial" w:cs="Arial"/>
          <w:sz w:val="22"/>
          <w:szCs w:val="22"/>
        </w:rPr>
        <w:t>centered</w:t>
      </w:r>
      <w:r w:rsidRPr="00B06A1F">
        <w:rPr>
          <w:rFonts w:ascii="Arial" w:eastAsia="Arial" w:hAnsi="Arial" w:cs="Arial"/>
          <w:sz w:val="22"/>
          <w:szCs w:val="22"/>
        </w:rPr>
        <w:t xml:space="preserve"> fundamental care: how far have we (really) come? A 10-year retrospective’, </w:t>
      </w:r>
      <w:r w:rsidRPr="00B06A1F">
        <w:rPr>
          <w:rFonts w:ascii="Arial" w:eastAsia="Arial" w:hAnsi="Arial" w:cs="Arial"/>
          <w:i/>
          <w:iCs/>
          <w:sz w:val="22"/>
          <w:szCs w:val="22"/>
        </w:rPr>
        <w:t>International Journal of Nursing Studies</w:t>
      </w:r>
      <w:r w:rsidRPr="00B06A1F">
        <w:rPr>
          <w:rFonts w:ascii="Arial" w:hAnsi="Arial" w:cs="Arial"/>
          <w:sz w:val="22"/>
          <w:szCs w:val="22"/>
        </w:rPr>
        <w:t>, 183, 105642. doi: 10.1016/j.ijnurstu.2026.105642.</w:t>
      </w:r>
    </w:p>
    <w:p w14:paraId="670F9756" w14:textId="5EC2BD26" w:rsidR="00E46AF2" w:rsidRPr="00B06A1F" w:rsidRDefault="00E46AF2" w:rsidP="00B06A1F">
      <w:pPr>
        <w:spacing w:after="140" w:line="360" w:lineRule="auto"/>
        <w:ind w:left="720" w:hanging="720"/>
        <w:jc w:val="both"/>
        <w:rPr>
          <w:rFonts w:ascii="Arial" w:hAnsi="Arial" w:cs="Arial"/>
          <w:sz w:val="22"/>
          <w:szCs w:val="22"/>
        </w:rPr>
      </w:pPr>
      <w:r w:rsidRPr="00B06A1F">
        <w:rPr>
          <w:rFonts w:ascii="Arial" w:eastAsia="Arial" w:hAnsi="Arial" w:cs="Arial"/>
          <w:sz w:val="22"/>
          <w:szCs w:val="22"/>
        </w:rPr>
        <w:t>Forsgren, E., Feldthusen, C., Wallström, S., Thunström, L., Kullman, L., Sawatzky, R. and Öhlén, J. (2025) ‘Person-</w:t>
      </w:r>
      <w:r w:rsidR="00E34D01" w:rsidRPr="00B06A1F">
        <w:rPr>
          <w:rFonts w:ascii="Arial" w:eastAsia="Arial" w:hAnsi="Arial" w:cs="Arial"/>
          <w:sz w:val="22"/>
          <w:szCs w:val="22"/>
        </w:rPr>
        <w:t>centered</w:t>
      </w:r>
      <w:r w:rsidRPr="00B06A1F">
        <w:rPr>
          <w:rFonts w:ascii="Arial" w:eastAsia="Arial" w:hAnsi="Arial" w:cs="Arial"/>
          <w:sz w:val="22"/>
          <w:szCs w:val="22"/>
        </w:rPr>
        <w:t xml:space="preserve"> care as an evolving field of research: a scoping review’, </w:t>
      </w:r>
      <w:r w:rsidRPr="00B06A1F">
        <w:rPr>
          <w:rFonts w:ascii="Arial" w:eastAsia="Arial" w:hAnsi="Arial" w:cs="Arial"/>
          <w:i/>
          <w:iCs/>
          <w:sz w:val="22"/>
          <w:szCs w:val="22"/>
        </w:rPr>
        <w:t>Frontiers in Health Services</w:t>
      </w:r>
      <w:r w:rsidRPr="00B06A1F">
        <w:rPr>
          <w:rFonts w:ascii="Arial" w:hAnsi="Arial" w:cs="Arial"/>
          <w:sz w:val="22"/>
          <w:szCs w:val="22"/>
        </w:rPr>
        <w:t>, 5, 1534178. doi: 10.3389/frhs.2025.1534178.</w:t>
      </w:r>
    </w:p>
    <w:p w14:paraId="5C2DBD05" w14:textId="0B37BA58" w:rsidR="00E46AF2" w:rsidRPr="00B06A1F" w:rsidRDefault="00E46AF2" w:rsidP="00B06A1F">
      <w:pPr>
        <w:spacing w:after="140" w:line="360" w:lineRule="auto"/>
        <w:ind w:left="720" w:hanging="720"/>
        <w:jc w:val="both"/>
        <w:rPr>
          <w:rFonts w:ascii="Arial" w:hAnsi="Arial" w:cs="Arial"/>
          <w:sz w:val="22"/>
          <w:szCs w:val="22"/>
        </w:rPr>
      </w:pPr>
      <w:r w:rsidRPr="00B06A1F">
        <w:rPr>
          <w:rFonts w:ascii="Arial" w:eastAsia="Arial" w:hAnsi="Arial" w:cs="Arial"/>
          <w:sz w:val="22"/>
          <w:szCs w:val="22"/>
        </w:rPr>
        <w:lastRenderedPageBreak/>
        <w:t>Giusti, A., Nkhoma, K., Petrus, R., Petersen, I., Gwyther, L., Farrant, L., Venables, E. and Harding, R. (2020) ‘The empirical evidence underpinning the concept and practice of person-</w:t>
      </w:r>
      <w:r w:rsidR="00E34D01" w:rsidRPr="00B06A1F">
        <w:rPr>
          <w:rFonts w:ascii="Arial" w:eastAsia="Arial" w:hAnsi="Arial" w:cs="Arial"/>
          <w:sz w:val="22"/>
          <w:szCs w:val="22"/>
        </w:rPr>
        <w:t>centered</w:t>
      </w:r>
      <w:r w:rsidRPr="00B06A1F">
        <w:rPr>
          <w:rFonts w:ascii="Arial" w:eastAsia="Arial" w:hAnsi="Arial" w:cs="Arial"/>
          <w:sz w:val="22"/>
          <w:szCs w:val="22"/>
        </w:rPr>
        <w:t xml:space="preserve"> care for serious illness: a systematic review’, </w:t>
      </w:r>
      <w:r w:rsidRPr="00B06A1F">
        <w:rPr>
          <w:rFonts w:ascii="Arial" w:eastAsia="Arial" w:hAnsi="Arial" w:cs="Arial"/>
          <w:i/>
          <w:iCs/>
          <w:sz w:val="22"/>
          <w:szCs w:val="22"/>
        </w:rPr>
        <w:t>BMJ Global Health</w:t>
      </w:r>
      <w:r w:rsidRPr="00B06A1F">
        <w:rPr>
          <w:rFonts w:ascii="Arial" w:hAnsi="Arial" w:cs="Arial"/>
          <w:sz w:val="22"/>
          <w:szCs w:val="22"/>
        </w:rPr>
        <w:t>, 5(12), e003330. doi: 10.1136/bmjgh-2020-003330.</w:t>
      </w:r>
    </w:p>
    <w:p w14:paraId="61B94F8B" w14:textId="05FC7490" w:rsidR="00E46AF2" w:rsidRPr="00B06A1F" w:rsidRDefault="00E46AF2" w:rsidP="00B06A1F">
      <w:pPr>
        <w:spacing w:after="140" w:line="360" w:lineRule="auto"/>
        <w:ind w:left="720" w:hanging="720"/>
        <w:jc w:val="both"/>
        <w:rPr>
          <w:rFonts w:ascii="Arial" w:hAnsi="Arial" w:cs="Arial"/>
          <w:sz w:val="22"/>
          <w:szCs w:val="22"/>
        </w:rPr>
      </w:pPr>
      <w:r w:rsidRPr="00B06A1F">
        <w:rPr>
          <w:rFonts w:ascii="Arial" w:eastAsia="Arial" w:hAnsi="Arial" w:cs="Arial"/>
          <w:sz w:val="22"/>
          <w:szCs w:val="22"/>
        </w:rPr>
        <w:t>Hanratty, B., Stocker, R., Sinclair, D., Brittain, K., Spilsbury, K., Stow, D., Robinson, L. and Matthews, F.E. (2025) ‘</w:t>
      </w:r>
      <w:r w:rsidR="00E34D01" w:rsidRPr="00B06A1F">
        <w:rPr>
          <w:rFonts w:ascii="Arial" w:eastAsia="Arial" w:hAnsi="Arial" w:cs="Arial"/>
          <w:sz w:val="22"/>
          <w:szCs w:val="22"/>
        </w:rPr>
        <w:t>Organizing</w:t>
      </w:r>
      <w:r w:rsidRPr="00B06A1F">
        <w:rPr>
          <w:rFonts w:ascii="Arial" w:eastAsia="Arial" w:hAnsi="Arial" w:cs="Arial"/>
          <w:sz w:val="22"/>
          <w:szCs w:val="22"/>
        </w:rPr>
        <w:t xml:space="preserve"> general practice for care homes: a multi-method study’, </w:t>
      </w:r>
      <w:r w:rsidRPr="00B06A1F">
        <w:rPr>
          <w:rFonts w:ascii="Arial" w:eastAsia="Arial" w:hAnsi="Arial" w:cs="Arial"/>
          <w:i/>
          <w:iCs/>
          <w:sz w:val="22"/>
          <w:szCs w:val="22"/>
        </w:rPr>
        <w:t>Health and Social Care Delivery Research</w:t>
      </w:r>
      <w:r w:rsidRPr="00B06A1F">
        <w:rPr>
          <w:rFonts w:ascii="Arial" w:hAnsi="Arial" w:cs="Arial"/>
          <w:sz w:val="22"/>
          <w:szCs w:val="22"/>
        </w:rPr>
        <w:t>, 13(11). doi: 10.3310/YNDV6358.</w:t>
      </w:r>
    </w:p>
    <w:p w14:paraId="1D2D6276" w14:textId="77777777" w:rsidR="00E46AF2" w:rsidRPr="00B06A1F" w:rsidRDefault="00E46AF2" w:rsidP="00B06A1F">
      <w:pPr>
        <w:spacing w:after="140" w:line="360" w:lineRule="auto"/>
        <w:ind w:left="720" w:hanging="720"/>
        <w:jc w:val="both"/>
        <w:rPr>
          <w:rFonts w:ascii="Arial" w:hAnsi="Arial" w:cs="Arial"/>
          <w:sz w:val="22"/>
          <w:szCs w:val="22"/>
        </w:rPr>
      </w:pPr>
      <w:r w:rsidRPr="00B06A1F">
        <w:rPr>
          <w:rFonts w:ascii="Arial" w:eastAsia="Arial" w:hAnsi="Arial" w:cs="Arial"/>
          <w:sz w:val="22"/>
          <w:szCs w:val="22"/>
        </w:rPr>
        <w:t xml:space="preserve">Itua, I., Wetzlmair-Kephart, L.C., Greaves, P.J. </w:t>
      </w:r>
      <w:r w:rsidRPr="00B06A1F">
        <w:rPr>
          <w:rFonts w:ascii="Arial" w:eastAsia="Arial" w:hAnsi="Arial" w:cs="Arial"/>
          <w:i/>
          <w:iCs/>
          <w:sz w:val="22"/>
          <w:szCs w:val="22"/>
        </w:rPr>
        <w:t>et al.</w:t>
      </w:r>
      <w:r w:rsidRPr="00B06A1F">
        <w:rPr>
          <w:rFonts w:ascii="Arial" w:eastAsia="Arial" w:hAnsi="Arial" w:cs="Arial"/>
          <w:sz w:val="22"/>
          <w:szCs w:val="22"/>
        </w:rPr>
        <w:t xml:space="preserve"> (2025) ‘The role of interprofessional collaboration for social prescribing: a systematic review’, </w:t>
      </w:r>
      <w:r w:rsidRPr="00B06A1F">
        <w:rPr>
          <w:rFonts w:ascii="Arial" w:eastAsia="Arial" w:hAnsi="Arial" w:cs="Arial"/>
          <w:i/>
          <w:iCs/>
          <w:sz w:val="22"/>
          <w:szCs w:val="22"/>
        </w:rPr>
        <w:t>Journal of Public Health</w:t>
      </w:r>
      <w:r w:rsidRPr="00B06A1F">
        <w:rPr>
          <w:rFonts w:ascii="Arial" w:hAnsi="Arial" w:cs="Arial"/>
          <w:sz w:val="22"/>
          <w:szCs w:val="22"/>
        </w:rPr>
        <w:t>, 34, pp. 1449–1468. doi: 10.1007/s10389-025-02417-0.</w:t>
      </w:r>
    </w:p>
    <w:p w14:paraId="71270FF9" w14:textId="148E8161" w:rsidR="00E46AF2" w:rsidRPr="00B06A1F" w:rsidRDefault="00E46AF2" w:rsidP="00B06A1F">
      <w:pPr>
        <w:spacing w:after="140" w:line="360" w:lineRule="auto"/>
        <w:ind w:left="720" w:hanging="720"/>
        <w:jc w:val="both"/>
        <w:rPr>
          <w:rFonts w:ascii="Arial" w:hAnsi="Arial" w:cs="Arial"/>
          <w:sz w:val="22"/>
          <w:szCs w:val="22"/>
        </w:rPr>
      </w:pPr>
      <w:r w:rsidRPr="00B06A1F">
        <w:rPr>
          <w:rFonts w:ascii="Arial" w:eastAsia="Arial" w:hAnsi="Arial" w:cs="Arial"/>
          <w:sz w:val="22"/>
          <w:szCs w:val="22"/>
        </w:rPr>
        <w:t>McCance, T. and McCormack, B. (2025) ‘The Person-</w:t>
      </w:r>
      <w:r w:rsidR="00E34D01" w:rsidRPr="00B06A1F">
        <w:rPr>
          <w:rFonts w:ascii="Arial" w:eastAsia="Arial" w:hAnsi="Arial" w:cs="Arial"/>
          <w:sz w:val="22"/>
          <w:szCs w:val="22"/>
        </w:rPr>
        <w:t>centered</w:t>
      </w:r>
      <w:r w:rsidRPr="00B06A1F">
        <w:rPr>
          <w:rFonts w:ascii="Arial" w:eastAsia="Arial" w:hAnsi="Arial" w:cs="Arial"/>
          <w:sz w:val="22"/>
          <w:szCs w:val="22"/>
        </w:rPr>
        <w:t xml:space="preserve"> Nursing Framework: a mid-range theory for nursing practice’, </w:t>
      </w:r>
      <w:r w:rsidRPr="00B06A1F">
        <w:rPr>
          <w:rFonts w:ascii="Arial" w:eastAsia="Arial" w:hAnsi="Arial" w:cs="Arial"/>
          <w:i/>
          <w:iCs/>
          <w:sz w:val="22"/>
          <w:szCs w:val="22"/>
        </w:rPr>
        <w:t>Journal of Research in Nursing</w:t>
      </w:r>
      <w:r w:rsidRPr="00B06A1F">
        <w:rPr>
          <w:rFonts w:ascii="Arial" w:hAnsi="Arial" w:cs="Arial"/>
          <w:sz w:val="22"/>
          <w:szCs w:val="22"/>
        </w:rPr>
        <w:t>, 30(1), pp. 47–60. doi: 10.1177/17449871241281428.</w:t>
      </w:r>
    </w:p>
    <w:p w14:paraId="029CABC3" w14:textId="77777777" w:rsidR="00E46AF2" w:rsidRPr="00B06A1F" w:rsidRDefault="00E46AF2" w:rsidP="00B06A1F">
      <w:pPr>
        <w:spacing w:after="140" w:line="360" w:lineRule="auto"/>
        <w:ind w:left="720" w:hanging="720"/>
        <w:jc w:val="both"/>
        <w:rPr>
          <w:rFonts w:ascii="Arial" w:hAnsi="Arial" w:cs="Arial"/>
          <w:sz w:val="22"/>
          <w:szCs w:val="22"/>
        </w:rPr>
      </w:pPr>
      <w:r w:rsidRPr="00B06A1F">
        <w:rPr>
          <w:rFonts w:ascii="Arial" w:eastAsia="Arial" w:hAnsi="Arial" w:cs="Arial"/>
          <w:sz w:val="22"/>
          <w:szCs w:val="22"/>
        </w:rPr>
        <w:t xml:space="preserve">McCormack, B. (2026) ‘The evolution of the person in care: autonomy, relationships and nursing practice’, </w:t>
      </w:r>
      <w:r w:rsidRPr="00B06A1F">
        <w:rPr>
          <w:rFonts w:ascii="Arial" w:eastAsia="Arial" w:hAnsi="Arial" w:cs="Arial"/>
          <w:i/>
          <w:iCs/>
          <w:sz w:val="22"/>
          <w:szCs w:val="22"/>
        </w:rPr>
        <w:t>Journal of Advanced Nursing</w:t>
      </w:r>
      <w:r w:rsidRPr="00B06A1F">
        <w:rPr>
          <w:rFonts w:ascii="Arial" w:hAnsi="Arial" w:cs="Arial"/>
          <w:sz w:val="22"/>
          <w:szCs w:val="22"/>
        </w:rPr>
        <w:t>. doi: 10.1111/jan.70438.</w:t>
      </w:r>
    </w:p>
    <w:p w14:paraId="4F760552" w14:textId="56E1400D" w:rsidR="00E46AF2" w:rsidRPr="00B06A1F" w:rsidRDefault="00E46AF2" w:rsidP="00B06A1F">
      <w:pPr>
        <w:spacing w:after="140" w:line="360" w:lineRule="auto"/>
        <w:ind w:left="720" w:hanging="720"/>
        <w:jc w:val="both"/>
        <w:rPr>
          <w:rFonts w:ascii="Arial" w:hAnsi="Arial" w:cs="Arial"/>
          <w:sz w:val="22"/>
          <w:szCs w:val="22"/>
        </w:rPr>
      </w:pPr>
      <w:r w:rsidRPr="00B06A1F">
        <w:rPr>
          <w:rFonts w:ascii="Arial" w:eastAsia="Arial" w:hAnsi="Arial" w:cs="Arial"/>
          <w:sz w:val="22"/>
          <w:szCs w:val="22"/>
        </w:rPr>
        <w:t>Nkhoma, K.B., Cook, A., Giusti, A., Farrant, L., Petrus, R., Petersen, I., Gwyther, L., Venables, E. and Harding, R. (2022) ‘A systematic review of impact of person-</w:t>
      </w:r>
      <w:r w:rsidR="00E34D01" w:rsidRPr="00B06A1F">
        <w:rPr>
          <w:rFonts w:ascii="Arial" w:eastAsia="Arial" w:hAnsi="Arial" w:cs="Arial"/>
          <w:sz w:val="22"/>
          <w:szCs w:val="22"/>
        </w:rPr>
        <w:t>centered</w:t>
      </w:r>
      <w:r w:rsidRPr="00B06A1F">
        <w:rPr>
          <w:rFonts w:ascii="Arial" w:eastAsia="Arial" w:hAnsi="Arial" w:cs="Arial"/>
          <w:sz w:val="22"/>
          <w:szCs w:val="22"/>
        </w:rPr>
        <w:t xml:space="preserve"> interventions for serious physical illness in terms of outcomes and costs’, </w:t>
      </w:r>
      <w:r w:rsidRPr="00B06A1F">
        <w:rPr>
          <w:rFonts w:ascii="Arial" w:eastAsia="Arial" w:hAnsi="Arial" w:cs="Arial"/>
          <w:i/>
          <w:iCs/>
          <w:sz w:val="22"/>
          <w:szCs w:val="22"/>
        </w:rPr>
        <w:t>BMJ Open</w:t>
      </w:r>
      <w:r w:rsidRPr="00B06A1F">
        <w:rPr>
          <w:rFonts w:ascii="Arial" w:hAnsi="Arial" w:cs="Arial"/>
          <w:sz w:val="22"/>
          <w:szCs w:val="22"/>
        </w:rPr>
        <w:t>, 12, e054386. doi: 10.1136/bmjopen-2021-054386.</w:t>
      </w:r>
    </w:p>
    <w:p w14:paraId="7DB6FE71" w14:textId="77777777" w:rsidR="00E46AF2" w:rsidRPr="00B06A1F" w:rsidRDefault="00E46AF2" w:rsidP="00B06A1F">
      <w:pPr>
        <w:spacing w:after="140" w:line="360" w:lineRule="auto"/>
        <w:ind w:left="720" w:hanging="720"/>
        <w:jc w:val="both"/>
        <w:rPr>
          <w:rFonts w:ascii="Arial" w:hAnsi="Arial" w:cs="Arial"/>
          <w:sz w:val="22"/>
          <w:szCs w:val="22"/>
        </w:rPr>
      </w:pPr>
      <w:r w:rsidRPr="00B06A1F">
        <w:rPr>
          <w:rFonts w:ascii="Arial" w:eastAsia="Arial" w:hAnsi="Arial" w:cs="Arial"/>
          <w:sz w:val="22"/>
          <w:szCs w:val="22"/>
        </w:rPr>
        <w:t xml:space="preserve">Owen, T., Kennedy, J. and Nieman, S. (2023) ‘Empowerment of care home staff through effective collaboration with healthcare’, </w:t>
      </w:r>
      <w:r w:rsidRPr="00B06A1F">
        <w:rPr>
          <w:rFonts w:ascii="Arial" w:eastAsia="Arial" w:hAnsi="Arial" w:cs="Arial"/>
          <w:i/>
          <w:iCs/>
          <w:sz w:val="22"/>
          <w:szCs w:val="22"/>
        </w:rPr>
        <w:t>Journal of Interprofessional Care</w:t>
      </w:r>
      <w:r w:rsidRPr="00B06A1F">
        <w:rPr>
          <w:rFonts w:ascii="Arial" w:hAnsi="Arial" w:cs="Arial"/>
          <w:sz w:val="22"/>
          <w:szCs w:val="22"/>
        </w:rPr>
        <w:t>, 37(1), pp. 109–117. doi: 10.1080/13561820.2022.2047015.</w:t>
      </w:r>
    </w:p>
    <w:p w14:paraId="704C3C38" w14:textId="77777777" w:rsidR="00E46AF2" w:rsidRPr="00B06A1F" w:rsidRDefault="00E46AF2" w:rsidP="00B06A1F">
      <w:pPr>
        <w:spacing w:after="140" w:line="360" w:lineRule="auto"/>
        <w:ind w:left="720" w:hanging="720"/>
        <w:jc w:val="both"/>
        <w:rPr>
          <w:rFonts w:ascii="Arial" w:hAnsi="Arial" w:cs="Arial"/>
          <w:sz w:val="22"/>
          <w:szCs w:val="22"/>
        </w:rPr>
      </w:pPr>
      <w:r w:rsidRPr="00B06A1F">
        <w:rPr>
          <w:rFonts w:ascii="Arial" w:eastAsia="Arial" w:hAnsi="Arial" w:cs="Arial"/>
          <w:sz w:val="22"/>
          <w:szCs w:val="22"/>
        </w:rPr>
        <w:t xml:space="preserve">Tomaselli, G., Buttigieg, S.C., Rosano, A., Cassar, M. and Grima, G. (2020) ‘Person-centered care from a relational ethics perspective for the delivery of high quality and safe healthcare: a scoping review’, </w:t>
      </w:r>
      <w:r w:rsidRPr="00B06A1F">
        <w:rPr>
          <w:rFonts w:ascii="Arial" w:eastAsia="Arial" w:hAnsi="Arial" w:cs="Arial"/>
          <w:i/>
          <w:iCs/>
          <w:sz w:val="22"/>
          <w:szCs w:val="22"/>
        </w:rPr>
        <w:t>Frontiers in Public Health</w:t>
      </w:r>
      <w:r w:rsidRPr="00B06A1F">
        <w:rPr>
          <w:rFonts w:ascii="Arial" w:hAnsi="Arial" w:cs="Arial"/>
          <w:sz w:val="22"/>
          <w:szCs w:val="22"/>
        </w:rPr>
        <w:t>, 8, 44. doi: 10.3389/fpubh.2020.00044.</w:t>
      </w:r>
    </w:p>
    <w:p w14:paraId="37AF2442" w14:textId="77777777" w:rsidR="00E46AF2" w:rsidRPr="00B06A1F" w:rsidRDefault="00E46AF2" w:rsidP="00B06A1F">
      <w:pPr>
        <w:spacing w:after="140" w:line="360" w:lineRule="auto"/>
        <w:ind w:left="720" w:hanging="720"/>
        <w:jc w:val="both"/>
        <w:rPr>
          <w:rFonts w:ascii="Arial" w:hAnsi="Arial" w:cs="Arial"/>
          <w:sz w:val="22"/>
          <w:szCs w:val="22"/>
        </w:rPr>
      </w:pPr>
      <w:r w:rsidRPr="00B06A1F">
        <w:rPr>
          <w:rFonts w:ascii="Arial" w:eastAsia="Arial" w:hAnsi="Arial" w:cs="Arial"/>
          <w:sz w:val="22"/>
          <w:szCs w:val="22"/>
        </w:rPr>
        <w:t xml:space="preserve">Warmoth, K., Aylward, A. and Goodman, C. (2025) ‘Care homes and primary care in England working together: a multi-method qualitative study’, </w:t>
      </w:r>
      <w:r w:rsidRPr="00B06A1F">
        <w:rPr>
          <w:rFonts w:ascii="Arial" w:eastAsia="Arial" w:hAnsi="Arial" w:cs="Arial"/>
          <w:i/>
          <w:iCs/>
          <w:sz w:val="22"/>
          <w:szCs w:val="22"/>
        </w:rPr>
        <w:t>Journal of Health Services Research &amp; Policy</w:t>
      </w:r>
      <w:r w:rsidRPr="00B06A1F">
        <w:rPr>
          <w:rFonts w:ascii="Arial" w:hAnsi="Arial" w:cs="Arial"/>
          <w:sz w:val="22"/>
          <w:szCs w:val="22"/>
        </w:rPr>
        <w:t>, 30(2), pp. 127–135. doi: 10.1177/13558196241306607.</w:t>
      </w:r>
    </w:p>
    <w:p w14:paraId="4A776111" w14:textId="77777777" w:rsidR="00E46AF2" w:rsidRPr="00B06A1F" w:rsidRDefault="00E46AF2" w:rsidP="00B06A1F">
      <w:pPr>
        <w:spacing w:line="360" w:lineRule="auto"/>
        <w:ind w:firstLine="720"/>
        <w:jc w:val="both"/>
        <w:rPr>
          <w:rFonts w:ascii="Arial" w:hAnsi="Arial" w:cs="Arial"/>
          <w:sz w:val="22"/>
          <w:szCs w:val="22"/>
        </w:rPr>
      </w:pPr>
    </w:p>
    <w:sectPr w:rsidR="00E46AF2" w:rsidRPr="00B06A1F" w:rsidSect="00F947C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EA159" w14:textId="77777777" w:rsidR="002C5E91" w:rsidRDefault="002C5E91" w:rsidP="00F947C3">
      <w:pPr>
        <w:spacing w:after="0" w:line="240" w:lineRule="auto"/>
      </w:pPr>
      <w:r>
        <w:separator/>
      </w:r>
    </w:p>
  </w:endnote>
  <w:endnote w:type="continuationSeparator" w:id="0">
    <w:p w14:paraId="4F57D4B4" w14:textId="77777777" w:rsidR="002C5E91" w:rsidRDefault="002C5E91" w:rsidP="00F94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C08BE" w14:textId="77777777" w:rsidR="002C5E91" w:rsidRDefault="002C5E91" w:rsidP="00F947C3">
      <w:pPr>
        <w:spacing w:after="0" w:line="240" w:lineRule="auto"/>
      </w:pPr>
      <w:r>
        <w:separator/>
      </w:r>
    </w:p>
  </w:footnote>
  <w:footnote w:type="continuationSeparator" w:id="0">
    <w:p w14:paraId="3D05060A" w14:textId="77777777" w:rsidR="002C5E91" w:rsidRDefault="002C5E91" w:rsidP="00F947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1793442"/>
      <w:docPartObj>
        <w:docPartGallery w:val="Page Numbers (Top of Page)"/>
        <w:docPartUnique/>
      </w:docPartObj>
    </w:sdtPr>
    <w:sdtEndPr>
      <w:rPr>
        <w:noProof/>
      </w:rPr>
    </w:sdtEndPr>
    <w:sdtContent>
      <w:p w14:paraId="4A2B58AB" w14:textId="12585996" w:rsidR="00F947C3" w:rsidRDefault="00F947C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241F942" w14:textId="77777777" w:rsidR="00F947C3" w:rsidRDefault="00F94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1F8"/>
    <w:rsid w:val="0003026D"/>
    <w:rsid w:val="000F55B7"/>
    <w:rsid w:val="00177D46"/>
    <w:rsid w:val="002C5E91"/>
    <w:rsid w:val="002E4593"/>
    <w:rsid w:val="003C2E21"/>
    <w:rsid w:val="00424719"/>
    <w:rsid w:val="00595C4E"/>
    <w:rsid w:val="0061146C"/>
    <w:rsid w:val="006A014E"/>
    <w:rsid w:val="007131F8"/>
    <w:rsid w:val="008B0C94"/>
    <w:rsid w:val="00A06B8C"/>
    <w:rsid w:val="00B06A1F"/>
    <w:rsid w:val="00D55C53"/>
    <w:rsid w:val="00E34D01"/>
    <w:rsid w:val="00E46AF2"/>
    <w:rsid w:val="00F947C3"/>
    <w:rsid w:val="00F97650"/>
    <w:rsid w:val="00FA1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A5FC8"/>
  <w15:chartTrackingRefBased/>
  <w15:docId w15:val="{B7B5AA83-74BB-4851-8BB1-E1A4F51D2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6AF2"/>
    <w:pPr>
      <w:keepNext/>
      <w:keepLines/>
      <w:spacing w:before="360" w:after="80"/>
      <w:outlineLvl w:val="0"/>
    </w:pPr>
    <w:rPr>
      <w:rFonts w:ascii="Times New Roman" w:eastAsiaTheme="majorEastAsia" w:hAnsi="Times New Roman" w:cstheme="majorBidi"/>
      <w:b/>
      <w:szCs w:val="40"/>
    </w:rPr>
  </w:style>
  <w:style w:type="paragraph" w:styleId="Heading2">
    <w:name w:val="heading 2"/>
    <w:basedOn w:val="Normal"/>
    <w:next w:val="Normal"/>
    <w:link w:val="Heading2Char"/>
    <w:uiPriority w:val="9"/>
    <w:unhideWhenUsed/>
    <w:qFormat/>
    <w:rsid w:val="00A06B8C"/>
    <w:pPr>
      <w:keepNext/>
      <w:keepLines/>
      <w:spacing w:before="160" w:after="80"/>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unhideWhenUsed/>
    <w:qFormat/>
    <w:rsid w:val="00A06B8C"/>
    <w:pPr>
      <w:keepNext/>
      <w:keepLines/>
      <w:spacing w:before="160" w:after="80"/>
      <w:outlineLvl w:val="2"/>
    </w:pPr>
    <w:rPr>
      <w:rFonts w:ascii="Times New Roman" w:eastAsiaTheme="majorEastAsia" w:hAnsi="Times New Roman" w:cstheme="majorBidi"/>
      <w:b/>
      <w:szCs w:val="28"/>
    </w:rPr>
  </w:style>
  <w:style w:type="paragraph" w:styleId="Heading4">
    <w:name w:val="heading 4"/>
    <w:basedOn w:val="Normal"/>
    <w:next w:val="Normal"/>
    <w:link w:val="Heading4Char"/>
    <w:uiPriority w:val="9"/>
    <w:semiHidden/>
    <w:unhideWhenUsed/>
    <w:qFormat/>
    <w:rsid w:val="007131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131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131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31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31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31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6AF2"/>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A06B8C"/>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rsid w:val="00A06B8C"/>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7131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31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31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31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31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31F8"/>
    <w:rPr>
      <w:rFonts w:eastAsiaTheme="majorEastAsia" w:cstheme="majorBidi"/>
      <w:color w:val="272727" w:themeColor="text1" w:themeTint="D8"/>
    </w:rPr>
  </w:style>
  <w:style w:type="paragraph" w:styleId="Title">
    <w:name w:val="Title"/>
    <w:basedOn w:val="Normal"/>
    <w:next w:val="Normal"/>
    <w:link w:val="TitleChar"/>
    <w:uiPriority w:val="10"/>
    <w:qFormat/>
    <w:rsid w:val="007131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31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31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31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31F8"/>
    <w:pPr>
      <w:spacing w:before="160"/>
      <w:jc w:val="center"/>
    </w:pPr>
    <w:rPr>
      <w:i/>
      <w:iCs/>
      <w:color w:val="404040" w:themeColor="text1" w:themeTint="BF"/>
    </w:rPr>
  </w:style>
  <w:style w:type="character" w:customStyle="1" w:styleId="QuoteChar">
    <w:name w:val="Quote Char"/>
    <w:basedOn w:val="DefaultParagraphFont"/>
    <w:link w:val="Quote"/>
    <w:uiPriority w:val="29"/>
    <w:rsid w:val="007131F8"/>
    <w:rPr>
      <w:i/>
      <w:iCs/>
      <w:color w:val="404040" w:themeColor="text1" w:themeTint="BF"/>
    </w:rPr>
  </w:style>
  <w:style w:type="paragraph" w:styleId="ListParagraph">
    <w:name w:val="List Paragraph"/>
    <w:basedOn w:val="Normal"/>
    <w:uiPriority w:val="34"/>
    <w:qFormat/>
    <w:rsid w:val="007131F8"/>
    <w:pPr>
      <w:ind w:left="720"/>
      <w:contextualSpacing/>
    </w:pPr>
  </w:style>
  <w:style w:type="character" w:styleId="IntenseEmphasis">
    <w:name w:val="Intense Emphasis"/>
    <w:basedOn w:val="DefaultParagraphFont"/>
    <w:uiPriority w:val="21"/>
    <w:qFormat/>
    <w:rsid w:val="007131F8"/>
    <w:rPr>
      <w:i/>
      <w:iCs/>
      <w:color w:val="2F5496" w:themeColor="accent1" w:themeShade="BF"/>
    </w:rPr>
  </w:style>
  <w:style w:type="paragraph" w:styleId="IntenseQuote">
    <w:name w:val="Intense Quote"/>
    <w:basedOn w:val="Normal"/>
    <w:next w:val="Normal"/>
    <w:link w:val="IntenseQuoteChar"/>
    <w:uiPriority w:val="30"/>
    <w:qFormat/>
    <w:rsid w:val="007131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31F8"/>
    <w:rPr>
      <w:i/>
      <w:iCs/>
      <w:color w:val="2F5496" w:themeColor="accent1" w:themeShade="BF"/>
    </w:rPr>
  </w:style>
  <w:style w:type="character" w:styleId="IntenseReference">
    <w:name w:val="Intense Reference"/>
    <w:basedOn w:val="DefaultParagraphFont"/>
    <w:uiPriority w:val="32"/>
    <w:qFormat/>
    <w:rsid w:val="007131F8"/>
    <w:rPr>
      <w:b/>
      <w:bCs/>
      <w:smallCaps/>
      <w:color w:val="2F5496" w:themeColor="accent1" w:themeShade="BF"/>
      <w:spacing w:val="5"/>
    </w:rPr>
  </w:style>
  <w:style w:type="paragraph" w:styleId="TOCHeading">
    <w:name w:val="TOC Heading"/>
    <w:basedOn w:val="Heading1"/>
    <w:next w:val="Normal"/>
    <w:uiPriority w:val="39"/>
    <w:unhideWhenUsed/>
    <w:qFormat/>
    <w:rsid w:val="00E46AF2"/>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E46AF2"/>
    <w:pPr>
      <w:spacing w:after="100"/>
    </w:pPr>
  </w:style>
  <w:style w:type="character" w:styleId="Hyperlink">
    <w:name w:val="Hyperlink"/>
    <w:basedOn w:val="DefaultParagraphFont"/>
    <w:uiPriority w:val="99"/>
    <w:unhideWhenUsed/>
    <w:rsid w:val="00E46AF2"/>
    <w:rPr>
      <w:color w:val="0563C1" w:themeColor="hyperlink"/>
      <w:u w:val="single"/>
    </w:rPr>
  </w:style>
  <w:style w:type="paragraph" w:styleId="Header">
    <w:name w:val="header"/>
    <w:basedOn w:val="Normal"/>
    <w:link w:val="HeaderChar"/>
    <w:uiPriority w:val="99"/>
    <w:unhideWhenUsed/>
    <w:rsid w:val="00F947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47C3"/>
  </w:style>
  <w:style w:type="paragraph" w:styleId="Footer">
    <w:name w:val="footer"/>
    <w:basedOn w:val="Normal"/>
    <w:link w:val="FooterChar"/>
    <w:uiPriority w:val="99"/>
    <w:unhideWhenUsed/>
    <w:rsid w:val="00F947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47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79991-95F0-4E39-8319-9AE7A8714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3074</Words>
  <Characters>17522</Characters>
  <Application>Microsoft Office Word</Application>
  <DocSecurity>0</DocSecurity>
  <Lines>146</Lines>
  <Paragraphs>41</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Introduction </vt:lpstr>
      <vt:lpstr>Definition of Person-Centred Care: Benefits and Limitations</vt:lpstr>
      <vt:lpstr>Theoretical Underpinning of Person-Centred Care</vt:lpstr>
      <vt:lpstr>Ethical Fundamentals of Health and Social Care</vt:lpstr>
      <vt:lpstr>5. Evaluation of Partnership Working in Health and Social Care</vt:lpstr>
      <vt:lpstr>Partnership Working in Care Homes</vt:lpstr>
      <vt:lpstr>Policy and Legislation Background</vt:lpstr>
      <vt:lpstr>Recommendations for future development</vt:lpstr>
      <vt:lpstr>Conclusion</vt:lpstr>
    </vt:vector>
  </TitlesOfParts>
  <Company/>
  <LinksUpToDate>false</LinksUpToDate>
  <CharactersWithSpaces>20555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OCHIENG'' - BBTEC202171890</dc:creator>
  <cp:keywords/>
  <dc:description/>
  <cp:lastModifiedBy>Sabia Alam (2507875)</cp:lastModifiedBy>
  <cp:revision>4</cp:revision>
  <dcterms:created xsi:type="dcterms:W3CDTF">2026-10-15T10:12:00Z</dcterms:created>
  <dcterms:modified xsi:type="dcterms:W3CDTF">2026-10-17T14:47:00Z</dcterms:modified>
</cp:coreProperties>
</file>