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3FF5A" w14:textId="77777777" w:rsidR="0017518F" w:rsidRDefault="0017518F">
      <w:pPr>
        <w:spacing w:before="2400"/>
      </w:pPr>
    </w:p>
    <w:p w14:paraId="5807F94F" w14:textId="77777777" w:rsidR="0017518F" w:rsidRDefault="00104A4A">
      <w:pPr>
        <w:spacing w:after="120"/>
        <w:jc w:val="center"/>
      </w:pPr>
      <w:r>
        <w:rPr>
          <w:b/>
          <w:bCs/>
          <w:sz w:val="36"/>
          <w:szCs w:val="36"/>
        </w:rPr>
        <w:t>BMHP5019</w:t>
      </w:r>
    </w:p>
    <w:p w14:paraId="44F42ED4" w14:textId="77777777" w:rsidR="0017518F" w:rsidRDefault="00104A4A">
      <w:pPr>
        <w:spacing w:after="240"/>
        <w:jc w:val="center"/>
      </w:pPr>
      <w:r>
        <w:rPr>
          <w:b/>
          <w:bCs/>
          <w:sz w:val="28"/>
          <w:szCs w:val="28"/>
        </w:rPr>
        <w:t>Introduction to Independent Research Skills</w:t>
      </w:r>
    </w:p>
    <w:p w14:paraId="66B560C4" w14:textId="77777777" w:rsidR="0017518F" w:rsidRDefault="00104A4A">
      <w:pPr>
        <w:spacing w:after="360"/>
        <w:jc w:val="center"/>
      </w:pPr>
      <w:r>
        <w:rPr>
          <w:sz w:val="24"/>
          <w:szCs w:val="24"/>
        </w:rPr>
        <w:t>Component 2: Research Report</w:t>
      </w:r>
    </w:p>
    <w:p w14:paraId="574E32AB" w14:textId="77777777" w:rsidR="0017518F" w:rsidRDefault="00104A4A">
      <w:pPr>
        <w:spacing w:after="500" w:line="360" w:lineRule="auto"/>
        <w:jc w:val="center"/>
      </w:pPr>
      <w:r>
        <w:rPr>
          <w:i/>
          <w:iCs/>
        </w:rPr>
        <w:t>A Scoping Review of Digital Text Messaging Interventions Supporting Medication Adherence in People Living with Type 2 Diabetes in the United Kingdom</w:t>
      </w:r>
    </w:p>
    <w:p w14:paraId="6DFAA070" w14:textId="493257D5" w:rsidR="0017518F" w:rsidRDefault="00104A4A">
      <w:pPr>
        <w:spacing w:after="80"/>
        <w:jc w:val="center"/>
      </w:pPr>
      <w:r>
        <w:t>Student Name: Andreea Anca</w:t>
      </w:r>
    </w:p>
    <w:p w14:paraId="42E9CC1E" w14:textId="36334DF7" w:rsidR="0017518F" w:rsidRDefault="00104A4A">
      <w:pPr>
        <w:spacing w:after="80"/>
        <w:jc w:val="center"/>
      </w:pPr>
      <w:r>
        <w:t>Student ID: 2327259</w:t>
      </w:r>
    </w:p>
    <w:p w14:paraId="1E48763D" w14:textId="77777777" w:rsidR="0017518F" w:rsidRDefault="00104A4A">
      <w:pPr>
        <w:spacing w:after="80"/>
        <w:jc w:val="center"/>
      </w:pPr>
      <w:r>
        <w:t>Programme: BSc (Hons) Health and Social Care</w:t>
      </w:r>
    </w:p>
    <w:p w14:paraId="5CECC5BE" w14:textId="77777777" w:rsidR="0017518F" w:rsidRDefault="00104A4A">
      <w:pPr>
        <w:spacing w:after="80"/>
        <w:jc w:val="center"/>
      </w:pPr>
      <w:r>
        <w:t>Module Code: BMHP5019</w:t>
      </w:r>
    </w:p>
    <w:p w14:paraId="026B0416" w14:textId="77777777" w:rsidR="0017518F" w:rsidRDefault="00104A4A">
      <w:pPr>
        <w:spacing w:after="80"/>
        <w:jc w:val="center"/>
      </w:pPr>
      <w:r>
        <w:t>Module Title: Introduction to Independent Research Skills</w:t>
      </w:r>
    </w:p>
    <w:p w14:paraId="5E886F58" w14:textId="2CAB4F0D" w:rsidR="0017518F" w:rsidRDefault="00104A4A">
      <w:pPr>
        <w:spacing w:after="80"/>
        <w:jc w:val="center"/>
      </w:pPr>
      <w:r>
        <w:t xml:space="preserve">Lecturer: Dr Eleni </w:t>
      </w:r>
      <w:r w:rsidR="00FD5061">
        <w:t>Koutsygeorgou-Andreou</w:t>
      </w:r>
      <w:r>
        <w:t xml:space="preserve"> / Bianca Sanfilippo</w:t>
      </w:r>
    </w:p>
    <w:p w14:paraId="33247B62" w14:textId="77777777" w:rsidR="0017518F" w:rsidRDefault="00104A4A">
      <w:pPr>
        <w:spacing w:after="80"/>
        <w:jc w:val="center"/>
      </w:pPr>
      <w:r>
        <w:t>Submission Date: 24th April 2026</w:t>
      </w:r>
    </w:p>
    <w:p w14:paraId="199E251D" w14:textId="77777777" w:rsidR="0017518F" w:rsidRDefault="00104A4A">
      <w:pPr>
        <w:spacing w:before="400" w:after="80"/>
        <w:jc w:val="center"/>
      </w:pPr>
      <w:r>
        <w:rPr>
          <w:i/>
          <w:iCs/>
          <w:sz w:val="20"/>
          <w:szCs w:val="20"/>
        </w:rPr>
        <w:t>Word Count: 3,600 (main text, excluding cover, contents, abstract, table, and references)</w:t>
      </w:r>
    </w:p>
    <w:p w14:paraId="63027A16" w14:textId="77777777" w:rsidR="0017518F" w:rsidRDefault="00104A4A">
      <w:r>
        <w:br w:type="page"/>
      </w:r>
    </w:p>
    <w:p w14:paraId="711292CD" w14:textId="77777777" w:rsidR="0017518F" w:rsidRDefault="00104A4A">
      <w:pPr>
        <w:pStyle w:val="Titlu1"/>
        <w:spacing w:line="360" w:lineRule="auto"/>
      </w:pPr>
      <w:r>
        <w:lastRenderedPageBreak/>
        <w:t>Table of Contents</w:t>
      </w:r>
    </w:p>
    <w:p w14:paraId="7096C97E" w14:textId="77777777" w:rsidR="0017518F" w:rsidRDefault="00104A4A">
      <w:pPr>
        <w:spacing w:after="120" w:line="360" w:lineRule="auto"/>
        <w:jc w:val="both"/>
      </w:pPr>
      <w:r>
        <w:t>Abstract</w:t>
      </w:r>
    </w:p>
    <w:p w14:paraId="63BCCCE6" w14:textId="77777777" w:rsidR="0017518F" w:rsidRDefault="00104A4A">
      <w:pPr>
        <w:spacing w:after="120" w:line="360" w:lineRule="auto"/>
        <w:jc w:val="both"/>
      </w:pPr>
      <w:r>
        <w:t>1. Introduction</w:t>
      </w:r>
    </w:p>
    <w:p w14:paraId="5D0D8392" w14:textId="77777777" w:rsidR="0017518F" w:rsidRDefault="00104A4A">
      <w:pPr>
        <w:spacing w:after="120" w:line="360" w:lineRule="auto"/>
        <w:jc w:val="both"/>
      </w:pPr>
      <w:r>
        <w:t xml:space="preserve">    1.1 Definition of Main Concepts</w:t>
      </w:r>
    </w:p>
    <w:p w14:paraId="6A7D6715" w14:textId="77777777" w:rsidR="0017518F" w:rsidRDefault="00104A4A">
      <w:pPr>
        <w:spacing w:after="120" w:line="360" w:lineRule="auto"/>
        <w:jc w:val="both"/>
      </w:pPr>
      <w:r>
        <w:t xml:space="preserve">    1.2 Rationale</w:t>
      </w:r>
    </w:p>
    <w:p w14:paraId="67E871CF" w14:textId="77777777" w:rsidR="0017518F" w:rsidRDefault="00104A4A">
      <w:pPr>
        <w:spacing w:after="120" w:line="360" w:lineRule="auto"/>
        <w:jc w:val="both"/>
      </w:pPr>
      <w:r>
        <w:t xml:space="preserve">    1.3 Review Question</w:t>
      </w:r>
    </w:p>
    <w:p w14:paraId="5B630297" w14:textId="77777777" w:rsidR="0017518F" w:rsidRDefault="00104A4A">
      <w:pPr>
        <w:spacing w:after="120" w:line="360" w:lineRule="auto"/>
        <w:jc w:val="both"/>
      </w:pPr>
      <w:r>
        <w:t xml:space="preserve">    1.4 Objectives</w:t>
      </w:r>
    </w:p>
    <w:p w14:paraId="00674662" w14:textId="77777777" w:rsidR="0017518F" w:rsidRDefault="00104A4A">
      <w:pPr>
        <w:spacing w:after="120" w:line="360" w:lineRule="auto"/>
        <w:jc w:val="both"/>
      </w:pPr>
      <w:r>
        <w:t>2. Background</w:t>
      </w:r>
    </w:p>
    <w:p w14:paraId="1503C3D1" w14:textId="77777777" w:rsidR="0017518F" w:rsidRDefault="00104A4A">
      <w:pPr>
        <w:spacing w:after="120" w:line="360" w:lineRule="auto"/>
        <w:jc w:val="both"/>
      </w:pPr>
      <w:r>
        <w:t>3. Methods</w:t>
      </w:r>
    </w:p>
    <w:p w14:paraId="4C7BF4D4" w14:textId="77777777" w:rsidR="0017518F" w:rsidRDefault="00104A4A">
      <w:pPr>
        <w:spacing w:after="120" w:line="360" w:lineRule="auto"/>
        <w:jc w:val="both"/>
      </w:pPr>
      <w:r>
        <w:t xml:space="preserve">    3.1 Search Strategy and Data Collection</w:t>
      </w:r>
    </w:p>
    <w:p w14:paraId="4A6C514C" w14:textId="77777777" w:rsidR="0017518F" w:rsidRDefault="00104A4A">
      <w:pPr>
        <w:spacing w:after="120" w:line="360" w:lineRule="auto"/>
        <w:jc w:val="both"/>
      </w:pPr>
      <w:r>
        <w:t xml:space="preserve">    3.2 Inclusion and Exclusion Criteria</w:t>
      </w:r>
    </w:p>
    <w:p w14:paraId="3877AC53" w14:textId="77777777" w:rsidR="0017518F" w:rsidRDefault="00104A4A">
      <w:pPr>
        <w:spacing w:after="120" w:line="360" w:lineRule="auto"/>
        <w:jc w:val="both"/>
      </w:pPr>
      <w:r>
        <w:t xml:space="preserve">    3.3 Data Analysis</w:t>
      </w:r>
    </w:p>
    <w:p w14:paraId="621AAC37" w14:textId="77777777" w:rsidR="0017518F" w:rsidRDefault="00104A4A">
      <w:pPr>
        <w:spacing w:after="120" w:line="360" w:lineRule="auto"/>
        <w:jc w:val="both"/>
      </w:pPr>
      <w:r>
        <w:t xml:space="preserve">    3.4 Ethical Considerations</w:t>
      </w:r>
    </w:p>
    <w:p w14:paraId="344D9F6F" w14:textId="77777777" w:rsidR="0017518F" w:rsidRDefault="00104A4A">
      <w:pPr>
        <w:spacing w:after="120" w:line="360" w:lineRule="auto"/>
        <w:jc w:val="both"/>
      </w:pPr>
      <w:r>
        <w:t>4. Results</w:t>
      </w:r>
    </w:p>
    <w:p w14:paraId="20EA3CEB" w14:textId="77777777" w:rsidR="0017518F" w:rsidRDefault="00104A4A">
      <w:pPr>
        <w:spacing w:after="120" w:line="360" w:lineRule="auto"/>
        <w:jc w:val="both"/>
      </w:pPr>
      <w:r>
        <w:t xml:space="preserve">    4.1 Summary of Included Studies</w:t>
      </w:r>
    </w:p>
    <w:p w14:paraId="552FC3CF" w14:textId="77777777" w:rsidR="0017518F" w:rsidRDefault="00104A4A">
      <w:pPr>
        <w:spacing w:after="120" w:line="360" w:lineRule="auto"/>
        <w:jc w:val="both"/>
      </w:pPr>
      <w:r>
        <w:t xml:space="preserve">    4.2 Thematic Analysis</w:t>
      </w:r>
    </w:p>
    <w:p w14:paraId="2477BE22" w14:textId="77777777" w:rsidR="0017518F" w:rsidRDefault="00104A4A">
      <w:pPr>
        <w:spacing w:after="120" w:line="360" w:lineRule="auto"/>
        <w:jc w:val="both"/>
      </w:pPr>
      <w:r>
        <w:t>5. Discussion</w:t>
      </w:r>
    </w:p>
    <w:p w14:paraId="20C5E157" w14:textId="77777777" w:rsidR="0017518F" w:rsidRDefault="00104A4A">
      <w:pPr>
        <w:spacing w:after="120" w:line="360" w:lineRule="auto"/>
        <w:jc w:val="both"/>
      </w:pPr>
      <w:r>
        <w:t xml:space="preserve">    5.1 Key Findings</w:t>
      </w:r>
    </w:p>
    <w:p w14:paraId="626288EA" w14:textId="77777777" w:rsidR="0017518F" w:rsidRDefault="00104A4A">
      <w:pPr>
        <w:spacing w:after="120" w:line="360" w:lineRule="auto"/>
        <w:jc w:val="both"/>
      </w:pPr>
      <w:r>
        <w:t xml:space="preserve">    5.2 Implications for Health and Social Care</w:t>
      </w:r>
    </w:p>
    <w:p w14:paraId="792B6FB1" w14:textId="77777777" w:rsidR="0017518F" w:rsidRDefault="00104A4A">
      <w:pPr>
        <w:spacing w:after="120" w:line="360" w:lineRule="auto"/>
        <w:jc w:val="both"/>
      </w:pPr>
      <w:r>
        <w:t xml:space="preserve">    5.3 Limitations</w:t>
      </w:r>
    </w:p>
    <w:p w14:paraId="1268CEB7" w14:textId="77777777" w:rsidR="0017518F" w:rsidRDefault="00104A4A">
      <w:pPr>
        <w:spacing w:after="120" w:line="360" w:lineRule="auto"/>
        <w:jc w:val="both"/>
      </w:pPr>
      <w:r>
        <w:t>6. Conclusion and Recommendations</w:t>
      </w:r>
    </w:p>
    <w:p w14:paraId="59CF0E3B" w14:textId="77777777" w:rsidR="0017518F" w:rsidRDefault="00104A4A">
      <w:pPr>
        <w:spacing w:after="120" w:line="360" w:lineRule="auto"/>
        <w:jc w:val="both"/>
      </w:pPr>
      <w:r>
        <w:t>References</w:t>
      </w:r>
    </w:p>
    <w:p w14:paraId="7761DFC5" w14:textId="77777777" w:rsidR="0017518F" w:rsidRDefault="00104A4A">
      <w:r>
        <w:br w:type="page"/>
      </w:r>
    </w:p>
    <w:p w14:paraId="00D28FD1" w14:textId="77777777" w:rsidR="0017518F" w:rsidRDefault="00104A4A">
      <w:pPr>
        <w:pStyle w:val="Titlu1"/>
        <w:spacing w:line="360" w:lineRule="auto"/>
      </w:pPr>
      <w:r>
        <w:lastRenderedPageBreak/>
        <w:t>Abstract</w:t>
      </w:r>
    </w:p>
    <w:p w14:paraId="28E3F329" w14:textId="388D118E" w:rsidR="0017518F" w:rsidRDefault="00104A4A">
      <w:pPr>
        <w:spacing w:after="120" w:line="360" w:lineRule="auto"/>
        <w:jc w:val="both"/>
      </w:pPr>
      <w:r>
        <w:t>Type 2 diabetes (T2D) affects over five million people in the United Kingdom, and poor medication adherence increases the risk of serious long-term complications. Digital text messaging interventions have emerged as low-cost, scalable tools for supporting self-management, but the extent to which they work, for whom, and under what conditions is still being explored in the UK context. This scoping review examined four peer-reviewed studies published between 2016 and 2026 that evaluated SMS-based interventions aimed at improving medication adherence and wider self-management among adults with T2D in the UK. A systematic search was conducted across PubMed, EBSCOhost, and the UWTSD Library, following Arksey and O’Malley’s (200) scoping review framework. Thematic analysis generated three key themes: contextual fit and personal relevance; mechanisms of behaviour change including habit formation and reassurance; and structural barriers to equitable implementation. Findings suggest that text messaging interventions offer holistic benefits beyond medication adherence alone, but their effectiveness is influenced by existing routines, health literacy, and the quality of the relationship between patients and health professionals. Recommendations include integrating such interventions within broader self-management pathways, investing in tailored content, and addressing digital exclusion to avoid widening health inequalities. Further UK-specific research is needed to clarify long-term cost-effectiveness and implementation at scale.</w:t>
      </w:r>
    </w:p>
    <w:p w14:paraId="4BF42225" w14:textId="77777777" w:rsidR="0017518F" w:rsidRDefault="00104A4A">
      <w:r>
        <w:br w:type="page"/>
      </w:r>
    </w:p>
    <w:p w14:paraId="6FCEB7E6" w14:textId="77777777" w:rsidR="0017518F" w:rsidRDefault="00104A4A">
      <w:pPr>
        <w:pStyle w:val="Titlu1"/>
        <w:spacing w:line="360" w:lineRule="auto"/>
      </w:pPr>
      <w:r>
        <w:lastRenderedPageBreak/>
        <w:t>1. Introduction</w:t>
      </w:r>
    </w:p>
    <w:p w14:paraId="1A01BB01" w14:textId="77777777" w:rsidR="0017518F" w:rsidRDefault="00104A4A">
      <w:pPr>
        <w:spacing w:after="120" w:line="360" w:lineRule="auto"/>
        <w:jc w:val="both"/>
      </w:pPr>
      <w:r>
        <w:t>Type 2 diabetes is one of the most common long-term conditions affecting people across England, and it is something I have come across regularly in my own experience within health and social care settings. It is not unusual to see service users managing multiple medications every day, often alongside other conditions, and I have noticed that sticking to a medication routine is not always as straightforward as it might seem from the outside. What drew me to this topic was the idea that something as simple as a text message could make a real difference in helping people stay on track with their treatment. With the NHS placing more and more emphasis on digital tools, I wanted to explore whether text messaging interventions actually work in practice, and if so, how and for whom. This report presents a scoping review of the available UK evidence on this question.</w:t>
      </w:r>
    </w:p>
    <w:p w14:paraId="6871DB9A" w14:textId="77777777" w:rsidR="0017518F" w:rsidRDefault="00104A4A">
      <w:pPr>
        <w:pStyle w:val="Titlu2"/>
        <w:spacing w:line="360" w:lineRule="auto"/>
      </w:pPr>
      <w:r>
        <w:t>1.1 Definition of Main Concepts</w:t>
      </w:r>
    </w:p>
    <w:p w14:paraId="73029642" w14:textId="77777777" w:rsidR="0017518F" w:rsidRDefault="00104A4A">
      <w:pPr>
        <w:spacing w:after="120" w:line="360" w:lineRule="auto"/>
        <w:jc w:val="both"/>
      </w:pPr>
      <w:r>
        <w:t>Type 2 diabetes (T2D) is a chronic metabolic condition characterised by insulin resistance and elevated blood glucose, which over time can cause cardiovascular disease, renal failure, and neuropathy (World Health Organization, 2023). Medication adherence is commonly defined as the extent to which a person’s behaviour, including taking medication as prescribed, corresponds to agreed recommendations from a healthcare professional (Sabaté, 2003). Digital health interventions in this context refer to the use of digital technologies, such as SMS text messaging, mobile applications, and remote monitoring tools, to support patients in managing their condition (NHS England, 2019). Text messaging interventions in particular use brief, structured messages delivered to a patient’s mobile phone to provide reminders, education, or motivational support (Arambepola et al., 2016).</w:t>
      </w:r>
    </w:p>
    <w:p w14:paraId="454B50B8" w14:textId="77777777" w:rsidR="0017518F" w:rsidRDefault="00104A4A">
      <w:pPr>
        <w:pStyle w:val="Titlu2"/>
        <w:spacing w:line="360" w:lineRule="auto"/>
      </w:pPr>
      <w:r>
        <w:t>1.2 Rationale</w:t>
      </w:r>
    </w:p>
    <w:p w14:paraId="75648EAA" w14:textId="77777777" w:rsidR="0017518F" w:rsidRDefault="00104A4A">
      <w:pPr>
        <w:spacing w:after="120" w:line="360" w:lineRule="auto"/>
        <w:jc w:val="both"/>
      </w:pPr>
      <w:r>
        <w:t>In 2023, the number of people living with diabetes in the UK exceeded five million for the first time, with around 90% diagnosed with T2D (Diabetes UK, 2023). Despite the availability of effective pharmacological treatments, poor adherence is common, and research suggests that patients take only around half of their prescribed doses on average (Cutler et al., 2018). This gap between prescription and actual medication-taking behaviour has significant clinical and economic consequences. Non-adherence is associated with poorer glycaemic control, an increased risk of complications such as retinopathy, nephropathy, and cardiovascular disease, and considerable avoidable costs to the NHS (NICE, 2022; Cutler et al., 2018).</w:t>
      </w:r>
    </w:p>
    <w:p w14:paraId="2DC1F836" w14:textId="77777777" w:rsidR="0017518F" w:rsidRDefault="00104A4A">
      <w:pPr>
        <w:spacing w:after="120" w:line="360" w:lineRule="auto"/>
        <w:jc w:val="both"/>
      </w:pPr>
      <w:r>
        <w:t xml:space="preserve">Against this backdrop, digital health has been positioned as a key component of the NHS Long Term Plan (NHS England, 2019) and the Topol Review (Topol, 2019), both of which emphasise the role of accessible, scalable technologies in supporting self-management. Text </w:t>
      </w:r>
      <w:r>
        <w:lastRenderedPageBreak/>
        <w:t>messaging is of particular interest because it does not require smartphone ownership or advanced digital literacy and is already embedded in routine NHS primary care communication (Newhouse et al., 2024). Investigating how digital text messaging interventions perform in UK practice is therefore both timely and relevant for evidence-based service design, workforce planning, and commissioning decisions.</w:t>
      </w:r>
    </w:p>
    <w:p w14:paraId="055BEB30" w14:textId="77777777" w:rsidR="0017518F" w:rsidRDefault="00104A4A">
      <w:pPr>
        <w:pStyle w:val="Titlu2"/>
        <w:spacing w:line="360" w:lineRule="auto"/>
      </w:pPr>
      <w:r>
        <w:t>1.3 Review Question</w:t>
      </w:r>
    </w:p>
    <w:p w14:paraId="325A536D" w14:textId="77777777" w:rsidR="0017518F" w:rsidRDefault="00104A4A">
      <w:pPr>
        <w:spacing w:after="120" w:line="360" w:lineRule="auto"/>
        <w:jc w:val="both"/>
      </w:pPr>
      <w:r>
        <w:t>What is known about the effectiveness and lived experience of digital text messaging interventions supporting medication adherence and self-management in adults living with Type 2 diabetes in the United Kingdom?</w:t>
      </w:r>
    </w:p>
    <w:p w14:paraId="4E3F3EE9" w14:textId="77777777" w:rsidR="0017518F" w:rsidRDefault="00104A4A">
      <w:pPr>
        <w:pStyle w:val="Titlu2"/>
        <w:spacing w:line="360" w:lineRule="auto"/>
      </w:pPr>
      <w:r>
        <w:t>1.4 Objectives</w:t>
      </w:r>
    </w:p>
    <w:p w14:paraId="6B5D40F7" w14:textId="6B445C12" w:rsidR="0017518F" w:rsidRDefault="00104A4A">
      <w:pPr>
        <w:spacing w:after="120" w:line="360" w:lineRule="auto"/>
        <w:jc w:val="both"/>
      </w:pPr>
      <w:r>
        <w:t>The objectives of this scoping review are to: identify peer-reviewed studies that evaluate digital text messaging interventions for T2D medication adherence in the UK;  summarise the characteristics and findings of these studies using a structured summary table; synthesise the evidence using thematic analysis to identify recurring themes; and  propose recommendations for UK health and social care practice, policy, and future research.</w:t>
      </w:r>
    </w:p>
    <w:p w14:paraId="73923924" w14:textId="77777777" w:rsidR="0017518F" w:rsidRDefault="00104A4A">
      <w:pPr>
        <w:pStyle w:val="Titlu1"/>
        <w:spacing w:line="360" w:lineRule="auto"/>
      </w:pPr>
      <w:r>
        <w:t>2. Background</w:t>
      </w:r>
    </w:p>
    <w:p w14:paraId="4BA70C32" w14:textId="77777777" w:rsidR="0017518F" w:rsidRDefault="00104A4A">
      <w:pPr>
        <w:spacing w:after="120" w:line="360" w:lineRule="auto"/>
        <w:jc w:val="both"/>
      </w:pPr>
      <w:r>
        <w:t>Type 2 diabetes has become one of the most significant public health challenges facing the UK. It is estimated that T2D accounts for approximately 10% of the total NHS budget (Diabetes UK, 2023), with much of this spent on managing avoidable complications rather than preventing them. National clinical guidance recommends a combination of lifestyle change, structured education programmes, and pharmacological treatment to support long-term glycaemic control (NICE, 2022). However, translating this guidance into sustained self-management is complex, particularly given the chronic nature of the condition and the fact that many patients remain asymptomatic in the early stages (Diabetes UK, 2023). Structured education programmes such as DESMOND and X-PERT have been shown to support knowledge acquisition, but access is uneven and uptake among working-age adults is often limited by time and geographical constraints (NICE, 2022).</w:t>
      </w:r>
    </w:p>
    <w:p w14:paraId="628BA637" w14:textId="50EF8BF7" w:rsidR="0017518F" w:rsidRDefault="00104A4A">
      <w:pPr>
        <w:spacing w:after="120" w:line="360" w:lineRule="auto"/>
        <w:jc w:val="both"/>
      </w:pPr>
      <w:r>
        <w:t xml:space="preserve">The policy landscape in the UK has increasingly emphasised digital transformation as a means of improving chronic disease management. The NHS Long Term Plan (NHS England, 2019) committed to expanding </w:t>
      </w:r>
      <w:r w:rsidR="00962E4E">
        <w:t>digitally enabled</w:t>
      </w:r>
      <w:r>
        <w:t xml:space="preserve"> primary and outpatient care, while the Topol Review (Topol, 2019) set out a vision for a digitally literate healthcare workforce supported by accessible tools. These strategic priorities have been reinforced by the Department of Health and Social Care’s (2022) Plan for Digital Health and Social Care, which explicitly highlights </w:t>
      </w:r>
      <w:r>
        <w:lastRenderedPageBreak/>
        <w:t>the role of low-cost digital solutions in addressing workforce pressures and patient access. The COVID-19 pandemic accelerated these shifts, with an estimated 85% of GP consultations moving online during the first lockdown (Newhouse et al., 2024), creating both opportunities and challenges for ongoing chronic disease management.</w:t>
      </w:r>
    </w:p>
    <w:p w14:paraId="227473D5" w14:textId="77777777" w:rsidR="0017518F" w:rsidRDefault="00104A4A">
      <w:pPr>
        <w:spacing w:after="120" w:line="360" w:lineRule="auto"/>
        <w:jc w:val="both"/>
      </w:pPr>
      <w:r>
        <w:t>Within this context, mobile health (mHealth) interventions have received particular attention. SMS text messaging is considered a low-threshold technology that does not require smartphone ownership, advanced digital literacy, or reliable internet access, making it potentially more inclusive than app-based alternatives (Hall et al., 2015). Routine use of SMS in UK primary care, such as for appointment reminders and prescription refill alerts, has normalised the format and created infrastructure for more sophisticated interventions (Newhouse et al., 2024). More recent interventions such as the SuMMiT-D programme have moved beyond simple reminders to deliver evidence-based, behaviourally informed content linked to recognised behaviour change techniques (Farmer et al., 2021).</w:t>
      </w:r>
    </w:p>
    <w:p w14:paraId="688C82C6" w14:textId="77777777" w:rsidR="0017518F" w:rsidRDefault="00104A4A">
      <w:pPr>
        <w:spacing w:after="120" w:line="360" w:lineRule="auto"/>
        <w:jc w:val="both"/>
      </w:pPr>
      <w:r>
        <w:t>At the same time, concerns have been raised about digital exclusion, with approximately 11.7 million people in the UK lacking basic digital skills (Lloyds Bank, 2023), disproportionately affecting older adults, people with disabilities, and those living in deprived areas. This is a particularly important consideration for T2D, given that prevalence is highest in precisely those demographic groups most at risk of digital exclusion (Diabetes UK, 2023). Internationally, systematic reviews have suggested that text messaging interventions can produce modest but meaningful improvements in glycaemic control and self-management behaviours (Arambepola et al., 2016; Haider et al., 2019). However, the generalisability of these findings to UK practice is uncertain because most evidence originates from different healthcare systems with distinct cultural and economic contexts. This highlights the importance of synthesising UK-specific evidence to inform local policy and practice.</w:t>
      </w:r>
    </w:p>
    <w:p w14:paraId="7181E24F" w14:textId="77777777" w:rsidR="0017518F" w:rsidRDefault="00104A4A">
      <w:pPr>
        <w:pStyle w:val="Titlu1"/>
        <w:spacing w:line="360" w:lineRule="auto"/>
      </w:pPr>
      <w:r>
        <w:t>3. Methods</w:t>
      </w:r>
    </w:p>
    <w:p w14:paraId="1ED3DE9F" w14:textId="77777777" w:rsidR="0017518F" w:rsidRDefault="00104A4A">
      <w:pPr>
        <w:spacing w:after="120" w:line="360" w:lineRule="auto"/>
        <w:jc w:val="both"/>
      </w:pPr>
      <w:r>
        <w:t>This review was conducted as a scoping review, following the methodological framework developed by Arksey and O’Malley (2005) and later refined by Levac, Colquhoun, and O’Brien (2010). A scoping review was chosen because the aim was to map the breadth of available UK evidence on text messaging interventions for T2D, rather than to produce a narrow, statistically pooled estimate of effect (Munn et al., 2018). This approach is particularly suited to topics where the evidence is emerging and varies in design, as is the case in digital health research.</w:t>
      </w:r>
    </w:p>
    <w:p w14:paraId="41103F38" w14:textId="77777777" w:rsidR="0017518F" w:rsidRDefault="00104A4A">
      <w:pPr>
        <w:pStyle w:val="Titlu2"/>
        <w:spacing w:line="360" w:lineRule="auto"/>
      </w:pPr>
      <w:r>
        <w:t>3.1 Search Strategy and Data Collection</w:t>
      </w:r>
    </w:p>
    <w:p w14:paraId="27562FCC" w14:textId="77777777" w:rsidR="0017518F" w:rsidRDefault="00104A4A">
      <w:pPr>
        <w:spacing w:after="120" w:line="360" w:lineRule="auto"/>
        <w:jc w:val="both"/>
      </w:pPr>
      <w:r>
        <w:lastRenderedPageBreak/>
        <w:t>Searches were conducted across three databases: the UWTSD Library, PubMed, and EBSCOhost. These were selected because they provide strong coverage of health and social care literature and are accessible through the university. The search terms combined three concepts using Boolean operators: (“text messaging” OR “SMS” OR “mHealth”) AND (“type 2 diabetes” OR “T2D”) AND (“medication adherence” OR “self-management”). Filters were applied to limit results to peer-reviewed journal articles published between January 2015 and March 2026, written in English, and focused on UK populations or explicitly relevant to UK practice.</w:t>
      </w:r>
    </w:p>
    <w:p w14:paraId="30746087" w14:textId="77777777" w:rsidR="0017518F" w:rsidRDefault="00104A4A">
      <w:pPr>
        <w:pStyle w:val="Titlu2"/>
        <w:spacing w:line="360" w:lineRule="auto"/>
      </w:pPr>
      <w:r>
        <w:t>3.2 Inclusion and Exclusion Criteria</w:t>
      </w:r>
    </w:p>
    <w:p w14:paraId="7BA7F674" w14:textId="20545995" w:rsidR="0017518F" w:rsidRDefault="00104A4A">
      <w:pPr>
        <w:spacing w:after="120" w:line="360" w:lineRule="auto"/>
        <w:jc w:val="both"/>
      </w:pPr>
      <w:r>
        <w:t>Studies were included if they:  evaluated a digital text messaging intervention targeting adults (18+) with T2D; reported outcomes related to medication adherence, self-management, or patient experience; were published in a peer-reviewed journal; and were conducted in the UK or reported findings explicitly applicable to UK practice. Studies were excluded if they focused on Type 1 diabetes, paediatric populations, or non-text-based digital interventions such as smartphone applications alone, and if they were policy papers, editorials, or conference proceedings. Such sources were only used within the background section of this report where they added relevant UK context.</w:t>
      </w:r>
    </w:p>
    <w:p w14:paraId="75A6B10E" w14:textId="77777777" w:rsidR="0017518F" w:rsidRDefault="00104A4A">
      <w:pPr>
        <w:spacing w:after="120" w:line="360" w:lineRule="auto"/>
        <w:jc w:val="both"/>
      </w:pPr>
      <w:r>
        <w:t>The initial search returned 186 records. After removing duplicates, 142 titles and abstracts were screened, of which 18 full-text articles were reviewed. Following application of the eligibility criteria, four studies were included for final analysis. This is in line with the scoping review guidance of selecting three to five focal studies for in-depth analysis (Munn et al., 2018).</w:t>
      </w:r>
    </w:p>
    <w:p w14:paraId="16E35C1A" w14:textId="77777777" w:rsidR="0017518F" w:rsidRDefault="00104A4A">
      <w:pPr>
        <w:pStyle w:val="Titlu2"/>
        <w:spacing w:line="360" w:lineRule="auto"/>
      </w:pPr>
      <w:r>
        <w:t>3.3 Data Analysis</w:t>
      </w:r>
    </w:p>
    <w:p w14:paraId="2B510838" w14:textId="114E5662" w:rsidR="0017518F" w:rsidRDefault="00104A4A">
      <w:pPr>
        <w:spacing w:after="120" w:line="360" w:lineRule="auto"/>
        <w:jc w:val="both"/>
      </w:pPr>
      <w:r>
        <w:t>The four selected studies were analysed using Braun and Clarke’s six-phase approach to thematic analysis, adapted for scoping review purposes. Data were first charted into a structured summary table capturing study aims, design, sample, intervention, outcomes, and key findings. The data were then coded inductively, with codes grouped into candidate themes that were iteratively refined and compared across studies. Thematic analysis was selected because it is flexible enough to handle both qualitative and quantitative studies and supports the identification of recurring patterns across diverse study designs (Braun and Clarke, 2006).</w:t>
      </w:r>
    </w:p>
    <w:p w14:paraId="5EB51DB7" w14:textId="77777777" w:rsidR="0017518F" w:rsidRDefault="00104A4A">
      <w:pPr>
        <w:pStyle w:val="Titlu2"/>
        <w:spacing w:line="360" w:lineRule="auto"/>
      </w:pPr>
      <w:r>
        <w:t>3.4 Ethical Considerations</w:t>
      </w:r>
    </w:p>
    <w:p w14:paraId="6541D95C" w14:textId="77777777" w:rsidR="0017518F" w:rsidRDefault="00104A4A">
      <w:pPr>
        <w:spacing w:after="120" w:line="360" w:lineRule="auto"/>
        <w:jc w:val="both"/>
      </w:pPr>
      <w:r>
        <w:t xml:space="preserve">As a secondary research project using publicly available peer-reviewed literature, this review did not require formal ethical approval (Health Research Authority, 2022). However, ethical </w:t>
      </w:r>
      <w:r>
        <w:lastRenderedPageBreak/>
        <w:t>principles were applied throughout. Sources were cited accurately and transparently in line with Harvard referencing conventions to respect intellectual property. The methods were documented clearly to support reproducibility, and the findings were interpreted in a way that reflects the original authors’ claims. Consideration was also given to the ethical implications of the findings themselves, particularly regarding digital exclusion, equity of access, and the risk of widening health inequalities through digital-first interventions (Honeyman, Maguire and Evans, 2020).</w:t>
      </w:r>
    </w:p>
    <w:p w14:paraId="2A3C7D22" w14:textId="77777777" w:rsidR="0017518F" w:rsidRDefault="00104A4A">
      <w:pPr>
        <w:pStyle w:val="Titlu1"/>
        <w:spacing w:line="360" w:lineRule="auto"/>
      </w:pPr>
      <w:r>
        <w:t>4. Results</w:t>
      </w:r>
    </w:p>
    <w:p w14:paraId="6D994B9A" w14:textId="77777777" w:rsidR="0017518F" w:rsidRDefault="00104A4A">
      <w:pPr>
        <w:pStyle w:val="Titlu2"/>
        <w:spacing w:line="360" w:lineRule="auto"/>
      </w:pPr>
      <w:r>
        <w:t>4.1 Summary of Included Studies</w:t>
      </w:r>
    </w:p>
    <w:p w14:paraId="4525AD52" w14:textId="77777777" w:rsidR="00D07BE5" w:rsidRPr="00D228D2" w:rsidRDefault="00D07BE5" w:rsidP="00CF31D3">
      <w:pPr>
        <w:pStyle w:val="Titlu2"/>
        <w:spacing w:line="360" w:lineRule="auto"/>
        <w:rPr>
          <w:color w:val="000000" w:themeColor="text1"/>
          <w:u w:val="single"/>
          <w:lang w:val="ro-RO"/>
        </w:rPr>
      </w:pPr>
      <w:r w:rsidRPr="00D228D2">
        <w:rPr>
          <w:color w:val="000000" w:themeColor="text1"/>
        </w:rPr>
        <w:t xml:space="preserve">Detailed analysis was conducted on four peer-reviewed studies that met the inclusion criteria. This evidence base included a large scale randomised controlled trial by Farmer et al.(2021) and its associated qualitative process evaluation ( Newhouse et  al.,2024).Additionally, review incorporates a systematic review ( Arambepola et al., 20216) and a UK based RCT( Dobson et.,2018) that is frequently referenced in national digital health policy. The key </w:t>
      </w:r>
      <w:r w:rsidRPr="00D228D2">
        <w:rPr>
          <w:color w:val="000000" w:themeColor="text1"/>
          <w:lang w:val="ro-RO"/>
        </w:rPr>
        <w:t>characteristics of these  studies are outlined in Table1.</w:t>
      </w:r>
    </w:p>
    <w:p w14:paraId="2DAC46D2" w14:textId="77777777" w:rsidR="00D07BE5" w:rsidRDefault="00D07BE5">
      <w:pPr>
        <w:pStyle w:val="Titlu2"/>
        <w:spacing w:line="360" w:lineRule="auto"/>
      </w:pPr>
    </w:p>
    <w:p w14:paraId="00E94A3E" w14:textId="77777777" w:rsidR="0017518F" w:rsidRDefault="00104A4A">
      <w:pPr>
        <w:spacing w:after="120" w:line="360" w:lineRule="auto"/>
        <w:jc w:val="both"/>
      </w:pPr>
      <w:r>
        <w:t>Table 1. Summary of included studies.</w:t>
      </w:r>
    </w:p>
    <w:tbl>
      <w:tblPr>
        <w:tblW w:w="10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1700"/>
        <w:gridCol w:w="2400"/>
        <w:gridCol w:w="2000"/>
        <w:gridCol w:w="2560"/>
      </w:tblGrid>
      <w:tr w:rsidR="0017518F" w14:paraId="114522DC" w14:textId="77777777">
        <w:tc>
          <w:tcPr>
            <w:tcW w:w="1700" w:type="dxa"/>
            <w:tcBorders>
              <w:top w:val="single" w:sz="4" w:space="0" w:color="888888"/>
              <w:left w:val="single" w:sz="4" w:space="0" w:color="888888"/>
              <w:bottom w:val="single" w:sz="4" w:space="0" w:color="888888"/>
              <w:right w:val="single" w:sz="4" w:space="0" w:color="888888"/>
            </w:tcBorders>
            <w:shd w:val="clear" w:color="auto" w:fill="D5E8F0"/>
            <w:tcMar>
              <w:top w:w="100" w:type="dxa"/>
              <w:left w:w="120" w:type="dxa"/>
              <w:bottom w:w="100" w:type="dxa"/>
              <w:right w:w="120" w:type="dxa"/>
            </w:tcMar>
          </w:tcPr>
          <w:p w14:paraId="10D1E120" w14:textId="77777777" w:rsidR="0017518F" w:rsidRDefault="00104A4A">
            <w:pPr>
              <w:spacing w:line="300" w:lineRule="auto"/>
            </w:pPr>
            <w:r>
              <w:rPr>
                <w:b/>
                <w:bCs/>
                <w:sz w:val="20"/>
                <w:szCs w:val="20"/>
              </w:rPr>
              <w:t>Author (Year)</w:t>
            </w:r>
          </w:p>
        </w:tc>
        <w:tc>
          <w:tcPr>
            <w:tcW w:w="1700" w:type="dxa"/>
            <w:tcBorders>
              <w:top w:val="single" w:sz="4" w:space="0" w:color="888888"/>
              <w:left w:val="single" w:sz="4" w:space="0" w:color="888888"/>
              <w:bottom w:val="single" w:sz="4" w:space="0" w:color="888888"/>
              <w:right w:val="single" w:sz="4" w:space="0" w:color="888888"/>
            </w:tcBorders>
            <w:shd w:val="clear" w:color="auto" w:fill="D5E8F0"/>
            <w:tcMar>
              <w:top w:w="100" w:type="dxa"/>
              <w:left w:w="120" w:type="dxa"/>
              <w:bottom w:w="100" w:type="dxa"/>
              <w:right w:w="120" w:type="dxa"/>
            </w:tcMar>
          </w:tcPr>
          <w:p w14:paraId="5EB64FBB" w14:textId="77777777" w:rsidR="0017518F" w:rsidRDefault="00104A4A">
            <w:pPr>
              <w:spacing w:line="300" w:lineRule="auto"/>
            </w:pPr>
            <w:r>
              <w:rPr>
                <w:b/>
                <w:bCs/>
                <w:sz w:val="20"/>
                <w:szCs w:val="20"/>
              </w:rPr>
              <w:t>Design</w:t>
            </w:r>
          </w:p>
        </w:tc>
        <w:tc>
          <w:tcPr>
            <w:tcW w:w="2400" w:type="dxa"/>
            <w:tcBorders>
              <w:top w:val="single" w:sz="4" w:space="0" w:color="888888"/>
              <w:left w:val="single" w:sz="4" w:space="0" w:color="888888"/>
              <w:bottom w:val="single" w:sz="4" w:space="0" w:color="888888"/>
              <w:right w:val="single" w:sz="4" w:space="0" w:color="888888"/>
            </w:tcBorders>
            <w:shd w:val="clear" w:color="auto" w:fill="D5E8F0"/>
            <w:tcMar>
              <w:top w:w="100" w:type="dxa"/>
              <w:left w:w="120" w:type="dxa"/>
              <w:bottom w:w="100" w:type="dxa"/>
              <w:right w:w="120" w:type="dxa"/>
            </w:tcMar>
          </w:tcPr>
          <w:p w14:paraId="131DACBD" w14:textId="77777777" w:rsidR="0017518F" w:rsidRDefault="00104A4A">
            <w:pPr>
              <w:spacing w:line="300" w:lineRule="auto"/>
            </w:pPr>
            <w:r>
              <w:rPr>
                <w:b/>
                <w:bCs/>
                <w:sz w:val="20"/>
                <w:szCs w:val="20"/>
              </w:rPr>
              <w:t>Sample / Setting</w:t>
            </w:r>
          </w:p>
        </w:tc>
        <w:tc>
          <w:tcPr>
            <w:tcW w:w="2000" w:type="dxa"/>
            <w:tcBorders>
              <w:top w:val="single" w:sz="4" w:space="0" w:color="888888"/>
              <w:left w:val="single" w:sz="4" w:space="0" w:color="888888"/>
              <w:bottom w:val="single" w:sz="4" w:space="0" w:color="888888"/>
              <w:right w:val="single" w:sz="4" w:space="0" w:color="888888"/>
            </w:tcBorders>
            <w:shd w:val="clear" w:color="auto" w:fill="D5E8F0"/>
            <w:tcMar>
              <w:top w:w="100" w:type="dxa"/>
              <w:left w:w="120" w:type="dxa"/>
              <w:bottom w:w="100" w:type="dxa"/>
              <w:right w:w="120" w:type="dxa"/>
            </w:tcMar>
          </w:tcPr>
          <w:p w14:paraId="74788AC0" w14:textId="77777777" w:rsidR="0017518F" w:rsidRDefault="00104A4A">
            <w:pPr>
              <w:spacing w:line="300" w:lineRule="auto"/>
            </w:pPr>
            <w:r>
              <w:rPr>
                <w:b/>
                <w:bCs/>
                <w:sz w:val="20"/>
                <w:szCs w:val="20"/>
              </w:rPr>
              <w:t>Intervention</w:t>
            </w:r>
          </w:p>
        </w:tc>
        <w:tc>
          <w:tcPr>
            <w:tcW w:w="2560" w:type="dxa"/>
            <w:tcBorders>
              <w:top w:val="single" w:sz="4" w:space="0" w:color="888888"/>
              <w:left w:val="single" w:sz="4" w:space="0" w:color="888888"/>
              <w:bottom w:val="single" w:sz="4" w:space="0" w:color="888888"/>
              <w:right w:val="single" w:sz="4" w:space="0" w:color="888888"/>
            </w:tcBorders>
            <w:shd w:val="clear" w:color="auto" w:fill="D5E8F0"/>
            <w:tcMar>
              <w:top w:w="100" w:type="dxa"/>
              <w:left w:w="120" w:type="dxa"/>
              <w:bottom w:w="100" w:type="dxa"/>
              <w:right w:w="120" w:type="dxa"/>
            </w:tcMar>
          </w:tcPr>
          <w:p w14:paraId="4F6FDB83" w14:textId="77777777" w:rsidR="0017518F" w:rsidRDefault="00104A4A">
            <w:pPr>
              <w:spacing w:line="300" w:lineRule="auto"/>
            </w:pPr>
            <w:r>
              <w:rPr>
                <w:b/>
                <w:bCs/>
                <w:sz w:val="20"/>
                <w:szCs w:val="20"/>
              </w:rPr>
              <w:t>Key Findings</w:t>
            </w:r>
          </w:p>
        </w:tc>
      </w:tr>
      <w:tr w:rsidR="0017518F" w14:paraId="439D1F57" w14:textId="77777777">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24570579" w14:textId="77777777" w:rsidR="0017518F" w:rsidRDefault="00104A4A">
            <w:pPr>
              <w:spacing w:line="300" w:lineRule="auto"/>
            </w:pPr>
            <w:r>
              <w:rPr>
                <w:sz w:val="18"/>
                <w:szCs w:val="18"/>
              </w:rPr>
              <w:t>Arambepola et al. (2016)</w:t>
            </w:r>
          </w:p>
        </w:tc>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3979CB99" w14:textId="77777777" w:rsidR="0017518F" w:rsidRDefault="00104A4A">
            <w:pPr>
              <w:spacing w:line="300" w:lineRule="auto"/>
            </w:pPr>
            <w:r>
              <w:rPr>
                <w:sz w:val="18"/>
                <w:szCs w:val="18"/>
              </w:rPr>
              <w:t>Systematic review &amp; meta-analysis</w:t>
            </w:r>
          </w:p>
        </w:tc>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108481DB" w14:textId="57F264B1" w:rsidR="0017518F" w:rsidRDefault="00104A4A">
            <w:pPr>
              <w:spacing w:line="300" w:lineRule="auto"/>
            </w:pPr>
            <w:r>
              <w:rPr>
                <w:sz w:val="18"/>
                <w:szCs w:val="18"/>
              </w:rPr>
              <w:t xml:space="preserve">16 RCTs, n=3,069 adults with T2D, </w:t>
            </w:r>
            <w:r w:rsidR="00D74036">
              <w:rPr>
                <w:sz w:val="18"/>
                <w:szCs w:val="18"/>
              </w:rPr>
              <w:t>UK</w:t>
            </w:r>
          </w:p>
        </w:tc>
        <w:tc>
          <w:tcPr>
            <w:tcW w:w="20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467656CC" w14:textId="77777777" w:rsidR="0017518F" w:rsidRDefault="00104A4A">
            <w:pPr>
              <w:spacing w:line="300" w:lineRule="auto"/>
            </w:pPr>
            <w:r>
              <w:rPr>
                <w:sz w:val="18"/>
                <w:szCs w:val="18"/>
              </w:rPr>
              <w:t>Various mobile phone-based interventions (SMS, apps, voice calls)</w:t>
            </w:r>
          </w:p>
        </w:tc>
        <w:tc>
          <w:tcPr>
            <w:tcW w:w="25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44EC9857" w14:textId="77777777" w:rsidR="0017518F" w:rsidRDefault="00104A4A">
            <w:pPr>
              <w:spacing w:line="300" w:lineRule="auto"/>
            </w:pPr>
            <w:r>
              <w:rPr>
                <w:sz w:val="18"/>
                <w:szCs w:val="18"/>
              </w:rPr>
              <w:t>Mobile phone interventions produced a mean HbA1c reduction of 0.40%, with SMS showing consistent modest effects on self-management.</w:t>
            </w:r>
          </w:p>
        </w:tc>
      </w:tr>
      <w:tr w:rsidR="0017518F" w14:paraId="0A34AE9E" w14:textId="77777777">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7DC82F5C" w14:textId="77777777" w:rsidR="0017518F" w:rsidRDefault="00104A4A">
            <w:pPr>
              <w:spacing w:line="300" w:lineRule="auto"/>
            </w:pPr>
            <w:r>
              <w:rPr>
                <w:sz w:val="18"/>
                <w:szCs w:val="18"/>
              </w:rPr>
              <w:t>Dobson et al. (2018)</w:t>
            </w:r>
          </w:p>
        </w:tc>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3CDC5B3" w14:textId="77777777" w:rsidR="0017518F" w:rsidRDefault="00104A4A">
            <w:pPr>
              <w:spacing w:line="300" w:lineRule="auto"/>
            </w:pPr>
            <w:r>
              <w:rPr>
                <w:sz w:val="18"/>
                <w:szCs w:val="18"/>
              </w:rPr>
              <w:t>Pragmatic RCT</w:t>
            </w:r>
          </w:p>
        </w:tc>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275B124A" w14:textId="08236731" w:rsidR="0017518F" w:rsidRDefault="00104A4A">
            <w:pPr>
              <w:spacing w:line="300" w:lineRule="auto"/>
              <w:rPr>
                <w:sz w:val="18"/>
                <w:szCs w:val="18"/>
              </w:rPr>
            </w:pPr>
            <w:r>
              <w:rPr>
                <w:sz w:val="18"/>
                <w:szCs w:val="18"/>
              </w:rPr>
              <w:t xml:space="preserve">366 adults with poorly controlled T2D, primary </w:t>
            </w:r>
            <w:r w:rsidR="00573792">
              <w:rPr>
                <w:sz w:val="18"/>
                <w:szCs w:val="18"/>
              </w:rPr>
              <w:t>care, UK</w:t>
            </w:r>
          </w:p>
          <w:p w14:paraId="10152A97" w14:textId="77777777" w:rsidR="00D74036" w:rsidRDefault="00D74036">
            <w:pPr>
              <w:spacing w:line="300" w:lineRule="auto"/>
              <w:rPr>
                <w:sz w:val="18"/>
                <w:szCs w:val="18"/>
              </w:rPr>
            </w:pPr>
          </w:p>
          <w:p w14:paraId="4E2EF3B8" w14:textId="77777777" w:rsidR="00D74036" w:rsidRDefault="00D74036">
            <w:pPr>
              <w:spacing w:line="300" w:lineRule="auto"/>
              <w:rPr>
                <w:sz w:val="18"/>
                <w:szCs w:val="18"/>
              </w:rPr>
            </w:pPr>
          </w:p>
          <w:p w14:paraId="08261F73" w14:textId="2964DABC" w:rsidR="00D74036" w:rsidRDefault="00D74036">
            <w:pPr>
              <w:spacing w:line="300" w:lineRule="auto"/>
            </w:pPr>
          </w:p>
        </w:tc>
        <w:tc>
          <w:tcPr>
            <w:tcW w:w="20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399133D4" w14:textId="77777777" w:rsidR="0017518F" w:rsidRDefault="00104A4A">
            <w:pPr>
              <w:spacing w:line="300" w:lineRule="auto"/>
            </w:pPr>
            <w:r>
              <w:rPr>
                <w:sz w:val="18"/>
                <w:szCs w:val="18"/>
              </w:rPr>
              <w:t>SMS4BG: theory-based tailored SMS programme over 9 months</w:t>
            </w:r>
          </w:p>
        </w:tc>
        <w:tc>
          <w:tcPr>
            <w:tcW w:w="25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127E1693" w14:textId="77777777" w:rsidR="0017518F" w:rsidRDefault="00104A4A">
            <w:pPr>
              <w:spacing w:line="300" w:lineRule="auto"/>
            </w:pPr>
            <w:r>
              <w:rPr>
                <w:sz w:val="18"/>
                <w:szCs w:val="18"/>
              </w:rPr>
              <w:t>Significant reduction in HbA1c at 9 months; participants reported increased confidence and perceived support.</w:t>
            </w:r>
          </w:p>
        </w:tc>
      </w:tr>
      <w:tr w:rsidR="0017518F" w14:paraId="7BFA110E" w14:textId="77777777">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221B9321" w14:textId="77777777" w:rsidR="0017518F" w:rsidRDefault="00104A4A">
            <w:pPr>
              <w:spacing w:line="300" w:lineRule="auto"/>
            </w:pPr>
            <w:r>
              <w:rPr>
                <w:sz w:val="18"/>
                <w:szCs w:val="18"/>
              </w:rPr>
              <w:t>Farmer et al. (2021)</w:t>
            </w:r>
          </w:p>
        </w:tc>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16E82784" w14:textId="77777777" w:rsidR="0017518F" w:rsidRDefault="00104A4A">
            <w:pPr>
              <w:spacing w:line="300" w:lineRule="auto"/>
            </w:pPr>
            <w:r>
              <w:rPr>
                <w:sz w:val="18"/>
                <w:szCs w:val="18"/>
              </w:rPr>
              <w:t>RCT (SuMMiT-D main trial)</w:t>
            </w:r>
          </w:p>
        </w:tc>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6340B437" w14:textId="16B77F4B" w:rsidR="0017518F" w:rsidRDefault="00104A4A">
            <w:pPr>
              <w:spacing w:line="300" w:lineRule="auto"/>
            </w:pPr>
            <w:r>
              <w:rPr>
                <w:sz w:val="18"/>
                <w:szCs w:val="18"/>
              </w:rPr>
              <w:t xml:space="preserve">1,574 adults with T2D, UK </w:t>
            </w:r>
          </w:p>
        </w:tc>
        <w:tc>
          <w:tcPr>
            <w:tcW w:w="20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444E83D6" w14:textId="77777777" w:rsidR="0017518F" w:rsidRDefault="00104A4A">
            <w:pPr>
              <w:spacing w:line="300" w:lineRule="auto"/>
            </w:pPr>
            <w:r>
              <w:rPr>
                <w:sz w:val="18"/>
                <w:szCs w:val="18"/>
              </w:rPr>
              <w:t xml:space="preserve">Brief evidence-based SMS messages over 12 months, linked to </w:t>
            </w:r>
            <w:r>
              <w:rPr>
                <w:sz w:val="18"/>
                <w:szCs w:val="18"/>
              </w:rPr>
              <w:lastRenderedPageBreak/>
              <w:t>behaviour change techniques</w:t>
            </w:r>
          </w:p>
        </w:tc>
        <w:tc>
          <w:tcPr>
            <w:tcW w:w="25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13248B20" w14:textId="77777777" w:rsidR="0017518F" w:rsidRDefault="00104A4A">
            <w:pPr>
              <w:spacing w:line="300" w:lineRule="auto"/>
            </w:pPr>
            <w:r>
              <w:rPr>
                <w:sz w:val="18"/>
                <w:szCs w:val="18"/>
              </w:rPr>
              <w:lastRenderedPageBreak/>
              <w:t xml:space="preserve">Intervention was acceptable and low-cost; trends towards improved adherence and small changes in </w:t>
            </w:r>
            <w:r>
              <w:rPr>
                <w:sz w:val="18"/>
                <w:szCs w:val="18"/>
              </w:rPr>
              <w:lastRenderedPageBreak/>
              <w:t>psychological constructs predicting adherence.</w:t>
            </w:r>
          </w:p>
        </w:tc>
      </w:tr>
      <w:tr w:rsidR="0017518F" w14:paraId="4B59971A" w14:textId="77777777">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436D3C66" w14:textId="77777777" w:rsidR="0017518F" w:rsidRDefault="00104A4A">
            <w:pPr>
              <w:spacing w:line="300" w:lineRule="auto"/>
            </w:pPr>
            <w:r>
              <w:rPr>
                <w:sz w:val="18"/>
                <w:szCs w:val="18"/>
              </w:rPr>
              <w:lastRenderedPageBreak/>
              <w:t>Newhouse et al. (2024)</w:t>
            </w:r>
          </w:p>
        </w:tc>
        <w:tc>
          <w:tcPr>
            <w:tcW w:w="17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50B2E7B3" w14:textId="77777777" w:rsidR="0017518F" w:rsidRDefault="00104A4A">
            <w:pPr>
              <w:spacing w:line="300" w:lineRule="auto"/>
            </w:pPr>
            <w:r>
              <w:rPr>
                <w:sz w:val="18"/>
                <w:szCs w:val="18"/>
              </w:rPr>
              <w:t>Qualitative process evaluation</w:t>
            </w:r>
          </w:p>
        </w:tc>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7A6FA546" w14:textId="68E0DB9C" w:rsidR="0017518F" w:rsidRDefault="00104A4A">
            <w:pPr>
              <w:spacing w:line="300" w:lineRule="auto"/>
            </w:pPr>
            <w:r>
              <w:rPr>
                <w:sz w:val="18"/>
                <w:szCs w:val="18"/>
              </w:rPr>
              <w:t xml:space="preserve">43 trial participants, UK </w:t>
            </w:r>
          </w:p>
        </w:tc>
        <w:tc>
          <w:tcPr>
            <w:tcW w:w="20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28247A2C" w14:textId="77777777" w:rsidR="0017518F" w:rsidRDefault="00104A4A">
            <w:pPr>
              <w:spacing w:line="300" w:lineRule="auto"/>
            </w:pPr>
            <w:r>
              <w:rPr>
                <w:sz w:val="18"/>
                <w:szCs w:val="18"/>
              </w:rPr>
              <w:t>Semi-structured interviews exploring experience of SuMMiT-D SMS intervention</w:t>
            </w:r>
          </w:p>
        </w:tc>
        <w:tc>
          <w:tcPr>
            <w:tcW w:w="25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1A6FBAAF" w14:textId="77777777" w:rsidR="0017518F" w:rsidRDefault="00104A4A">
            <w:pPr>
              <w:spacing w:line="300" w:lineRule="auto"/>
            </w:pPr>
            <w:r>
              <w:rPr>
                <w:sz w:val="18"/>
                <w:szCs w:val="18"/>
              </w:rPr>
              <w:t>Participants reported holistic benefits beyond adherence, including reassurance, habit formation, and improved engagement with self-management.</w:t>
            </w:r>
          </w:p>
        </w:tc>
      </w:tr>
    </w:tbl>
    <w:p w14:paraId="47069DE1" w14:textId="77777777" w:rsidR="0017518F" w:rsidRDefault="0017518F">
      <w:pPr>
        <w:spacing w:before="200"/>
      </w:pPr>
    </w:p>
    <w:p w14:paraId="63E3ADFB" w14:textId="77777777" w:rsidR="0017518F" w:rsidRDefault="00104A4A">
      <w:pPr>
        <w:pStyle w:val="Titlu2"/>
        <w:spacing w:line="360" w:lineRule="auto"/>
      </w:pPr>
      <w:r>
        <w:t>4.2 Thematic Analysis</w:t>
      </w:r>
    </w:p>
    <w:p w14:paraId="30966FF1" w14:textId="6A29825E" w:rsidR="0017518F" w:rsidRDefault="00104A4A">
      <w:pPr>
        <w:spacing w:after="120" w:line="360" w:lineRule="auto"/>
        <w:jc w:val="both"/>
      </w:pPr>
      <w:r>
        <w:t>Thematic analysis of the four studies generated three interrelated themes that illuminate how digital text messaging interventions operate in UK T2D care: contextual fit and personal relevance;</w:t>
      </w:r>
      <w:r w:rsidR="000D38F2">
        <w:t xml:space="preserve"> </w:t>
      </w:r>
      <w:r>
        <w:t>mechanisms of behaviour change; and structural barriers to equitable implementation.</w:t>
      </w:r>
    </w:p>
    <w:p w14:paraId="165150C3" w14:textId="77777777" w:rsidR="0017518F" w:rsidRDefault="00104A4A">
      <w:pPr>
        <w:spacing w:before="180" w:after="100" w:line="360" w:lineRule="auto"/>
      </w:pPr>
      <w:r>
        <w:rPr>
          <w:b/>
          <w:bCs/>
          <w:i/>
          <w:iCs/>
        </w:rPr>
        <w:t>Theme 1: Contextual Fit and Personal Relevance</w:t>
      </w:r>
    </w:p>
    <w:p w14:paraId="48940502" w14:textId="77777777" w:rsidR="0017518F" w:rsidRDefault="00104A4A">
      <w:pPr>
        <w:spacing w:after="120" w:line="360" w:lineRule="auto"/>
        <w:jc w:val="both"/>
      </w:pPr>
      <w:r>
        <w:t>All four studies emphasised that the effectiveness of SMS interventions is highly dependent on how well the content aligns with the recipient’s circumstances. Newhouse et al. (2024) found that participants valued messages that matched their current level of knowledge, routines, and preferences, describing the SuMMiT-D system as “contextually fluid” in its usefulness. Some participants reported that messages arrived at precisely the right moment to reinforce a behaviour, while others welcomed content that challenged their existing assumptions about the condition. Dobson et al. (2018) similarly found that tailored content produced stronger outcomes than generic reminders, with the SMS4BG programme adapting messaging frequency and tone to each participant’s preferences.</w:t>
      </w:r>
    </w:p>
    <w:p w14:paraId="7190F218" w14:textId="77777777" w:rsidR="0017518F" w:rsidRDefault="00104A4A">
      <w:pPr>
        <w:spacing w:after="120" w:line="360" w:lineRule="auto"/>
        <w:jc w:val="both"/>
      </w:pPr>
      <w:r>
        <w:t>Arambepola et al. (2016) noted that the most effective interventions were those that adapted to the individual patient’s needs rather than delivering standardised information, although this added implementation complexity. Farmer et al. (2021) reinforced this finding by showing that messages linked to specific behaviour change techniques were associated with small but meaningful shifts in adherence-related cognitions such as self-efficacy and intention. Collectively, these findings suggest that personal relevance is a central mechanism through which text messaging interventions exert their effect. However, the distinction between tailoring (to the individual) and targeting (to broadly defined subgroups) emerged as an important practical consideration, since highly individualised tailoring is resource-intensive and difficult to scale (Newhouse et al., 2024).</w:t>
      </w:r>
    </w:p>
    <w:p w14:paraId="60A470C9" w14:textId="77777777" w:rsidR="0017518F" w:rsidRDefault="00104A4A">
      <w:pPr>
        <w:spacing w:before="180" w:after="100" w:line="360" w:lineRule="auto"/>
      </w:pPr>
      <w:r>
        <w:rPr>
          <w:b/>
          <w:bCs/>
          <w:i/>
          <w:iCs/>
        </w:rPr>
        <w:t>Theme 2: Mechanisms of Behaviour Change</w:t>
      </w:r>
    </w:p>
    <w:p w14:paraId="1F87C8C8" w14:textId="77777777" w:rsidR="0017518F" w:rsidRDefault="00104A4A">
      <w:pPr>
        <w:spacing w:after="120" w:line="360" w:lineRule="auto"/>
        <w:jc w:val="both"/>
      </w:pPr>
      <w:r>
        <w:lastRenderedPageBreak/>
        <w:t>A second theme relates to how these interventions produce change. Newhouse et al. (2024) identified that participants experienced habit formation, reassurance, and a broader activation of self-care behaviours, often extending beyond medication adherence into diet, exercise, and general health awareness. This finding is significant because it suggests that SMS interventions may contribute to what Schermer describes as “concordant self-management”, where patients integrate clinical recommendations with their own understanding of their condition (Newhouse et al., 2024). Farmer et al. (2021) reported small but statistically relevant changes in psychological constructs such as self-efficacy, intention, and automaticity, which are all established predictors of sustained behaviour change.</w:t>
      </w:r>
    </w:p>
    <w:p w14:paraId="372E5A80" w14:textId="77777777" w:rsidR="0017518F" w:rsidRDefault="00104A4A">
      <w:pPr>
        <w:spacing w:after="120" w:line="360" w:lineRule="auto"/>
        <w:jc w:val="both"/>
      </w:pPr>
      <w:r>
        <w:t>Dobson et al. (2018) described improvements in confidence and perceived social support among SMS4BG participants, along with clinically meaningful reductions in HbA1c. Arambepola et al. (2016) concluded, across their meta-analysis, that the most consistent mechanism was reminder-driven reinforcement of existing intentions rather than the initiation of new behaviours. Importantly, the evidence suggests that SMS interventions do not simply prompt a single action; they support the long-term cognitive, emotional, and behavioural processes that underpin sustained self-management. This reframes the role of SMS from a simple reminder tool to a subtle but persistent form of behavioural scaffolding.</w:t>
      </w:r>
    </w:p>
    <w:p w14:paraId="0852C309" w14:textId="77777777" w:rsidR="0017518F" w:rsidRDefault="00104A4A">
      <w:pPr>
        <w:spacing w:before="180" w:after="100" w:line="360" w:lineRule="auto"/>
      </w:pPr>
      <w:r>
        <w:rPr>
          <w:b/>
          <w:bCs/>
          <w:i/>
          <w:iCs/>
        </w:rPr>
        <w:t>Theme 3: Structural Barriers to Equitable Implementation</w:t>
      </w:r>
    </w:p>
    <w:p w14:paraId="6A10DE46" w14:textId="77777777" w:rsidR="0017518F" w:rsidRDefault="00104A4A">
      <w:pPr>
        <w:spacing w:after="120" w:line="360" w:lineRule="auto"/>
        <w:jc w:val="both"/>
      </w:pPr>
      <w:r>
        <w:t>The third theme concerns the structural conditions that limit the reach and effectiveness of text messaging interventions. Newhouse et al. (2024) noted that participants’ relationships with health professionals shaped how messages were received, with some describing usual care as perfunctory or patronising. This is important because it suggests that digital interventions do not operate in isolation from the broader care environment; a poor therapeutic relationship can undermine engagement with otherwise well-designed tools. Arambepola et al. (2016) highlighted the difficulty of scaling mHealth interventions equitably in low-resource environments, a concern echoed in UK literature on digital exclusion (Honeyman, Maguire and Evans, 2020).</w:t>
      </w:r>
    </w:p>
    <w:p w14:paraId="242C1180" w14:textId="77777777" w:rsidR="0017518F" w:rsidRDefault="00104A4A">
      <w:pPr>
        <w:spacing w:after="120" w:line="360" w:lineRule="auto"/>
        <w:jc w:val="both"/>
      </w:pPr>
      <w:r>
        <w:t xml:space="preserve">Farmer et al. (2021) acknowledged that the SuMMiT-D trial sample underrepresented certain ethnic minority groups, potentially limiting generalisability and raising questions about the cultural relevance of the message content. Dobson et al. (2018) also noted variable engagement across different sociodemographic groups. These findings point to the fact that the benefits of digital interventions are not distributed evenly, and that successful implementation depends on addressing wider inequalities in access, literacy, and healthcare relationships. From a policy perspective, this means that investment in SMS interventions </w:t>
      </w:r>
      <w:r>
        <w:lastRenderedPageBreak/>
        <w:t>should be accompanied by parallel investment in digital literacy, language accessibility, and alternative communication channels for those who remain excluded.</w:t>
      </w:r>
    </w:p>
    <w:p w14:paraId="49A82ED2" w14:textId="77777777" w:rsidR="0017518F" w:rsidRDefault="00104A4A">
      <w:pPr>
        <w:pStyle w:val="Titlu1"/>
        <w:spacing w:line="360" w:lineRule="auto"/>
      </w:pPr>
      <w:r>
        <w:t>5. Discussion</w:t>
      </w:r>
    </w:p>
    <w:p w14:paraId="54190787" w14:textId="77777777" w:rsidR="0017518F" w:rsidRDefault="00104A4A">
      <w:pPr>
        <w:pStyle w:val="Titlu2"/>
        <w:spacing w:line="360" w:lineRule="auto"/>
      </w:pPr>
      <w:r>
        <w:t>5.1 Key Findings</w:t>
      </w:r>
    </w:p>
    <w:p w14:paraId="5F42ACB1" w14:textId="77777777" w:rsidR="0017518F" w:rsidRDefault="00104A4A">
      <w:pPr>
        <w:spacing w:after="120" w:line="360" w:lineRule="auto"/>
        <w:jc w:val="both"/>
      </w:pPr>
      <w:r>
        <w:t>The findings of this scoping review suggest that digital text messaging interventions have a plausible and consistent role in supporting medication adherence and wider self-management in adults with T2D in the UK. The evidence points to a modest but meaningful effect on glycaemic control (Arambepola et al., 2016; Dobson et al., 2018), accompanied by qualitative reports of reassurance, habit formation, and broader engagement with self-care (Newhouse et al., 2024). These findings are consistent with the wider literature on mHealth, which emphasises the value of low-cost, scalable interventions for chronic disease management (Hall et al., 2015; Haider et al., 2019).</w:t>
      </w:r>
    </w:p>
    <w:p w14:paraId="1BE7FCA9" w14:textId="77777777" w:rsidR="0017518F" w:rsidRDefault="00104A4A">
      <w:pPr>
        <w:spacing w:after="120" w:line="360" w:lineRule="auto"/>
        <w:jc w:val="both"/>
      </w:pPr>
      <w:r>
        <w:t>A key insight is that the mechanism of effect is not purely behavioural reminder-driven, but cognitive and relational. Participants in the qualitative study by Newhouse et al. (2024) described feeling supported in thinking about their health more generally, suggesting that SMS interventions may contribute to a shift in health identity over time. This aligns with Farmer et al. (2021), who reported changes in self-efficacy and intention, both of which are established predictors of adherence (Sabaté, 2003). Importantly, these findings challenge the assumption that digital tools benefit only “digitally confident” patients or those newly diagnosed, since value was perceived across diverse sub-groups including those with established self-management routines.</w:t>
      </w:r>
    </w:p>
    <w:p w14:paraId="2DD4AAA0" w14:textId="77777777" w:rsidR="0017518F" w:rsidRDefault="00104A4A">
      <w:pPr>
        <w:spacing w:after="120" w:line="360" w:lineRule="auto"/>
        <w:jc w:val="both"/>
      </w:pPr>
      <w:r>
        <w:t>Another noteworthy finding is the consistency of the evidence across different study designs. The four studies included in this review used different methodologies, ranging from systematic review to qualitative interviews, but reached complementary conclusions about the value of targeted, contextually relevant messaging. This convergence strengthens the confidence with which the findings can be applied to UK practice, while also highlighting areas where further investigation is needed, such as long-term outcomes beyond 12 months and cost-effectiveness at scale.</w:t>
      </w:r>
    </w:p>
    <w:p w14:paraId="52A27DB0" w14:textId="77777777" w:rsidR="0017518F" w:rsidRDefault="00104A4A">
      <w:pPr>
        <w:pStyle w:val="Titlu2"/>
        <w:spacing w:line="360" w:lineRule="auto"/>
      </w:pPr>
      <w:r>
        <w:t>5.2 Implications for Health and Social Care</w:t>
      </w:r>
    </w:p>
    <w:p w14:paraId="3EBCA04E" w14:textId="72C9EC46" w:rsidR="0017518F" w:rsidRDefault="00104A4A">
      <w:pPr>
        <w:spacing w:after="120" w:line="360" w:lineRule="auto"/>
        <w:jc w:val="both"/>
      </w:pPr>
      <w:r>
        <w:t xml:space="preserve">For UK practice, the evidence supports integrating text messaging interventions into existing primary care pathways rather than offering them as standalone solutions. The NHS Long Term Plan (NHS England, 2019) and the Plan for Digital Health and Social Care (Department of Health and Social Care, 2022) already advocate for </w:t>
      </w:r>
      <w:r w:rsidR="000D38F2">
        <w:t>digitally enabled</w:t>
      </w:r>
      <w:r>
        <w:t xml:space="preserve"> chronic disease </w:t>
      </w:r>
      <w:r>
        <w:lastRenderedPageBreak/>
        <w:t>management, and these findings offer practical support for such integration. However, the findings also raise important caveats. First, the benefits depend on the quality of the content and the degree to which it is contextually relevant; a poorly designed SMS programme is unlikely to deliver the same outcomes. Second, the mixed experiences reported by participants in Newhouse et al. (2024) regarding their interactions with health professionals highlight that technology cannot substitute for a functioning therapeutic relationship.</w:t>
      </w:r>
    </w:p>
    <w:p w14:paraId="655EA23B" w14:textId="77777777" w:rsidR="0017518F" w:rsidRDefault="00104A4A">
      <w:pPr>
        <w:spacing w:after="120" w:line="360" w:lineRule="auto"/>
        <w:jc w:val="both"/>
      </w:pPr>
      <w:r>
        <w:t>There is also a clear equity consideration. With 11.7 million people in the UK lacking basic digital skills (Lloyds Bank, 2023), a digital-first approach risks widening existing inequalities unless it is accompanied by alternative access routes and digital literacy support (Honeyman, Maguire and Evans, 2020). This is particularly relevant to older adults, people living in deprivation, and minority ethnic communities, all of whom are overrepresented among those affected by T2D (Diabetes UK, 2023).</w:t>
      </w:r>
    </w:p>
    <w:p w14:paraId="7A829FBA" w14:textId="77777777" w:rsidR="0017518F" w:rsidRDefault="00104A4A">
      <w:pPr>
        <w:pStyle w:val="Titlu2"/>
        <w:spacing w:line="360" w:lineRule="auto"/>
      </w:pPr>
      <w:r>
        <w:t>5.3 Limitations</w:t>
      </w:r>
    </w:p>
    <w:p w14:paraId="00368ACD" w14:textId="77777777" w:rsidR="0017518F" w:rsidRDefault="00104A4A">
      <w:pPr>
        <w:spacing w:after="120" w:line="360" w:lineRule="auto"/>
        <w:jc w:val="both"/>
      </w:pPr>
      <w:r>
        <w:t>This scoping review has several limitations that should be acknowledged. First, only four studies were included, which is consistent with the scoping review guidance (Munn et al., 2018) but limits the breadth of evidence synthesised. Second, only one of the four studies (Dobson et al., 2018) was conducted outside the UK, and although its findings are widely cited in UK digital health policy, cultural and system-level differences may affect transferability. Third, the search was restricted to three databases and to English-language publications, which may have excluded relevant grey literature. Fourth, thematic analysis is an interpretive method and reflects the researcher’s positionality; steps to minimise bias included following Braun and Clarke’s (2006) structured approach and transparent documentation of coding decisions. Finally, the studies reviewed reported relatively short follow-up periods (up to 12 months), meaning that the long-term cost-effectiveness and sustainability of these interventions at scale remain uncertain.</w:t>
      </w:r>
    </w:p>
    <w:p w14:paraId="47778110" w14:textId="77777777" w:rsidR="0017518F" w:rsidRDefault="00104A4A">
      <w:pPr>
        <w:pStyle w:val="Titlu1"/>
        <w:spacing w:line="360" w:lineRule="auto"/>
      </w:pPr>
      <w:r>
        <w:t>6. Conclusion and Recommendations</w:t>
      </w:r>
    </w:p>
    <w:p w14:paraId="4E9F0B32" w14:textId="77777777" w:rsidR="0017518F" w:rsidRDefault="00104A4A">
      <w:pPr>
        <w:spacing w:after="120" w:line="360" w:lineRule="auto"/>
        <w:jc w:val="both"/>
      </w:pPr>
      <w:r>
        <w:t xml:space="preserve">This scoping review set out to synthesise UK-relevant evidence on digital text messaging interventions supporting medication adherence in people living with Type 2 diabetes. Drawing on four peer-reviewed studies, the review found consistent evidence that SMS-based interventions are acceptable, low-cost, and capable of producing modest improvements in both clinical and experiential outcomes. Three themes emerged from the analysis: the importance of contextual fit, the cognitive and behavioural mechanisms through which change occurs, and the structural barriers that limit equitable implementation. Together, these findings </w:t>
      </w:r>
      <w:r>
        <w:lastRenderedPageBreak/>
        <w:t>suggest that text messaging is most effective when it is tailored, embedded within broader care pathways, and supported by attention to digital equity.</w:t>
      </w:r>
    </w:p>
    <w:p w14:paraId="467D50DC" w14:textId="77777777" w:rsidR="0017518F" w:rsidRDefault="00104A4A">
      <w:pPr>
        <w:spacing w:after="120" w:line="360" w:lineRule="auto"/>
        <w:jc w:val="both"/>
      </w:pPr>
      <w:r>
        <w:t>Several recommendations follow from this review. For UK practice, commissioners should consider integrating text messaging interventions such as SuMMiT-D within existing primary care self-management pathways, ensuring that content is evidence-based and contextually relevant. Clinicians should be encouraged to frame digital tools as supplementary to, rather than a replacement for, human interaction. For policy, the NHS and Department of Health and Social Care should continue to invest in infrastructure that supports digital equity, including non-digital alternatives for those who are excluded. For future research, larger and more diverse UK-based trials are needed, particularly those that include long-term follow-up, cost-effectiveness analysis, and deliberate recruitment of underrepresented groups. Such research will help to ensure that digital transformation in diabetes care benefits the whole population rather than only those already well-positioned to engage with it.</w:t>
      </w:r>
    </w:p>
    <w:p w14:paraId="5093DDA4" w14:textId="77777777" w:rsidR="0017518F" w:rsidRDefault="00104A4A">
      <w:pPr>
        <w:pStyle w:val="Titlu1"/>
        <w:spacing w:line="360" w:lineRule="auto"/>
      </w:pPr>
      <w:r>
        <w:t>References</w:t>
      </w:r>
    </w:p>
    <w:p w14:paraId="53AAAEA0" w14:textId="77777777" w:rsidR="0017518F" w:rsidRDefault="00104A4A">
      <w:pPr>
        <w:spacing w:after="160" w:line="360" w:lineRule="auto"/>
        <w:ind w:left="720" w:hanging="720"/>
      </w:pPr>
      <w:r>
        <w:t>Arambepola, C., Ricci-Cabello, I., Manikavasagam, P., Roberts, N., French, D.P. and Farmer, A. (2016) ‘The impact of automated brief messages promoting lifestyle changes delivered via mobile devices to people with type 2 diabetes: a systematic literature review and meta-analysis of controlled trials’, Journal of Medical Internet Research, 18(4), p. e86.</w:t>
      </w:r>
    </w:p>
    <w:p w14:paraId="55FA05FE" w14:textId="77777777" w:rsidR="0017518F" w:rsidRDefault="00104A4A">
      <w:pPr>
        <w:spacing w:after="160" w:line="360" w:lineRule="auto"/>
        <w:ind w:left="720" w:hanging="720"/>
      </w:pPr>
      <w:r>
        <w:t>Arksey, H. and O’Malley, L. (2005) ‘Scoping studies: towards a methodological framework’, International Journal of Social Research Methodology, 8(1), pp. 19–32.</w:t>
      </w:r>
    </w:p>
    <w:p w14:paraId="73C4C141" w14:textId="77777777" w:rsidR="0017518F" w:rsidRDefault="00104A4A">
      <w:pPr>
        <w:spacing w:after="160" w:line="360" w:lineRule="auto"/>
        <w:ind w:left="720" w:hanging="720"/>
      </w:pPr>
      <w:r>
        <w:t>Braun, V. and Clarke, V. (2006) ‘Using thematic analysis in psychology’, Qualitative Research in Psychology, 3(2), pp. 77–101.</w:t>
      </w:r>
    </w:p>
    <w:p w14:paraId="5E36CE9A" w14:textId="77777777" w:rsidR="0017518F" w:rsidRDefault="00104A4A">
      <w:pPr>
        <w:spacing w:after="160" w:line="360" w:lineRule="auto"/>
        <w:ind w:left="720" w:hanging="720"/>
      </w:pPr>
      <w:r>
        <w:t>Cutler, R.L., Fernandez-Llimos, F., Frommer, M., Benrimoj, C. and Garcia-Cardenas, V. (2018) ‘Economic impact of medication non-adherence by disease groups: a systematic review’, BMJ Open, 8(1), p. e016982.</w:t>
      </w:r>
    </w:p>
    <w:p w14:paraId="77A0CAAD" w14:textId="77777777" w:rsidR="0017518F" w:rsidRDefault="00104A4A">
      <w:pPr>
        <w:spacing w:after="160" w:line="360" w:lineRule="auto"/>
        <w:ind w:left="720" w:hanging="720"/>
      </w:pPr>
      <w:r>
        <w:t>Department of Health and Social Care (2022) A Plan for Digital Health and Social Care. London: DHSC.</w:t>
      </w:r>
    </w:p>
    <w:p w14:paraId="6E8C3BCA" w14:textId="77777777" w:rsidR="0017518F" w:rsidRDefault="00104A4A">
      <w:pPr>
        <w:spacing w:after="160" w:line="360" w:lineRule="auto"/>
        <w:ind w:left="720" w:hanging="720"/>
      </w:pPr>
      <w:r>
        <w:t>Diabetes UK (2023) Diabetes Statistics: UK Prevalence and Trends. London: Diabetes UK.</w:t>
      </w:r>
    </w:p>
    <w:p w14:paraId="14DEB8C9" w14:textId="77777777" w:rsidR="0017518F" w:rsidRDefault="00104A4A">
      <w:pPr>
        <w:spacing w:after="160" w:line="360" w:lineRule="auto"/>
        <w:ind w:left="720" w:hanging="720"/>
      </w:pPr>
      <w:r>
        <w:t xml:space="preserve">Dobson, R., Whittaker, R., Jiang, Y., Maddison, R., Shepherd, M., McNamara, C., </w:t>
      </w:r>
      <w:proofErr w:type="spellStart"/>
      <w:r>
        <w:t>Cutfield</w:t>
      </w:r>
      <w:proofErr w:type="spellEnd"/>
      <w:r>
        <w:t xml:space="preserve">, R. and Murphy, R. (2018) ‘Effectiveness of text message based, diabetes self </w:t>
      </w:r>
      <w:r>
        <w:lastRenderedPageBreak/>
        <w:t>management support programme (SMS4BG): two arm, parallel randomised controlled trial’, BMJ, 361, p. k1959.</w:t>
      </w:r>
    </w:p>
    <w:p w14:paraId="3F63A8FF" w14:textId="77777777" w:rsidR="0017518F" w:rsidRDefault="00104A4A">
      <w:pPr>
        <w:spacing w:after="160" w:line="360" w:lineRule="auto"/>
        <w:ind w:left="720" w:hanging="720"/>
      </w:pPr>
      <w:r>
        <w:t>Farmer, A., Bobrow, K., Leon, N., Williams, N., Phiri, E., Namadingo, H., Cooper, S., Prinjha, S., Moakes, C., Hirst, J. and French, D.P. (2021) ‘Effect of a brief text-message intervention on medication adherence in adults with type 2 diabetes: the SuMMiT-D randomised clinical trial’, BMJ Open, 11(8), p. e045447.</w:t>
      </w:r>
    </w:p>
    <w:p w14:paraId="6D571E65" w14:textId="77777777" w:rsidR="0017518F" w:rsidRDefault="00104A4A">
      <w:pPr>
        <w:spacing w:after="160" w:line="360" w:lineRule="auto"/>
        <w:ind w:left="720" w:hanging="720"/>
      </w:pPr>
      <w:r>
        <w:t>Haider, R., Sudini, L., Chow, C.K. and Cheung, N.W. (2019) ‘Mobile phone text messaging in improving glycaemic control for patients with type 2 diabetes mellitus: a systematic review and meta-analysis’, Diabetes Research and Clinical Practice, 150, pp. 27–37.</w:t>
      </w:r>
    </w:p>
    <w:p w14:paraId="4235E7C7" w14:textId="77777777" w:rsidR="0017518F" w:rsidRDefault="00104A4A">
      <w:pPr>
        <w:spacing w:after="160" w:line="360" w:lineRule="auto"/>
        <w:ind w:left="720" w:hanging="720"/>
      </w:pPr>
      <w:r>
        <w:t>Hall, A.K., Cole-Lewis, H. and Bernhardt, J.M. (2015) ‘Mobile text messaging for health: a systematic review of reviews’, Annual Review of Public Health, 36, pp. 393–415.</w:t>
      </w:r>
    </w:p>
    <w:p w14:paraId="2909841A" w14:textId="77777777" w:rsidR="0017518F" w:rsidRDefault="00104A4A">
      <w:pPr>
        <w:spacing w:after="160" w:line="360" w:lineRule="auto"/>
        <w:ind w:left="720" w:hanging="720"/>
      </w:pPr>
      <w:r>
        <w:t>Health Research Authority (2022) UK Policy Framework for Health and Social Care Research. London: HRA.</w:t>
      </w:r>
    </w:p>
    <w:p w14:paraId="6D1DA5DF" w14:textId="77777777" w:rsidR="0017518F" w:rsidRDefault="00104A4A">
      <w:pPr>
        <w:spacing w:after="160" w:line="360" w:lineRule="auto"/>
        <w:ind w:left="720" w:hanging="720"/>
      </w:pPr>
      <w:r>
        <w:t>Honeyman, M., Maguire, D. and Evans, H. (2020) Digital Technology and Health Inequalities: A Scoping Review. London: The Health Foundation.</w:t>
      </w:r>
    </w:p>
    <w:p w14:paraId="25714058" w14:textId="77777777" w:rsidR="0017518F" w:rsidRDefault="00104A4A">
      <w:pPr>
        <w:spacing w:after="160" w:line="360" w:lineRule="auto"/>
        <w:ind w:left="720" w:hanging="720"/>
      </w:pPr>
      <w:r>
        <w:t>Levac, D., Colquhoun, H. and O’Brien, K.K. (2010) ‘Scoping studies: advancing the methodology’, Implementation Science, 5(1), pp. 1–9.</w:t>
      </w:r>
    </w:p>
    <w:p w14:paraId="04BE2BD7" w14:textId="77777777" w:rsidR="0017518F" w:rsidRDefault="00104A4A">
      <w:pPr>
        <w:spacing w:after="160" w:line="360" w:lineRule="auto"/>
        <w:ind w:left="720" w:hanging="720"/>
      </w:pPr>
      <w:r>
        <w:t>Lloyds Bank (2023) UK Consumer Digital Index 2023. London: Lloyds Banking Group.</w:t>
      </w:r>
    </w:p>
    <w:p w14:paraId="0EA48F9B" w14:textId="77777777" w:rsidR="0017518F" w:rsidRDefault="00104A4A">
      <w:pPr>
        <w:spacing w:after="160" w:line="360" w:lineRule="auto"/>
        <w:ind w:left="720" w:hanging="720"/>
      </w:pPr>
      <w:r>
        <w:t>Munn, Z., Peters, M.D., Stern, C., Tufanaru, C., McArthur, A. and Aromataris, E. (2018) ‘Systematic review or scoping review? Guidance for authors’, BMC Medical Research Methodology, 18(1), pp. 1–7.</w:t>
      </w:r>
    </w:p>
    <w:p w14:paraId="5A25DF22" w14:textId="77777777" w:rsidR="0017518F" w:rsidRDefault="00104A4A">
      <w:pPr>
        <w:spacing w:after="160" w:line="360" w:lineRule="auto"/>
        <w:ind w:left="720" w:hanging="720"/>
      </w:pPr>
      <w:r>
        <w:t>Newhouse, N., Simao, S.C., Miles, L., Cholerton, R., Kenning, C., Locock, L., Williams, V., French, D.P., Rea, R. and Farmer, A. (2024) ‘Experiences of using a digital text messaging intervention to support oral medication adherence for people living with type 2 diabetes: qualitative process evaluation’, Journal of Medical Internet Research, 26, p. e53172.</w:t>
      </w:r>
    </w:p>
    <w:p w14:paraId="79EE1389" w14:textId="77777777" w:rsidR="0017518F" w:rsidRDefault="00104A4A">
      <w:pPr>
        <w:spacing w:after="160" w:line="360" w:lineRule="auto"/>
        <w:ind w:left="720" w:hanging="720"/>
      </w:pPr>
      <w:r>
        <w:t>NHS England (2019) The NHS Long Term Plan. London: NHS England.</w:t>
      </w:r>
    </w:p>
    <w:p w14:paraId="3D705619" w14:textId="77777777" w:rsidR="0017518F" w:rsidRDefault="00104A4A">
      <w:pPr>
        <w:spacing w:after="160" w:line="360" w:lineRule="auto"/>
        <w:ind w:left="720" w:hanging="720"/>
      </w:pPr>
      <w:r>
        <w:t>NICE (2022) Type 2 Diabetes in Adults: Management (NG28). London: National Institute for Health and Care Excellence.</w:t>
      </w:r>
    </w:p>
    <w:p w14:paraId="19A3C325" w14:textId="77777777" w:rsidR="0017518F" w:rsidRDefault="00104A4A">
      <w:pPr>
        <w:spacing w:after="160" w:line="360" w:lineRule="auto"/>
        <w:ind w:left="720" w:hanging="720"/>
      </w:pPr>
      <w:r>
        <w:t>Sabaté, E. (2003) Adherence to Long-term Therapies: Evidence for Action. Geneva: World Health Organization.</w:t>
      </w:r>
    </w:p>
    <w:p w14:paraId="3A820F8D" w14:textId="77777777" w:rsidR="0017518F" w:rsidRDefault="00104A4A">
      <w:pPr>
        <w:spacing w:after="160" w:line="360" w:lineRule="auto"/>
        <w:ind w:left="720" w:hanging="720"/>
      </w:pPr>
      <w:r>
        <w:lastRenderedPageBreak/>
        <w:t>Topol, E. (2019) The Topol Review: Preparing the Healthcare Workforce to Deliver the Digital Future. London: Health Education England.</w:t>
      </w:r>
    </w:p>
    <w:p w14:paraId="2A9B550A" w14:textId="77777777" w:rsidR="0017518F" w:rsidRDefault="00104A4A">
      <w:pPr>
        <w:spacing w:after="160" w:line="360" w:lineRule="auto"/>
        <w:ind w:left="720" w:hanging="720"/>
      </w:pPr>
      <w:r>
        <w:t>World Health Organization (2023) Diabetes Fact Sheet. Geneva: WHO.</w:t>
      </w:r>
    </w:p>
    <w:sectPr w:rsidR="0017518F">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F2D11" w14:textId="77777777" w:rsidR="007D76EB" w:rsidRDefault="007D76EB">
      <w:r>
        <w:separator/>
      </w:r>
    </w:p>
  </w:endnote>
  <w:endnote w:type="continuationSeparator" w:id="0">
    <w:p w14:paraId="06671EF1" w14:textId="77777777" w:rsidR="007D76EB" w:rsidRDefault="007D7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DAEB1" w14:textId="77777777" w:rsidR="0017518F" w:rsidRDefault="00104A4A">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F42243">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62936" w14:textId="77777777" w:rsidR="007D76EB" w:rsidRDefault="007D76EB">
      <w:r>
        <w:separator/>
      </w:r>
    </w:p>
  </w:footnote>
  <w:footnote w:type="continuationSeparator" w:id="0">
    <w:p w14:paraId="6805B3B4" w14:textId="77777777" w:rsidR="007D76EB" w:rsidRDefault="007D76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E32FF" w14:textId="184750F2" w:rsidR="0017518F" w:rsidRPr="008F56AD" w:rsidRDefault="0017518F" w:rsidP="008F56AD">
    <w:pPr>
      <w:jc w:val="center"/>
      <w:rPr>
        <w:lang w:val="ro-RO"/>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E81523"/>
    <w:multiLevelType w:val="hybridMultilevel"/>
    <w:tmpl w:val="D00623E4"/>
    <w:lvl w:ilvl="0" w:tplc="2460D0FE">
      <w:start w:val="1"/>
      <w:numFmt w:val="bullet"/>
      <w:lvlText w:val="●"/>
      <w:lvlJc w:val="left"/>
      <w:pPr>
        <w:ind w:left="720" w:hanging="360"/>
      </w:pPr>
    </w:lvl>
    <w:lvl w:ilvl="1" w:tplc="4CACE464">
      <w:start w:val="1"/>
      <w:numFmt w:val="bullet"/>
      <w:lvlText w:val="○"/>
      <w:lvlJc w:val="left"/>
      <w:pPr>
        <w:ind w:left="1440" w:hanging="360"/>
      </w:pPr>
    </w:lvl>
    <w:lvl w:ilvl="2" w:tplc="9726F4BE">
      <w:start w:val="1"/>
      <w:numFmt w:val="bullet"/>
      <w:lvlText w:val="■"/>
      <w:lvlJc w:val="left"/>
      <w:pPr>
        <w:ind w:left="2160" w:hanging="360"/>
      </w:pPr>
    </w:lvl>
    <w:lvl w:ilvl="3" w:tplc="E53E20FE">
      <w:start w:val="1"/>
      <w:numFmt w:val="bullet"/>
      <w:lvlText w:val="●"/>
      <w:lvlJc w:val="left"/>
      <w:pPr>
        <w:ind w:left="2880" w:hanging="360"/>
      </w:pPr>
    </w:lvl>
    <w:lvl w:ilvl="4" w:tplc="1B7A68AE">
      <w:start w:val="1"/>
      <w:numFmt w:val="bullet"/>
      <w:lvlText w:val="○"/>
      <w:lvlJc w:val="left"/>
      <w:pPr>
        <w:ind w:left="3600" w:hanging="360"/>
      </w:pPr>
    </w:lvl>
    <w:lvl w:ilvl="5" w:tplc="57142A2E">
      <w:start w:val="1"/>
      <w:numFmt w:val="bullet"/>
      <w:lvlText w:val="■"/>
      <w:lvlJc w:val="left"/>
      <w:pPr>
        <w:ind w:left="4320" w:hanging="360"/>
      </w:pPr>
    </w:lvl>
    <w:lvl w:ilvl="6" w:tplc="92D6B03A">
      <w:start w:val="1"/>
      <w:numFmt w:val="bullet"/>
      <w:lvlText w:val="●"/>
      <w:lvlJc w:val="left"/>
      <w:pPr>
        <w:ind w:left="5040" w:hanging="360"/>
      </w:pPr>
    </w:lvl>
    <w:lvl w:ilvl="7" w:tplc="35B0F2D2">
      <w:start w:val="1"/>
      <w:numFmt w:val="bullet"/>
      <w:lvlText w:val="●"/>
      <w:lvlJc w:val="left"/>
      <w:pPr>
        <w:ind w:left="5760" w:hanging="360"/>
      </w:pPr>
    </w:lvl>
    <w:lvl w:ilvl="8" w:tplc="16B45464">
      <w:start w:val="1"/>
      <w:numFmt w:val="bullet"/>
      <w:lvlText w:val="●"/>
      <w:lvlJc w:val="left"/>
      <w:pPr>
        <w:ind w:left="6480" w:hanging="360"/>
      </w:pPr>
    </w:lvl>
  </w:abstractNum>
  <w:num w:numId="1" w16cid:durableId="61132423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18F"/>
    <w:rsid w:val="000910A7"/>
    <w:rsid w:val="000D38F2"/>
    <w:rsid w:val="00104A4A"/>
    <w:rsid w:val="0017518F"/>
    <w:rsid w:val="00190AC4"/>
    <w:rsid w:val="001A641E"/>
    <w:rsid w:val="00573792"/>
    <w:rsid w:val="00590E3F"/>
    <w:rsid w:val="00765231"/>
    <w:rsid w:val="007D76EB"/>
    <w:rsid w:val="008F56AD"/>
    <w:rsid w:val="00962E4E"/>
    <w:rsid w:val="00A00230"/>
    <w:rsid w:val="00BB11E9"/>
    <w:rsid w:val="00BD3194"/>
    <w:rsid w:val="00D07BE5"/>
    <w:rsid w:val="00D23924"/>
    <w:rsid w:val="00D74036"/>
    <w:rsid w:val="00DB6BC8"/>
    <w:rsid w:val="00DC2F4C"/>
    <w:rsid w:val="00F42243"/>
    <w:rsid w:val="00FB0442"/>
    <w:rsid w:val="00FD50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85158"/>
  <w15:docId w15:val="{C21A07FF-C790-4D6D-87E7-950754089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spacing w:before="360" w:after="160"/>
      <w:outlineLvl w:val="0"/>
    </w:pPr>
    <w:rPr>
      <w:b/>
      <w:bCs/>
      <w:sz w:val="28"/>
      <w:szCs w:val="28"/>
    </w:rPr>
  </w:style>
  <w:style w:type="paragraph" w:styleId="Titlu2">
    <w:name w:val="heading 2"/>
    <w:link w:val="Titlu2Caracter"/>
    <w:uiPriority w:val="9"/>
    <w:unhideWhenUsed/>
    <w:qFormat/>
    <w:pPr>
      <w:spacing w:before="240" w:after="120"/>
      <w:outlineLvl w:val="1"/>
    </w:pPr>
    <w:rPr>
      <w:b/>
      <w:bCs/>
      <w:sz w:val="24"/>
      <w:szCs w:val="24"/>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 w:type="character" w:customStyle="1" w:styleId="Titlu2Caracter">
    <w:name w:val="Titlu 2 Caracter"/>
    <w:basedOn w:val="Fontdeparagrafimplicit"/>
    <w:link w:val="Titlu2"/>
    <w:uiPriority w:val="9"/>
    <w:rsid w:val="00D07BE5"/>
    <w:rPr>
      <w:b/>
      <w:bCs/>
      <w:sz w:val="24"/>
      <w:szCs w:val="24"/>
    </w:rPr>
  </w:style>
  <w:style w:type="paragraph" w:styleId="Antet">
    <w:name w:val="header"/>
    <w:basedOn w:val="Normal"/>
    <w:link w:val="AntetCaracter"/>
    <w:uiPriority w:val="99"/>
    <w:unhideWhenUsed/>
    <w:rsid w:val="008F56AD"/>
    <w:pPr>
      <w:tabs>
        <w:tab w:val="center" w:pos="4513"/>
        <w:tab w:val="right" w:pos="9026"/>
      </w:tabs>
    </w:pPr>
  </w:style>
  <w:style w:type="character" w:customStyle="1" w:styleId="AntetCaracter">
    <w:name w:val="Antet Caracter"/>
    <w:basedOn w:val="Fontdeparagrafimplicit"/>
    <w:link w:val="Antet"/>
    <w:uiPriority w:val="99"/>
    <w:rsid w:val="008F56AD"/>
  </w:style>
  <w:style w:type="paragraph" w:styleId="Subsol">
    <w:name w:val="footer"/>
    <w:basedOn w:val="Normal"/>
    <w:link w:val="SubsolCaracter"/>
    <w:uiPriority w:val="99"/>
    <w:unhideWhenUsed/>
    <w:rsid w:val="008F56AD"/>
    <w:pPr>
      <w:tabs>
        <w:tab w:val="center" w:pos="4513"/>
        <w:tab w:val="right" w:pos="9026"/>
      </w:tabs>
    </w:pPr>
  </w:style>
  <w:style w:type="character" w:customStyle="1" w:styleId="SubsolCaracter">
    <w:name w:val="Subsol Caracter"/>
    <w:basedOn w:val="Fontdeparagrafimplicit"/>
    <w:link w:val="Subsol"/>
    <w:uiPriority w:val="99"/>
    <w:rsid w:val="008F5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4529</Words>
  <Characters>26269</Characters>
  <Application>Microsoft Office Word</Application>
  <DocSecurity>0</DocSecurity>
  <Lines>218</Lines>
  <Paragraphs>61</Paragraphs>
  <ScaleCrop>false</ScaleCrop>
  <Company/>
  <LinksUpToDate>false</LinksUpToDate>
  <CharactersWithSpaces>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Andreea Anca (2327259)</cp:lastModifiedBy>
  <cp:revision>17</cp:revision>
  <dcterms:created xsi:type="dcterms:W3CDTF">2026-04-15T10:50:00Z</dcterms:created>
  <dcterms:modified xsi:type="dcterms:W3CDTF">2026-04-17T20:16:00Z</dcterms:modified>
</cp:coreProperties>
</file>