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137488" w14:textId="77777777" w:rsidR="00F76469" w:rsidRDefault="00F76469"/>
    <w:sdt>
      <w:sdtPr>
        <w:id w:val="345380011"/>
        <w:docPartObj>
          <w:docPartGallery w:val="Cover Pages"/>
          <w:docPartUnique/>
        </w:docPartObj>
      </w:sdtPr>
      <w:sdtEndPr>
        <w:rPr>
          <w:rFonts w:ascii="Arial" w:hAnsi="Arial" w:cs="Arial"/>
          <w:noProof/>
          <w:sz w:val="40"/>
          <w:szCs w:val="40"/>
        </w:rPr>
      </w:sdtEndPr>
      <w:sdtContent>
        <w:p w14:paraId="52D0D186" w14:textId="48A402FD" w:rsidR="00616FA2" w:rsidRDefault="00616FA2">
          <w:pPr>
            <w:rPr>
              <w:noProof/>
            </w:rPr>
          </w:pPr>
        </w:p>
        <w:p w14:paraId="2643682E" w14:textId="73FC9DAC" w:rsidR="00616FA2" w:rsidRDefault="00616FA2">
          <w:r>
            <w:rPr>
              <w:noProof/>
            </w:rPr>
            <mc:AlternateContent>
              <mc:Choice Requires="wpg">
                <w:drawing>
                  <wp:anchor distT="0" distB="0" distL="114300" distR="114300" simplePos="0" relativeHeight="251658240" behindDoc="0" locked="0" layoutInCell="1" allowOverlap="1" wp14:anchorId="030083C8" wp14:editId="45CC45A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72FAE3" id="Group 157" o:spid="_x0000_s1026" style="position:absolute;margin-left:0;margin-top:0;width:8in;height:95.7pt;z-index:25165824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57A2366" w14:textId="77777777" w:rsidR="00616FA2" w:rsidRDefault="00616FA2"/>
        <w:p w14:paraId="4DD77ECE" w14:textId="0E915322" w:rsidR="008C5E34" w:rsidRDefault="008C5E34">
          <w:pPr>
            <w:rPr>
              <w:rFonts w:ascii="Arial" w:eastAsia="Calibri" w:hAnsi="Arial" w:cs="Arial"/>
              <w:sz w:val="40"/>
              <w:szCs w:val="40"/>
            </w:rPr>
          </w:pPr>
        </w:p>
        <w:p w14:paraId="44797385" w14:textId="6A6AB43F" w:rsidR="00EB5022" w:rsidRPr="009D7D92" w:rsidRDefault="00EB5022" w:rsidP="00FD0B15">
          <w:pPr>
            <w:rPr>
              <w:rFonts w:ascii="Arial" w:hAnsi="Arial" w:cs="Arial"/>
              <w:noProof/>
              <w:sz w:val="36"/>
              <w:szCs w:val="36"/>
            </w:rPr>
          </w:pPr>
        </w:p>
        <w:p w14:paraId="0E9D1B51" w14:textId="77777777" w:rsidR="00EB5022" w:rsidRDefault="00EB5022" w:rsidP="00017062">
          <w:pPr>
            <w:jc w:val="center"/>
            <w:rPr>
              <w:rFonts w:ascii="Arial" w:hAnsi="Arial" w:cs="Arial"/>
              <w:noProof/>
              <w:sz w:val="48"/>
              <w:szCs w:val="48"/>
            </w:rPr>
          </w:pPr>
        </w:p>
        <w:p w14:paraId="74B78FEA" w14:textId="41C038D0" w:rsidR="00017062" w:rsidRDefault="00017062" w:rsidP="00017062">
          <w:pPr>
            <w:jc w:val="center"/>
            <w:rPr>
              <w:rFonts w:ascii="Arial" w:hAnsi="Arial" w:cs="Arial"/>
              <w:noProof/>
              <w:sz w:val="48"/>
              <w:szCs w:val="48"/>
            </w:rPr>
          </w:pPr>
          <w:r w:rsidRPr="00017062">
            <w:rPr>
              <w:rFonts w:ascii="Arial" w:hAnsi="Arial" w:cs="Arial"/>
              <w:noProof/>
              <w:sz w:val="48"/>
              <w:szCs w:val="48"/>
            </w:rPr>
            <w:t xml:space="preserve">MSc </w:t>
          </w:r>
          <w:r w:rsidR="0009739B">
            <w:rPr>
              <w:rFonts w:ascii="Arial" w:hAnsi="Arial" w:cs="Arial"/>
              <w:noProof/>
              <w:sz w:val="48"/>
              <w:szCs w:val="48"/>
            </w:rPr>
            <w:t xml:space="preserve">- </w:t>
          </w:r>
          <w:r w:rsidRPr="00017062">
            <w:rPr>
              <w:rFonts w:ascii="Arial" w:hAnsi="Arial" w:cs="Arial"/>
              <w:noProof/>
              <w:sz w:val="48"/>
              <w:szCs w:val="48"/>
            </w:rPr>
            <w:t xml:space="preserve">Public Health </w:t>
          </w:r>
        </w:p>
        <w:p w14:paraId="7DF29D89" w14:textId="77777777" w:rsidR="00017062" w:rsidRPr="00017062" w:rsidRDefault="00017062" w:rsidP="00017062">
          <w:pPr>
            <w:jc w:val="center"/>
            <w:rPr>
              <w:rFonts w:ascii="Arial" w:hAnsi="Arial" w:cs="Arial"/>
              <w:noProof/>
              <w:sz w:val="48"/>
              <w:szCs w:val="48"/>
            </w:rPr>
          </w:pPr>
        </w:p>
        <w:p w14:paraId="5B7A85C6" w14:textId="567821F5" w:rsidR="00681F8B" w:rsidRDefault="00E43A2C" w:rsidP="00E43A2C">
          <w:pPr>
            <w:jc w:val="center"/>
            <w:rPr>
              <w:rFonts w:ascii="Arial" w:hAnsi="Arial" w:cs="Arial"/>
              <w:sz w:val="40"/>
              <w:szCs w:val="40"/>
            </w:rPr>
          </w:pPr>
          <w:r>
            <w:rPr>
              <w:rFonts w:ascii="Arial" w:hAnsi="Arial" w:cs="Arial"/>
              <w:noProof/>
              <w:sz w:val="36"/>
              <w:szCs w:val="36"/>
            </w:rPr>
            <w:t>University of Wales Trinity St David</w:t>
          </w:r>
        </w:p>
        <w:p w14:paraId="59C998B2" w14:textId="77777777" w:rsidR="00681F8B" w:rsidRDefault="00681F8B" w:rsidP="00681F8B">
          <w:pPr>
            <w:spacing w:line="360" w:lineRule="auto"/>
            <w:jc w:val="center"/>
            <w:rPr>
              <w:rFonts w:ascii="Arial" w:hAnsi="Arial" w:cs="Arial"/>
              <w:sz w:val="32"/>
              <w:szCs w:val="32"/>
            </w:rPr>
          </w:pPr>
        </w:p>
        <w:p w14:paraId="6FB3D582" w14:textId="77777777" w:rsidR="00FD0B15" w:rsidRDefault="00FD0B15" w:rsidP="00681F8B">
          <w:pPr>
            <w:spacing w:line="360" w:lineRule="auto"/>
            <w:jc w:val="center"/>
            <w:rPr>
              <w:rFonts w:ascii="Arial" w:hAnsi="Arial" w:cs="Arial"/>
              <w:sz w:val="32"/>
              <w:szCs w:val="32"/>
            </w:rPr>
          </w:pPr>
        </w:p>
        <w:p w14:paraId="794E9FB8" w14:textId="240BB1E1" w:rsidR="00681F8B" w:rsidRDefault="00681F8B" w:rsidP="00681F8B">
          <w:pPr>
            <w:spacing w:line="360" w:lineRule="auto"/>
            <w:jc w:val="center"/>
            <w:rPr>
              <w:rFonts w:ascii="Arial" w:hAnsi="Arial" w:cs="Arial"/>
              <w:sz w:val="32"/>
              <w:szCs w:val="32"/>
            </w:rPr>
          </w:pPr>
          <w:r w:rsidRPr="00AF486F">
            <w:rPr>
              <w:rFonts w:ascii="Arial" w:hAnsi="Arial" w:cs="Arial"/>
              <w:sz w:val="32"/>
              <w:szCs w:val="32"/>
            </w:rPr>
            <w:t xml:space="preserve">Systematic Literature Review Research </w:t>
          </w:r>
        </w:p>
        <w:p w14:paraId="37D86030" w14:textId="77777777" w:rsidR="00681F8B" w:rsidRDefault="00681F8B" w:rsidP="00681F8B">
          <w:pPr>
            <w:spacing w:line="360" w:lineRule="auto"/>
            <w:jc w:val="center"/>
            <w:rPr>
              <w:rFonts w:ascii="Arial" w:hAnsi="Arial" w:cs="Arial"/>
              <w:sz w:val="32"/>
              <w:szCs w:val="32"/>
            </w:rPr>
          </w:pPr>
        </w:p>
        <w:p w14:paraId="2ECAECCD" w14:textId="77777777" w:rsidR="00681F8B" w:rsidRDefault="00681F8B" w:rsidP="00681F8B">
          <w:pPr>
            <w:spacing w:line="360" w:lineRule="auto"/>
            <w:jc w:val="center"/>
            <w:rPr>
              <w:rFonts w:ascii="Arial" w:hAnsi="Arial" w:cs="Arial"/>
              <w:sz w:val="32"/>
              <w:szCs w:val="32"/>
            </w:rPr>
          </w:pPr>
        </w:p>
        <w:p w14:paraId="26585BC4" w14:textId="77777777" w:rsidR="00681F8B" w:rsidRDefault="00681F8B" w:rsidP="00681F8B">
          <w:pPr>
            <w:spacing w:line="360" w:lineRule="auto"/>
            <w:jc w:val="center"/>
            <w:rPr>
              <w:rFonts w:ascii="Arial" w:hAnsi="Arial" w:cs="Arial"/>
              <w:sz w:val="32"/>
              <w:szCs w:val="32"/>
            </w:rPr>
          </w:pPr>
        </w:p>
        <w:p w14:paraId="05A0A29D" w14:textId="627B116D" w:rsidR="00681F8B" w:rsidRDefault="00681F8B" w:rsidP="00681F8B">
          <w:pPr>
            <w:spacing w:line="360" w:lineRule="auto"/>
            <w:jc w:val="center"/>
            <w:rPr>
              <w:rFonts w:ascii="Arial" w:hAnsi="Arial" w:cs="Arial"/>
              <w:sz w:val="32"/>
              <w:szCs w:val="32"/>
            </w:rPr>
          </w:pPr>
          <w:r w:rsidRPr="00AF486F">
            <w:rPr>
              <w:rFonts w:ascii="Arial" w:hAnsi="Arial" w:cs="Arial"/>
              <w:sz w:val="32"/>
              <w:szCs w:val="32"/>
            </w:rPr>
            <w:t>The Association Between ADHD Medication and Cardiovascular Events in Middel – Aged Men.</w:t>
          </w:r>
        </w:p>
        <w:p w14:paraId="193AB47E" w14:textId="77777777" w:rsidR="00681F8B" w:rsidRDefault="00681F8B" w:rsidP="00681F8B">
          <w:pPr>
            <w:spacing w:line="360" w:lineRule="auto"/>
            <w:jc w:val="center"/>
            <w:rPr>
              <w:rFonts w:ascii="Arial" w:hAnsi="Arial" w:cs="Arial"/>
              <w:noProof/>
              <w:sz w:val="32"/>
              <w:szCs w:val="32"/>
            </w:rPr>
          </w:pPr>
        </w:p>
        <w:p w14:paraId="1918CD5F" w14:textId="77777777" w:rsidR="00681F8B" w:rsidRDefault="00681F8B" w:rsidP="00681F8B">
          <w:pPr>
            <w:spacing w:line="360" w:lineRule="auto"/>
            <w:jc w:val="center"/>
            <w:rPr>
              <w:rFonts w:ascii="Arial" w:hAnsi="Arial" w:cs="Arial"/>
              <w:noProof/>
              <w:sz w:val="32"/>
              <w:szCs w:val="32"/>
            </w:rPr>
          </w:pPr>
        </w:p>
        <w:p w14:paraId="2119F88F" w14:textId="47A65265" w:rsidR="00681F8B" w:rsidRPr="00FD0B15" w:rsidRDefault="00681F8B" w:rsidP="00FD0B15">
          <w:pPr>
            <w:spacing w:line="360" w:lineRule="auto"/>
            <w:jc w:val="center"/>
            <w:rPr>
              <w:rFonts w:ascii="Arial" w:hAnsi="Arial" w:cs="Arial"/>
              <w:sz w:val="32"/>
              <w:szCs w:val="32"/>
            </w:rPr>
          </w:pPr>
          <w:r w:rsidRPr="00AF486F">
            <w:rPr>
              <w:rFonts w:ascii="Arial" w:hAnsi="Arial" w:cs="Arial"/>
              <w:noProof/>
              <w:sz w:val="32"/>
              <w:szCs w:val="32"/>
            </w:rPr>
            <w:t xml:space="preserve">By Carrie Jelfs </w:t>
          </w:r>
        </w:p>
        <w:p w14:paraId="7C614496" w14:textId="77777777" w:rsidR="00681F8B" w:rsidRDefault="00681F8B" w:rsidP="00681F8B">
          <w:pPr>
            <w:spacing w:line="360" w:lineRule="auto"/>
            <w:jc w:val="center"/>
            <w:rPr>
              <w:rFonts w:ascii="Arial" w:hAnsi="Arial" w:cs="Arial"/>
            </w:rPr>
          </w:pPr>
        </w:p>
        <w:p w14:paraId="39410F34" w14:textId="77777777" w:rsidR="00681F8B" w:rsidRDefault="00681F8B" w:rsidP="00FD0B15">
          <w:pPr>
            <w:spacing w:line="360" w:lineRule="auto"/>
            <w:rPr>
              <w:rFonts w:ascii="Arial" w:hAnsi="Arial" w:cs="Arial"/>
            </w:rPr>
          </w:pPr>
        </w:p>
        <w:p w14:paraId="0FF108BF" w14:textId="77777777" w:rsidR="00681F8B" w:rsidRDefault="00681F8B" w:rsidP="00681F8B">
          <w:pPr>
            <w:spacing w:line="360" w:lineRule="auto"/>
            <w:jc w:val="center"/>
            <w:rPr>
              <w:rFonts w:ascii="Arial" w:hAnsi="Arial" w:cs="Arial"/>
            </w:rPr>
          </w:pPr>
        </w:p>
        <w:p w14:paraId="2CE94C79" w14:textId="77777777" w:rsidR="00681F8B" w:rsidRPr="002732E8" w:rsidRDefault="00681F8B" w:rsidP="00681F8B">
          <w:pPr>
            <w:spacing w:line="360" w:lineRule="auto"/>
            <w:jc w:val="center"/>
            <w:rPr>
              <w:rFonts w:ascii="Arial" w:hAnsi="Arial" w:cs="Arial"/>
            </w:rPr>
          </w:pPr>
          <w:r w:rsidRPr="002732E8">
            <w:rPr>
              <w:rFonts w:ascii="Arial" w:hAnsi="Arial" w:cs="Arial"/>
            </w:rPr>
            <w:t xml:space="preserve">Dissertation submitted as part of the requirements for the award of MSc Public Health and Social Care in Practice </w:t>
          </w:r>
        </w:p>
        <w:p w14:paraId="0D278392" w14:textId="77777777" w:rsidR="00681F8B" w:rsidRDefault="00681F8B" w:rsidP="00681F8B">
          <w:pPr>
            <w:jc w:val="center"/>
          </w:pPr>
        </w:p>
        <w:p w14:paraId="748A17CB" w14:textId="02882AD4" w:rsidR="00681F8B" w:rsidRDefault="00681F8B" w:rsidP="00FD0B15">
          <w:pPr>
            <w:jc w:val="center"/>
            <w:rPr>
              <w:rFonts w:ascii="Arial" w:hAnsi="Arial" w:cs="Arial"/>
              <w:noProof/>
              <w:sz w:val="36"/>
              <w:szCs w:val="36"/>
            </w:rPr>
          </w:pPr>
          <w:r w:rsidRPr="00AF486F">
            <w:rPr>
              <w:rFonts w:ascii="Arial" w:hAnsi="Arial" w:cs="Arial"/>
            </w:rPr>
            <w:t>202</w:t>
          </w:r>
          <w:r w:rsidR="00CF2704">
            <w:rPr>
              <w:rFonts w:ascii="Arial" w:hAnsi="Arial" w:cs="Arial"/>
            </w:rPr>
            <w:t>6</w:t>
          </w:r>
        </w:p>
        <w:p w14:paraId="3637D312" w14:textId="77777777" w:rsidR="00FD0B15" w:rsidRPr="00FD0B15" w:rsidRDefault="00FD0B15" w:rsidP="00FD0B15">
          <w:pPr>
            <w:jc w:val="center"/>
            <w:rPr>
              <w:rFonts w:ascii="Arial" w:hAnsi="Arial" w:cs="Arial"/>
              <w:noProof/>
              <w:sz w:val="36"/>
              <w:szCs w:val="36"/>
            </w:rPr>
          </w:pPr>
        </w:p>
        <w:p w14:paraId="060143E5" w14:textId="77777777" w:rsidR="00681F8B" w:rsidRDefault="00681F8B" w:rsidP="00493C03">
          <w:pPr>
            <w:spacing w:line="360" w:lineRule="auto"/>
            <w:rPr>
              <w:rFonts w:ascii="Arial" w:hAnsi="Arial" w:cs="Arial"/>
              <w:sz w:val="32"/>
              <w:szCs w:val="32"/>
            </w:rPr>
          </w:pPr>
        </w:p>
        <w:p w14:paraId="695E1E2E" w14:textId="70BFB7F6" w:rsidR="00493C03" w:rsidRPr="00493C03" w:rsidRDefault="00493C03" w:rsidP="00493C03">
          <w:pPr>
            <w:spacing w:line="360" w:lineRule="auto"/>
            <w:rPr>
              <w:rFonts w:ascii="Arial" w:hAnsi="Arial" w:cs="Arial"/>
              <w:sz w:val="32"/>
              <w:szCs w:val="32"/>
            </w:rPr>
          </w:pPr>
          <w:r w:rsidRPr="00493C03">
            <w:rPr>
              <w:rFonts w:ascii="Arial" w:hAnsi="Arial" w:cs="Arial"/>
              <w:sz w:val="32"/>
              <w:szCs w:val="32"/>
            </w:rPr>
            <w:t>Declaration</w:t>
          </w:r>
        </w:p>
        <w:p w14:paraId="6E27CCC8" w14:textId="77777777" w:rsidR="00663269" w:rsidRPr="00663269" w:rsidRDefault="008C5CC8" w:rsidP="00663269">
          <w:pPr>
            <w:spacing w:line="360" w:lineRule="auto"/>
            <w:rPr>
              <w:rFonts w:ascii="Arial" w:hAnsi="Arial" w:cs="Arial"/>
            </w:rPr>
          </w:pPr>
          <w:r w:rsidRPr="00663269">
            <w:rPr>
              <w:rFonts w:ascii="Arial" w:hAnsi="Arial" w:cs="Arial"/>
            </w:rPr>
            <w:t>I, Carrie Jelfs</w:t>
          </w:r>
          <w:r w:rsidR="00663269" w:rsidRPr="00663269">
            <w:rPr>
              <w:rFonts w:ascii="Arial" w:hAnsi="Arial" w:cs="Arial"/>
            </w:rPr>
            <w:t>,</w:t>
          </w:r>
          <w:r w:rsidRPr="00663269">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0B22FD1" w14:textId="3C67D47A" w:rsidR="00663269" w:rsidRDefault="00663269" w:rsidP="00663269">
          <w:pPr>
            <w:spacing w:line="360" w:lineRule="auto"/>
            <w:rPr>
              <w:rFonts w:ascii="Arial" w:hAnsi="Arial" w:cs="Arial"/>
            </w:rPr>
          </w:pPr>
          <w:r w:rsidRPr="00663269">
            <w:rPr>
              <w:rFonts w:ascii="Arial" w:hAnsi="Arial" w:cs="Arial"/>
            </w:rPr>
            <w:t>Signature: ...........</w:t>
          </w:r>
          <w:r>
            <w:rPr>
              <w:rFonts w:ascii="Arial" w:hAnsi="Arial" w:cs="Arial"/>
            </w:rPr>
            <w:t>CJ</w:t>
          </w:r>
          <w:r w:rsidRPr="00663269">
            <w:rPr>
              <w:rFonts w:ascii="Arial" w:hAnsi="Arial" w:cs="Arial"/>
            </w:rPr>
            <w:t>...........................................</w:t>
          </w:r>
          <w:r w:rsidR="008C5CC8" w:rsidRPr="00663269">
            <w:rPr>
              <w:rFonts w:ascii="Arial" w:hAnsi="Arial" w:cs="Arial"/>
            </w:rPr>
            <w:t xml:space="preserve"> </w:t>
          </w:r>
        </w:p>
        <w:p w14:paraId="49C536EA" w14:textId="34C9F483" w:rsidR="00681F8B" w:rsidRDefault="008C5CC8" w:rsidP="00663269">
          <w:pPr>
            <w:spacing w:line="360" w:lineRule="auto"/>
            <w:rPr>
              <w:rFonts w:ascii="Arial" w:hAnsi="Arial" w:cs="Arial"/>
              <w:noProof/>
              <w:sz w:val="40"/>
              <w:szCs w:val="40"/>
            </w:rPr>
          </w:pPr>
          <w:r w:rsidRPr="00663269">
            <w:rPr>
              <w:rFonts w:ascii="Arial" w:hAnsi="Arial" w:cs="Arial"/>
            </w:rPr>
            <w:t xml:space="preserve">Date: ………………………………............................ </w:t>
          </w:r>
          <w:r w:rsidR="00681F8B">
            <w:rPr>
              <w:rFonts w:ascii="Arial" w:hAnsi="Arial" w:cs="Arial"/>
              <w:noProof/>
              <w:sz w:val="40"/>
              <w:szCs w:val="40"/>
            </w:rPr>
            <w:br w:type="page"/>
          </w:r>
        </w:p>
      </w:sdtContent>
    </w:sdt>
    <w:p w14:paraId="730605B6" w14:textId="7FAA1E95" w:rsidR="00283DF2" w:rsidRPr="002323B9" w:rsidRDefault="008475B8" w:rsidP="002323B9">
      <w:r w:rsidRPr="00AF486F">
        <w:rPr>
          <w:rFonts w:ascii="Arial" w:hAnsi="Arial" w:cs="Arial"/>
          <w:sz w:val="32"/>
          <w:szCs w:val="32"/>
        </w:rPr>
        <w:lastRenderedPageBreak/>
        <w:t xml:space="preserve">Abstract </w:t>
      </w:r>
    </w:p>
    <w:p w14:paraId="5C56FB4C" w14:textId="54AFE87C" w:rsidR="00283DF2" w:rsidRPr="00EA63DC" w:rsidRDefault="00912D46" w:rsidP="00D16320">
      <w:pPr>
        <w:spacing w:line="360" w:lineRule="auto"/>
        <w:jc w:val="both"/>
        <w:rPr>
          <w:rFonts w:ascii="Arial" w:hAnsi="Arial" w:cs="Arial"/>
        </w:rPr>
      </w:pPr>
      <w:r w:rsidRPr="00EA63DC">
        <w:rPr>
          <w:rFonts w:ascii="Arial" w:hAnsi="Arial" w:cs="Arial"/>
        </w:rPr>
        <w:t xml:space="preserve">The primary purpose </w:t>
      </w:r>
      <w:r w:rsidR="00985A82" w:rsidRPr="00EA63DC">
        <w:rPr>
          <w:rFonts w:ascii="Arial" w:hAnsi="Arial" w:cs="Arial"/>
        </w:rPr>
        <w:t>for</w:t>
      </w:r>
      <w:r w:rsidRPr="00EA63DC">
        <w:rPr>
          <w:rFonts w:ascii="Arial" w:hAnsi="Arial" w:cs="Arial"/>
        </w:rPr>
        <w:t xml:space="preserve"> conduct</w:t>
      </w:r>
      <w:r w:rsidR="00985A82" w:rsidRPr="00EA63DC">
        <w:rPr>
          <w:rFonts w:ascii="Arial" w:hAnsi="Arial" w:cs="Arial"/>
        </w:rPr>
        <w:t>ing</w:t>
      </w:r>
      <w:r w:rsidRPr="00EA63DC">
        <w:rPr>
          <w:rFonts w:ascii="Arial" w:hAnsi="Arial" w:cs="Arial"/>
        </w:rPr>
        <w:t xml:space="preserve"> this research is to highlight the best available evidence that </w:t>
      </w:r>
      <w:r w:rsidR="00632CB1" w:rsidRPr="00EA63DC">
        <w:rPr>
          <w:rFonts w:ascii="Arial" w:hAnsi="Arial" w:cs="Arial"/>
        </w:rPr>
        <w:t>accelerates</w:t>
      </w:r>
      <w:r w:rsidRPr="00EA63DC">
        <w:rPr>
          <w:rFonts w:ascii="Arial" w:hAnsi="Arial" w:cs="Arial"/>
        </w:rPr>
        <w:t xml:space="preserve"> </w:t>
      </w:r>
      <w:r w:rsidR="00D04EA9" w:rsidRPr="00EA63DC">
        <w:rPr>
          <w:rFonts w:ascii="Arial" w:hAnsi="Arial" w:cs="Arial"/>
        </w:rPr>
        <w:t>health conditions</w:t>
      </w:r>
      <w:r w:rsidR="00985A82" w:rsidRPr="00EA63DC">
        <w:rPr>
          <w:rFonts w:ascii="Arial" w:hAnsi="Arial" w:cs="Arial"/>
        </w:rPr>
        <w:t xml:space="preserve"> </w:t>
      </w:r>
      <w:r w:rsidRPr="00EA63DC">
        <w:rPr>
          <w:rFonts w:ascii="Arial" w:hAnsi="Arial" w:cs="Arial"/>
        </w:rPr>
        <w:t xml:space="preserve">whilst acknowledging </w:t>
      </w:r>
      <w:r w:rsidR="00D16320" w:rsidRPr="00EA63DC">
        <w:rPr>
          <w:rFonts w:ascii="Arial" w:hAnsi="Arial" w:cs="Arial"/>
        </w:rPr>
        <w:t xml:space="preserve">the </w:t>
      </w:r>
      <w:r w:rsidRPr="00EA63DC">
        <w:rPr>
          <w:rFonts w:ascii="Arial" w:hAnsi="Arial" w:cs="Arial"/>
        </w:rPr>
        <w:t>limitations</w:t>
      </w:r>
      <w:r w:rsidR="00BF6BB1" w:rsidRPr="00EA63DC">
        <w:rPr>
          <w:rFonts w:ascii="Arial" w:hAnsi="Arial" w:cs="Arial"/>
        </w:rPr>
        <w:t xml:space="preserve">. </w:t>
      </w:r>
      <w:r w:rsidR="00D16320" w:rsidRPr="00EA63DC">
        <w:rPr>
          <w:rFonts w:ascii="Arial" w:hAnsi="Arial" w:cs="Arial"/>
        </w:rPr>
        <w:t>This study examines the relationship between ADHD medication and cardiovascular events in middle-aged men. ADHD medications, particularly stimulants, are widely used in adults, but there are concerns about possible effects on heart health. This research uses health records to explore whether men aged 40</w:t>
      </w:r>
      <w:r w:rsidR="00D04EA9" w:rsidRPr="00EA63DC">
        <w:rPr>
          <w:rFonts w:ascii="Arial" w:hAnsi="Arial" w:cs="Arial"/>
        </w:rPr>
        <w:t xml:space="preserve"> - </w:t>
      </w:r>
      <w:r w:rsidR="00D16320" w:rsidRPr="00EA63DC">
        <w:rPr>
          <w:rFonts w:ascii="Arial" w:hAnsi="Arial" w:cs="Arial"/>
        </w:rPr>
        <w:t>65 taking ADHD medication are at higher risk of cardiovascular events such as heart attack, stroke, or irregular heartbeat compared to those not on medication. Factors such as existing health conditions, lifestyle, and demographic variables are considered. The findings aim to clarify whether ADHD medication is associated with increased cardiovascular risk in this population and to support safer prescribing decisions.</w:t>
      </w:r>
    </w:p>
    <w:p w14:paraId="61337AB2" w14:textId="77777777" w:rsidR="00D16320" w:rsidRDefault="00D16320" w:rsidP="008475B8">
      <w:pPr>
        <w:rPr>
          <w:rFonts w:ascii="Arial" w:hAnsi="Arial" w:cs="Arial"/>
          <w:sz w:val="32"/>
          <w:szCs w:val="32"/>
        </w:rPr>
      </w:pPr>
    </w:p>
    <w:p w14:paraId="33E46499" w14:textId="77777777" w:rsidR="00D16320" w:rsidRDefault="00D16320" w:rsidP="008475B8">
      <w:pPr>
        <w:rPr>
          <w:rFonts w:ascii="Arial" w:hAnsi="Arial" w:cs="Arial"/>
          <w:sz w:val="32"/>
          <w:szCs w:val="32"/>
        </w:rPr>
      </w:pPr>
    </w:p>
    <w:p w14:paraId="3E0398F6" w14:textId="77777777" w:rsidR="00D16320" w:rsidRDefault="00D16320" w:rsidP="008475B8">
      <w:pPr>
        <w:rPr>
          <w:rFonts w:ascii="Arial" w:hAnsi="Arial" w:cs="Arial"/>
          <w:sz w:val="32"/>
          <w:szCs w:val="32"/>
        </w:rPr>
      </w:pPr>
    </w:p>
    <w:p w14:paraId="1A843685" w14:textId="77777777" w:rsidR="00D16320" w:rsidRDefault="00D16320" w:rsidP="008475B8">
      <w:pPr>
        <w:rPr>
          <w:rFonts w:ascii="Arial" w:hAnsi="Arial" w:cs="Arial"/>
          <w:sz w:val="32"/>
          <w:szCs w:val="32"/>
        </w:rPr>
      </w:pPr>
    </w:p>
    <w:p w14:paraId="05EE5C8B" w14:textId="77777777" w:rsidR="00D16320" w:rsidRDefault="00D16320" w:rsidP="008475B8">
      <w:pPr>
        <w:rPr>
          <w:rFonts w:ascii="Arial" w:hAnsi="Arial" w:cs="Arial"/>
          <w:sz w:val="32"/>
          <w:szCs w:val="32"/>
        </w:rPr>
      </w:pPr>
    </w:p>
    <w:p w14:paraId="352378A6" w14:textId="77777777" w:rsidR="00D16320" w:rsidRDefault="00D16320" w:rsidP="008475B8">
      <w:pPr>
        <w:rPr>
          <w:rFonts w:ascii="Arial" w:hAnsi="Arial" w:cs="Arial"/>
          <w:sz w:val="32"/>
          <w:szCs w:val="32"/>
        </w:rPr>
      </w:pPr>
    </w:p>
    <w:p w14:paraId="0121EF23" w14:textId="77777777" w:rsidR="00D16320" w:rsidRDefault="00D16320" w:rsidP="008475B8">
      <w:pPr>
        <w:rPr>
          <w:rFonts w:ascii="Arial" w:hAnsi="Arial" w:cs="Arial"/>
          <w:sz w:val="32"/>
          <w:szCs w:val="32"/>
        </w:rPr>
      </w:pPr>
    </w:p>
    <w:p w14:paraId="5A9751C0" w14:textId="77777777" w:rsidR="00D16320" w:rsidRDefault="00D16320" w:rsidP="008475B8">
      <w:pPr>
        <w:rPr>
          <w:rFonts w:ascii="Arial" w:hAnsi="Arial" w:cs="Arial"/>
          <w:sz w:val="32"/>
          <w:szCs w:val="32"/>
        </w:rPr>
      </w:pPr>
    </w:p>
    <w:p w14:paraId="710E353E" w14:textId="77777777" w:rsidR="00D16320" w:rsidRDefault="00D16320" w:rsidP="008475B8">
      <w:pPr>
        <w:rPr>
          <w:rFonts w:ascii="Arial" w:hAnsi="Arial" w:cs="Arial"/>
          <w:sz w:val="32"/>
          <w:szCs w:val="32"/>
        </w:rPr>
      </w:pPr>
    </w:p>
    <w:p w14:paraId="0C21C05B" w14:textId="77777777" w:rsidR="00D16320" w:rsidRDefault="00D16320" w:rsidP="008475B8">
      <w:pPr>
        <w:rPr>
          <w:rFonts w:ascii="Arial" w:hAnsi="Arial" w:cs="Arial"/>
          <w:sz w:val="32"/>
          <w:szCs w:val="32"/>
        </w:rPr>
      </w:pPr>
    </w:p>
    <w:p w14:paraId="1087D6FC" w14:textId="77777777" w:rsidR="00D16320" w:rsidRDefault="00D16320" w:rsidP="008475B8">
      <w:pPr>
        <w:rPr>
          <w:rFonts w:ascii="Arial" w:hAnsi="Arial" w:cs="Arial"/>
          <w:sz w:val="32"/>
          <w:szCs w:val="32"/>
        </w:rPr>
      </w:pPr>
    </w:p>
    <w:p w14:paraId="67D7572B" w14:textId="77777777" w:rsidR="00D16320" w:rsidRDefault="00D16320" w:rsidP="008475B8">
      <w:pPr>
        <w:rPr>
          <w:rFonts w:ascii="Arial" w:hAnsi="Arial" w:cs="Arial"/>
          <w:sz w:val="32"/>
          <w:szCs w:val="32"/>
        </w:rPr>
      </w:pPr>
    </w:p>
    <w:p w14:paraId="3DF8075B" w14:textId="77777777" w:rsidR="00D16320" w:rsidRDefault="00D16320" w:rsidP="008475B8">
      <w:pPr>
        <w:rPr>
          <w:rFonts w:ascii="Arial" w:hAnsi="Arial" w:cs="Arial"/>
          <w:sz w:val="32"/>
          <w:szCs w:val="32"/>
        </w:rPr>
      </w:pPr>
    </w:p>
    <w:p w14:paraId="5CE5D957" w14:textId="77777777" w:rsidR="00D16320" w:rsidRDefault="00D16320" w:rsidP="008475B8">
      <w:pPr>
        <w:rPr>
          <w:rFonts w:ascii="Arial" w:hAnsi="Arial" w:cs="Arial"/>
          <w:sz w:val="32"/>
          <w:szCs w:val="32"/>
        </w:rPr>
      </w:pPr>
    </w:p>
    <w:p w14:paraId="589B08C5" w14:textId="77777777" w:rsidR="00D16320" w:rsidRDefault="00D16320" w:rsidP="008475B8">
      <w:pPr>
        <w:rPr>
          <w:rFonts w:ascii="Arial" w:hAnsi="Arial" w:cs="Arial"/>
          <w:sz w:val="32"/>
          <w:szCs w:val="32"/>
        </w:rPr>
      </w:pPr>
    </w:p>
    <w:p w14:paraId="41843ABB" w14:textId="77777777" w:rsidR="00D16320" w:rsidRDefault="00D16320" w:rsidP="008475B8">
      <w:pPr>
        <w:rPr>
          <w:rFonts w:ascii="Arial" w:hAnsi="Arial" w:cs="Arial"/>
          <w:sz w:val="32"/>
          <w:szCs w:val="32"/>
        </w:rPr>
      </w:pPr>
    </w:p>
    <w:p w14:paraId="35A3FBFD" w14:textId="77777777" w:rsidR="00B76288" w:rsidRDefault="00B76288">
      <w:pPr>
        <w:rPr>
          <w:rFonts w:ascii="Arial" w:hAnsi="Arial" w:cs="Arial"/>
          <w:sz w:val="32"/>
          <w:szCs w:val="32"/>
        </w:rPr>
      </w:pPr>
      <w:r>
        <w:rPr>
          <w:rFonts w:ascii="Arial" w:hAnsi="Arial" w:cs="Arial"/>
          <w:sz w:val="32"/>
          <w:szCs w:val="32"/>
        </w:rPr>
        <w:br w:type="page"/>
      </w:r>
    </w:p>
    <w:p w14:paraId="08D09EC1" w14:textId="7B10CA82" w:rsidR="00325088" w:rsidRPr="003C7271" w:rsidRDefault="00B76288" w:rsidP="005C3DB6">
      <w:pPr>
        <w:pStyle w:val="Heading1"/>
        <w:rPr>
          <w:rFonts w:ascii="Arial" w:hAnsi="Arial" w:cs="Arial"/>
          <w:color w:val="auto"/>
          <w:sz w:val="24"/>
          <w:szCs w:val="24"/>
        </w:rPr>
      </w:pPr>
      <w:r w:rsidRPr="003C7271">
        <w:rPr>
          <w:rFonts w:ascii="Arial" w:hAnsi="Arial" w:cs="Arial"/>
          <w:color w:val="auto"/>
          <w:sz w:val="24"/>
          <w:szCs w:val="24"/>
        </w:rPr>
        <w:t>List of Tab</w:t>
      </w:r>
      <w:r w:rsidR="005C3DB6" w:rsidRPr="003C7271">
        <w:rPr>
          <w:rFonts w:ascii="Arial" w:hAnsi="Arial" w:cs="Arial"/>
          <w:color w:val="auto"/>
          <w:sz w:val="24"/>
          <w:szCs w:val="24"/>
        </w:rPr>
        <w:t>les</w:t>
      </w:r>
    </w:p>
    <w:p w14:paraId="543E61B8" w14:textId="60985ADB" w:rsidR="00EE6D31" w:rsidRPr="003C7271" w:rsidRDefault="00031059" w:rsidP="00681F8B">
      <w:pPr>
        <w:pStyle w:val="ListParagraph"/>
        <w:numPr>
          <w:ilvl w:val="0"/>
          <w:numId w:val="10"/>
        </w:numPr>
        <w:spacing w:before="100" w:beforeAutospacing="1" w:after="100" w:afterAutospacing="1" w:line="360" w:lineRule="auto"/>
        <w:rPr>
          <w:rFonts w:ascii="Arial" w:hAnsi="Arial" w:cs="Arial"/>
          <w:sz w:val="24"/>
          <w:szCs w:val="24"/>
        </w:rPr>
      </w:pPr>
      <w:r w:rsidRPr="003C7271">
        <w:rPr>
          <w:rFonts w:ascii="Arial" w:hAnsi="Arial" w:cs="Arial"/>
          <w:sz w:val="24"/>
          <w:szCs w:val="24"/>
        </w:rPr>
        <w:t xml:space="preserve">Prevalence of </w:t>
      </w:r>
      <w:r w:rsidR="00101615" w:rsidRPr="003C7271">
        <w:rPr>
          <w:rFonts w:ascii="Arial" w:hAnsi="Arial" w:cs="Arial"/>
          <w:sz w:val="24"/>
          <w:szCs w:val="24"/>
        </w:rPr>
        <w:t>ADHD</w:t>
      </w:r>
      <w:r w:rsidRPr="003C7271">
        <w:rPr>
          <w:rFonts w:ascii="Arial" w:hAnsi="Arial" w:cs="Arial"/>
          <w:sz w:val="24"/>
          <w:szCs w:val="24"/>
        </w:rPr>
        <w:t xml:space="preserve"> in Middle-Aged Men</w:t>
      </w:r>
      <w:r w:rsidR="00EE6D31" w:rsidRPr="003C7271">
        <w:rPr>
          <w:rFonts w:ascii="Arial" w:hAnsi="Arial" w:cs="Arial"/>
          <w:sz w:val="24"/>
          <w:szCs w:val="24"/>
        </w:rPr>
        <w:t xml:space="preserve"> </w:t>
      </w:r>
      <w:r w:rsidR="00EE6D31" w:rsidRPr="003C7271">
        <w:rPr>
          <w:rFonts w:ascii="Arial" w:hAnsi="Arial" w:cs="Arial"/>
          <w:b/>
          <w:bCs/>
          <w:sz w:val="24"/>
          <w:szCs w:val="24"/>
        </w:rPr>
        <w:t>Introduction to the topic</w:t>
      </w:r>
    </w:p>
    <w:p w14:paraId="79692E96" w14:textId="77777777" w:rsidR="00EE6D31" w:rsidRPr="003C7271" w:rsidRDefault="00EE6D31" w:rsidP="00681F8B">
      <w:pPr>
        <w:pStyle w:val="ListParagraph"/>
        <w:spacing w:before="100" w:beforeAutospacing="1" w:after="100" w:afterAutospacing="1" w:line="360" w:lineRule="auto"/>
        <w:rPr>
          <w:rFonts w:ascii="Arial" w:hAnsi="Arial" w:cs="Arial"/>
          <w:sz w:val="24"/>
          <w:szCs w:val="24"/>
        </w:rPr>
      </w:pPr>
    </w:p>
    <w:p w14:paraId="5E329CF7" w14:textId="65BB21DC" w:rsidR="007C3FCF" w:rsidRPr="003C7271" w:rsidRDefault="00031059" w:rsidP="007C3FCF">
      <w:pPr>
        <w:pStyle w:val="ListParagraph"/>
        <w:numPr>
          <w:ilvl w:val="0"/>
          <w:numId w:val="10"/>
        </w:numPr>
        <w:spacing w:before="100" w:beforeAutospacing="1" w:after="100" w:afterAutospacing="1" w:line="360" w:lineRule="auto"/>
        <w:rPr>
          <w:rFonts w:ascii="Arial" w:hAnsi="Arial" w:cs="Arial"/>
          <w:sz w:val="24"/>
          <w:szCs w:val="24"/>
        </w:rPr>
      </w:pPr>
      <w:r w:rsidRPr="003C7271">
        <w:rPr>
          <w:rFonts w:ascii="Arial" w:hAnsi="Arial" w:cs="Arial"/>
          <w:sz w:val="24"/>
          <w:szCs w:val="24"/>
        </w:rPr>
        <w:t>Prevalence of Cardiovascular Disease in Middle-Aged Men</w:t>
      </w:r>
      <w:r w:rsidR="00EE6D31" w:rsidRPr="003C7271">
        <w:rPr>
          <w:rFonts w:ascii="Arial" w:hAnsi="Arial" w:cs="Arial"/>
          <w:sz w:val="24"/>
          <w:szCs w:val="24"/>
        </w:rPr>
        <w:t xml:space="preserve"> </w:t>
      </w:r>
      <w:bookmarkStart w:id="0" w:name="_Hlk199931753"/>
      <w:r w:rsidR="00333B1E" w:rsidRPr="003C7271">
        <w:rPr>
          <w:rFonts w:ascii="Arial" w:hAnsi="Arial" w:cs="Arial"/>
          <w:b/>
          <w:bCs/>
          <w:sz w:val="24"/>
          <w:szCs w:val="24"/>
        </w:rPr>
        <w:t>Background and Context</w:t>
      </w:r>
      <w:r w:rsidR="00EE6D31" w:rsidRPr="003C7271">
        <w:rPr>
          <w:rFonts w:ascii="Arial" w:hAnsi="Arial" w:cs="Arial"/>
          <w:b/>
          <w:bCs/>
          <w:sz w:val="24"/>
          <w:szCs w:val="24"/>
        </w:rPr>
        <w:t xml:space="preserve"> </w:t>
      </w:r>
    </w:p>
    <w:bookmarkEnd w:id="0"/>
    <w:p w14:paraId="5C5A82FD" w14:textId="77777777" w:rsidR="00572DB4" w:rsidRPr="003C7271" w:rsidRDefault="00572DB4" w:rsidP="00572DB4">
      <w:pPr>
        <w:pStyle w:val="ListParagraph"/>
        <w:rPr>
          <w:rFonts w:ascii="Arial" w:hAnsi="Arial" w:cs="Arial"/>
          <w:sz w:val="24"/>
          <w:szCs w:val="24"/>
        </w:rPr>
      </w:pPr>
    </w:p>
    <w:p w14:paraId="6F9C3DA5" w14:textId="19ED72C7" w:rsidR="00053E94" w:rsidRPr="003C7271" w:rsidRDefault="00572DB4" w:rsidP="00CE0F67">
      <w:pPr>
        <w:pStyle w:val="ListParagraph"/>
        <w:numPr>
          <w:ilvl w:val="0"/>
          <w:numId w:val="10"/>
        </w:numPr>
        <w:spacing w:before="100" w:beforeAutospacing="1" w:after="100" w:afterAutospacing="1" w:line="360" w:lineRule="auto"/>
        <w:rPr>
          <w:rFonts w:ascii="Arial" w:hAnsi="Arial" w:cs="Arial"/>
          <w:sz w:val="24"/>
          <w:szCs w:val="24"/>
        </w:rPr>
      </w:pPr>
      <w:r w:rsidRPr="003C7271">
        <w:rPr>
          <w:rFonts w:ascii="Arial" w:hAnsi="Arial" w:cs="Arial"/>
          <w:sz w:val="24"/>
          <w:szCs w:val="24"/>
        </w:rPr>
        <w:t>ADHD Across the Lifespan</w:t>
      </w:r>
      <w:r w:rsidR="00CE0F67" w:rsidRPr="003C7271">
        <w:rPr>
          <w:rFonts w:ascii="Arial" w:hAnsi="Arial" w:cs="Arial"/>
          <w:sz w:val="24"/>
          <w:szCs w:val="24"/>
        </w:rPr>
        <w:t xml:space="preserve"> </w:t>
      </w:r>
      <w:r w:rsidR="00CE0F67" w:rsidRPr="003C7271">
        <w:rPr>
          <w:rFonts w:ascii="Arial" w:hAnsi="Arial" w:cs="Arial"/>
          <w:b/>
          <w:bCs/>
          <w:sz w:val="24"/>
          <w:szCs w:val="24"/>
        </w:rPr>
        <w:t xml:space="preserve">Background and Context </w:t>
      </w:r>
    </w:p>
    <w:p w14:paraId="0394CEA3" w14:textId="77777777" w:rsidR="00951EAE" w:rsidRPr="003C7271" w:rsidRDefault="00951EAE" w:rsidP="00951EAE">
      <w:pPr>
        <w:pStyle w:val="ListParagraph"/>
        <w:rPr>
          <w:rFonts w:ascii="Arial" w:hAnsi="Arial" w:cs="Arial"/>
          <w:sz w:val="24"/>
          <w:szCs w:val="24"/>
        </w:rPr>
      </w:pPr>
    </w:p>
    <w:p w14:paraId="4EDCBCE9" w14:textId="35AFEFEC" w:rsidR="00951EAE" w:rsidRPr="003C7271" w:rsidRDefault="00951EAE" w:rsidP="00951EAE">
      <w:pPr>
        <w:pStyle w:val="Heading3"/>
        <w:numPr>
          <w:ilvl w:val="0"/>
          <w:numId w:val="10"/>
        </w:numPr>
        <w:rPr>
          <w:rFonts w:ascii="Arial" w:eastAsia="Times New Roman" w:hAnsi="Arial" w:cs="Arial"/>
          <w:color w:val="auto"/>
          <w:kern w:val="0"/>
          <w:sz w:val="24"/>
          <w:szCs w:val="24"/>
          <w:lang w:eastAsia="en-GB"/>
          <w14:ligatures w14:val="none"/>
        </w:rPr>
      </w:pPr>
      <w:r w:rsidRPr="003C7271">
        <w:rPr>
          <w:rFonts w:ascii="Arial" w:eastAsia="Times New Roman" w:hAnsi="Arial" w:cs="Arial"/>
          <w:color w:val="auto"/>
          <w:kern w:val="0"/>
          <w:sz w:val="24"/>
          <w:szCs w:val="24"/>
          <w:lang w:eastAsia="en-GB"/>
          <w14:ligatures w14:val="none"/>
        </w:rPr>
        <w:t>Overlap Between ADHD, Medication Use, and Cardiovascular Risk</w:t>
      </w:r>
    </w:p>
    <w:p w14:paraId="7F71FA8E" w14:textId="77777777" w:rsidR="00951EAE" w:rsidRPr="003C7271" w:rsidRDefault="00951EAE" w:rsidP="00951EAE">
      <w:pPr>
        <w:rPr>
          <w:sz w:val="24"/>
          <w:szCs w:val="24"/>
          <w:lang w:eastAsia="en-GB"/>
        </w:rPr>
      </w:pPr>
    </w:p>
    <w:p w14:paraId="7680F9DD" w14:textId="0D7CE1B7" w:rsidR="007C3FCF" w:rsidRPr="003C7271" w:rsidRDefault="007C3FCF" w:rsidP="00951EAE">
      <w:pPr>
        <w:pStyle w:val="ListParagraph"/>
        <w:numPr>
          <w:ilvl w:val="0"/>
          <w:numId w:val="10"/>
        </w:numPr>
        <w:spacing w:before="100" w:beforeAutospacing="1" w:after="100" w:afterAutospacing="1" w:line="360" w:lineRule="auto"/>
        <w:rPr>
          <w:rFonts w:ascii="Arial" w:hAnsi="Arial" w:cs="Arial"/>
          <w:sz w:val="24"/>
          <w:szCs w:val="24"/>
        </w:rPr>
      </w:pPr>
      <w:r w:rsidRPr="003C7271">
        <w:rPr>
          <w:rFonts w:ascii="Arial" w:eastAsia="Times New Roman" w:hAnsi="Arial" w:cs="Arial"/>
          <w:kern w:val="0"/>
          <w:sz w:val="24"/>
          <w:szCs w:val="24"/>
          <w:lang w:eastAsia="en-GB"/>
          <w14:ligatures w14:val="none"/>
        </w:rPr>
        <w:t xml:space="preserve">Gaps Between Guidelines and </w:t>
      </w:r>
      <w:r w:rsidRPr="003C7271">
        <w:rPr>
          <w:rFonts w:ascii="Arial" w:eastAsia="Times New Roman" w:hAnsi="Arial" w:cs="Arial"/>
          <w:b/>
          <w:bCs/>
          <w:kern w:val="0"/>
          <w:sz w:val="24"/>
          <w:szCs w:val="24"/>
          <w:lang w:eastAsia="en-GB"/>
          <w14:ligatures w14:val="none"/>
        </w:rPr>
        <w:t>Practice</w:t>
      </w:r>
      <w:r w:rsidR="00333B1E" w:rsidRPr="003C7271">
        <w:rPr>
          <w:rFonts w:ascii="Arial" w:eastAsia="Times New Roman" w:hAnsi="Arial" w:cs="Arial"/>
          <w:b/>
          <w:bCs/>
          <w:kern w:val="0"/>
          <w:sz w:val="24"/>
          <w:szCs w:val="24"/>
          <w:lang w:eastAsia="en-GB"/>
          <w14:ligatures w14:val="none"/>
        </w:rPr>
        <w:t xml:space="preserve"> Background and Context</w:t>
      </w:r>
    </w:p>
    <w:p w14:paraId="3519C353" w14:textId="1248A37E" w:rsidR="00E47560" w:rsidRPr="003C7271" w:rsidRDefault="00E47560" w:rsidP="00951EAE">
      <w:pPr>
        <w:pStyle w:val="Heading1"/>
        <w:numPr>
          <w:ilvl w:val="0"/>
          <w:numId w:val="10"/>
        </w:numPr>
        <w:spacing w:line="360" w:lineRule="auto"/>
        <w:rPr>
          <w:rFonts w:ascii="Arial" w:hAnsi="Arial" w:cs="Arial"/>
          <w:color w:val="auto"/>
          <w:sz w:val="24"/>
          <w:szCs w:val="24"/>
        </w:rPr>
      </w:pPr>
      <w:bookmarkStart w:id="1" w:name="_Hlk199236064"/>
      <w:r w:rsidRPr="003C7271">
        <w:rPr>
          <w:rFonts w:ascii="Arial" w:hAnsi="Arial" w:cs="Arial"/>
          <w:color w:val="auto"/>
          <w:sz w:val="24"/>
          <w:szCs w:val="24"/>
        </w:rPr>
        <w:t>Lifestyle Factors and Smoking Habits</w:t>
      </w:r>
      <w:r w:rsidR="00EE6D31" w:rsidRPr="003C7271">
        <w:rPr>
          <w:rFonts w:ascii="Arial" w:hAnsi="Arial" w:cs="Arial"/>
          <w:color w:val="auto"/>
          <w:sz w:val="24"/>
          <w:szCs w:val="24"/>
        </w:rPr>
        <w:t xml:space="preserve"> </w:t>
      </w:r>
      <w:r w:rsidR="00EE6D31" w:rsidRPr="003C7271">
        <w:rPr>
          <w:rFonts w:ascii="Arial" w:hAnsi="Arial" w:cs="Arial"/>
          <w:b/>
          <w:bCs/>
          <w:color w:val="auto"/>
          <w:sz w:val="24"/>
          <w:szCs w:val="24"/>
        </w:rPr>
        <w:t>L</w:t>
      </w:r>
      <w:r w:rsidRPr="003C7271">
        <w:rPr>
          <w:rFonts w:ascii="Arial" w:hAnsi="Arial" w:cs="Arial"/>
          <w:b/>
          <w:bCs/>
          <w:color w:val="auto"/>
          <w:sz w:val="24"/>
          <w:szCs w:val="24"/>
        </w:rPr>
        <w:t>iterature background</w:t>
      </w:r>
    </w:p>
    <w:p w14:paraId="37736DDC" w14:textId="532357C3" w:rsidR="00E47560" w:rsidRPr="003C7271" w:rsidRDefault="00E47560" w:rsidP="00951EAE">
      <w:pPr>
        <w:pStyle w:val="Heading1"/>
        <w:numPr>
          <w:ilvl w:val="0"/>
          <w:numId w:val="10"/>
        </w:numPr>
        <w:spacing w:line="360" w:lineRule="auto"/>
        <w:rPr>
          <w:rFonts w:ascii="Arial" w:hAnsi="Arial" w:cs="Arial"/>
          <w:color w:val="auto"/>
          <w:sz w:val="24"/>
          <w:szCs w:val="24"/>
        </w:rPr>
      </w:pPr>
      <w:bookmarkStart w:id="2" w:name="_Hlk201665641"/>
      <w:bookmarkEnd w:id="1"/>
      <w:r w:rsidRPr="003C7271">
        <w:rPr>
          <w:rFonts w:ascii="Arial" w:hAnsi="Arial" w:cs="Arial"/>
          <w:color w:val="auto"/>
          <w:sz w:val="24"/>
          <w:szCs w:val="24"/>
        </w:rPr>
        <w:t>Pre-Treatment ECG Screening</w:t>
      </w:r>
      <w:r w:rsidR="00EE6D31" w:rsidRPr="003C7271">
        <w:rPr>
          <w:rFonts w:ascii="Arial" w:hAnsi="Arial" w:cs="Arial"/>
          <w:color w:val="auto"/>
          <w:sz w:val="24"/>
          <w:szCs w:val="24"/>
        </w:rPr>
        <w:t xml:space="preserve"> </w:t>
      </w:r>
      <w:bookmarkEnd w:id="2"/>
      <w:r w:rsidR="00EE6D31" w:rsidRPr="003C7271">
        <w:rPr>
          <w:rFonts w:ascii="Arial" w:hAnsi="Arial" w:cs="Arial"/>
          <w:b/>
          <w:bCs/>
          <w:color w:val="auto"/>
          <w:sz w:val="24"/>
          <w:szCs w:val="24"/>
        </w:rPr>
        <w:t>M</w:t>
      </w:r>
      <w:r w:rsidRPr="003C7271">
        <w:rPr>
          <w:rFonts w:ascii="Arial" w:hAnsi="Arial" w:cs="Arial"/>
          <w:b/>
          <w:bCs/>
          <w:color w:val="auto"/>
          <w:sz w:val="24"/>
          <w:szCs w:val="24"/>
        </w:rPr>
        <w:t>ethodology</w:t>
      </w:r>
    </w:p>
    <w:p w14:paraId="18F2924D" w14:textId="6616D83C" w:rsidR="00C61FD7" w:rsidRPr="003C7271" w:rsidRDefault="00C61FD7" w:rsidP="00951EAE">
      <w:pPr>
        <w:pStyle w:val="Heading1"/>
        <w:numPr>
          <w:ilvl w:val="0"/>
          <w:numId w:val="10"/>
        </w:numPr>
        <w:spacing w:line="360" w:lineRule="auto"/>
        <w:rPr>
          <w:rFonts w:ascii="Arial" w:hAnsi="Arial" w:cs="Arial"/>
          <w:color w:val="auto"/>
          <w:sz w:val="24"/>
          <w:szCs w:val="24"/>
        </w:rPr>
      </w:pPr>
      <w:bookmarkStart w:id="3" w:name="_Hlk201665811"/>
      <w:r w:rsidRPr="003C7271">
        <w:rPr>
          <w:rFonts w:ascii="Arial" w:hAnsi="Arial" w:cs="Arial"/>
          <w:color w:val="auto"/>
          <w:sz w:val="24"/>
          <w:szCs w:val="24"/>
        </w:rPr>
        <w:t>Medication Dosage and Heart Rate Change</w:t>
      </w:r>
      <w:r w:rsidR="00681F8B" w:rsidRPr="003C7271">
        <w:rPr>
          <w:rFonts w:ascii="Arial" w:hAnsi="Arial" w:cs="Arial"/>
          <w:color w:val="auto"/>
          <w:sz w:val="24"/>
          <w:szCs w:val="24"/>
        </w:rPr>
        <w:t xml:space="preserve"> </w:t>
      </w:r>
      <w:bookmarkEnd w:id="3"/>
      <w:r w:rsidR="00EE6D31" w:rsidRPr="003C7271">
        <w:rPr>
          <w:rFonts w:ascii="Arial" w:hAnsi="Arial" w:cs="Arial"/>
          <w:b/>
          <w:bCs/>
          <w:color w:val="auto"/>
          <w:sz w:val="24"/>
          <w:szCs w:val="24"/>
        </w:rPr>
        <w:t>D</w:t>
      </w:r>
      <w:r w:rsidR="00A96828" w:rsidRPr="003C7271">
        <w:rPr>
          <w:rFonts w:ascii="Arial" w:hAnsi="Arial" w:cs="Arial"/>
          <w:b/>
          <w:bCs/>
          <w:color w:val="auto"/>
          <w:sz w:val="24"/>
          <w:szCs w:val="24"/>
        </w:rPr>
        <w:t>iscussion</w:t>
      </w:r>
    </w:p>
    <w:p w14:paraId="07B3D73C" w14:textId="77777777" w:rsidR="003F1961" w:rsidRDefault="003F1961" w:rsidP="00681F8B">
      <w:pPr>
        <w:spacing w:line="360" w:lineRule="auto"/>
        <w:rPr>
          <w:rFonts w:ascii="Arial" w:hAnsi="Arial" w:cs="Arial"/>
          <w:sz w:val="32"/>
          <w:szCs w:val="32"/>
        </w:rPr>
      </w:pPr>
    </w:p>
    <w:p w14:paraId="6704D5E4" w14:textId="77777777" w:rsidR="003F1961" w:rsidRDefault="003F1961" w:rsidP="00681F8B">
      <w:pPr>
        <w:spacing w:line="360" w:lineRule="auto"/>
        <w:rPr>
          <w:rFonts w:ascii="Arial" w:hAnsi="Arial" w:cs="Arial"/>
          <w:sz w:val="32"/>
          <w:szCs w:val="32"/>
        </w:rPr>
      </w:pPr>
    </w:p>
    <w:p w14:paraId="57014A38" w14:textId="77777777" w:rsidR="003F1961" w:rsidRDefault="003F1961">
      <w:pPr>
        <w:rPr>
          <w:rFonts w:ascii="Arial" w:hAnsi="Arial" w:cs="Arial"/>
          <w:sz w:val="32"/>
          <w:szCs w:val="32"/>
        </w:rPr>
      </w:pPr>
      <w:r>
        <w:rPr>
          <w:rFonts w:ascii="Arial" w:hAnsi="Arial" w:cs="Arial"/>
          <w:sz w:val="32"/>
          <w:szCs w:val="32"/>
        </w:rPr>
        <w:br w:type="page"/>
      </w:r>
    </w:p>
    <w:p w14:paraId="5080AB41" w14:textId="7CEEBFC9" w:rsidR="009147EC" w:rsidRPr="003C7271" w:rsidRDefault="009147EC" w:rsidP="00681F8B">
      <w:pPr>
        <w:spacing w:line="360" w:lineRule="auto"/>
        <w:rPr>
          <w:rFonts w:ascii="Arial" w:hAnsi="Arial" w:cs="Arial"/>
          <w:sz w:val="24"/>
          <w:szCs w:val="24"/>
        </w:rPr>
      </w:pPr>
      <w:r w:rsidRPr="003C7271">
        <w:rPr>
          <w:rFonts w:ascii="Arial" w:hAnsi="Arial" w:cs="Arial"/>
          <w:sz w:val="24"/>
          <w:szCs w:val="24"/>
        </w:rPr>
        <w:t xml:space="preserve">List of Figures </w:t>
      </w:r>
    </w:p>
    <w:p w14:paraId="349F5A52" w14:textId="1B5969F2" w:rsidR="001C6E3B" w:rsidRPr="003C7271" w:rsidRDefault="00946FAC" w:rsidP="009147EC">
      <w:pPr>
        <w:rPr>
          <w:rFonts w:ascii="Arial" w:hAnsi="Arial" w:cs="Arial"/>
          <w:sz w:val="24"/>
          <w:szCs w:val="24"/>
        </w:rPr>
      </w:pPr>
      <w:r w:rsidRPr="003C7271">
        <w:rPr>
          <w:rFonts w:ascii="Arial" w:hAnsi="Arial" w:cs="Arial"/>
          <w:sz w:val="24"/>
          <w:szCs w:val="24"/>
        </w:rPr>
        <w:t>Figure 1</w:t>
      </w:r>
      <w:r w:rsidR="001C6E3B" w:rsidRPr="003C7271">
        <w:rPr>
          <w:rFonts w:ascii="Arial" w:hAnsi="Arial" w:cs="Arial"/>
          <w:sz w:val="24"/>
          <w:szCs w:val="24"/>
        </w:rPr>
        <w:t xml:space="preserve">. </w:t>
      </w:r>
      <w:r w:rsidR="001C7D89" w:rsidRPr="003C7271">
        <w:rPr>
          <w:rFonts w:ascii="Arial" w:hAnsi="Arial" w:cs="Arial"/>
          <w:sz w:val="24"/>
          <w:szCs w:val="24"/>
        </w:rPr>
        <w:t>ADHD Medication Prescribing Trends in Adults</w:t>
      </w:r>
    </w:p>
    <w:p w14:paraId="2EC52471" w14:textId="41F50AA9" w:rsidR="00DD174A" w:rsidRPr="003C7271" w:rsidRDefault="008735F8" w:rsidP="00DD174A">
      <w:pPr>
        <w:pStyle w:val="Heading3"/>
        <w:rPr>
          <w:rFonts w:ascii="Arial" w:eastAsia="Times New Roman" w:hAnsi="Arial" w:cs="Arial"/>
          <w:color w:val="auto"/>
          <w:kern w:val="0"/>
          <w:sz w:val="24"/>
          <w:szCs w:val="24"/>
          <w:lang w:eastAsia="en-GB"/>
          <w14:ligatures w14:val="none"/>
        </w:rPr>
      </w:pPr>
      <w:r w:rsidRPr="003C7271">
        <w:rPr>
          <w:rFonts w:ascii="Arial" w:eastAsia="Times New Roman" w:hAnsi="Arial" w:cs="Arial"/>
          <w:color w:val="auto"/>
          <w:kern w:val="0"/>
          <w:sz w:val="24"/>
          <w:szCs w:val="24"/>
          <w:lang w:eastAsia="en-GB"/>
          <w14:ligatures w14:val="none"/>
        </w:rPr>
        <w:t xml:space="preserve">Figure </w:t>
      </w:r>
      <w:r w:rsidR="001C6E3B" w:rsidRPr="003C7271">
        <w:rPr>
          <w:rFonts w:ascii="Arial" w:eastAsia="Times New Roman" w:hAnsi="Arial" w:cs="Arial"/>
          <w:color w:val="auto"/>
          <w:kern w:val="0"/>
          <w:sz w:val="24"/>
          <w:szCs w:val="24"/>
          <w:lang w:eastAsia="en-GB"/>
          <w14:ligatures w14:val="none"/>
        </w:rPr>
        <w:t>2</w:t>
      </w:r>
      <w:r w:rsidR="00053E94" w:rsidRPr="003C7271">
        <w:rPr>
          <w:rFonts w:ascii="Arial" w:eastAsia="Times New Roman" w:hAnsi="Arial" w:cs="Arial"/>
          <w:color w:val="auto"/>
          <w:kern w:val="0"/>
          <w:sz w:val="24"/>
          <w:szCs w:val="24"/>
          <w:lang w:eastAsia="en-GB"/>
          <w14:ligatures w14:val="none"/>
        </w:rPr>
        <w:t>.</w:t>
      </w:r>
      <w:r w:rsidRPr="003C7271">
        <w:rPr>
          <w:rFonts w:ascii="Arial" w:eastAsia="Times New Roman" w:hAnsi="Arial" w:cs="Arial"/>
          <w:color w:val="auto"/>
          <w:kern w:val="0"/>
          <w:sz w:val="24"/>
          <w:szCs w:val="24"/>
          <w:lang w:eastAsia="en-GB"/>
          <w14:ligatures w14:val="none"/>
        </w:rPr>
        <w:t xml:space="preserve"> </w:t>
      </w:r>
      <w:r w:rsidR="001C6E3B" w:rsidRPr="003C7271">
        <w:rPr>
          <w:rFonts w:ascii="Arial" w:eastAsia="Times New Roman" w:hAnsi="Arial" w:cs="Arial"/>
          <w:color w:val="auto"/>
          <w:kern w:val="0"/>
          <w:sz w:val="24"/>
          <w:szCs w:val="24"/>
          <w:lang w:eastAsia="en-GB"/>
          <w14:ligatures w14:val="none"/>
        </w:rPr>
        <w:t xml:space="preserve">ADHD by gender in the UK </w:t>
      </w:r>
    </w:p>
    <w:p w14:paraId="5EE46E94" w14:textId="7FD8119F" w:rsidR="00103403" w:rsidRPr="003C7271" w:rsidRDefault="00103403" w:rsidP="001C6E3B">
      <w:pPr>
        <w:pStyle w:val="Heading3"/>
        <w:rPr>
          <w:rFonts w:ascii="Arial" w:eastAsia="Times New Roman" w:hAnsi="Arial" w:cs="Arial"/>
          <w:color w:val="auto"/>
          <w:kern w:val="0"/>
          <w:sz w:val="24"/>
          <w:szCs w:val="24"/>
          <w:lang w:eastAsia="en-GB"/>
          <w14:ligatures w14:val="none"/>
        </w:rPr>
      </w:pPr>
      <w:r w:rsidRPr="003C7271">
        <w:rPr>
          <w:rFonts w:ascii="Arial" w:eastAsia="Times New Roman" w:hAnsi="Arial" w:cs="Arial"/>
          <w:color w:val="auto"/>
          <w:kern w:val="0"/>
          <w:sz w:val="24"/>
          <w:szCs w:val="24"/>
          <w:lang w:eastAsia="en-GB"/>
          <w14:ligatures w14:val="none"/>
        </w:rPr>
        <w:t xml:space="preserve">Figure </w:t>
      </w:r>
      <w:r w:rsidR="001C6E3B" w:rsidRPr="003C7271">
        <w:rPr>
          <w:rFonts w:ascii="Arial" w:eastAsia="Times New Roman" w:hAnsi="Arial" w:cs="Arial"/>
          <w:color w:val="auto"/>
          <w:kern w:val="0"/>
          <w:sz w:val="24"/>
          <w:szCs w:val="24"/>
          <w:lang w:eastAsia="en-GB"/>
          <w14:ligatures w14:val="none"/>
        </w:rPr>
        <w:t>3</w:t>
      </w:r>
      <w:r w:rsidRPr="003C7271">
        <w:rPr>
          <w:rFonts w:ascii="Arial" w:eastAsia="Times New Roman" w:hAnsi="Arial" w:cs="Arial"/>
          <w:color w:val="auto"/>
          <w:kern w:val="0"/>
          <w:sz w:val="24"/>
          <w:szCs w:val="24"/>
          <w:lang w:eastAsia="en-GB"/>
          <w14:ligatures w14:val="none"/>
        </w:rPr>
        <w:t xml:space="preserve">. CVD Risk Factors in Middle – aged Men </w:t>
      </w:r>
    </w:p>
    <w:p w14:paraId="270C62C2" w14:textId="77777777" w:rsidR="001C6E3B" w:rsidRPr="003C7271" w:rsidRDefault="001C6E3B" w:rsidP="001C6E3B">
      <w:pPr>
        <w:pStyle w:val="Heading3"/>
        <w:rPr>
          <w:rFonts w:ascii="Arial" w:eastAsia="Times New Roman" w:hAnsi="Arial" w:cs="Arial"/>
          <w:color w:val="auto"/>
          <w:kern w:val="0"/>
          <w:sz w:val="24"/>
          <w:szCs w:val="24"/>
          <w:lang w:eastAsia="en-GB"/>
          <w14:ligatures w14:val="none"/>
        </w:rPr>
      </w:pPr>
      <w:r w:rsidRPr="003C7271">
        <w:rPr>
          <w:rFonts w:ascii="Arial" w:hAnsi="Arial" w:cs="Arial"/>
          <w:color w:val="auto"/>
          <w:sz w:val="24"/>
          <w:szCs w:val="24"/>
          <w:lang w:eastAsia="en-GB"/>
        </w:rPr>
        <w:t xml:space="preserve">Figure 4. </w:t>
      </w:r>
      <w:r w:rsidRPr="003C7271">
        <w:rPr>
          <w:rFonts w:ascii="Arial" w:eastAsia="Times New Roman" w:hAnsi="Arial" w:cs="Arial"/>
          <w:color w:val="auto"/>
          <w:kern w:val="0"/>
          <w:sz w:val="24"/>
          <w:szCs w:val="24"/>
          <w:lang w:eastAsia="en-GB"/>
          <w14:ligatures w14:val="none"/>
        </w:rPr>
        <w:t>Overlap Between ADHD, Medication Use, and Cardiovascular Risk</w:t>
      </w:r>
    </w:p>
    <w:p w14:paraId="2E5A9006" w14:textId="21356D71" w:rsidR="001C6E3B" w:rsidRPr="001C6E3B" w:rsidRDefault="001C6E3B" w:rsidP="001C6E3B">
      <w:pPr>
        <w:rPr>
          <w:lang w:eastAsia="en-GB"/>
        </w:rPr>
      </w:pPr>
    </w:p>
    <w:p w14:paraId="5CC44024" w14:textId="77777777" w:rsidR="00103403" w:rsidRPr="00103403" w:rsidRDefault="00103403" w:rsidP="00103403">
      <w:pPr>
        <w:rPr>
          <w:lang w:eastAsia="en-GB"/>
        </w:rPr>
      </w:pPr>
    </w:p>
    <w:p w14:paraId="5980BA76" w14:textId="77777777" w:rsidR="009147EC" w:rsidRDefault="009147EC" w:rsidP="009147EC">
      <w:pPr>
        <w:rPr>
          <w:rFonts w:ascii="Arial" w:hAnsi="Arial" w:cs="Arial"/>
          <w:sz w:val="32"/>
          <w:szCs w:val="32"/>
        </w:rPr>
      </w:pPr>
    </w:p>
    <w:p w14:paraId="1378AC08" w14:textId="77777777" w:rsidR="009147EC" w:rsidRDefault="009147EC" w:rsidP="009147EC">
      <w:pPr>
        <w:rPr>
          <w:rFonts w:ascii="Arial" w:hAnsi="Arial" w:cs="Arial"/>
          <w:sz w:val="32"/>
          <w:szCs w:val="32"/>
        </w:rPr>
      </w:pPr>
    </w:p>
    <w:p w14:paraId="337761BE" w14:textId="77777777" w:rsidR="009147EC" w:rsidRDefault="009147EC" w:rsidP="009147EC">
      <w:pPr>
        <w:rPr>
          <w:rFonts w:ascii="Arial" w:hAnsi="Arial" w:cs="Arial"/>
          <w:sz w:val="32"/>
          <w:szCs w:val="32"/>
        </w:rPr>
      </w:pPr>
    </w:p>
    <w:p w14:paraId="02060D61" w14:textId="77777777" w:rsidR="009147EC" w:rsidRDefault="009147EC" w:rsidP="009147EC">
      <w:pPr>
        <w:rPr>
          <w:rFonts w:ascii="Arial" w:hAnsi="Arial" w:cs="Arial"/>
          <w:sz w:val="32"/>
          <w:szCs w:val="32"/>
        </w:rPr>
      </w:pPr>
    </w:p>
    <w:p w14:paraId="4195F069" w14:textId="77777777" w:rsidR="009147EC" w:rsidRDefault="009147EC" w:rsidP="009147EC">
      <w:pPr>
        <w:rPr>
          <w:rFonts w:ascii="Arial" w:hAnsi="Arial" w:cs="Arial"/>
          <w:sz w:val="32"/>
          <w:szCs w:val="32"/>
        </w:rPr>
      </w:pPr>
    </w:p>
    <w:p w14:paraId="75932F95" w14:textId="77777777" w:rsidR="009147EC" w:rsidRDefault="009147EC" w:rsidP="009147EC">
      <w:pPr>
        <w:rPr>
          <w:rFonts w:ascii="Arial" w:hAnsi="Arial" w:cs="Arial"/>
          <w:sz w:val="32"/>
          <w:szCs w:val="32"/>
        </w:rPr>
      </w:pPr>
    </w:p>
    <w:p w14:paraId="41C0CD02" w14:textId="77777777" w:rsidR="009147EC" w:rsidRDefault="009147EC" w:rsidP="009147EC">
      <w:pPr>
        <w:rPr>
          <w:rFonts w:ascii="Arial" w:hAnsi="Arial" w:cs="Arial"/>
          <w:sz w:val="32"/>
          <w:szCs w:val="32"/>
        </w:rPr>
      </w:pPr>
    </w:p>
    <w:p w14:paraId="4ACC0BEE" w14:textId="77777777" w:rsidR="009147EC" w:rsidRDefault="009147EC" w:rsidP="009147EC">
      <w:pPr>
        <w:rPr>
          <w:rFonts w:ascii="Arial" w:hAnsi="Arial" w:cs="Arial"/>
          <w:sz w:val="32"/>
          <w:szCs w:val="32"/>
        </w:rPr>
      </w:pPr>
    </w:p>
    <w:p w14:paraId="4114649F" w14:textId="77777777" w:rsidR="009147EC" w:rsidRDefault="009147EC" w:rsidP="009147EC">
      <w:pPr>
        <w:rPr>
          <w:rFonts w:ascii="Arial" w:hAnsi="Arial" w:cs="Arial"/>
          <w:sz w:val="32"/>
          <w:szCs w:val="32"/>
        </w:rPr>
      </w:pPr>
    </w:p>
    <w:p w14:paraId="2B8567EC" w14:textId="77777777" w:rsidR="009147EC" w:rsidRDefault="009147EC" w:rsidP="009147EC">
      <w:pPr>
        <w:rPr>
          <w:rFonts w:ascii="Arial" w:hAnsi="Arial" w:cs="Arial"/>
          <w:sz w:val="32"/>
          <w:szCs w:val="32"/>
        </w:rPr>
      </w:pPr>
    </w:p>
    <w:p w14:paraId="221BBB4C" w14:textId="77777777" w:rsidR="009147EC" w:rsidRDefault="009147EC" w:rsidP="009147EC">
      <w:pPr>
        <w:rPr>
          <w:rFonts w:ascii="Arial" w:hAnsi="Arial" w:cs="Arial"/>
          <w:sz w:val="32"/>
          <w:szCs w:val="32"/>
        </w:rPr>
      </w:pPr>
    </w:p>
    <w:p w14:paraId="4E56D169" w14:textId="77777777" w:rsidR="009147EC" w:rsidRDefault="009147EC" w:rsidP="009147EC">
      <w:pPr>
        <w:rPr>
          <w:rFonts w:ascii="Arial" w:hAnsi="Arial" w:cs="Arial"/>
          <w:sz w:val="32"/>
          <w:szCs w:val="32"/>
        </w:rPr>
      </w:pPr>
    </w:p>
    <w:p w14:paraId="3D352331" w14:textId="77777777" w:rsidR="009147EC" w:rsidRDefault="009147EC" w:rsidP="009147EC">
      <w:pPr>
        <w:rPr>
          <w:rFonts w:ascii="Arial" w:hAnsi="Arial" w:cs="Arial"/>
          <w:sz w:val="32"/>
          <w:szCs w:val="32"/>
        </w:rPr>
      </w:pPr>
    </w:p>
    <w:p w14:paraId="5750AD40" w14:textId="77777777" w:rsidR="009147EC" w:rsidRDefault="009147EC" w:rsidP="009147EC">
      <w:pPr>
        <w:rPr>
          <w:rFonts w:ascii="Arial" w:hAnsi="Arial" w:cs="Arial"/>
          <w:sz w:val="32"/>
          <w:szCs w:val="32"/>
        </w:rPr>
      </w:pPr>
    </w:p>
    <w:p w14:paraId="77FCE6CD" w14:textId="77777777" w:rsidR="009147EC" w:rsidRDefault="009147EC" w:rsidP="009147EC">
      <w:pPr>
        <w:rPr>
          <w:rFonts w:ascii="Arial" w:hAnsi="Arial" w:cs="Arial"/>
          <w:sz w:val="32"/>
          <w:szCs w:val="32"/>
        </w:rPr>
      </w:pPr>
    </w:p>
    <w:p w14:paraId="7A9AC4E8" w14:textId="77777777" w:rsidR="009147EC" w:rsidRDefault="009147EC" w:rsidP="009147EC">
      <w:pPr>
        <w:rPr>
          <w:rFonts w:ascii="Arial" w:hAnsi="Arial" w:cs="Arial"/>
          <w:sz w:val="32"/>
          <w:szCs w:val="32"/>
        </w:rPr>
      </w:pPr>
    </w:p>
    <w:p w14:paraId="512348E6" w14:textId="77777777" w:rsidR="009147EC" w:rsidRDefault="009147EC" w:rsidP="009147EC">
      <w:pPr>
        <w:rPr>
          <w:rFonts w:ascii="Arial" w:hAnsi="Arial" w:cs="Arial"/>
          <w:sz w:val="32"/>
          <w:szCs w:val="32"/>
        </w:rPr>
      </w:pPr>
    </w:p>
    <w:p w14:paraId="7BB1F7E7" w14:textId="77777777" w:rsidR="009147EC" w:rsidRDefault="009147EC" w:rsidP="009147EC">
      <w:pPr>
        <w:rPr>
          <w:rFonts w:ascii="Arial" w:hAnsi="Arial" w:cs="Arial"/>
          <w:sz w:val="32"/>
          <w:szCs w:val="32"/>
        </w:rPr>
      </w:pPr>
    </w:p>
    <w:p w14:paraId="62D5A34F" w14:textId="77777777" w:rsidR="00E159B3" w:rsidRDefault="00E159B3" w:rsidP="009147EC">
      <w:pPr>
        <w:rPr>
          <w:rFonts w:ascii="Arial" w:hAnsi="Arial" w:cs="Arial"/>
          <w:sz w:val="32"/>
          <w:szCs w:val="32"/>
        </w:rPr>
      </w:pPr>
    </w:p>
    <w:p w14:paraId="0FCE1DCA" w14:textId="27CC473C" w:rsidR="001A0EEE" w:rsidRDefault="003F1961" w:rsidP="009147EC">
      <w:pPr>
        <w:rPr>
          <w:rFonts w:ascii="Arial" w:hAnsi="Arial" w:cs="Arial"/>
          <w:sz w:val="32"/>
          <w:szCs w:val="32"/>
        </w:rPr>
      </w:pPr>
      <w:r>
        <w:rPr>
          <w:rFonts w:ascii="Arial" w:hAnsi="Arial" w:cs="Arial"/>
          <w:sz w:val="32"/>
          <w:szCs w:val="32"/>
        </w:rPr>
        <w:t xml:space="preserve">Abbreviations </w:t>
      </w:r>
    </w:p>
    <w:p w14:paraId="5EA62061" w14:textId="77777777" w:rsidR="001A0EEE" w:rsidRDefault="001A0EEE" w:rsidP="00681F8B">
      <w:pPr>
        <w:spacing w:line="360" w:lineRule="auto"/>
        <w:rPr>
          <w:rFonts w:ascii="Arial" w:hAnsi="Arial" w:cs="Arial"/>
        </w:rPr>
      </w:pPr>
      <w:r w:rsidRPr="001A0EEE">
        <w:rPr>
          <w:rFonts w:ascii="Arial" w:hAnsi="Arial" w:cs="Arial"/>
        </w:rPr>
        <w:t>ADHD</w:t>
      </w:r>
      <w:r>
        <w:rPr>
          <w:rFonts w:ascii="Arial" w:hAnsi="Arial" w:cs="Arial"/>
        </w:rPr>
        <w:t xml:space="preserve">: Attention Deficit Hyperactivity Disorder </w:t>
      </w:r>
    </w:p>
    <w:p w14:paraId="04A4CB9D" w14:textId="77777777" w:rsidR="001A0EEE" w:rsidRDefault="001A0EEE" w:rsidP="00681F8B">
      <w:pPr>
        <w:spacing w:line="360" w:lineRule="auto"/>
        <w:rPr>
          <w:rFonts w:ascii="Arial" w:hAnsi="Arial" w:cs="Arial"/>
        </w:rPr>
      </w:pPr>
      <w:r>
        <w:rPr>
          <w:rFonts w:ascii="Arial" w:hAnsi="Arial" w:cs="Arial"/>
        </w:rPr>
        <w:t xml:space="preserve">CD: Cardiovascular Disease </w:t>
      </w:r>
    </w:p>
    <w:p w14:paraId="4C79A334" w14:textId="77777777" w:rsidR="001A0EEE" w:rsidRDefault="001A0EEE" w:rsidP="00681F8B">
      <w:pPr>
        <w:spacing w:line="360" w:lineRule="auto"/>
        <w:rPr>
          <w:rFonts w:ascii="Arial" w:hAnsi="Arial" w:cs="Arial"/>
        </w:rPr>
      </w:pPr>
      <w:r>
        <w:rPr>
          <w:rFonts w:ascii="Arial" w:hAnsi="Arial" w:cs="Arial"/>
        </w:rPr>
        <w:t xml:space="preserve">UK: United Kingdom </w:t>
      </w:r>
    </w:p>
    <w:p w14:paraId="00455145" w14:textId="77777777" w:rsidR="001A0EEE" w:rsidRDefault="001A0EEE" w:rsidP="00681F8B">
      <w:pPr>
        <w:spacing w:line="360" w:lineRule="auto"/>
        <w:rPr>
          <w:rFonts w:ascii="Arial" w:hAnsi="Arial" w:cs="Arial"/>
        </w:rPr>
      </w:pPr>
      <w:r>
        <w:rPr>
          <w:rFonts w:ascii="Arial" w:hAnsi="Arial" w:cs="Arial"/>
        </w:rPr>
        <w:t xml:space="preserve">USA: United States of America </w:t>
      </w:r>
    </w:p>
    <w:p w14:paraId="646E9864" w14:textId="77777777" w:rsidR="001A0EEE" w:rsidRDefault="001A0EEE" w:rsidP="00681F8B">
      <w:pPr>
        <w:spacing w:line="360" w:lineRule="auto"/>
        <w:rPr>
          <w:rFonts w:ascii="Arial" w:hAnsi="Arial" w:cs="Arial"/>
        </w:rPr>
      </w:pPr>
      <w:r>
        <w:rPr>
          <w:rFonts w:ascii="Arial" w:hAnsi="Arial" w:cs="Arial"/>
        </w:rPr>
        <w:t xml:space="preserve">NIMH: National Institute of Mental Health </w:t>
      </w:r>
    </w:p>
    <w:p w14:paraId="657D47B9" w14:textId="0E20D923" w:rsidR="00487A13" w:rsidRDefault="00C35B41" w:rsidP="003B633C">
      <w:pPr>
        <w:spacing w:line="360" w:lineRule="auto"/>
        <w:rPr>
          <w:rFonts w:ascii="Arial" w:hAnsi="Arial" w:cs="Arial"/>
        </w:rPr>
      </w:pPr>
      <w:r>
        <w:rPr>
          <w:rFonts w:ascii="Arial" w:hAnsi="Arial" w:cs="Arial"/>
        </w:rPr>
        <w:t xml:space="preserve">EBP: Evidence Based Practice </w:t>
      </w:r>
    </w:p>
    <w:p w14:paraId="6BA535D2" w14:textId="77777777" w:rsidR="003B633C" w:rsidRDefault="00F97085" w:rsidP="003B633C">
      <w:pPr>
        <w:spacing w:line="360" w:lineRule="auto"/>
        <w:rPr>
          <w:rFonts w:ascii="Arial" w:hAnsi="Arial" w:cs="Arial"/>
        </w:rPr>
      </w:pPr>
      <w:r>
        <w:rPr>
          <w:rFonts w:ascii="Arial" w:hAnsi="Arial" w:cs="Arial"/>
        </w:rPr>
        <w:t xml:space="preserve">NICE: National Institution and Care Excellence </w:t>
      </w:r>
    </w:p>
    <w:p w14:paraId="20877A01" w14:textId="77777777" w:rsidR="00865BB2" w:rsidRDefault="003B633C" w:rsidP="003B633C">
      <w:pPr>
        <w:spacing w:line="360" w:lineRule="auto"/>
        <w:rPr>
          <w:rFonts w:ascii="Arial" w:hAnsi="Arial" w:cs="Arial"/>
        </w:rPr>
      </w:pPr>
      <w:r w:rsidRPr="003B633C">
        <w:rPr>
          <w:rFonts w:ascii="Arial" w:hAnsi="Arial" w:cs="Arial"/>
        </w:rPr>
        <w:t>ECG: Electrocardiogram</w:t>
      </w:r>
    </w:p>
    <w:p w14:paraId="2A49B281" w14:textId="5BE0DFAE" w:rsidR="000A539C" w:rsidRDefault="006308F9" w:rsidP="003B633C">
      <w:pPr>
        <w:spacing w:line="360" w:lineRule="auto"/>
        <w:rPr>
          <w:rFonts w:ascii="Arial" w:hAnsi="Arial" w:cs="Arial"/>
        </w:rPr>
      </w:pPr>
      <w:r>
        <w:rPr>
          <w:rFonts w:ascii="Arial" w:hAnsi="Arial" w:cs="Arial"/>
        </w:rPr>
        <w:t>GDPR:</w:t>
      </w:r>
      <w:r w:rsidR="00865BB2">
        <w:rPr>
          <w:rFonts w:ascii="Arial" w:hAnsi="Arial" w:cs="Arial"/>
        </w:rPr>
        <w:t xml:space="preserve"> </w:t>
      </w:r>
      <w:r w:rsidR="00865BB2" w:rsidRPr="00865BB2">
        <w:rPr>
          <w:rFonts w:ascii="Arial" w:hAnsi="Arial" w:cs="Arial"/>
        </w:rPr>
        <w:t xml:space="preserve">General Data Protection Regulation </w:t>
      </w:r>
    </w:p>
    <w:p w14:paraId="39005355" w14:textId="4339C909" w:rsidR="00487A13" w:rsidRPr="003B633C" w:rsidRDefault="000A539C" w:rsidP="003B633C">
      <w:pPr>
        <w:spacing w:line="360" w:lineRule="auto"/>
        <w:rPr>
          <w:rFonts w:ascii="Arial" w:hAnsi="Arial" w:cs="Arial"/>
        </w:rPr>
      </w:pPr>
      <w:r>
        <w:rPr>
          <w:rFonts w:ascii="Arial" w:hAnsi="Arial" w:cs="Arial"/>
        </w:rPr>
        <w:t xml:space="preserve">CASP: </w:t>
      </w:r>
      <w:r w:rsidRPr="00BF2A0E">
        <w:rPr>
          <w:rStyle w:val="Strong"/>
          <w:rFonts w:ascii="Arial" w:hAnsi="Arial" w:cs="Arial"/>
          <w:b w:val="0"/>
          <w:bCs w:val="0"/>
        </w:rPr>
        <w:t>Critical Appraisal Skills Programme</w:t>
      </w:r>
      <w:r>
        <w:rPr>
          <w:rStyle w:val="Strong"/>
          <w:rFonts w:ascii="Arial" w:hAnsi="Arial" w:cs="Arial"/>
          <w:b w:val="0"/>
          <w:bCs w:val="0"/>
        </w:rPr>
        <w:t xml:space="preserve"> </w:t>
      </w:r>
      <w:r w:rsidR="00487A13" w:rsidRPr="003B633C">
        <w:rPr>
          <w:rFonts w:ascii="Arial" w:hAnsi="Arial" w:cs="Arial"/>
        </w:rPr>
        <w:br w:type="page"/>
      </w:r>
    </w:p>
    <w:p w14:paraId="5AD4355C" w14:textId="77777777" w:rsidR="00487A13" w:rsidRDefault="00487A13" w:rsidP="00681F8B">
      <w:pPr>
        <w:spacing w:line="360" w:lineRule="auto"/>
        <w:rPr>
          <w:rFonts w:ascii="Arial" w:hAnsi="Arial" w:cs="Arial"/>
          <w:sz w:val="32"/>
          <w:szCs w:val="32"/>
        </w:rPr>
      </w:pPr>
      <w:r w:rsidRPr="00487A13">
        <w:rPr>
          <w:rFonts w:ascii="Arial" w:hAnsi="Arial" w:cs="Arial"/>
          <w:sz w:val="32"/>
          <w:szCs w:val="32"/>
        </w:rPr>
        <w:t>Theoretical Frameworks</w:t>
      </w:r>
    </w:p>
    <w:p w14:paraId="3A755883" w14:textId="579E4A81" w:rsidR="00021C39" w:rsidRPr="001545A1" w:rsidRDefault="00C35B41" w:rsidP="00E43A2C">
      <w:pPr>
        <w:pStyle w:val="ListParagraph"/>
        <w:numPr>
          <w:ilvl w:val="0"/>
          <w:numId w:val="35"/>
        </w:numPr>
        <w:spacing w:line="360" w:lineRule="auto"/>
        <w:rPr>
          <w:rFonts w:ascii="Arial" w:hAnsi="Arial" w:cs="Arial"/>
        </w:rPr>
      </w:pPr>
      <w:r w:rsidRPr="001545A1">
        <w:rPr>
          <w:rFonts w:ascii="Arial" w:hAnsi="Arial" w:cs="Arial"/>
        </w:rPr>
        <w:t>P</w:t>
      </w:r>
      <w:r w:rsidR="0078783C" w:rsidRPr="001545A1">
        <w:rPr>
          <w:rFonts w:ascii="Arial" w:hAnsi="Arial" w:cs="Arial"/>
        </w:rPr>
        <w:t>RISMA (</w:t>
      </w:r>
      <w:r w:rsidR="0078783C" w:rsidRPr="001545A1">
        <w:rPr>
          <w:rStyle w:val="Strong"/>
          <w:rFonts w:ascii="Arial" w:hAnsi="Arial" w:cs="Arial"/>
          <w:b w:val="0"/>
          <w:bCs w:val="0"/>
        </w:rPr>
        <w:t>Preferred Reporting Items for Systematic Reviews and Meta-Analyses</w:t>
      </w:r>
      <w:r w:rsidR="0078783C" w:rsidRPr="001545A1">
        <w:rPr>
          <w:rFonts w:ascii="Arial" w:hAnsi="Arial" w:cs="Arial"/>
        </w:rPr>
        <w:t>)</w:t>
      </w:r>
    </w:p>
    <w:p w14:paraId="2275A1BB" w14:textId="2CA0B848" w:rsidR="00021C39" w:rsidRPr="001545A1" w:rsidRDefault="00021C39" w:rsidP="00E43A2C">
      <w:pPr>
        <w:pStyle w:val="ListParagraph"/>
        <w:numPr>
          <w:ilvl w:val="0"/>
          <w:numId w:val="35"/>
        </w:numPr>
        <w:spacing w:line="360" w:lineRule="auto"/>
        <w:rPr>
          <w:rFonts w:ascii="Arial" w:hAnsi="Arial" w:cs="Arial"/>
        </w:rPr>
      </w:pPr>
      <w:r w:rsidRPr="001545A1">
        <w:rPr>
          <w:rFonts w:ascii="Arial" w:hAnsi="Arial" w:cs="Arial"/>
        </w:rPr>
        <w:t>PICO (</w:t>
      </w:r>
      <w:r w:rsidR="0078783C" w:rsidRPr="001545A1">
        <w:rPr>
          <w:rFonts w:ascii="Arial" w:hAnsi="Arial" w:cs="Arial"/>
        </w:rPr>
        <w:t>evidence - based practice)</w:t>
      </w:r>
    </w:p>
    <w:p w14:paraId="0400A96B" w14:textId="3E914FF2" w:rsidR="00E47560" w:rsidRPr="001545A1" w:rsidRDefault="005F3587" w:rsidP="00E43A2C">
      <w:pPr>
        <w:pStyle w:val="ListParagraph"/>
        <w:numPr>
          <w:ilvl w:val="0"/>
          <w:numId w:val="35"/>
        </w:numPr>
        <w:spacing w:line="360" w:lineRule="auto"/>
        <w:rPr>
          <w:rFonts w:ascii="Arial" w:eastAsiaTheme="majorEastAsia" w:hAnsi="Arial" w:cs="Arial"/>
        </w:rPr>
      </w:pPr>
      <w:r w:rsidRPr="001545A1">
        <w:rPr>
          <w:rFonts w:ascii="Arial" w:hAnsi="Arial" w:cs="Arial"/>
        </w:rPr>
        <w:t xml:space="preserve">Boolean operators </w:t>
      </w:r>
      <w:r w:rsidR="00E47560" w:rsidRPr="001545A1">
        <w:rPr>
          <w:rFonts w:ascii="Arial" w:hAnsi="Arial" w:cs="Arial"/>
        </w:rPr>
        <w:br w:type="page"/>
      </w:r>
    </w:p>
    <w:p w14:paraId="2BEDB998" w14:textId="77777777" w:rsidR="003D247F" w:rsidRPr="00052B8D" w:rsidRDefault="003D247F" w:rsidP="003D247F">
      <w:pPr>
        <w:spacing w:before="100" w:beforeAutospacing="1" w:after="100" w:afterAutospacing="1" w:line="360" w:lineRule="auto"/>
        <w:jc w:val="center"/>
        <w:rPr>
          <w:rFonts w:ascii="Times New Roman" w:hAnsi="Times New Roman" w:cs="Times New Roman"/>
          <w:b/>
          <w:bCs/>
          <w:sz w:val="40"/>
          <w:szCs w:val="40"/>
        </w:rPr>
      </w:pPr>
      <w:r w:rsidRPr="00052B8D">
        <w:rPr>
          <w:rFonts w:ascii="Times New Roman" w:hAnsi="Times New Roman" w:cs="Times New Roman"/>
          <w:b/>
          <w:bCs/>
          <w:sz w:val="40"/>
          <w:szCs w:val="40"/>
        </w:rPr>
        <w:t>he Association Between ADHD Medication and Cardiovascular Events in Middle–Aged Men: A Systematic Literature Review</w:t>
      </w:r>
    </w:p>
    <w:p w14:paraId="59F5D6BB" w14:textId="77777777" w:rsidR="003D247F" w:rsidRPr="00052B8D" w:rsidRDefault="003D247F" w:rsidP="003D247F">
      <w:pPr>
        <w:pStyle w:val="Heading1"/>
        <w:spacing w:before="100" w:beforeAutospacing="1" w:after="100" w:afterAutospacing="1" w:line="360" w:lineRule="auto"/>
        <w:jc w:val="center"/>
        <w:rPr>
          <w:rFonts w:ascii="Times New Roman" w:hAnsi="Times New Roman" w:cs="Times New Roman"/>
          <w:b/>
          <w:bCs/>
          <w:color w:val="auto"/>
          <w:sz w:val="24"/>
          <w:szCs w:val="24"/>
        </w:rPr>
      </w:pPr>
    </w:p>
    <w:p w14:paraId="473BADF5" w14:textId="77777777" w:rsidR="003D247F" w:rsidRPr="00052B8D" w:rsidRDefault="003D247F" w:rsidP="003D247F">
      <w:pPr>
        <w:spacing w:before="100" w:beforeAutospacing="1" w:after="100" w:afterAutospacing="1" w:line="360" w:lineRule="auto"/>
        <w:jc w:val="center"/>
        <w:rPr>
          <w:rFonts w:ascii="Times New Roman" w:hAnsi="Times New Roman" w:cs="Times New Roman"/>
          <w:b/>
          <w:bCs/>
          <w:sz w:val="32"/>
          <w:szCs w:val="32"/>
        </w:rPr>
      </w:pPr>
      <w:r w:rsidRPr="00052B8D">
        <w:rPr>
          <w:rFonts w:ascii="Times New Roman" w:hAnsi="Times New Roman" w:cs="Times New Roman"/>
          <w:b/>
          <w:bCs/>
          <w:sz w:val="32"/>
          <w:szCs w:val="32"/>
        </w:rPr>
        <w:t>Carrie Jelfs</w:t>
      </w:r>
    </w:p>
    <w:p w14:paraId="578D6AAB" w14:textId="77777777" w:rsidR="003D247F" w:rsidRPr="00A563D5" w:rsidRDefault="003D247F" w:rsidP="003D247F">
      <w:pPr>
        <w:spacing w:before="100" w:beforeAutospacing="1" w:after="100" w:afterAutospacing="1" w:line="360" w:lineRule="auto"/>
        <w:jc w:val="both"/>
        <w:rPr>
          <w:rFonts w:ascii="Times New Roman" w:hAnsi="Times New Roman" w:cs="Times New Roman"/>
          <w:sz w:val="24"/>
          <w:szCs w:val="24"/>
        </w:rPr>
      </w:pPr>
    </w:p>
    <w:p w14:paraId="6741F3B7" w14:textId="77777777" w:rsidR="003D247F" w:rsidRPr="00A563D5" w:rsidRDefault="003D247F" w:rsidP="003D247F">
      <w:pPr>
        <w:spacing w:before="100" w:beforeAutospacing="1" w:after="100" w:afterAutospacing="1" w:line="360" w:lineRule="auto"/>
        <w:jc w:val="both"/>
        <w:rPr>
          <w:rFonts w:ascii="Times New Roman" w:hAnsi="Times New Roman" w:cs="Times New Roman"/>
          <w:sz w:val="24"/>
          <w:szCs w:val="24"/>
        </w:rPr>
      </w:pPr>
    </w:p>
    <w:p w14:paraId="682FAC43" w14:textId="77777777" w:rsidR="003D247F" w:rsidRPr="00A563D5" w:rsidRDefault="003D247F" w:rsidP="003D247F">
      <w:pPr>
        <w:spacing w:before="100" w:beforeAutospacing="1" w:after="100" w:afterAutospacing="1" w:line="360" w:lineRule="auto"/>
        <w:jc w:val="both"/>
        <w:rPr>
          <w:rFonts w:ascii="Times New Roman" w:eastAsiaTheme="majorEastAsia" w:hAnsi="Times New Roman" w:cs="Times New Roman"/>
          <w:b/>
          <w:bCs/>
          <w:sz w:val="24"/>
          <w:szCs w:val="24"/>
        </w:rPr>
      </w:pPr>
      <w:r w:rsidRPr="00A563D5">
        <w:rPr>
          <w:rFonts w:ascii="Times New Roman" w:hAnsi="Times New Roman" w:cs="Times New Roman"/>
          <w:b/>
          <w:bCs/>
          <w:sz w:val="24"/>
          <w:szCs w:val="24"/>
        </w:rPr>
        <w:br w:type="page"/>
      </w:r>
    </w:p>
    <w:p w14:paraId="07F07F0E" w14:textId="77777777" w:rsidR="003D247F" w:rsidRPr="00ED08B9" w:rsidRDefault="003D247F" w:rsidP="003D247F">
      <w:pPr>
        <w:pStyle w:val="Heading1"/>
        <w:spacing w:before="100" w:beforeAutospacing="1" w:after="100" w:afterAutospacing="1" w:line="360" w:lineRule="auto"/>
        <w:jc w:val="both"/>
        <w:rPr>
          <w:rFonts w:ascii="Arial" w:hAnsi="Arial" w:cs="Arial"/>
          <w:b/>
          <w:bCs/>
          <w:color w:val="auto"/>
          <w:sz w:val="24"/>
          <w:szCs w:val="24"/>
        </w:rPr>
      </w:pPr>
      <w:r w:rsidRPr="00ED08B9">
        <w:rPr>
          <w:rFonts w:ascii="Arial" w:hAnsi="Arial" w:cs="Arial"/>
          <w:b/>
          <w:bCs/>
          <w:color w:val="auto"/>
          <w:sz w:val="24"/>
          <w:szCs w:val="24"/>
        </w:rPr>
        <w:t>CHAPTER 1: INTRODUCTION</w:t>
      </w:r>
    </w:p>
    <w:p w14:paraId="3046E11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chapter outlines the importance and purpose of using evidence-based practice within the context of this study. It sets out the foundations for examining the relationship between attention deficit hyperactivity disorder medication and cardiovascular outcomes in middle-aged men, and it introduces the practical steps that guide the inquiry.</w:t>
      </w:r>
    </w:p>
    <w:p w14:paraId="2A3671F2"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1.1 Introduction to the Topic</w:t>
      </w:r>
    </w:p>
    <w:p w14:paraId="05BE200B"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Attention Deficit Hyperactivity Disorder is a neurodevelopmental condition marked by persistent patterns of inattention, hyperactivity and impulsivity (National Institute of Mental Health, 2024). Estimates from the National Institute of Mental Health indicate that approximately 3.5% of adults aged 35 to 50 in the United States live with ADHD (NIMH, 2020). Comparable figures have been reported in the United Kingdom, where 3.4% of adults and 5% of children are affected (ADHD UK, 2022) (Figure 1). Although ADHD is most commonly identified in childhood, recognition in adulthood has increased, with studies suggesting that around 4.4% of adults experience symptoms consistent with the condition (Kessler et al., 2004).</w:t>
      </w:r>
    </w:p>
    <w:p w14:paraId="69DFF247"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noProof/>
          <w:sz w:val="24"/>
          <w:szCs w:val="24"/>
        </w:rPr>
        <w:drawing>
          <wp:inline distT="0" distB="0" distL="0" distR="0" wp14:anchorId="7C3D0269" wp14:editId="4B927E10">
            <wp:extent cx="5707380" cy="2004060"/>
            <wp:effectExtent l="0" t="0" r="7620" b="0"/>
            <wp:docPr id="1416531335" name="Picture 1" descr="A graph of a person and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531335" name="Picture 1" descr="A graph of a person and person&#10;&#10;AI-generated content may be incorrect."/>
                    <pic:cNvPicPr/>
                  </pic:nvPicPr>
                  <pic:blipFill>
                    <a:blip r:embed="rId11"/>
                    <a:stretch>
                      <a:fillRect/>
                    </a:stretch>
                  </pic:blipFill>
                  <pic:spPr>
                    <a:xfrm>
                      <a:off x="0" y="0"/>
                      <a:ext cx="5707878" cy="2004235"/>
                    </a:xfrm>
                    <a:prstGeom prst="rect">
                      <a:avLst/>
                    </a:prstGeom>
                  </pic:spPr>
                </pic:pic>
              </a:graphicData>
            </a:graphic>
          </wp:inline>
        </w:drawing>
      </w:r>
    </w:p>
    <w:p w14:paraId="4F5E750B" w14:textId="77777777" w:rsidR="003D247F" w:rsidRPr="00ED08B9" w:rsidRDefault="003D247F" w:rsidP="003D247F">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ED08B9">
        <w:rPr>
          <w:rFonts w:ascii="Arial" w:hAnsi="Arial" w:cs="Arial"/>
          <w:sz w:val="24"/>
          <w:szCs w:val="24"/>
        </w:rPr>
        <w:t xml:space="preserve">  </w:t>
      </w:r>
      <w:r w:rsidRPr="00ED08B9">
        <w:rPr>
          <w:rFonts w:ascii="Arial" w:eastAsia="Times New Roman" w:hAnsi="Arial" w:cs="Arial"/>
          <w:b/>
          <w:bCs/>
          <w:kern w:val="0"/>
          <w:sz w:val="24"/>
          <w:szCs w:val="24"/>
          <w:lang w:eastAsia="en-GB"/>
          <w14:ligatures w14:val="none"/>
        </w:rPr>
        <w:t>Figure 1: Prevalence of ADHD in Adult Males</w:t>
      </w:r>
    </w:p>
    <w:p w14:paraId="75BD0C5F"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Pharmacological treatment remains central to the management of ADHD. Stimulant medications such as methylphenidate and amphetamines are widely prescribed because they have demonstrated effectiveness in reducing the core symptoms of the disorder. Non-stimulant medications, including atomoxetine, provide an alternative for individuals who do not tolerate stimulants or who require a different therapeutic approach (Faraone et al., 2015).</w:t>
      </w:r>
    </w:p>
    <w:p w14:paraId="70908F7F"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Concerns have emerged regarding the cardiovascular implications of these treatments. Stimulant medications have been linked to increases in heart rate and blood pressure, both of which are recognised risk factors for cardiovascular disease in adults (Mick, McManus and Goldberg, 2013). Middle-aged adults may be particularly vulnerable, as these physiological changes can aggravate existing conditions or contribute to the onset of new cardiovascular problems such as heart attack, stroke or arrhythmia (Ramos et al., 2014).</w:t>
      </w:r>
    </w:p>
    <w:p w14:paraId="74DDE60E"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The prevalence of cardiovascular disease in middle-aged men is substantial. Studies report that around 50% of men aged 45 to 64 in the United States have at least one form of cardiovascular disease (Heidenreich et al., 2011). The American Heart Association similarly reports that 45% of men in this age group live with cardiovascular conditions, which underscores the need for preventive strategies and closer monitoring (Benjamin et al., 2019).</w:t>
      </w:r>
    </w:p>
    <w:p w14:paraId="7FCFAF14"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eastAsia="Times New Roman" w:hAnsi="Arial" w:cs="Arial"/>
          <w:kern w:val="0"/>
          <w:sz w:val="24"/>
          <w:szCs w:val="24"/>
          <w:lang w:eastAsia="en-GB"/>
          <w14:ligatures w14:val="none"/>
        </w:rPr>
        <w:t xml:space="preserve">The relevance of this research lies in the limited attention given to the cardiovascular risks associated with ADHD medication use among middle-aged men. This population already faces a heightened risk of cardiovascular disease, and the potential interaction between medication use and cardiovascular vulnerability warrants careful examination. Lifestyle factors such as smoking, low levels of physical activity and poor diet may further intensify these risks, which highlights the importance of considering these variables when assessing medication-related outcomes (Heidenreich et al., 2011; </w:t>
      </w:r>
      <w:r w:rsidRPr="00ED08B9">
        <w:rPr>
          <w:rFonts w:ascii="Arial" w:hAnsi="Arial" w:cs="Arial"/>
          <w:sz w:val="24"/>
          <w:szCs w:val="24"/>
        </w:rPr>
        <w:t>Björk et al., 2018; Papanastasiou et al., 2021</w:t>
      </w:r>
      <w:r w:rsidRPr="00ED08B9">
        <w:rPr>
          <w:rFonts w:ascii="Arial" w:eastAsia="Times New Roman" w:hAnsi="Arial" w:cs="Arial"/>
          <w:kern w:val="0"/>
          <w:sz w:val="24"/>
          <w:szCs w:val="24"/>
          <w:lang w:eastAsia="en-GB"/>
          <w14:ligatures w14:val="none"/>
        </w:rPr>
        <w:t>).</w:t>
      </w:r>
    </w:p>
    <w:p w14:paraId="5D7C862E"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According to the National Institute of Mental Health, approximately 3.5% of adults aged 35 to 50 in the United States are affected by ADHD (NIMH, 2020). This dissertation, therefore, investigates the association between ADHD medication use and cardiovascular events in middle-aged men on a global scale. The study aims to address a public health concern that remains underexplored.</w:t>
      </w:r>
    </w:p>
    <w:p w14:paraId="0D346C8E"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Tables 1 and 2 present prevalence estimates drawn from peer-reviewed studies, academic sources, and public health agencies. These tables summarise the proportion of middle-aged men diagnosed with ADHD and the prevalence of cardiovascular disease within the same demographic.</w:t>
      </w:r>
    </w:p>
    <w:p w14:paraId="2F352EE5" w14:textId="77777777" w:rsidR="003D247F" w:rsidRPr="00ED08B9" w:rsidRDefault="003D247F" w:rsidP="003D247F">
      <w:pPr>
        <w:pStyle w:val="Heading4"/>
        <w:spacing w:before="100" w:beforeAutospacing="1" w:after="100" w:afterAutospacing="1" w:line="360" w:lineRule="auto"/>
        <w:jc w:val="both"/>
        <w:rPr>
          <w:rFonts w:ascii="Arial" w:eastAsia="Times New Roman" w:hAnsi="Arial" w:cs="Arial"/>
          <w:b/>
          <w:bCs/>
          <w:i w:val="0"/>
          <w:iCs w:val="0"/>
          <w:color w:val="auto"/>
          <w:kern w:val="0"/>
          <w:sz w:val="24"/>
          <w:szCs w:val="24"/>
          <w:lang w:eastAsia="en-GB"/>
          <w14:ligatures w14:val="none"/>
        </w:rPr>
      </w:pPr>
      <w:r w:rsidRPr="00ED08B9">
        <w:rPr>
          <w:rFonts w:ascii="Arial" w:eastAsia="Times New Roman" w:hAnsi="Arial" w:cs="Arial"/>
          <w:b/>
          <w:bCs/>
          <w:i w:val="0"/>
          <w:iCs w:val="0"/>
          <w:color w:val="auto"/>
          <w:kern w:val="0"/>
          <w:sz w:val="24"/>
          <w:szCs w:val="24"/>
          <w:lang w:eastAsia="en-GB"/>
          <w14:ligatures w14:val="none"/>
        </w:rPr>
        <w:t>Table 1: Prevalence of ADHD in Middle-Aged Men</w:t>
      </w:r>
    </w:p>
    <w:tbl>
      <w:tblPr>
        <w:tblStyle w:val="TableGrid"/>
        <w:tblW w:w="0" w:type="auto"/>
        <w:tblLook w:val="04A0" w:firstRow="1" w:lastRow="0" w:firstColumn="1" w:lastColumn="0" w:noHBand="0" w:noVBand="1"/>
      </w:tblPr>
      <w:tblGrid>
        <w:gridCol w:w="1803"/>
        <w:gridCol w:w="1803"/>
        <w:gridCol w:w="1803"/>
        <w:gridCol w:w="1803"/>
        <w:gridCol w:w="1804"/>
      </w:tblGrid>
      <w:tr w:rsidR="003D247F" w:rsidRPr="00ED08B9" w14:paraId="783C97F8" w14:textId="77777777" w:rsidTr="00CD232E">
        <w:tc>
          <w:tcPr>
            <w:tcW w:w="1803" w:type="dxa"/>
          </w:tcPr>
          <w:p w14:paraId="2654E095"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Study</w:t>
            </w:r>
          </w:p>
        </w:tc>
        <w:tc>
          <w:tcPr>
            <w:tcW w:w="1803" w:type="dxa"/>
          </w:tcPr>
          <w:p w14:paraId="2138825B"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Prevalence</w:t>
            </w:r>
          </w:p>
        </w:tc>
        <w:tc>
          <w:tcPr>
            <w:tcW w:w="1803" w:type="dxa"/>
          </w:tcPr>
          <w:p w14:paraId="0FEDA8D0"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Sample Size</w:t>
            </w:r>
          </w:p>
        </w:tc>
        <w:tc>
          <w:tcPr>
            <w:tcW w:w="1803" w:type="dxa"/>
          </w:tcPr>
          <w:p w14:paraId="2B71FF8B"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Age Group</w:t>
            </w:r>
          </w:p>
        </w:tc>
        <w:tc>
          <w:tcPr>
            <w:tcW w:w="1804" w:type="dxa"/>
          </w:tcPr>
          <w:p w14:paraId="4F653204"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Country</w:t>
            </w:r>
          </w:p>
        </w:tc>
      </w:tr>
      <w:tr w:rsidR="003D247F" w:rsidRPr="00ED08B9" w14:paraId="0961E0FA" w14:textId="77777777" w:rsidTr="00CD232E">
        <w:tc>
          <w:tcPr>
            <w:tcW w:w="1803" w:type="dxa"/>
          </w:tcPr>
          <w:p w14:paraId="479F011A"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Kessler et al., (2004)</w:t>
            </w:r>
          </w:p>
        </w:tc>
        <w:tc>
          <w:tcPr>
            <w:tcW w:w="1803" w:type="dxa"/>
          </w:tcPr>
          <w:p w14:paraId="39FA0D99"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44%</w:t>
            </w:r>
          </w:p>
        </w:tc>
        <w:tc>
          <w:tcPr>
            <w:tcW w:w="1803" w:type="dxa"/>
          </w:tcPr>
          <w:p w14:paraId="48E8878A"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18,000+</w:t>
            </w:r>
          </w:p>
        </w:tc>
        <w:tc>
          <w:tcPr>
            <w:tcW w:w="1803" w:type="dxa"/>
          </w:tcPr>
          <w:p w14:paraId="1BA4949F"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18 – 44 years</w:t>
            </w:r>
          </w:p>
        </w:tc>
        <w:tc>
          <w:tcPr>
            <w:tcW w:w="1804" w:type="dxa"/>
          </w:tcPr>
          <w:p w14:paraId="13E66949"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USA</w:t>
            </w:r>
          </w:p>
        </w:tc>
      </w:tr>
      <w:tr w:rsidR="003D247F" w:rsidRPr="00ED08B9" w14:paraId="35649900" w14:textId="77777777" w:rsidTr="00CD232E">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tblGrid>
            <w:tr w:rsidR="003D247F" w:rsidRPr="00ED08B9" w14:paraId="2E44FD1A" w14:textId="77777777" w:rsidTr="00CD232E">
              <w:trPr>
                <w:tblCellSpacing w:w="15" w:type="dxa"/>
              </w:trPr>
              <w:tc>
                <w:tcPr>
                  <w:tcW w:w="0" w:type="auto"/>
                  <w:vAlign w:val="center"/>
                  <w:hideMark/>
                </w:tcPr>
                <w:p w14:paraId="0B0086EE" w14:textId="77777777" w:rsidR="003D247F" w:rsidRPr="00ED08B9" w:rsidRDefault="003D247F" w:rsidP="00CD232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Faraone et al., (2015)</w:t>
                  </w:r>
                </w:p>
              </w:tc>
            </w:tr>
          </w:tbl>
          <w:p w14:paraId="27AEA178" w14:textId="77777777" w:rsidR="003D247F" w:rsidRPr="00ED08B9" w:rsidRDefault="003D247F" w:rsidP="00CD232E">
            <w:pPr>
              <w:spacing w:before="100" w:beforeAutospacing="1" w:after="100" w:afterAutospacing="1" w:line="360" w:lineRule="auto"/>
              <w:jc w:val="both"/>
              <w:rPr>
                <w:rFonts w:ascii="Arial" w:eastAsia="Times New Roman" w:hAnsi="Arial" w:cs="Arial"/>
                <w:vanish/>
                <w:kern w:val="0"/>
                <w:sz w:val="24"/>
                <w:szCs w:val="24"/>
                <w:lang w:eastAsia="en-GB"/>
                <w14:ligatures w14:val="none"/>
              </w:rPr>
            </w:pPr>
          </w:p>
          <w:p w14:paraId="717535F5" w14:textId="77777777" w:rsidR="003D247F" w:rsidRPr="00ED08B9" w:rsidRDefault="003D247F" w:rsidP="00CD232E">
            <w:pPr>
              <w:spacing w:before="100" w:beforeAutospacing="1" w:after="100" w:afterAutospacing="1" w:line="360" w:lineRule="auto"/>
              <w:jc w:val="both"/>
              <w:rPr>
                <w:rFonts w:ascii="Arial" w:eastAsia="Times New Roman" w:hAnsi="Arial" w:cs="Arial"/>
                <w:vanish/>
                <w:kern w:val="0"/>
                <w:sz w:val="24"/>
                <w:szCs w:val="24"/>
                <w:lang w:eastAsia="en-GB"/>
                <w14:ligatures w14:val="none"/>
              </w:rPr>
            </w:pPr>
          </w:p>
          <w:p w14:paraId="38A3EF24" w14:textId="77777777" w:rsidR="003D247F" w:rsidRPr="00ED08B9" w:rsidRDefault="003D247F" w:rsidP="00CD232E">
            <w:pPr>
              <w:spacing w:before="100" w:beforeAutospacing="1" w:after="100" w:afterAutospacing="1" w:line="360" w:lineRule="auto"/>
              <w:jc w:val="both"/>
              <w:rPr>
                <w:rFonts w:ascii="Arial" w:hAnsi="Arial" w:cs="Arial"/>
                <w:sz w:val="24"/>
                <w:szCs w:val="24"/>
              </w:rPr>
            </w:pPr>
          </w:p>
        </w:tc>
        <w:tc>
          <w:tcPr>
            <w:tcW w:w="1803" w:type="dxa"/>
          </w:tcPr>
          <w:p w14:paraId="041A0ABA"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3.9%</w:t>
            </w:r>
          </w:p>
        </w:tc>
        <w:tc>
          <w:tcPr>
            <w:tcW w:w="1803" w:type="dxa"/>
          </w:tcPr>
          <w:p w14:paraId="761A4275"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2,500</w:t>
            </w:r>
          </w:p>
        </w:tc>
        <w:tc>
          <w:tcPr>
            <w:tcW w:w="1803" w:type="dxa"/>
          </w:tcPr>
          <w:p w14:paraId="687467E1"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40 – 59 years</w:t>
            </w:r>
          </w:p>
        </w:tc>
        <w:tc>
          <w:tcPr>
            <w:tcW w:w="1804" w:type="dxa"/>
          </w:tcPr>
          <w:p w14:paraId="54C219CC"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Global (Meta analysis)</w:t>
            </w:r>
          </w:p>
        </w:tc>
      </w:tr>
      <w:tr w:rsidR="003D247F" w:rsidRPr="00ED08B9" w14:paraId="2C0CCC53" w14:textId="77777777" w:rsidTr="00CD232E">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tblGrid>
            <w:tr w:rsidR="003D247F" w:rsidRPr="00ED08B9" w14:paraId="2F88F992" w14:textId="77777777" w:rsidTr="00CD232E">
              <w:trPr>
                <w:tblCellSpacing w:w="15" w:type="dxa"/>
              </w:trPr>
              <w:tc>
                <w:tcPr>
                  <w:tcW w:w="0" w:type="auto"/>
                  <w:vAlign w:val="center"/>
                  <w:hideMark/>
                </w:tcPr>
                <w:p w14:paraId="6F4E726F" w14:textId="77777777" w:rsidR="003D247F" w:rsidRPr="00ED08B9" w:rsidRDefault="003D247F" w:rsidP="00CD232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National Institute of Mental Health (NIMH, 2020)</w:t>
                  </w:r>
                </w:p>
              </w:tc>
            </w:tr>
          </w:tbl>
          <w:p w14:paraId="34DB2996" w14:textId="77777777" w:rsidR="003D247F" w:rsidRPr="00ED08B9" w:rsidRDefault="003D247F" w:rsidP="00CD232E">
            <w:pPr>
              <w:spacing w:before="100" w:beforeAutospacing="1" w:after="100" w:afterAutospacing="1" w:line="360" w:lineRule="auto"/>
              <w:jc w:val="both"/>
              <w:rPr>
                <w:rFonts w:ascii="Arial" w:eastAsia="Times New Roman" w:hAnsi="Arial" w:cs="Arial"/>
                <w:vanish/>
                <w:kern w:val="0"/>
                <w:sz w:val="24"/>
                <w:szCs w:val="24"/>
                <w:lang w:eastAsia="en-GB"/>
                <w14:ligatures w14:val="none"/>
              </w:rPr>
            </w:pPr>
          </w:p>
          <w:p w14:paraId="56D72746" w14:textId="77777777" w:rsidR="003D247F" w:rsidRPr="00ED08B9" w:rsidRDefault="003D247F" w:rsidP="00CD232E">
            <w:pPr>
              <w:spacing w:before="100" w:beforeAutospacing="1" w:after="100" w:afterAutospacing="1" w:line="360" w:lineRule="auto"/>
              <w:jc w:val="both"/>
              <w:rPr>
                <w:rFonts w:ascii="Arial" w:eastAsia="Times New Roman" w:hAnsi="Arial" w:cs="Arial"/>
                <w:vanish/>
                <w:kern w:val="0"/>
                <w:sz w:val="24"/>
                <w:szCs w:val="24"/>
                <w:lang w:eastAsia="en-GB"/>
                <w14:ligatures w14:val="none"/>
              </w:rPr>
            </w:pPr>
          </w:p>
          <w:p w14:paraId="170A82B9" w14:textId="77777777" w:rsidR="003D247F" w:rsidRPr="00ED08B9" w:rsidRDefault="003D247F" w:rsidP="00CD232E">
            <w:pPr>
              <w:spacing w:before="100" w:beforeAutospacing="1" w:after="100" w:afterAutospacing="1" w:line="360" w:lineRule="auto"/>
              <w:jc w:val="both"/>
              <w:rPr>
                <w:rFonts w:ascii="Arial" w:hAnsi="Arial" w:cs="Arial"/>
                <w:sz w:val="24"/>
                <w:szCs w:val="24"/>
              </w:rPr>
            </w:pPr>
          </w:p>
        </w:tc>
        <w:tc>
          <w:tcPr>
            <w:tcW w:w="1803" w:type="dxa"/>
          </w:tcPr>
          <w:p w14:paraId="0945A1F7"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3.5%</w:t>
            </w:r>
          </w:p>
        </w:tc>
        <w:tc>
          <w:tcPr>
            <w:tcW w:w="1803" w:type="dxa"/>
          </w:tcPr>
          <w:p w14:paraId="4F634165"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4,000</w:t>
            </w:r>
          </w:p>
        </w:tc>
        <w:tc>
          <w:tcPr>
            <w:tcW w:w="1803" w:type="dxa"/>
          </w:tcPr>
          <w:p w14:paraId="2DD0902A"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35 – 50 years</w:t>
            </w:r>
          </w:p>
        </w:tc>
        <w:tc>
          <w:tcPr>
            <w:tcW w:w="1804" w:type="dxa"/>
          </w:tcPr>
          <w:p w14:paraId="3537783F"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USA</w:t>
            </w:r>
          </w:p>
        </w:tc>
      </w:tr>
    </w:tbl>
    <w:p w14:paraId="020751EA"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bookmarkStart w:id="4" w:name="_Hlk195092672"/>
      <w:r w:rsidRPr="00ED08B9">
        <w:rPr>
          <w:rFonts w:ascii="Arial" w:hAnsi="Arial" w:cs="Arial"/>
          <w:b/>
          <w:bCs/>
          <w:sz w:val="24"/>
          <w:szCs w:val="24"/>
        </w:rPr>
        <w:t>Table 2: Prevalence of Cardiovascular Disease in Middle-Aged Men</w:t>
      </w:r>
      <w:bookmarkEnd w:id="4"/>
    </w:p>
    <w:tbl>
      <w:tblPr>
        <w:tblStyle w:val="TableGrid"/>
        <w:tblW w:w="0" w:type="auto"/>
        <w:tblLook w:val="04A0" w:firstRow="1" w:lastRow="0" w:firstColumn="1" w:lastColumn="0" w:noHBand="0" w:noVBand="1"/>
      </w:tblPr>
      <w:tblGrid>
        <w:gridCol w:w="1803"/>
        <w:gridCol w:w="1803"/>
        <w:gridCol w:w="1803"/>
        <w:gridCol w:w="1803"/>
        <w:gridCol w:w="1804"/>
      </w:tblGrid>
      <w:tr w:rsidR="003D247F" w:rsidRPr="00ED08B9" w14:paraId="62E49F17" w14:textId="77777777" w:rsidTr="00CD232E">
        <w:tc>
          <w:tcPr>
            <w:tcW w:w="1803" w:type="dxa"/>
          </w:tcPr>
          <w:p w14:paraId="6DDE359A" w14:textId="77777777" w:rsidR="003D247F" w:rsidRPr="00ED08B9" w:rsidRDefault="003D247F" w:rsidP="00CD232E">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 xml:space="preserve">Study </w:t>
            </w:r>
          </w:p>
        </w:tc>
        <w:tc>
          <w:tcPr>
            <w:tcW w:w="1803" w:type="dxa"/>
          </w:tcPr>
          <w:p w14:paraId="00BB4C9D" w14:textId="77777777" w:rsidR="003D247F" w:rsidRPr="00ED08B9" w:rsidRDefault="003D247F" w:rsidP="00CD232E">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 xml:space="preserve">Prevalence </w:t>
            </w:r>
          </w:p>
        </w:tc>
        <w:tc>
          <w:tcPr>
            <w:tcW w:w="1803" w:type="dxa"/>
          </w:tcPr>
          <w:p w14:paraId="2C76CA39" w14:textId="77777777" w:rsidR="003D247F" w:rsidRPr="00ED08B9" w:rsidRDefault="003D247F" w:rsidP="00CD232E">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 xml:space="preserve">Sample Size </w:t>
            </w:r>
          </w:p>
        </w:tc>
        <w:tc>
          <w:tcPr>
            <w:tcW w:w="1803" w:type="dxa"/>
          </w:tcPr>
          <w:p w14:paraId="6438C678" w14:textId="77777777" w:rsidR="003D247F" w:rsidRPr="00ED08B9" w:rsidRDefault="003D247F" w:rsidP="00CD232E">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Age group</w:t>
            </w:r>
          </w:p>
        </w:tc>
        <w:tc>
          <w:tcPr>
            <w:tcW w:w="1804" w:type="dxa"/>
          </w:tcPr>
          <w:p w14:paraId="7122E629" w14:textId="77777777" w:rsidR="003D247F" w:rsidRPr="00ED08B9" w:rsidRDefault="003D247F" w:rsidP="00CD232E">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Country</w:t>
            </w:r>
          </w:p>
        </w:tc>
      </w:tr>
      <w:tr w:rsidR="003D247F" w:rsidRPr="00ED08B9" w14:paraId="66EFC073" w14:textId="77777777" w:rsidTr="00CD232E">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tblGrid>
            <w:tr w:rsidR="003D247F" w:rsidRPr="00ED08B9" w14:paraId="6CD52FB1" w14:textId="77777777" w:rsidTr="00CD232E">
              <w:trPr>
                <w:tblCellSpacing w:w="15" w:type="dxa"/>
              </w:trPr>
              <w:tc>
                <w:tcPr>
                  <w:tcW w:w="0" w:type="auto"/>
                  <w:vAlign w:val="center"/>
                  <w:hideMark/>
                </w:tcPr>
                <w:p w14:paraId="77B81A48" w14:textId="77777777" w:rsidR="003D247F" w:rsidRPr="00ED08B9" w:rsidRDefault="003D247F" w:rsidP="00CD232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Heidenreich et al., (2011)</w:t>
                  </w:r>
                </w:p>
              </w:tc>
            </w:tr>
          </w:tbl>
          <w:p w14:paraId="49939D19" w14:textId="77777777" w:rsidR="003D247F" w:rsidRPr="00ED08B9" w:rsidRDefault="003D247F" w:rsidP="00CD232E">
            <w:pPr>
              <w:spacing w:before="100" w:beforeAutospacing="1" w:after="100" w:afterAutospacing="1" w:line="360" w:lineRule="auto"/>
              <w:jc w:val="both"/>
              <w:rPr>
                <w:rFonts w:ascii="Arial" w:eastAsia="Times New Roman" w:hAnsi="Arial" w:cs="Arial"/>
                <w:vanish/>
                <w:kern w:val="0"/>
                <w:sz w:val="24"/>
                <w:szCs w:val="24"/>
                <w:lang w:eastAsia="en-GB"/>
                <w14:ligatures w14:val="none"/>
              </w:rPr>
            </w:pPr>
          </w:p>
          <w:p w14:paraId="3EFEB567" w14:textId="77777777" w:rsidR="003D247F" w:rsidRPr="00ED08B9" w:rsidRDefault="003D247F" w:rsidP="00CD232E">
            <w:pPr>
              <w:spacing w:before="100" w:beforeAutospacing="1" w:after="100" w:afterAutospacing="1" w:line="360" w:lineRule="auto"/>
              <w:jc w:val="both"/>
              <w:rPr>
                <w:rFonts w:ascii="Arial" w:eastAsia="Times New Roman" w:hAnsi="Arial" w:cs="Arial"/>
                <w:vanish/>
                <w:kern w:val="0"/>
                <w:sz w:val="24"/>
                <w:szCs w:val="24"/>
                <w:lang w:eastAsia="en-GB"/>
                <w14:ligatures w14:val="none"/>
              </w:rPr>
            </w:pPr>
          </w:p>
          <w:p w14:paraId="4C820AC8" w14:textId="77777777" w:rsidR="003D247F" w:rsidRPr="00ED08B9" w:rsidRDefault="003D247F" w:rsidP="00CD232E">
            <w:pPr>
              <w:spacing w:before="100" w:beforeAutospacing="1" w:after="100" w:afterAutospacing="1" w:line="360" w:lineRule="auto"/>
              <w:jc w:val="both"/>
              <w:rPr>
                <w:rFonts w:ascii="Arial" w:hAnsi="Arial" w:cs="Arial"/>
                <w:sz w:val="24"/>
                <w:szCs w:val="24"/>
              </w:rPr>
            </w:pPr>
          </w:p>
        </w:tc>
        <w:tc>
          <w:tcPr>
            <w:tcW w:w="1803" w:type="dxa"/>
          </w:tcPr>
          <w:p w14:paraId="33E476BF"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50%</w:t>
            </w:r>
          </w:p>
        </w:tc>
        <w:tc>
          <w:tcPr>
            <w:tcW w:w="1803" w:type="dxa"/>
          </w:tcPr>
          <w:p w14:paraId="5EAC39ED"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110,000</w:t>
            </w:r>
          </w:p>
        </w:tc>
        <w:tc>
          <w:tcPr>
            <w:tcW w:w="1803" w:type="dxa"/>
          </w:tcPr>
          <w:p w14:paraId="10373050"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 xml:space="preserve">45 – 64 years </w:t>
            </w:r>
          </w:p>
        </w:tc>
        <w:tc>
          <w:tcPr>
            <w:tcW w:w="1804" w:type="dxa"/>
          </w:tcPr>
          <w:p w14:paraId="3045202A"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USA</w:t>
            </w:r>
          </w:p>
        </w:tc>
      </w:tr>
      <w:tr w:rsidR="003D247F" w:rsidRPr="00ED08B9" w14:paraId="6DB22AB0" w14:textId="77777777" w:rsidTr="00CD232E">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tblGrid>
            <w:tr w:rsidR="003D247F" w:rsidRPr="00ED08B9" w14:paraId="02331D49" w14:textId="77777777" w:rsidTr="00CD232E">
              <w:trPr>
                <w:tblCellSpacing w:w="15" w:type="dxa"/>
              </w:trPr>
              <w:tc>
                <w:tcPr>
                  <w:tcW w:w="0" w:type="auto"/>
                  <w:vAlign w:val="center"/>
                  <w:hideMark/>
                </w:tcPr>
                <w:p w14:paraId="16B6E9C6" w14:textId="77777777" w:rsidR="003D247F" w:rsidRPr="00ED08B9" w:rsidRDefault="003D247F" w:rsidP="00CD232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American Heart Association (AHA, 2019)</w:t>
                  </w:r>
                </w:p>
              </w:tc>
            </w:tr>
          </w:tbl>
          <w:p w14:paraId="7DF73083" w14:textId="77777777" w:rsidR="003D247F" w:rsidRPr="00ED08B9" w:rsidRDefault="003D247F" w:rsidP="00CD232E">
            <w:pPr>
              <w:spacing w:before="100" w:beforeAutospacing="1" w:after="100" w:afterAutospacing="1" w:line="360" w:lineRule="auto"/>
              <w:jc w:val="both"/>
              <w:rPr>
                <w:rFonts w:ascii="Arial" w:eastAsia="Times New Roman" w:hAnsi="Arial" w:cs="Arial"/>
                <w:vanish/>
                <w:kern w:val="0"/>
                <w:sz w:val="24"/>
                <w:szCs w:val="24"/>
                <w:lang w:eastAsia="en-GB"/>
                <w14:ligatures w14:val="none"/>
              </w:rPr>
            </w:pPr>
          </w:p>
          <w:p w14:paraId="0F0D1E3C" w14:textId="77777777" w:rsidR="003D247F" w:rsidRPr="00ED08B9" w:rsidRDefault="003D247F" w:rsidP="00CD232E">
            <w:pPr>
              <w:spacing w:before="100" w:beforeAutospacing="1" w:after="100" w:afterAutospacing="1" w:line="360" w:lineRule="auto"/>
              <w:jc w:val="both"/>
              <w:rPr>
                <w:rFonts w:ascii="Arial" w:hAnsi="Arial" w:cs="Arial"/>
                <w:sz w:val="24"/>
                <w:szCs w:val="24"/>
              </w:rPr>
            </w:pPr>
          </w:p>
        </w:tc>
        <w:tc>
          <w:tcPr>
            <w:tcW w:w="1803" w:type="dxa"/>
          </w:tcPr>
          <w:p w14:paraId="054DABF5"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45%</w:t>
            </w:r>
          </w:p>
        </w:tc>
        <w:tc>
          <w:tcPr>
            <w:tcW w:w="1803" w:type="dxa"/>
          </w:tcPr>
          <w:p w14:paraId="0FCA8669"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100,00+</w:t>
            </w:r>
          </w:p>
        </w:tc>
        <w:tc>
          <w:tcPr>
            <w:tcW w:w="1803" w:type="dxa"/>
          </w:tcPr>
          <w:p w14:paraId="67932AA8"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 xml:space="preserve">40 – 65 Years </w:t>
            </w:r>
          </w:p>
        </w:tc>
        <w:tc>
          <w:tcPr>
            <w:tcW w:w="1804" w:type="dxa"/>
          </w:tcPr>
          <w:p w14:paraId="13D857EF"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USA</w:t>
            </w:r>
          </w:p>
        </w:tc>
      </w:tr>
      <w:tr w:rsidR="003D247F" w:rsidRPr="00ED08B9" w14:paraId="544556AF" w14:textId="77777777" w:rsidTr="00CD232E">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7"/>
            </w:tblGrid>
            <w:tr w:rsidR="003D247F" w:rsidRPr="00ED08B9" w14:paraId="4D0CD8DC" w14:textId="77777777" w:rsidTr="00CD232E">
              <w:trPr>
                <w:trHeight w:val="263"/>
                <w:tblCellSpacing w:w="15" w:type="dxa"/>
              </w:trPr>
              <w:tc>
                <w:tcPr>
                  <w:tcW w:w="0" w:type="auto"/>
                  <w:vAlign w:val="center"/>
                  <w:hideMark/>
                </w:tcPr>
                <w:p w14:paraId="671C8AFC" w14:textId="77777777" w:rsidR="003D247F" w:rsidRPr="00ED08B9" w:rsidRDefault="003D247F" w:rsidP="00CD232E">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National Institutes of Health (NIH, 2020)</w:t>
                  </w:r>
                </w:p>
              </w:tc>
            </w:tr>
          </w:tbl>
          <w:p w14:paraId="00E85EAC" w14:textId="77777777" w:rsidR="003D247F" w:rsidRPr="00ED08B9" w:rsidRDefault="003D247F" w:rsidP="00CD232E">
            <w:pPr>
              <w:spacing w:before="100" w:beforeAutospacing="1" w:after="100" w:afterAutospacing="1" w:line="360" w:lineRule="auto"/>
              <w:jc w:val="both"/>
              <w:rPr>
                <w:rFonts w:ascii="Arial" w:eastAsia="Times New Roman" w:hAnsi="Arial" w:cs="Arial"/>
                <w:vanish/>
                <w:kern w:val="0"/>
                <w:sz w:val="24"/>
                <w:szCs w:val="24"/>
                <w:lang w:eastAsia="en-GB"/>
                <w14:ligatures w14:val="none"/>
              </w:rPr>
            </w:pPr>
          </w:p>
          <w:p w14:paraId="6D848B6D" w14:textId="77777777" w:rsidR="003D247F" w:rsidRPr="00ED08B9" w:rsidRDefault="003D247F" w:rsidP="00CD232E">
            <w:pPr>
              <w:spacing w:before="100" w:beforeAutospacing="1" w:after="100" w:afterAutospacing="1" w:line="360" w:lineRule="auto"/>
              <w:jc w:val="both"/>
              <w:rPr>
                <w:rFonts w:ascii="Arial" w:hAnsi="Arial" w:cs="Arial"/>
                <w:sz w:val="24"/>
                <w:szCs w:val="24"/>
              </w:rPr>
            </w:pPr>
          </w:p>
        </w:tc>
        <w:tc>
          <w:tcPr>
            <w:tcW w:w="1803" w:type="dxa"/>
          </w:tcPr>
          <w:p w14:paraId="10E5D57B"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47%</w:t>
            </w:r>
          </w:p>
        </w:tc>
        <w:tc>
          <w:tcPr>
            <w:tcW w:w="1803" w:type="dxa"/>
          </w:tcPr>
          <w:p w14:paraId="5C3B7885"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20,000</w:t>
            </w:r>
          </w:p>
        </w:tc>
        <w:tc>
          <w:tcPr>
            <w:tcW w:w="1803" w:type="dxa"/>
          </w:tcPr>
          <w:p w14:paraId="708B5FEE"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 xml:space="preserve">45 – 60 Years </w:t>
            </w:r>
          </w:p>
        </w:tc>
        <w:tc>
          <w:tcPr>
            <w:tcW w:w="1804" w:type="dxa"/>
          </w:tcPr>
          <w:p w14:paraId="2DEC1098"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USA</w:t>
            </w:r>
          </w:p>
        </w:tc>
      </w:tr>
    </w:tbl>
    <w:p w14:paraId="031B4BA6"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931CB23" w14:textId="77777777" w:rsidR="003D247F" w:rsidRPr="00ED08B9" w:rsidRDefault="003D247F" w:rsidP="003D247F">
      <w:pPr>
        <w:pStyle w:val="ListParagraph"/>
        <w:numPr>
          <w:ilvl w:val="1"/>
          <w:numId w:val="36"/>
        </w:numPr>
        <w:spacing w:before="100" w:beforeAutospacing="1" w:after="100" w:afterAutospacing="1" w:line="360" w:lineRule="auto"/>
        <w:contextualSpacing w:val="0"/>
        <w:jc w:val="both"/>
        <w:rPr>
          <w:rFonts w:ascii="Arial" w:eastAsia="Times New Roman" w:hAnsi="Arial" w:cs="Arial"/>
          <w:b/>
          <w:bCs/>
          <w:kern w:val="0"/>
          <w:sz w:val="24"/>
          <w:szCs w:val="24"/>
          <w:lang w:eastAsia="en-GB"/>
          <w14:ligatures w14:val="none"/>
        </w:rPr>
      </w:pPr>
      <w:r w:rsidRPr="00ED08B9">
        <w:rPr>
          <w:rFonts w:ascii="Arial" w:eastAsia="Times New Roman" w:hAnsi="Arial" w:cs="Arial"/>
          <w:b/>
          <w:bCs/>
          <w:kern w:val="0"/>
          <w:sz w:val="24"/>
          <w:szCs w:val="24"/>
          <w:lang w:eastAsia="en-GB"/>
          <w14:ligatures w14:val="none"/>
        </w:rPr>
        <w:t xml:space="preserve"> Background and Current Context</w:t>
      </w:r>
    </w:p>
    <w:p w14:paraId="164AE18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Attention Deficit Hyperactivity Disorder has long been viewed as a childhood-onset neurodevelopmental condition. Recent research has shifted this understanding by demonstrating that symptoms often persist into adulthood, although their presentation may change over time (Kinney et al., 2006). Studies indicate that between 50 and 65% of individuals diagnosed in childhood continue to experience clinically significant symptoms later in life, with patterns that vary across developmental stages (Jiménez</w:t>
      </w:r>
      <w:r w:rsidRPr="00ED08B9">
        <w:rPr>
          <w:rFonts w:ascii="Arial" w:hAnsi="Arial" w:cs="Arial"/>
          <w:sz w:val="24"/>
          <w:szCs w:val="24"/>
        </w:rPr>
        <w:noBreakHyphen/>
        <w:t>Muñoz et al., 2024). Hyperactivity may lessen with age, yet difficulties with inattention, impulsivity, emotional regulation, and executive functioning frequently remain. These challenges can affect occupational performance, social relationships and psychological wellbeing throughout adulthood (Barkley, Murphy and Fischer, 2008).</w:t>
      </w:r>
    </w:p>
    <w:p w14:paraId="51BA9A0F"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hAnsi="Arial" w:cs="Arial"/>
          <w:sz w:val="24"/>
          <w:szCs w:val="24"/>
        </w:rPr>
        <w:t>Table 3 summarises the persistence of ADHD symptoms across the lifespan and illustrates how the presentation evolves from childhood through middle age.</w:t>
      </w:r>
    </w:p>
    <w:p w14:paraId="7EB51D1E"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Table 3. ADHD Across the Lifespan</w:t>
      </w:r>
    </w:p>
    <w:tbl>
      <w:tblPr>
        <w:tblpPr w:leftFromText="180" w:rightFromText="180" w:vertAnchor="text" w:tblpY="1"/>
        <w:tblOverlap w:val="never"/>
        <w:tblW w:w="9067" w:type="dxa"/>
        <w:tblLook w:val="04A0" w:firstRow="1" w:lastRow="0" w:firstColumn="1" w:lastColumn="0" w:noHBand="0" w:noVBand="1"/>
      </w:tblPr>
      <w:tblGrid>
        <w:gridCol w:w="2800"/>
        <w:gridCol w:w="1564"/>
        <w:gridCol w:w="1710"/>
        <w:gridCol w:w="2993"/>
      </w:tblGrid>
      <w:tr w:rsidR="003D247F" w:rsidRPr="00ED08B9" w14:paraId="649FF43E" w14:textId="77777777" w:rsidTr="00CD232E">
        <w:trPr>
          <w:trHeight w:val="900"/>
        </w:trPr>
        <w:tc>
          <w:tcPr>
            <w:tcW w:w="3027" w:type="dxa"/>
            <w:tcBorders>
              <w:top w:val="single" w:sz="4" w:space="0" w:color="44B3E1"/>
              <w:left w:val="single" w:sz="4" w:space="0" w:color="44B3E1"/>
              <w:bottom w:val="single" w:sz="4" w:space="0" w:color="44B3E1"/>
              <w:right w:val="nil"/>
            </w:tcBorders>
            <w:shd w:val="clear" w:color="156082" w:fill="156082"/>
            <w:vAlign w:val="center"/>
            <w:hideMark/>
          </w:tcPr>
          <w:p w14:paraId="052B08C7"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FFFFFF"/>
                <w:kern w:val="0"/>
                <w:sz w:val="24"/>
                <w:szCs w:val="24"/>
                <w:lang w:eastAsia="en-GB"/>
                <w14:ligatures w14:val="none"/>
              </w:rPr>
            </w:pPr>
            <w:r w:rsidRPr="00ED08B9">
              <w:rPr>
                <w:rFonts w:ascii="Arial" w:eastAsia="Times New Roman" w:hAnsi="Arial" w:cs="Arial"/>
                <w:b/>
                <w:bCs/>
                <w:color w:val="FFFFFF"/>
                <w:kern w:val="0"/>
                <w:sz w:val="24"/>
                <w:szCs w:val="24"/>
                <w:lang w:eastAsia="en-GB"/>
                <w14:ligatures w14:val="none"/>
              </w:rPr>
              <w:t>Age Group</w:t>
            </w:r>
          </w:p>
        </w:tc>
        <w:tc>
          <w:tcPr>
            <w:tcW w:w="1451" w:type="dxa"/>
            <w:tcBorders>
              <w:top w:val="single" w:sz="4" w:space="0" w:color="44B3E1"/>
              <w:left w:val="nil"/>
              <w:bottom w:val="single" w:sz="4" w:space="0" w:color="44B3E1"/>
              <w:right w:val="nil"/>
            </w:tcBorders>
            <w:shd w:val="clear" w:color="156082" w:fill="156082"/>
            <w:vAlign w:val="center"/>
            <w:hideMark/>
          </w:tcPr>
          <w:p w14:paraId="5EFC7DF4"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FFFFFF"/>
                <w:kern w:val="0"/>
                <w:sz w:val="24"/>
                <w:szCs w:val="24"/>
                <w:lang w:eastAsia="en-GB"/>
                <w14:ligatures w14:val="none"/>
              </w:rPr>
            </w:pPr>
            <w:r w:rsidRPr="00ED08B9">
              <w:rPr>
                <w:rFonts w:ascii="Arial" w:eastAsia="Times New Roman" w:hAnsi="Arial" w:cs="Arial"/>
                <w:b/>
                <w:bCs/>
                <w:color w:val="FFFFFF"/>
                <w:kern w:val="0"/>
                <w:sz w:val="24"/>
                <w:szCs w:val="24"/>
                <w:lang w:eastAsia="en-GB"/>
                <w14:ligatures w14:val="none"/>
              </w:rPr>
              <w:t>ADHD Persistence (%)</w:t>
            </w:r>
          </w:p>
        </w:tc>
        <w:tc>
          <w:tcPr>
            <w:tcW w:w="1596" w:type="dxa"/>
            <w:tcBorders>
              <w:top w:val="single" w:sz="4" w:space="0" w:color="44B3E1"/>
              <w:left w:val="nil"/>
              <w:bottom w:val="single" w:sz="4" w:space="0" w:color="44B3E1"/>
              <w:right w:val="nil"/>
            </w:tcBorders>
            <w:shd w:val="clear" w:color="156082" w:fill="156082"/>
            <w:vAlign w:val="center"/>
            <w:hideMark/>
          </w:tcPr>
          <w:p w14:paraId="1778D44F"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FFFFFF"/>
                <w:kern w:val="0"/>
                <w:sz w:val="24"/>
                <w:szCs w:val="24"/>
                <w:lang w:eastAsia="en-GB"/>
                <w14:ligatures w14:val="none"/>
              </w:rPr>
            </w:pPr>
            <w:r w:rsidRPr="00ED08B9">
              <w:rPr>
                <w:rFonts w:ascii="Arial" w:eastAsia="Times New Roman" w:hAnsi="Arial" w:cs="Arial"/>
                <w:b/>
                <w:bCs/>
                <w:color w:val="FFFFFF"/>
                <w:kern w:val="0"/>
                <w:sz w:val="24"/>
                <w:szCs w:val="24"/>
                <w:lang w:eastAsia="en-GB"/>
                <w14:ligatures w14:val="none"/>
              </w:rPr>
              <w:t>Typical Symptoms</w:t>
            </w:r>
          </w:p>
        </w:tc>
        <w:tc>
          <w:tcPr>
            <w:tcW w:w="2993" w:type="dxa"/>
            <w:tcBorders>
              <w:top w:val="single" w:sz="4" w:space="0" w:color="44B3E1"/>
              <w:left w:val="nil"/>
              <w:bottom w:val="single" w:sz="4" w:space="0" w:color="44B3E1"/>
              <w:right w:val="single" w:sz="4" w:space="0" w:color="44B3E1"/>
            </w:tcBorders>
            <w:shd w:val="clear" w:color="156082" w:fill="156082"/>
            <w:noWrap/>
            <w:vAlign w:val="bottom"/>
            <w:hideMark/>
          </w:tcPr>
          <w:p w14:paraId="117585F0"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FFFFFF"/>
                <w:kern w:val="0"/>
                <w:sz w:val="24"/>
                <w:szCs w:val="24"/>
                <w:lang w:eastAsia="en-GB"/>
                <w14:ligatures w14:val="none"/>
              </w:rPr>
            </w:pPr>
          </w:p>
        </w:tc>
      </w:tr>
      <w:tr w:rsidR="003D247F" w:rsidRPr="00ED08B9" w14:paraId="3A48E9A7" w14:textId="77777777" w:rsidTr="00CD232E">
        <w:trPr>
          <w:trHeight w:val="1500"/>
        </w:trPr>
        <w:tc>
          <w:tcPr>
            <w:tcW w:w="3027" w:type="dxa"/>
            <w:tcBorders>
              <w:top w:val="single" w:sz="4" w:space="0" w:color="44B3E1"/>
              <w:left w:val="single" w:sz="4" w:space="0" w:color="44B3E1"/>
              <w:bottom w:val="single" w:sz="4" w:space="0" w:color="44B3E1"/>
              <w:right w:val="nil"/>
            </w:tcBorders>
            <w:shd w:val="clear" w:color="C0E6F5" w:fill="C0E6F5"/>
            <w:vAlign w:val="center"/>
            <w:hideMark/>
          </w:tcPr>
          <w:p w14:paraId="6769E73B"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Childhood (6 - 12)</w:t>
            </w:r>
          </w:p>
        </w:tc>
        <w:tc>
          <w:tcPr>
            <w:tcW w:w="1451" w:type="dxa"/>
            <w:tcBorders>
              <w:top w:val="single" w:sz="4" w:space="0" w:color="44B3E1"/>
              <w:left w:val="nil"/>
              <w:bottom w:val="single" w:sz="4" w:space="0" w:color="44B3E1"/>
              <w:right w:val="nil"/>
            </w:tcBorders>
            <w:shd w:val="clear" w:color="C0E6F5" w:fill="C0E6F5"/>
            <w:vAlign w:val="center"/>
            <w:hideMark/>
          </w:tcPr>
          <w:p w14:paraId="64D8B42C"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100</w:t>
            </w:r>
          </w:p>
        </w:tc>
        <w:tc>
          <w:tcPr>
            <w:tcW w:w="1596" w:type="dxa"/>
            <w:tcBorders>
              <w:top w:val="single" w:sz="4" w:space="0" w:color="44B3E1"/>
              <w:left w:val="nil"/>
              <w:bottom w:val="single" w:sz="4" w:space="0" w:color="44B3E1"/>
              <w:right w:val="nil"/>
            </w:tcBorders>
            <w:shd w:val="clear" w:color="C0E6F5" w:fill="C0E6F5"/>
            <w:vAlign w:val="center"/>
            <w:hideMark/>
          </w:tcPr>
          <w:p w14:paraId="6884F1D8"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High       Hyperactivity &amp; Impulsivity</w:t>
            </w:r>
          </w:p>
        </w:tc>
        <w:tc>
          <w:tcPr>
            <w:tcW w:w="2993" w:type="dxa"/>
            <w:tcBorders>
              <w:top w:val="single" w:sz="4" w:space="0" w:color="44B3E1"/>
              <w:left w:val="nil"/>
              <w:bottom w:val="single" w:sz="4" w:space="0" w:color="44B3E1"/>
              <w:right w:val="single" w:sz="4" w:space="0" w:color="44B3E1"/>
            </w:tcBorders>
            <w:shd w:val="clear" w:color="C0E6F5" w:fill="C0E6F5"/>
            <w:noWrap/>
            <w:vAlign w:val="bottom"/>
            <w:hideMark/>
          </w:tcPr>
          <w:p w14:paraId="4F3EE0F5"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p>
        </w:tc>
      </w:tr>
      <w:tr w:rsidR="003D247F" w:rsidRPr="00ED08B9" w14:paraId="4838816B" w14:textId="77777777" w:rsidTr="00CD232E">
        <w:trPr>
          <w:trHeight w:val="2100"/>
        </w:trPr>
        <w:tc>
          <w:tcPr>
            <w:tcW w:w="3027" w:type="dxa"/>
            <w:tcBorders>
              <w:top w:val="single" w:sz="4" w:space="0" w:color="44B3E1"/>
              <w:left w:val="single" w:sz="4" w:space="0" w:color="44B3E1"/>
              <w:bottom w:val="single" w:sz="4" w:space="0" w:color="44B3E1"/>
              <w:right w:val="nil"/>
            </w:tcBorders>
            <w:vAlign w:val="center"/>
            <w:hideMark/>
          </w:tcPr>
          <w:p w14:paraId="1A386C8F"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Adolescence (13 - 17)</w:t>
            </w:r>
          </w:p>
        </w:tc>
        <w:tc>
          <w:tcPr>
            <w:tcW w:w="1451" w:type="dxa"/>
            <w:tcBorders>
              <w:top w:val="single" w:sz="4" w:space="0" w:color="44B3E1"/>
              <w:left w:val="nil"/>
              <w:bottom w:val="single" w:sz="4" w:space="0" w:color="44B3E1"/>
              <w:right w:val="nil"/>
            </w:tcBorders>
            <w:vAlign w:val="center"/>
            <w:hideMark/>
          </w:tcPr>
          <w:p w14:paraId="01A968F8"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80</w:t>
            </w:r>
          </w:p>
        </w:tc>
        <w:tc>
          <w:tcPr>
            <w:tcW w:w="1596" w:type="dxa"/>
            <w:tcBorders>
              <w:top w:val="single" w:sz="4" w:space="0" w:color="44B3E1"/>
              <w:left w:val="nil"/>
              <w:bottom w:val="single" w:sz="4" w:space="0" w:color="44B3E1"/>
              <w:right w:val="nil"/>
            </w:tcBorders>
            <w:vAlign w:val="center"/>
            <w:hideMark/>
          </w:tcPr>
          <w:p w14:paraId="5B2C9C5A"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Decreasing Hyperactivity, Impulsivity remains</w:t>
            </w:r>
          </w:p>
        </w:tc>
        <w:tc>
          <w:tcPr>
            <w:tcW w:w="2993" w:type="dxa"/>
            <w:tcBorders>
              <w:top w:val="single" w:sz="4" w:space="0" w:color="44B3E1"/>
              <w:left w:val="nil"/>
              <w:bottom w:val="single" w:sz="4" w:space="0" w:color="44B3E1"/>
              <w:right w:val="single" w:sz="4" w:space="0" w:color="44B3E1"/>
            </w:tcBorders>
            <w:noWrap/>
            <w:vAlign w:val="bottom"/>
            <w:hideMark/>
          </w:tcPr>
          <w:p w14:paraId="5977139E"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p>
        </w:tc>
      </w:tr>
      <w:tr w:rsidR="003D247F" w:rsidRPr="00ED08B9" w14:paraId="7B47B786" w14:textId="77777777" w:rsidTr="00CD232E">
        <w:trPr>
          <w:trHeight w:val="2657"/>
        </w:trPr>
        <w:tc>
          <w:tcPr>
            <w:tcW w:w="3027" w:type="dxa"/>
            <w:tcBorders>
              <w:top w:val="single" w:sz="4" w:space="0" w:color="44B3E1"/>
              <w:left w:val="single" w:sz="4" w:space="0" w:color="44B3E1"/>
              <w:bottom w:val="single" w:sz="4" w:space="0" w:color="44B3E1"/>
              <w:right w:val="nil"/>
            </w:tcBorders>
            <w:shd w:val="clear" w:color="C0E6F5" w:fill="C0E6F5"/>
            <w:vAlign w:val="center"/>
            <w:hideMark/>
          </w:tcPr>
          <w:p w14:paraId="3AC9CABA"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Early Adulthood (18 - 30)</w:t>
            </w:r>
          </w:p>
        </w:tc>
        <w:tc>
          <w:tcPr>
            <w:tcW w:w="1451" w:type="dxa"/>
            <w:tcBorders>
              <w:top w:val="single" w:sz="4" w:space="0" w:color="44B3E1"/>
              <w:left w:val="nil"/>
              <w:bottom w:val="single" w:sz="4" w:space="0" w:color="44B3E1"/>
              <w:right w:val="nil"/>
            </w:tcBorders>
            <w:shd w:val="clear" w:color="C0E6F5" w:fill="C0E6F5"/>
            <w:vAlign w:val="center"/>
            <w:hideMark/>
          </w:tcPr>
          <w:p w14:paraId="6A7307C7"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60</w:t>
            </w:r>
          </w:p>
        </w:tc>
        <w:tc>
          <w:tcPr>
            <w:tcW w:w="1596" w:type="dxa"/>
            <w:tcBorders>
              <w:top w:val="single" w:sz="4" w:space="0" w:color="44B3E1"/>
              <w:left w:val="nil"/>
              <w:bottom w:val="single" w:sz="4" w:space="0" w:color="44B3E1"/>
              <w:right w:val="nil"/>
            </w:tcBorders>
            <w:shd w:val="clear" w:color="C0E6F5" w:fill="C0E6F5"/>
            <w:vAlign w:val="center"/>
            <w:hideMark/>
          </w:tcPr>
          <w:p w14:paraId="59FE3EB3"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Restlessness, Attention Difficulties, Planning Challenges</w:t>
            </w:r>
          </w:p>
        </w:tc>
        <w:tc>
          <w:tcPr>
            <w:tcW w:w="2993" w:type="dxa"/>
            <w:tcBorders>
              <w:top w:val="single" w:sz="4" w:space="0" w:color="44B3E1"/>
              <w:left w:val="nil"/>
              <w:bottom w:val="single" w:sz="4" w:space="0" w:color="44B3E1"/>
              <w:right w:val="single" w:sz="4" w:space="0" w:color="44B3E1"/>
            </w:tcBorders>
            <w:shd w:val="clear" w:color="C0E6F5" w:fill="C0E6F5"/>
            <w:noWrap/>
            <w:vAlign w:val="bottom"/>
            <w:hideMark/>
          </w:tcPr>
          <w:p w14:paraId="09B837F7"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p>
        </w:tc>
      </w:tr>
      <w:tr w:rsidR="003D247F" w:rsidRPr="00ED08B9" w14:paraId="5249BAA1" w14:textId="77777777" w:rsidTr="00CD232E">
        <w:trPr>
          <w:trHeight w:val="841"/>
        </w:trPr>
        <w:tc>
          <w:tcPr>
            <w:tcW w:w="3027" w:type="dxa"/>
            <w:tcBorders>
              <w:top w:val="single" w:sz="4" w:space="0" w:color="44B3E1"/>
              <w:left w:val="single" w:sz="4" w:space="0" w:color="44B3E1"/>
              <w:bottom w:val="single" w:sz="4" w:space="0" w:color="44B3E1"/>
              <w:right w:val="nil"/>
            </w:tcBorders>
            <w:shd w:val="clear" w:color="C0E6F5" w:fill="C0E6F5"/>
            <w:vAlign w:val="center"/>
          </w:tcPr>
          <w:p w14:paraId="095883BF"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p>
        </w:tc>
        <w:tc>
          <w:tcPr>
            <w:tcW w:w="1451" w:type="dxa"/>
            <w:tcBorders>
              <w:top w:val="single" w:sz="4" w:space="0" w:color="44B3E1"/>
              <w:left w:val="nil"/>
              <w:bottom w:val="single" w:sz="4" w:space="0" w:color="44B3E1"/>
              <w:right w:val="nil"/>
            </w:tcBorders>
            <w:shd w:val="clear" w:color="C0E6F5" w:fill="C0E6F5"/>
            <w:vAlign w:val="center"/>
          </w:tcPr>
          <w:p w14:paraId="23C2F7CD"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p>
        </w:tc>
        <w:tc>
          <w:tcPr>
            <w:tcW w:w="1596" w:type="dxa"/>
            <w:tcBorders>
              <w:top w:val="single" w:sz="4" w:space="0" w:color="44B3E1"/>
              <w:left w:val="nil"/>
              <w:bottom w:val="single" w:sz="4" w:space="0" w:color="44B3E1"/>
              <w:right w:val="nil"/>
            </w:tcBorders>
            <w:shd w:val="clear" w:color="C0E6F5" w:fill="C0E6F5"/>
            <w:vAlign w:val="center"/>
          </w:tcPr>
          <w:p w14:paraId="09A93CE8"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p>
        </w:tc>
        <w:tc>
          <w:tcPr>
            <w:tcW w:w="2993" w:type="dxa"/>
            <w:tcBorders>
              <w:top w:val="single" w:sz="4" w:space="0" w:color="44B3E1"/>
              <w:left w:val="nil"/>
              <w:bottom w:val="single" w:sz="4" w:space="0" w:color="44B3E1"/>
              <w:right w:val="single" w:sz="4" w:space="0" w:color="44B3E1"/>
            </w:tcBorders>
            <w:shd w:val="clear" w:color="C0E6F5" w:fill="C0E6F5"/>
            <w:noWrap/>
            <w:vAlign w:val="bottom"/>
          </w:tcPr>
          <w:p w14:paraId="3C92440F"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p>
        </w:tc>
      </w:tr>
      <w:tr w:rsidR="003D247F" w:rsidRPr="00ED08B9" w14:paraId="254646D0" w14:textId="77777777" w:rsidTr="00CD232E">
        <w:trPr>
          <w:trHeight w:val="2117"/>
        </w:trPr>
        <w:tc>
          <w:tcPr>
            <w:tcW w:w="3027" w:type="dxa"/>
            <w:tcBorders>
              <w:top w:val="single" w:sz="4" w:space="0" w:color="44B3E1"/>
              <w:left w:val="single" w:sz="4" w:space="0" w:color="44B3E1"/>
              <w:bottom w:val="single" w:sz="4" w:space="0" w:color="44B3E1"/>
              <w:right w:val="nil"/>
            </w:tcBorders>
            <w:vAlign w:val="center"/>
            <w:hideMark/>
          </w:tcPr>
          <w:p w14:paraId="7189A1C1" w14:textId="77777777" w:rsidR="003D247F" w:rsidRPr="00ED08B9" w:rsidRDefault="003D247F" w:rsidP="00CD232E">
            <w:pPr>
              <w:spacing w:after="0"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Middle Age (31 - 50)</w:t>
            </w:r>
          </w:p>
        </w:tc>
        <w:tc>
          <w:tcPr>
            <w:tcW w:w="1451" w:type="dxa"/>
            <w:tcBorders>
              <w:top w:val="single" w:sz="4" w:space="0" w:color="44B3E1"/>
              <w:left w:val="nil"/>
              <w:bottom w:val="single" w:sz="4" w:space="0" w:color="44B3E1"/>
              <w:right w:val="nil"/>
            </w:tcBorders>
            <w:vAlign w:val="center"/>
            <w:hideMark/>
          </w:tcPr>
          <w:p w14:paraId="480F5F33" w14:textId="77777777" w:rsidR="003D247F" w:rsidRPr="00ED08B9" w:rsidRDefault="003D247F" w:rsidP="00CD232E">
            <w:pPr>
              <w:spacing w:after="0"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45</w:t>
            </w:r>
          </w:p>
        </w:tc>
        <w:tc>
          <w:tcPr>
            <w:tcW w:w="1596" w:type="dxa"/>
            <w:tcBorders>
              <w:top w:val="single" w:sz="4" w:space="0" w:color="44B3E1"/>
              <w:left w:val="nil"/>
              <w:bottom w:val="single" w:sz="4" w:space="0" w:color="44B3E1"/>
              <w:right w:val="nil"/>
            </w:tcBorders>
            <w:vAlign w:val="center"/>
            <w:hideMark/>
          </w:tcPr>
          <w:p w14:paraId="10C40B8F" w14:textId="77777777" w:rsidR="003D247F" w:rsidRPr="00ED08B9" w:rsidRDefault="003D247F" w:rsidP="00CD232E">
            <w:pPr>
              <w:spacing w:after="0"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Persistent Inattention, Emotional Regulation Struggles</w:t>
            </w:r>
          </w:p>
        </w:tc>
        <w:tc>
          <w:tcPr>
            <w:tcW w:w="2993" w:type="dxa"/>
            <w:tcBorders>
              <w:top w:val="single" w:sz="4" w:space="0" w:color="44B3E1"/>
              <w:left w:val="nil"/>
              <w:bottom w:val="single" w:sz="4" w:space="0" w:color="44B3E1"/>
              <w:right w:val="single" w:sz="4" w:space="0" w:color="44B3E1"/>
            </w:tcBorders>
            <w:noWrap/>
            <w:vAlign w:val="bottom"/>
            <w:hideMark/>
          </w:tcPr>
          <w:p w14:paraId="4BFC333B" w14:textId="77777777" w:rsidR="003D247F" w:rsidRPr="00ED08B9" w:rsidRDefault="003D247F" w:rsidP="00CD232E">
            <w:pPr>
              <w:spacing w:after="0" w:line="360" w:lineRule="auto"/>
              <w:jc w:val="both"/>
              <w:rPr>
                <w:rFonts w:ascii="Arial" w:eastAsia="Times New Roman" w:hAnsi="Arial" w:cs="Arial"/>
                <w:color w:val="000000"/>
                <w:kern w:val="0"/>
                <w:sz w:val="24"/>
                <w:szCs w:val="24"/>
                <w:lang w:eastAsia="en-GB"/>
                <w14:ligatures w14:val="none"/>
              </w:rPr>
            </w:pPr>
          </w:p>
        </w:tc>
      </w:tr>
    </w:tbl>
    <w:p w14:paraId="14174E04" w14:textId="77777777" w:rsidR="003D247F" w:rsidRPr="00ED08B9" w:rsidRDefault="003D247F" w:rsidP="003D247F">
      <w:pPr>
        <w:spacing w:after="0" w:line="360" w:lineRule="auto"/>
        <w:jc w:val="both"/>
        <w:rPr>
          <w:rFonts w:ascii="Arial" w:hAnsi="Arial" w:cs="Arial"/>
          <w:sz w:val="24"/>
          <w:szCs w:val="24"/>
        </w:rPr>
      </w:pPr>
    </w:p>
    <w:p w14:paraId="5D18A89F" w14:textId="77777777" w:rsidR="003D247F" w:rsidRPr="00ED08B9" w:rsidRDefault="003D247F" w:rsidP="003D247F">
      <w:pPr>
        <w:spacing w:after="0" w:line="360" w:lineRule="auto"/>
        <w:jc w:val="both"/>
        <w:rPr>
          <w:rFonts w:ascii="Arial" w:hAnsi="Arial" w:cs="Arial"/>
          <w:sz w:val="24"/>
          <w:szCs w:val="24"/>
        </w:rPr>
      </w:pPr>
      <w:r w:rsidRPr="00ED08B9">
        <w:rPr>
          <w:rFonts w:ascii="Arial" w:hAnsi="Arial" w:cs="Arial"/>
          <w:sz w:val="24"/>
          <w:szCs w:val="24"/>
        </w:rPr>
        <w:t>Growing recognition of adult ADHD has contributed to a marked rise in diagnoses and prescribing patterns (Figure 2 and Figure 3). Renoux et al. (2016) reported a steady increase in ADHD medication use in the United Kingdom between 1995 and 2015. This trend reflects greater awareness of adult presentations and a corresponding rise in pharmacological treatment among middle-aged adults, particularly men. Stimulant medications such as methylphenidate and amphetamines, along with non-stimulant options such as atomoxetine, have become widely used in clinical practice (Cortese et al., 2021; Brancati et al., 2024; Leszczyńska-Knaga et al., 2025).</w:t>
      </w:r>
    </w:p>
    <w:p w14:paraId="1609CC4F"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hAnsi="Arial" w:cs="Arial"/>
          <w:noProof/>
          <w:sz w:val="24"/>
          <w:szCs w:val="24"/>
        </w:rPr>
        <w:drawing>
          <wp:inline distT="0" distB="0" distL="0" distR="0" wp14:anchorId="4DFB18D5" wp14:editId="34F4883C">
            <wp:extent cx="5715000" cy="2743200"/>
            <wp:effectExtent l="0" t="0" r="0" b="0"/>
            <wp:docPr id="1209868714" name="Chart 1">
              <a:extLst xmlns:a="http://schemas.openxmlformats.org/drawingml/2006/main">
                <a:ext uri="{FF2B5EF4-FFF2-40B4-BE49-F238E27FC236}">
                  <a16:creationId xmlns:a16="http://schemas.microsoft.com/office/drawing/2014/main" id="{FC66ADBF-9D78-5617-167A-34267DA13A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0EF9F6F"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Figure 2: Prescribing Trends in the UK by Age</w:t>
      </w:r>
    </w:p>
    <w:p w14:paraId="53C429A8"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hAnsi="Arial" w:cs="Arial"/>
          <w:noProof/>
          <w:sz w:val="24"/>
          <w:szCs w:val="24"/>
        </w:rPr>
        <w:drawing>
          <wp:inline distT="0" distB="0" distL="0" distR="0" wp14:anchorId="241B2C02" wp14:editId="417403C5">
            <wp:extent cx="5669280" cy="2743200"/>
            <wp:effectExtent l="0" t="0" r="7620" b="0"/>
            <wp:docPr id="587470866" name="Chart 1">
              <a:extLst xmlns:a="http://schemas.openxmlformats.org/drawingml/2006/main">
                <a:ext uri="{FF2B5EF4-FFF2-40B4-BE49-F238E27FC236}">
                  <a16:creationId xmlns:a16="http://schemas.microsoft.com/office/drawing/2014/main" id="{60910FE2-1806-098C-F895-61695085B7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77F050C" w14:textId="77777777" w:rsidR="003D247F" w:rsidRPr="00ED08B9" w:rsidRDefault="003D247F" w:rsidP="003D247F">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ED08B9">
        <w:rPr>
          <w:rFonts w:ascii="Arial" w:eastAsia="Times New Roman" w:hAnsi="Arial" w:cs="Arial"/>
          <w:b/>
          <w:bCs/>
          <w:kern w:val="0"/>
          <w:sz w:val="24"/>
          <w:szCs w:val="24"/>
          <w:lang w:eastAsia="en-GB"/>
          <w14:ligatures w14:val="none"/>
        </w:rPr>
        <w:t>Figure 3: ADHD by Gender in the UK (2022-2023)</w:t>
      </w:r>
    </w:p>
    <w:p w14:paraId="4EF1703B"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Although prescribing rates have historically been higher in younger adults, recent data indicate a substantial increase in diagnoses and treatment among men aged 25 to 60. Studies have reported a 91% rise in prescriptions for central nervous system stimulants in England between January 2020 and 2023 (Connelly, 2023). Men are significantly more likely than women to receive ADHD medication, with prescription rates nearly five times higher (NHSBSA, 2025). The period following the COVID</w:t>
      </w:r>
      <w:r w:rsidRPr="00ED08B9">
        <w:rPr>
          <w:rFonts w:ascii="Arial" w:eastAsia="Times New Roman" w:hAnsi="Arial" w:cs="Arial"/>
          <w:kern w:val="0"/>
          <w:sz w:val="24"/>
          <w:szCs w:val="24"/>
          <w:lang w:eastAsia="en-GB"/>
          <w14:ligatures w14:val="none"/>
        </w:rPr>
        <w:noBreakHyphen/>
        <w:t>19 pandemic has seen further growth in adult diagnoses, reflecting increased public and clinical awareness (NHSBSA, 2025).</w:t>
      </w:r>
    </w:p>
    <w:p w14:paraId="1F6B5D3B"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While these medications are effective in managing core symptoms, their sympathomimetic properties have raised concerns about cardiovascular safety. Recent work by Besag et al. (2025) highlights the need to consider potential cardiovascular effects, particularly in populations already at elevated risk. Middle-aged men, typically between 35 and 65 years of age, have higher rates of cardiovascular disease, including hypertension, arrhythmias and myocardial infarction (Shakoor et al., 2023). Contributing factors such as smoking, high cholesterol, sedentary lifestyles, stress and genetic predisposition are common in this demographic.</w:t>
      </w:r>
    </w:p>
    <w:p w14:paraId="74E45315"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The intersection of ADHD, stimulant medication use and cardiovascular vulnerability is illustrated in Figure 4 and Table 4.</w:t>
      </w:r>
    </w:p>
    <w:p w14:paraId="765444BC"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hAnsi="Arial" w:cs="Arial"/>
          <w:noProof/>
          <w:sz w:val="24"/>
          <w:szCs w:val="24"/>
        </w:rPr>
        <w:drawing>
          <wp:inline distT="0" distB="0" distL="0" distR="0" wp14:anchorId="1AC17B81" wp14:editId="0BABBCAA">
            <wp:extent cx="5699760" cy="3067050"/>
            <wp:effectExtent l="0" t="0" r="15240" b="0"/>
            <wp:docPr id="574821825" name="Chart 1">
              <a:extLst xmlns:a="http://schemas.openxmlformats.org/drawingml/2006/main">
                <a:ext uri="{FF2B5EF4-FFF2-40B4-BE49-F238E27FC236}">
                  <a16:creationId xmlns:a16="http://schemas.microsoft.com/office/drawing/2014/main" id="{8D829A22-FD93-F16B-1A48-883B78BE3B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9DDE718" w14:textId="77777777" w:rsidR="003D247F" w:rsidRPr="00ED08B9" w:rsidRDefault="003D247F" w:rsidP="003D247F">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ED08B9">
        <w:rPr>
          <w:rFonts w:ascii="Arial" w:eastAsia="Times New Roman" w:hAnsi="Arial" w:cs="Arial"/>
          <w:b/>
          <w:bCs/>
          <w:kern w:val="0"/>
          <w:sz w:val="24"/>
          <w:szCs w:val="24"/>
          <w:lang w:eastAsia="en-GB"/>
          <w14:ligatures w14:val="none"/>
        </w:rPr>
        <w:t xml:space="preserve">Figure 4: CVD Risk Factors in Middle-Aged Men (Impact Score 1-10) </w:t>
      </w:r>
    </w:p>
    <w:p w14:paraId="70F754DD" w14:textId="77777777" w:rsidR="003D247F" w:rsidRPr="00ED08B9" w:rsidRDefault="003D247F" w:rsidP="003D247F">
      <w:pPr>
        <w:pStyle w:val="Heading3"/>
        <w:spacing w:before="100" w:beforeAutospacing="1" w:after="100" w:afterAutospacing="1" w:line="360" w:lineRule="auto"/>
        <w:jc w:val="both"/>
        <w:rPr>
          <w:rFonts w:ascii="Arial" w:eastAsia="Times New Roman" w:hAnsi="Arial" w:cs="Arial"/>
          <w:b/>
          <w:bCs/>
          <w:color w:val="auto"/>
          <w:kern w:val="0"/>
          <w:sz w:val="24"/>
          <w:szCs w:val="24"/>
          <w:lang w:eastAsia="en-GB"/>
          <w14:ligatures w14:val="none"/>
        </w:rPr>
      </w:pPr>
      <w:bookmarkStart w:id="5" w:name="_Hlk199234466"/>
      <w:r w:rsidRPr="00ED08B9">
        <w:rPr>
          <w:rFonts w:ascii="Arial" w:eastAsia="Times New Roman" w:hAnsi="Arial" w:cs="Arial"/>
          <w:b/>
          <w:bCs/>
          <w:color w:val="auto"/>
          <w:kern w:val="0"/>
          <w:sz w:val="24"/>
          <w:szCs w:val="24"/>
          <w:lang w:eastAsia="en-GB"/>
          <w14:ligatures w14:val="none"/>
        </w:rPr>
        <w:t>Table 4:</w:t>
      </w:r>
      <w:bookmarkStart w:id="6" w:name="_Hlk201671760"/>
      <w:r w:rsidRPr="00ED08B9">
        <w:rPr>
          <w:rFonts w:ascii="Arial" w:eastAsia="Times New Roman" w:hAnsi="Arial" w:cs="Arial"/>
          <w:b/>
          <w:bCs/>
          <w:color w:val="auto"/>
          <w:kern w:val="0"/>
          <w:sz w:val="24"/>
          <w:szCs w:val="24"/>
          <w:lang w:eastAsia="en-GB"/>
          <w14:ligatures w14:val="none"/>
        </w:rPr>
        <w:t xml:space="preserve"> Overlap Between ADHD, Medication Use, and Cardiovascular Risk</w:t>
      </w:r>
      <w:bookmarkEnd w:id="5"/>
      <w:bookmarkEnd w:id="6"/>
    </w:p>
    <w:tbl>
      <w:tblPr>
        <w:tblW w:w="9072" w:type="dxa"/>
        <w:tblInd w:w="-5" w:type="dxa"/>
        <w:tblLook w:val="04A0" w:firstRow="1" w:lastRow="0" w:firstColumn="1" w:lastColumn="0" w:noHBand="0" w:noVBand="1"/>
      </w:tblPr>
      <w:tblGrid>
        <w:gridCol w:w="2373"/>
        <w:gridCol w:w="6699"/>
      </w:tblGrid>
      <w:tr w:rsidR="003D247F" w:rsidRPr="00ED08B9" w14:paraId="1E682F9E" w14:textId="77777777" w:rsidTr="00CD232E">
        <w:trPr>
          <w:trHeight w:val="900"/>
        </w:trPr>
        <w:tc>
          <w:tcPr>
            <w:tcW w:w="2373" w:type="dxa"/>
            <w:tcBorders>
              <w:top w:val="single" w:sz="4" w:space="0" w:color="44B3E1"/>
              <w:left w:val="single" w:sz="4" w:space="0" w:color="44B3E1"/>
              <w:bottom w:val="single" w:sz="4" w:space="0" w:color="44B3E1"/>
              <w:right w:val="nil"/>
            </w:tcBorders>
            <w:shd w:val="clear" w:color="156082" w:fill="156082"/>
            <w:vAlign w:val="center"/>
            <w:hideMark/>
          </w:tcPr>
          <w:p w14:paraId="5B7F979F"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FFFFFF"/>
                <w:kern w:val="0"/>
                <w:sz w:val="24"/>
                <w:szCs w:val="24"/>
                <w:lang w:eastAsia="en-GB"/>
                <w14:ligatures w14:val="none"/>
              </w:rPr>
            </w:pPr>
            <w:r w:rsidRPr="00ED08B9">
              <w:rPr>
                <w:rFonts w:ascii="Arial" w:eastAsia="Times New Roman" w:hAnsi="Arial" w:cs="Arial"/>
                <w:b/>
                <w:bCs/>
                <w:color w:val="FFFFFF"/>
                <w:kern w:val="0"/>
                <w:sz w:val="24"/>
                <w:szCs w:val="24"/>
                <w:lang w:eastAsia="en-GB"/>
                <w14:ligatures w14:val="none"/>
              </w:rPr>
              <w:t>Category</w:t>
            </w:r>
          </w:p>
        </w:tc>
        <w:tc>
          <w:tcPr>
            <w:tcW w:w="6699" w:type="dxa"/>
            <w:tcBorders>
              <w:top w:val="single" w:sz="4" w:space="0" w:color="44B3E1"/>
              <w:left w:val="nil"/>
              <w:bottom w:val="single" w:sz="4" w:space="0" w:color="44B3E1"/>
              <w:right w:val="single" w:sz="4" w:space="0" w:color="44B3E1"/>
            </w:tcBorders>
            <w:shd w:val="clear" w:color="156082" w:fill="156082"/>
            <w:vAlign w:val="center"/>
            <w:hideMark/>
          </w:tcPr>
          <w:p w14:paraId="48E899FC"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FFFFFF"/>
                <w:kern w:val="0"/>
                <w:sz w:val="24"/>
                <w:szCs w:val="24"/>
                <w:lang w:eastAsia="en-GB"/>
                <w14:ligatures w14:val="none"/>
              </w:rPr>
            </w:pPr>
            <w:r w:rsidRPr="00ED08B9">
              <w:rPr>
                <w:rFonts w:ascii="Arial" w:eastAsia="Times New Roman" w:hAnsi="Arial" w:cs="Arial"/>
                <w:b/>
                <w:bCs/>
                <w:color w:val="FFFFFF"/>
                <w:kern w:val="0"/>
                <w:sz w:val="24"/>
                <w:szCs w:val="24"/>
                <w:lang w:eastAsia="en-GB"/>
                <w14:ligatures w14:val="none"/>
              </w:rPr>
              <w:t>Characteristics / Risks</w:t>
            </w:r>
          </w:p>
        </w:tc>
      </w:tr>
      <w:tr w:rsidR="003D247F" w:rsidRPr="00ED08B9" w14:paraId="0724F809" w14:textId="77777777" w:rsidTr="00CD232E">
        <w:trPr>
          <w:trHeight w:val="2700"/>
        </w:trPr>
        <w:tc>
          <w:tcPr>
            <w:tcW w:w="2373" w:type="dxa"/>
            <w:tcBorders>
              <w:top w:val="single" w:sz="4" w:space="0" w:color="44B3E1"/>
              <w:left w:val="single" w:sz="4" w:space="0" w:color="44B3E1"/>
              <w:bottom w:val="single" w:sz="4" w:space="0" w:color="44B3E1"/>
              <w:right w:val="nil"/>
            </w:tcBorders>
            <w:shd w:val="clear" w:color="C0E6F5" w:fill="C0E6F5"/>
            <w:vAlign w:val="center"/>
            <w:hideMark/>
          </w:tcPr>
          <w:p w14:paraId="1DF7766D"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r w:rsidRPr="00ED08B9">
              <w:rPr>
                <w:rFonts w:ascii="Arial" w:eastAsia="Times New Roman" w:hAnsi="Arial" w:cs="Arial"/>
                <w:b/>
                <w:bCs/>
                <w:color w:val="000000"/>
                <w:kern w:val="0"/>
                <w:sz w:val="24"/>
                <w:szCs w:val="24"/>
                <w:lang w:eastAsia="en-GB"/>
                <w14:ligatures w14:val="none"/>
              </w:rPr>
              <w:t>ADHD</w:t>
            </w:r>
          </w:p>
        </w:tc>
        <w:tc>
          <w:tcPr>
            <w:tcW w:w="6699" w:type="dxa"/>
            <w:tcBorders>
              <w:top w:val="single" w:sz="4" w:space="0" w:color="44B3E1"/>
              <w:left w:val="nil"/>
              <w:bottom w:val="single" w:sz="4" w:space="0" w:color="44B3E1"/>
              <w:right w:val="single" w:sz="4" w:space="0" w:color="44B3E1"/>
            </w:tcBorders>
            <w:shd w:val="clear" w:color="C0E6F5" w:fill="C0E6F5"/>
            <w:vAlign w:val="center"/>
            <w:hideMark/>
          </w:tcPr>
          <w:p w14:paraId="3986E5A7"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Impulsivity, emotional dysregulation, poor health choices</w:t>
            </w:r>
          </w:p>
        </w:tc>
      </w:tr>
      <w:tr w:rsidR="003D247F" w:rsidRPr="00ED08B9" w14:paraId="145F9E34" w14:textId="77777777" w:rsidTr="00CD232E">
        <w:trPr>
          <w:trHeight w:val="2400"/>
        </w:trPr>
        <w:tc>
          <w:tcPr>
            <w:tcW w:w="2373" w:type="dxa"/>
            <w:tcBorders>
              <w:top w:val="single" w:sz="4" w:space="0" w:color="44B3E1"/>
              <w:left w:val="single" w:sz="4" w:space="0" w:color="44B3E1"/>
              <w:bottom w:val="single" w:sz="4" w:space="0" w:color="44B3E1"/>
              <w:right w:val="nil"/>
            </w:tcBorders>
            <w:vAlign w:val="center"/>
            <w:hideMark/>
          </w:tcPr>
          <w:p w14:paraId="304C25DF"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r w:rsidRPr="00ED08B9">
              <w:rPr>
                <w:rFonts w:ascii="Arial" w:eastAsia="Times New Roman" w:hAnsi="Arial" w:cs="Arial"/>
                <w:b/>
                <w:bCs/>
                <w:color w:val="000000"/>
                <w:kern w:val="0"/>
                <w:sz w:val="24"/>
                <w:szCs w:val="24"/>
                <w:lang w:eastAsia="en-GB"/>
                <w14:ligatures w14:val="none"/>
              </w:rPr>
              <w:t>Stimulant Medication Use</w:t>
            </w:r>
          </w:p>
        </w:tc>
        <w:tc>
          <w:tcPr>
            <w:tcW w:w="6699" w:type="dxa"/>
            <w:tcBorders>
              <w:top w:val="single" w:sz="4" w:space="0" w:color="44B3E1"/>
              <w:left w:val="nil"/>
              <w:bottom w:val="single" w:sz="4" w:space="0" w:color="auto"/>
              <w:right w:val="single" w:sz="4" w:space="0" w:color="44B3E1"/>
            </w:tcBorders>
            <w:vAlign w:val="center"/>
            <w:hideMark/>
          </w:tcPr>
          <w:p w14:paraId="7455A31E"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Sympathomimetic effects, increased heart rate and blood pressure</w:t>
            </w:r>
          </w:p>
        </w:tc>
      </w:tr>
      <w:tr w:rsidR="003D247F" w:rsidRPr="00ED08B9" w14:paraId="35A6296D" w14:textId="77777777" w:rsidTr="00CD232E">
        <w:trPr>
          <w:trHeight w:val="2400"/>
        </w:trPr>
        <w:tc>
          <w:tcPr>
            <w:tcW w:w="2373" w:type="dxa"/>
            <w:tcBorders>
              <w:top w:val="single" w:sz="4" w:space="0" w:color="44B3E1"/>
              <w:left w:val="single" w:sz="4" w:space="0" w:color="44B3E1"/>
              <w:bottom w:val="single" w:sz="4" w:space="0" w:color="44B3E1"/>
              <w:right w:val="nil"/>
            </w:tcBorders>
            <w:shd w:val="clear" w:color="C0E6F5" w:fill="C0E6F5"/>
            <w:vAlign w:val="center"/>
            <w:hideMark/>
          </w:tcPr>
          <w:p w14:paraId="3344DE60"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r w:rsidRPr="00ED08B9">
              <w:rPr>
                <w:rFonts w:ascii="Arial" w:eastAsia="Times New Roman" w:hAnsi="Arial" w:cs="Arial"/>
                <w:b/>
                <w:bCs/>
                <w:color w:val="000000"/>
                <w:kern w:val="0"/>
                <w:sz w:val="24"/>
                <w:szCs w:val="24"/>
                <w:lang w:eastAsia="en-GB"/>
                <w14:ligatures w14:val="none"/>
              </w:rPr>
              <w:t>Cardiovascular Risk Factors</w:t>
            </w:r>
          </w:p>
        </w:tc>
        <w:tc>
          <w:tcPr>
            <w:tcW w:w="6699" w:type="dxa"/>
            <w:tcBorders>
              <w:top w:val="single" w:sz="4" w:space="0" w:color="auto"/>
              <w:left w:val="nil"/>
              <w:bottom w:val="single" w:sz="4" w:space="0" w:color="44B3E1"/>
              <w:right w:val="single" w:sz="4" w:space="0" w:color="44B3E1"/>
            </w:tcBorders>
            <w:shd w:val="clear" w:color="C0E6F5" w:fill="C0E6F5"/>
            <w:vAlign w:val="center"/>
            <w:hideMark/>
          </w:tcPr>
          <w:p w14:paraId="7413C62A"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Smoking, hypertension, obesity, stress, genetic predisposition</w:t>
            </w:r>
          </w:p>
        </w:tc>
      </w:tr>
      <w:tr w:rsidR="003D247F" w:rsidRPr="00ED08B9" w14:paraId="500DE967" w14:textId="77777777" w:rsidTr="00CD232E">
        <w:trPr>
          <w:trHeight w:val="2836"/>
        </w:trPr>
        <w:tc>
          <w:tcPr>
            <w:tcW w:w="2373" w:type="dxa"/>
            <w:tcBorders>
              <w:top w:val="single" w:sz="4" w:space="0" w:color="44B3E1"/>
              <w:left w:val="single" w:sz="4" w:space="0" w:color="44B3E1"/>
              <w:bottom w:val="single" w:sz="4" w:space="0" w:color="44B3E1"/>
              <w:right w:val="nil"/>
            </w:tcBorders>
            <w:vAlign w:val="center"/>
            <w:hideMark/>
          </w:tcPr>
          <w:p w14:paraId="4290114A"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r w:rsidRPr="00ED08B9">
              <w:rPr>
                <w:rFonts w:ascii="Arial" w:eastAsia="Times New Roman" w:hAnsi="Arial" w:cs="Arial"/>
                <w:b/>
                <w:bCs/>
                <w:color w:val="000000"/>
                <w:kern w:val="0"/>
                <w:sz w:val="24"/>
                <w:szCs w:val="24"/>
                <w:lang w:eastAsia="en-GB"/>
                <w14:ligatures w14:val="none"/>
              </w:rPr>
              <w:t>Overlap (Research Focus)</w:t>
            </w:r>
          </w:p>
        </w:tc>
        <w:tc>
          <w:tcPr>
            <w:tcW w:w="6699" w:type="dxa"/>
            <w:tcBorders>
              <w:top w:val="single" w:sz="4" w:space="0" w:color="44B3E1"/>
              <w:left w:val="nil"/>
              <w:bottom w:val="single" w:sz="4" w:space="0" w:color="44B3E1"/>
              <w:right w:val="single" w:sz="4" w:space="0" w:color="44B3E1"/>
            </w:tcBorders>
            <w:vAlign w:val="center"/>
            <w:hideMark/>
          </w:tcPr>
          <w:p w14:paraId="2BF423CB"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Middle - aged men with ADHD on stimulants - highest CVD risk due to overlapping vulnerabilities</w:t>
            </w:r>
          </w:p>
        </w:tc>
      </w:tr>
    </w:tbl>
    <w:p w14:paraId="40BFF946" w14:textId="77777777" w:rsidR="003D247F" w:rsidRPr="00ED08B9" w:rsidRDefault="003D247F" w:rsidP="003D247F">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bookmarkStart w:id="7" w:name="_Hlk199234619"/>
      <w:r w:rsidRPr="00ED08B9">
        <w:rPr>
          <w:rFonts w:ascii="Arial" w:eastAsia="Times New Roman" w:hAnsi="Arial" w:cs="Arial"/>
          <w:kern w:val="0"/>
          <w:sz w:val="24"/>
          <w:szCs w:val="24"/>
          <w:lang w:eastAsia="en-GB"/>
          <w14:ligatures w14:val="none"/>
        </w:rPr>
        <w:t>The current body of research presents mixed findings. Some large observational studies report limited clinical impact of ADHD medications on cardiovascular events (Habel et al., 2011; Holt et al., 2024). In contrast, others identify a modest but meaningful increase in risk, particularly with long-term or high-dose use (Schelleman et al., 2012; Shin et al., 2016). Clinical guidelines from organisations such as NICE and the American Heart Association recommend cardiovascular assessment before initiating ADHD medication (Vetter et al., 2008; NICE, 2018). Despite this, routine implementation in primary care remains inconsistent (Hennissen et al., 2017).</w:t>
      </w:r>
    </w:p>
    <w:p w14:paraId="1FCAB8A4" w14:textId="77777777" w:rsidR="003D247F" w:rsidRPr="00ED08B9" w:rsidRDefault="003D247F" w:rsidP="003D247F">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A clear gap exists in the evidence base. Middle-aged men are underrepresented in clinical trials, which tend to focus on children, adolescents or younger adults. Existing studies have not fully examined how factors such as duration of medication use, cumulative dosage, comorbidities and lifestyle behaviours may interact to influence cardiovascular outcomes. The rising number of adults receiving ADHD diagnoses later in life strengthens the need for focused investigation into these risks.</w:t>
      </w:r>
    </w:p>
    <w:p w14:paraId="3F1A269F" w14:textId="77777777" w:rsidR="003D247F" w:rsidRPr="00ED08B9" w:rsidRDefault="003D247F" w:rsidP="003D247F">
      <w:pPr>
        <w:spacing w:before="100" w:beforeAutospacing="1" w:after="100" w:afterAutospacing="1" w:line="360" w:lineRule="auto"/>
        <w:jc w:val="both"/>
        <w:outlineLvl w:val="2"/>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Table 5 highlights the discrepancy between guideline recommendations and everyday practice in primary care.</w:t>
      </w:r>
    </w:p>
    <w:p w14:paraId="694880B2" w14:textId="77777777" w:rsidR="003D247F" w:rsidRPr="00ED08B9" w:rsidRDefault="003D247F" w:rsidP="003D247F">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ED08B9">
        <w:rPr>
          <w:rFonts w:ascii="Arial" w:eastAsia="Times New Roman" w:hAnsi="Arial" w:cs="Arial"/>
          <w:b/>
          <w:bCs/>
          <w:kern w:val="0"/>
          <w:sz w:val="24"/>
          <w:szCs w:val="24"/>
          <w:lang w:eastAsia="en-GB"/>
          <w14:ligatures w14:val="none"/>
        </w:rPr>
        <w:t>Table 5. Gaps Between Guidelines and Practice</w:t>
      </w:r>
      <w:bookmarkEnd w:id="7"/>
      <w:r w:rsidRPr="00ED08B9">
        <w:rPr>
          <w:rFonts w:ascii="Arial" w:eastAsia="Times New Roman" w:hAnsi="Arial" w:cs="Arial"/>
          <w:b/>
          <w:bCs/>
          <w:kern w:val="0"/>
          <w:sz w:val="24"/>
          <w:szCs w:val="24"/>
          <w:lang w:eastAsia="en-GB"/>
          <w14:ligatures w14:val="none"/>
        </w:rPr>
        <w:t xml:space="preserve">: </w:t>
      </w:r>
      <w:r w:rsidRPr="00ED08B9">
        <w:rPr>
          <w:rFonts w:ascii="Arial" w:eastAsia="Times New Roman" w:hAnsi="Arial" w:cs="Arial"/>
          <w:b/>
          <w:bCs/>
          <w:color w:val="000000"/>
          <w:kern w:val="0"/>
          <w:sz w:val="24"/>
          <w:szCs w:val="24"/>
          <w:lang w:eastAsia="en-GB"/>
          <w14:ligatures w14:val="none"/>
        </w:rPr>
        <w:t>NICE Guideline v Primary Care Reality</w:t>
      </w:r>
    </w:p>
    <w:tbl>
      <w:tblPr>
        <w:tblW w:w="9072" w:type="dxa"/>
        <w:tblInd w:w="-5" w:type="dxa"/>
        <w:tblLook w:val="04A0" w:firstRow="1" w:lastRow="0" w:firstColumn="1" w:lastColumn="0" w:noHBand="0" w:noVBand="1"/>
      </w:tblPr>
      <w:tblGrid>
        <w:gridCol w:w="2181"/>
        <w:gridCol w:w="6891"/>
      </w:tblGrid>
      <w:tr w:rsidR="003D247F" w:rsidRPr="00ED08B9" w14:paraId="7D5B4365" w14:textId="77777777" w:rsidTr="00CD232E">
        <w:trPr>
          <w:trHeight w:val="360"/>
        </w:trPr>
        <w:tc>
          <w:tcPr>
            <w:tcW w:w="2181" w:type="dxa"/>
            <w:tcBorders>
              <w:top w:val="single" w:sz="4" w:space="0" w:color="44B3E1"/>
              <w:left w:val="single" w:sz="4" w:space="0" w:color="44B3E1"/>
              <w:bottom w:val="single" w:sz="4" w:space="0" w:color="44B3E1"/>
              <w:right w:val="nil"/>
            </w:tcBorders>
            <w:shd w:val="clear" w:color="156082" w:fill="156082"/>
            <w:noWrap/>
            <w:vAlign w:val="center"/>
            <w:hideMark/>
          </w:tcPr>
          <w:p w14:paraId="1D7E0BD3"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FFFFFF"/>
                <w:kern w:val="0"/>
                <w:sz w:val="24"/>
                <w:szCs w:val="24"/>
                <w:lang w:eastAsia="en-GB"/>
                <w14:ligatures w14:val="none"/>
              </w:rPr>
            </w:pPr>
          </w:p>
        </w:tc>
        <w:tc>
          <w:tcPr>
            <w:tcW w:w="6891" w:type="dxa"/>
            <w:tcBorders>
              <w:top w:val="single" w:sz="4" w:space="0" w:color="44B3E1"/>
              <w:left w:val="nil"/>
              <w:bottom w:val="single" w:sz="4" w:space="0" w:color="44B3E1"/>
              <w:right w:val="single" w:sz="4" w:space="0" w:color="44B3E1"/>
            </w:tcBorders>
            <w:shd w:val="clear" w:color="156082" w:fill="156082"/>
            <w:noWrap/>
            <w:vAlign w:val="bottom"/>
            <w:hideMark/>
          </w:tcPr>
          <w:p w14:paraId="07986B5B"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FFFFFF"/>
                <w:kern w:val="0"/>
                <w:sz w:val="24"/>
                <w:szCs w:val="24"/>
                <w:lang w:eastAsia="en-GB"/>
                <w14:ligatures w14:val="none"/>
              </w:rPr>
            </w:pPr>
          </w:p>
        </w:tc>
      </w:tr>
      <w:tr w:rsidR="003D247F" w:rsidRPr="00ED08B9" w14:paraId="78DC24A8" w14:textId="77777777" w:rsidTr="00CD232E">
        <w:trPr>
          <w:trHeight w:val="300"/>
        </w:trPr>
        <w:tc>
          <w:tcPr>
            <w:tcW w:w="2181" w:type="dxa"/>
            <w:tcBorders>
              <w:top w:val="single" w:sz="4" w:space="0" w:color="44B3E1"/>
              <w:left w:val="single" w:sz="4" w:space="0" w:color="44B3E1"/>
              <w:bottom w:val="single" w:sz="4" w:space="0" w:color="44B3E1"/>
              <w:right w:val="nil"/>
            </w:tcBorders>
            <w:noWrap/>
            <w:vAlign w:val="bottom"/>
            <w:hideMark/>
          </w:tcPr>
          <w:p w14:paraId="31356284"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p>
        </w:tc>
        <w:tc>
          <w:tcPr>
            <w:tcW w:w="6891" w:type="dxa"/>
            <w:tcBorders>
              <w:top w:val="single" w:sz="4" w:space="0" w:color="44B3E1"/>
              <w:left w:val="nil"/>
              <w:bottom w:val="single" w:sz="4" w:space="0" w:color="44B3E1"/>
              <w:right w:val="single" w:sz="4" w:space="0" w:color="44B3E1"/>
            </w:tcBorders>
            <w:noWrap/>
            <w:vAlign w:val="bottom"/>
            <w:hideMark/>
          </w:tcPr>
          <w:p w14:paraId="68114049" w14:textId="77777777" w:rsidR="003D247F" w:rsidRPr="00ED08B9" w:rsidRDefault="003D247F" w:rsidP="00CD232E">
            <w:pPr>
              <w:spacing w:before="100" w:beforeAutospacing="1" w:after="100" w:afterAutospacing="1" w:line="360" w:lineRule="auto"/>
              <w:jc w:val="both"/>
              <w:rPr>
                <w:rFonts w:ascii="Arial" w:eastAsia="Times New Roman" w:hAnsi="Arial" w:cs="Arial"/>
                <w:kern w:val="0"/>
                <w:sz w:val="24"/>
                <w:szCs w:val="24"/>
                <w:lang w:eastAsia="en-GB"/>
                <w14:ligatures w14:val="none"/>
              </w:rPr>
            </w:pPr>
          </w:p>
        </w:tc>
      </w:tr>
      <w:tr w:rsidR="003D247F" w:rsidRPr="00ED08B9" w14:paraId="7A0A266F" w14:textId="77777777" w:rsidTr="00CD232E">
        <w:trPr>
          <w:trHeight w:val="900"/>
        </w:trPr>
        <w:tc>
          <w:tcPr>
            <w:tcW w:w="2181" w:type="dxa"/>
            <w:tcBorders>
              <w:top w:val="single" w:sz="4" w:space="0" w:color="44B3E1"/>
              <w:left w:val="single" w:sz="4" w:space="0" w:color="44B3E1"/>
              <w:bottom w:val="single" w:sz="4" w:space="0" w:color="44B3E1"/>
              <w:right w:val="nil"/>
            </w:tcBorders>
            <w:shd w:val="clear" w:color="C0E6F5" w:fill="C0E6F5"/>
            <w:vAlign w:val="center"/>
            <w:hideMark/>
          </w:tcPr>
          <w:p w14:paraId="30772FB4"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r w:rsidRPr="00ED08B9">
              <w:rPr>
                <w:rFonts w:ascii="Arial" w:eastAsia="Times New Roman" w:hAnsi="Arial" w:cs="Arial"/>
                <w:b/>
                <w:bCs/>
                <w:color w:val="000000"/>
                <w:kern w:val="0"/>
                <w:sz w:val="24"/>
                <w:szCs w:val="24"/>
                <w:lang w:eastAsia="en-GB"/>
                <w14:ligatures w14:val="none"/>
              </w:rPr>
              <w:t>Guideline (NICE)</w:t>
            </w:r>
          </w:p>
        </w:tc>
        <w:tc>
          <w:tcPr>
            <w:tcW w:w="6891" w:type="dxa"/>
            <w:tcBorders>
              <w:top w:val="single" w:sz="4" w:space="0" w:color="44B3E1"/>
              <w:left w:val="nil"/>
              <w:bottom w:val="single" w:sz="4" w:space="0" w:color="44B3E1"/>
              <w:right w:val="single" w:sz="4" w:space="0" w:color="44B3E1"/>
            </w:tcBorders>
            <w:shd w:val="clear" w:color="C0E6F5" w:fill="C0E6F5"/>
            <w:vAlign w:val="center"/>
            <w:hideMark/>
          </w:tcPr>
          <w:p w14:paraId="676DCACE" w14:textId="77777777" w:rsidR="003D247F" w:rsidRPr="00ED08B9" w:rsidRDefault="003D247F" w:rsidP="00CD232E">
            <w:pPr>
              <w:spacing w:before="100" w:beforeAutospacing="1" w:after="100" w:afterAutospacing="1" w:line="360" w:lineRule="auto"/>
              <w:jc w:val="both"/>
              <w:rPr>
                <w:rFonts w:ascii="Arial" w:eastAsia="Times New Roman" w:hAnsi="Arial" w:cs="Arial"/>
                <w:b/>
                <w:bCs/>
                <w:color w:val="000000"/>
                <w:kern w:val="0"/>
                <w:sz w:val="24"/>
                <w:szCs w:val="24"/>
                <w:lang w:eastAsia="en-GB"/>
                <w14:ligatures w14:val="none"/>
              </w:rPr>
            </w:pPr>
            <w:r w:rsidRPr="00ED08B9">
              <w:rPr>
                <w:rFonts w:ascii="Arial" w:eastAsia="Times New Roman" w:hAnsi="Arial" w:cs="Arial"/>
                <w:b/>
                <w:bCs/>
                <w:color w:val="000000"/>
                <w:kern w:val="0"/>
                <w:sz w:val="24"/>
                <w:szCs w:val="24"/>
                <w:lang w:eastAsia="en-GB"/>
                <w14:ligatures w14:val="none"/>
              </w:rPr>
              <w:t>Reality in Practice</w:t>
            </w:r>
          </w:p>
        </w:tc>
      </w:tr>
      <w:tr w:rsidR="003D247F" w:rsidRPr="00ED08B9" w14:paraId="3B9DF8C2" w14:textId="77777777" w:rsidTr="00CD232E">
        <w:trPr>
          <w:trHeight w:val="1500"/>
        </w:trPr>
        <w:tc>
          <w:tcPr>
            <w:tcW w:w="2181" w:type="dxa"/>
            <w:tcBorders>
              <w:top w:val="single" w:sz="4" w:space="0" w:color="44B3E1"/>
              <w:left w:val="single" w:sz="4" w:space="0" w:color="44B3E1"/>
              <w:bottom w:val="single" w:sz="4" w:space="0" w:color="44B3E1"/>
              <w:right w:val="nil"/>
            </w:tcBorders>
            <w:vAlign w:val="center"/>
            <w:hideMark/>
          </w:tcPr>
          <w:p w14:paraId="72717C36"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Baseline cardiovascular screening</w:t>
            </w:r>
          </w:p>
        </w:tc>
        <w:tc>
          <w:tcPr>
            <w:tcW w:w="6891" w:type="dxa"/>
            <w:tcBorders>
              <w:top w:val="single" w:sz="4" w:space="0" w:color="44B3E1"/>
              <w:left w:val="nil"/>
              <w:bottom w:val="single" w:sz="4" w:space="0" w:color="44B3E1"/>
              <w:right w:val="single" w:sz="4" w:space="0" w:color="44B3E1"/>
            </w:tcBorders>
            <w:vAlign w:val="center"/>
            <w:hideMark/>
          </w:tcPr>
          <w:p w14:paraId="06B7289E"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Often missed in GP settings</w:t>
            </w:r>
          </w:p>
        </w:tc>
      </w:tr>
      <w:tr w:rsidR="003D247F" w:rsidRPr="00ED08B9" w14:paraId="0A0432F7" w14:textId="77777777" w:rsidTr="00CD232E">
        <w:trPr>
          <w:trHeight w:val="1800"/>
        </w:trPr>
        <w:tc>
          <w:tcPr>
            <w:tcW w:w="2181" w:type="dxa"/>
            <w:tcBorders>
              <w:top w:val="single" w:sz="4" w:space="0" w:color="44B3E1"/>
              <w:left w:val="single" w:sz="4" w:space="0" w:color="44B3E1"/>
              <w:bottom w:val="single" w:sz="4" w:space="0" w:color="44B3E1"/>
              <w:right w:val="nil"/>
            </w:tcBorders>
            <w:shd w:val="clear" w:color="C0E6F5" w:fill="C0E6F5"/>
            <w:vAlign w:val="center"/>
            <w:hideMark/>
          </w:tcPr>
          <w:p w14:paraId="365D0FA1"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Regular monitoring (BP, HR every 6 months)</w:t>
            </w:r>
          </w:p>
        </w:tc>
        <w:tc>
          <w:tcPr>
            <w:tcW w:w="6891" w:type="dxa"/>
            <w:tcBorders>
              <w:top w:val="single" w:sz="4" w:space="0" w:color="44B3E1"/>
              <w:left w:val="nil"/>
              <w:bottom w:val="single" w:sz="4" w:space="0" w:color="44B3E1"/>
              <w:right w:val="single" w:sz="4" w:space="0" w:color="44B3E1"/>
            </w:tcBorders>
            <w:shd w:val="clear" w:color="C0E6F5" w:fill="C0E6F5"/>
            <w:vAlign w:val="center"/>
            <w:hideMark/>
          </w:tcPr>
          <w:p w14:paraId="2B2D7592"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Infrequent or inconsistent</w:t>
            </w:r>
          </w:p>
        </w:tc>
      </w:tr>
      <w:tr w:rsidR="003D247F" w:rsidRPr="00ED08B9" w14:paraId="3503E6DE" w14:textId="77777777" w:rsidTr="00CD232E">
        <w:trPr>
          <w:trHeight w:val="1800"/>
        </w:trPr>
        <w:tc>
          <w:tcPr>
            <w:tcW w:w="2181" w:type="dxa"/>
            <w:tcBorders>
              <w:top w:val="single" w:sz="4" w:space="0" w:color="44B3E1"/>
              <w:left w:val="single" w:sz="4" w:space="0" w:color="44B3E1"/>
              <w:bottom w:val="single" w:sz="4" w:space="0" w:color="44B3E1"/>
              <w:right w:val="nil"/>
            </w:tcBorders>
            <w:vAlign w:val="center"/>
            <w:hideMark/>
          </w:tcPr>
          <w:p w14:paraId="5E23E7CC"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ECG in high - risk individuals</w:t>
            </w:r>
          </w:p>
        </w:tc>
        <w:tc>
          <w:tcPr>
            <w:tcW w:w="6891" w:type="dxa"/>
            <w:tcBorders>
              <w:top w:val="single" w:sz="4" w:space="0" w:color="44B3E1"/>
              <w:left w:val="nil"/>
              <w:bottom w:val="single" w:sz="4" w:space="0" w:color="44B3E1"/>
              <w:right w:val="single" w:sz="4" w:space="0" w:color="44B3E1"/>
            </w:tcBorders>
            <w:vAlign w:val="center"/>
            <w:hideMark/>
          </w:tcPr>
          <w:p w14:paraId="2280748C"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Rarely conducted unless symptoms are present</w:t>
            </w:r>
          </w:p>
        </w:tc>
      </w:tr>
      <w:tr w:rsidR="003D247F" w:rsidRPr="00ED08B9" w14:paraId="48235EEA" w14:textId="77777777" w:rsidTr="00CD232E">
        <w:trPr>
          <w:trHeight w:val="1982"/>
        </w:trPr>
        <w:tc>
          <w:tcPr>
            <w:tcW w:w="2181" w:type="dxa"/>
            <w:tcBorders>
              <w:top w:val="single" w:sz="4" w:space="0" w:color="44B3E1"/>
              <w:left w:val="single" w:sz="4" w:space="0" w:color="44B3E1"/>
              <w:bottom w:val="single" w:sz="4" w:space="0" w:color="44B3E1"/>
              <w:right w:val="nil"/>
            </w:tcBorders>
            <w:shd w:val="clear" w:color="C0E6F5" w:fill="C0E6F5"/>
            <w:vAlign w:val="center"/>
            <w:hideMark/>
          </w:tcPr>
          <w:p w14:paraId="71BC9B7A"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Caution in patients with cardiovascular risk</w:t>
            </w:r>
          </w:p>
        </w:tc>
        <w:tc>
          <w:tcPr>
            <w:tcW w:w="6891" w:type="dxa"/>
            <w:tcBorders>
              <w:top w:val="single" w:sz="4" w:space="0" w:color="44B3E1"/>
              <w:left w:val="nil"/>
              <w:bottom w:val="single" w:sz="4" w:space="0" w:color="44B3E1"/>
              <w:right w:val="single" w:sz="4" w:space="0" w:color="44B3E1"/>
            </w:tcBorders>
            <w:shd w:val="clear" w:color="C0E6F5" w:fill="C0E6F5"/>
            <w:vAlign w:val="center"/>
            <w:hideMark/>
          </w:tcPr>
          <w:p w14:paraId="6BA58670" w14:textId="77777777" w:rsidR="003D247F" w:rsidRPr="00ED08B9" w:rsidRDefault="003D247F" w:rsidP="00CD232E">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ED08B9">
              <w:rPr>
                <w:rFonts w:ascii="Arial" w:eastAsia="Times New Roman" w:hAnsi="Arial" w:cs="Arial"/>
                <w:color w:val="000000"/>
                <w:kern w:val="0"/>
                <w:sz w:val="24"/>
                <w:szCs w:val="24"/>
                <w:lang w:eastAsia="en-GB"/>
                <w14:ligatures w14:val="none"/>
              </w:rPr>
              <w:t>Limited awareness or documentation in prescribing notes</w:t>
            </w:r>
          </w:p>
        </w:tc>
      </w:tr>
    </w:tbl>
    <w:p w14:paraId="0FFD03F6"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Concerns continue to grow regarding the possible long-term cardiovascular effects of ADHD medication, particularly in middle-aged populations (Brikell et al., 2024). Although UK-based research remains limited, the global rise in adult ADHD diagnoses and the increasing use of stimulant medication highlight the importance of examining these issues in greater depth.</w:t>
      </w:r>
    </w:p>
    <w:p w14:paraId="788DBCBF"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This dissertation, therefore, investigates the association between ADHD medication use and cardiovascular risk in middle-aged men. The study considers both pharmacological mechanisms and patient-specific risk factors, aiming to clarify the balance between therapeutic benefit and cardiovascular safety in a population that may be especially vulnerable.</w:t>
      </w:r>
    </w:p>
    <w:p w14:paraId="708ED70E" w14:textId="77777777" w:rsidR="003D247F" w:rsidRPr="00ED08B9" w:rsidRDefault="003D247F" w:rsidP="003D247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D08B9">
        <w:rPr>
          <w:rFonts w:ascii="Arial" w:eastAsia="Times New Roman" w:hAnsi="Arial" w:cs="Arial"/>
          <w:kern w:val="0"/>
          <w:sz w:val="24"/>
          <w:szCs w:val="24"/>
          <w:lang w:eastAsia="en-GB"/>
          <w14:ligatures w14:val="none"/>
        </w:rPr>
        <w:t>Clinical trials often provide only short-term safety data and frequently exclude individuals with comorbid conditions. Electronic health records offer a valuable alternative, as they capture real-world patterns of medication use and health outcomes over extended periods. Their longitudinal nature makes them particularly suitable for examining the relationship between ADHD medication and cardiovascular risk in everyday clinical contexts.</w:t>
      </w:r>
    </w:p>
    <w:p w14:paraId="32DD350A" w14:textId="77777777" w:rsidR="003D247F" w:rsidRPr="00ED08B9" w:rsidRDefault="003D247F" w:rsidP="003D247F">
      <w:pPr>
        <w:pStyle w:val="ListParagraph"/>
        <w:numPr>
          <w:ilvl w:val="1"/>
          <w:numId w:val="36"/>
        </w:numPr>
        <w:spacing w:before="100" w:beforeAutospacing="1" w:after="100" w:afterAutospacing="1" w:line="360" w:lineRule="auto"/>
        <w:contextualSpacing w:val="0"/>
        <w:jc w:val="both"/>
        <w:rPr>
          <w:rFonts w:ascii="Arial" w:eastAsia="Times New Roman" w:hAnsi="Arial" w:cs="Arial"/>
          <w:b/>
          <w:bCs/>
          <w:kern w:val="0"/>
          <w:sz w:val="24"/>
          <w:szCs w:val="24"/>
          <w:lang w:eastAsia="en-GB"/>
          <w14:ligatures w14:val="none"/>
        </w:rPr>
      </w:pPr>
      <w:r w:rsidRPr="00ED08B9">
        <w:rPr>
          <w:rFonts w:ascii="Arial" w:eastAsia="Times New Roman" w:hAnsi="Arial" w:cs="Arial"/>
          <w:b/>
          <w:bCs/>
          <w:kern w:val="0"/>
          <w:sz w:val="24"/>
          <w:szCs w:val="24"/>
          <w:lang w:eastAsia="en-GB"/>
          <w14:ligatures w14:val="none"/>
        </w:rPr>
        <w:t xml:space="preserve"> Rationale </w:t>
      </w:r>
    </w:p>
    <w:p w14:paraId="6B488B5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study focuses on the relationship between ADHD medication use and cardiovascular risk in middle-aged men because this group remains significantly affected by ADHD, with an estimated 50 to 65% of those diagnosed in childhood continuing to experience symptoms into adulthood. The growing recognition of adult ADHD, combined with rising prescribing rates, highlights the need to understand how pharmacological treatment interacts with age-related cardiovascular vulnerability. The purpose of this research is to examine whether stimulant and non-stimulant medications contribute to heightened cardiovascular risk in a population already predisposed to conditions such as hypertension and arrhythmias. The study is bounded by its focus on men aged 35 to 65 and on cardiovascular outcomes associated with prescribed ADHD medication. It does not investigate psychological or social outcomes, nor does it assess women or younger adults. These boundaries ensure a clear and targeted examination of a clinically important and underexplored issue.</w:t>
      </w:r>
    </w:p>
    <w:p w14:paraId="59163FC0" w14:textId="77777777" w:rsidR="003D247F" w:rsidRPr="00ED08B9" w:rsidRDefault="003D247F" w:rsidP="003D247F">
      <w:pPr>
        <w:spacing w:before="100" w:beforeAutospacing="1" w:after="100" w:afterAutospacing="1" w:line="360" w:lineRule="auto"/>
        <w:jc w:val="both"/>
        <w:rPr>
          <w:rFonts w:ascii="Arial" w:hAnsi="Arial" w:cs="Arial"/>
          <w:b/>
          <w:bCs/>
          <w:sz w:val="24"/>
          <w:szCs w:val="24"/>
          <w:lang w:eastAsia="en-GB"/>
        </w:rPr>
      </w:pPr>
      <w:r w:rsidRPr="00ED08B9">
        <w:rPr>
          <w:rFonts w:ascii="Arial" w:hAnsi="Arial" w:cs="Arial"/>
          <w:b/>
          <w:bCs/>
          <w:sz w:val="24"/>
          <w:szCs w:val="24"/>
          <w:lang w:eastAsia="en-GB"/>
        </w:rPr>
        <w:t xml:space="preserve">1.4 Research Question </w:t>
      </w:r>
    </w:p>
    <w:p w14:paraId="45989CF7" w14:textId="77777777" w:rsidR="003D247F" w:rsidRPr="00ED08B9" w:rsidRDefault="003D247F" w:rsidP="003D247F">
      <w:pPr>
        <w:spacing w:before="100" w:beforeAutospacing="1" w:after="100" w:afterAutospacing="1" w:line="360" w:lineRule="auto"/>
        <w:jc w:val="both"/>
        <w:rPr>
          <w:rFonts w:ascii="Arial" w:hAnsi="Arial" w:cs="Arial"/>
          <w:sz w:val="24"/>
          <w:szCs w:val="24"/>
          <w:lang w:eastAsia="en-GB"/>
        </w:rPr>
      </w:pPr>
      <w:r w:rsidRPr="00ED08B9">
        <w:rPr>
          <w:rFonts w:ascii="Arial" w:hAnsi="Arial" w:cs="Arial"/>
          <w:sz w:val="24"/>
          <w:szCs w:val="24"/>
          <w:lang w:eastAsia="en-GB"/>
        </w:rPr>
        <w:t>To what extent is the use of prescribed ADHD medication associated with increased cardiovascular risk in middle-aged men, and how do individual risk factors, patterns of medication use and underlying health conditions shape the likelihood of cardiovascular events in this population?</w:t>
      </w:r>
    </w:p>
    <w:p w14:paraId="0ACA7F02" w14:textId="77777777" w:rsidR="003D247F" w:rsidRPr="00ED08B9" w:rsidRDefault="003D247F" w:rsidP="003D247F">
      <w:pPr>
        <w:spacing w:before="100" w:beforeAutospacing="1" w:after="100" w:afterAutospacing="1" w:line="360" w:lineRule="auto"/>
        <w:jc w:val="both"/>
        <w:rPr>
          <w:rFonts w:ascii="Arial" w:hAnsi="Arial" w:cs="Arial"/>
          <w:b/>
          <w:bCs/>
          <w:sz w:val="24"/>
          <w:szCs w:val="24"/>
          <w:lang w:eastAsia="en-GB"/>
        </w:rPr>
      </w:pPr>
      <w:r w:rsidRPr="00ED08B9">
        <w:rPr>
          <w:rFonts w:ascii="Arial" w:hAnsi="Arial" w:cs="Arial"/>
          <w:b/>
          <w:bCs/>
          <w:sz w:val="24"/>
          <w:szCs w:val="24"/>
          <w:lang w:eastAsia="en-GB"/>
        </w:rPr>
        <w:t xml:space="preserve">1.5 Research Aim </w:t>
      </w:r>
    </w:p>
    <w:p w14:paraId="157729F3" w14:textId="77777777" w:rsidR="003D247F" w:rsidRPr="00ED08B9" w:rsidRDefault="003D247F" w:rsidP="003D247F">
      <w:pPr>
        <w:spacing w:before="100" w:beforeAutospacing="1" w:after="100" w:afterAutospacing="1" w:line="360" w:lineRule="auto"/>
        <w:jc w:val="both"/>
        <w:rPr>
          <w:rFonts w:ascii="Arial" w:hAnsi="Arial" w:cs="Arial"/>
          <w:sz w:val="24"/>
          <w:szCs w:val="24"/>
          <w:lang w:eastAsia="en-GB"/>
        </w:rPr>
      </w:pPr>
      <w:r w:rsidRPr="00ED08B9">
        <w:rPr>
          <w:rFonts w:ascii="Arial" w:hAnsi="Arial" w:cs="Arial"/>
          <w:sz w:val="24"/>
          <w:szCs w:val="24"/>
          <w:lang w:eastAsia="en-GB"/>
        </w:rPr>
        <w:t>To examine whether prescribed ADHD medication contributes to increased cardiovascular risk in middle-aged men and to identify factors shaping this association.</w:t>
      </w:r>
    </w:p>
    <w:p w14:paraId="179107ED" w14:textId="77777777" w:rsidR="003D247F" w:rsidRPr="00ED08B9" w:rsidRDefault="003D247F" w:rsidP="003D247F">
      <w:pPr>
        <w:spacing w:before="100" w:beforeAutospacing="1" w:after="100" w:afterAutospacing="1" w:line="360" w:lineRule="auto"/>
        <w:jc w:val="both"/>
        <w:rPr>
          <w:rFonts w:ascii="Arial" w:hAnsi="Arial" w:cs="Arial"/>
          <w:b/>
          <w:bCs/>
          <w:sz w:val="24"/>
          <w:szCs w:val="24"/>
          <w:lang w:eastAsia="en-GB"/>
        </w:rPr>
      </w:pPr>
      <w:r w:rsidRPr="00ED08B9">
        <w:rPr>
          <w:rFonts w:ascii="Arial" w:hAnsi="Arial" w:cs="Arial"/>
          <w:b/>
          <w:bCs/>
          <w:sz w:val="24"/>
          <w:szCs w:val="24"/>
          <w:lang w:eastAsia="en-GB"/>
        </w:rPr>
        <w:t>1.6 Research Objectives</w:t>
      </w:r>
    </w:p>
    <w:p w14:paraId="31E9CEDD" w14:textId="77777777" w:rsidR="003D247F" w:rsidRPr="00ED08B9" w:rsidRDefault="003D247F" w:rsidP="003D247F">
      <w:pPr>
        <w:pStyle w:val="ListParagraph"/>
        <w:numPr>
          <w:ilvl w:val="0"/>
          <w:numId w:val="37"/>
        </w:numPr>
        <w:spacing w:before="100" w:beforeAutospacing="1" w:after="100" w:afterAutospacing="1" w:line="360" w:lineRule="auto"/>
        <w:contextualSpacing w:val="0"/>
        <w:jc w:val="both"/>
        <w:rPr>
          <w:rFonts w:ascii="Arial" w:hAnsi="Arial" w:cs="Arial"/>
          <w:sz w:val="24"/>
          <w:szCs w:val="24"/>
          <w:lang w:eastAsia="en-GB"/>
        </w:rPr>
      </w:pPr>
      <w:r w:rsidRPr="00ED08B9">
        <w:rPr>
          <w:rFonts w:ascii="Arial" w:hAnsi="Arial" w:cs="Arial"/>
          <w:sz w:val="24"/>
          <w:szCs w:val="24"/>
          <w:lang w:eastAsia="en-GB"/>
        </w:rPr>
        <w:t>To identify whether ADHD medication use is associated with cardiovascular events in middle-aged men</w:t>
      </w:r>
    </w:p>
    <w:p w14:paraId="71B1BDDD" w14:textId="77777777" w:rsidR="003D247F" w:rsidRPr="00ED08B9" w:rsidRDefault="003D247F" w:rsidP="003D247F">
      <w:pPr>
        <w:pStyle w:val="ListParagraph"/>
        <w:numPr>
          <w:ilvl w:val="0"/>
          <w:numId w:val="37"/>
        </w:numPr>
        <w:spacing w:before="100" w:beforeAutospacing="1" w:after="100" w:afterAutospacing="1" w:line="360" w:lineRule="auto"/>
        <w:contextualSpacing w:val="0"/>
        <w:jc w:val="both"/>
        <w:rPr>
          <w:rFonts w:ascii="Arial" w:hAnsi="Arial" w:cs="Arial"/>
          <w:sz w:val="24"/>
          <w:szCs w:val="24"/>
          <w:lang w:eastAsia="en-GB"/>
        </w:rPr>
      </w:pPr>
      <w:r w:rsidRPr="00ED08B9">
        <w:rPr>
          <w:rFonts w:ascii="Arial" w:hAnsi="Arial" w:cs="Arial"/>
          <w:sz w:val="24"/>
          <w:szCs w:val="24"/>
          <w:lang w:eastAsia="en-GB"/>
        </w:rPr>
        <w:t>To examine how individual risk factors and patterns of medication use influence this relationship, and</w:t>
      </w:r>
    </w:p>
    <w:p w14:paraId="4ACDAF5C" w14:textId="77777777" w:rsidR="003D247F" w:rsidRPr="00ED08B9" w:rsidRDefault="003D247F" w:rsidP="003D247F">
      <w:pPr>
        <w:pStyle w:val="ListParagraph"/>
        <w:numPr>
          <w:ilvl w:val="0"/>
          <w:numId w:val="37"/>
        </w:numPr>
        <w:spacing w:before="100" w:beforeAutospacing="1" w:after="100" w:afterAutospacing="1" w:line="360" w:lineRule="auto"/>
        <w:contextualSpacing w:val="0"/>
        <w:jc w:val="both"/>
        <w:rPr>
          <w:rFonts w:ascii="Arial" w:hAnsi="Arial" w:cs="Arial"/>
          <w:sz w:val="24"/>
          <w:szCs w:val="24"/>
          <w:lang w:eastAsia="en-GB"/>
        </w:rPr>
      </w:pPr>
      <w:r w:rsidRPr="00ED08B9">
        <w:rPr>
          <w:rFonts w:ascii="Arial" w:hAnsi="Arial" w:cs="Arial"/>
          <w:sz w:val="24"/>
          <w:szCs w:val="24"/>
          <w:lang w:eastAsia="en-GB"/>
        </w:rPr>
        <w:t>To assess the extent to which current clinical practices align with recommended cardiovascular monitoring guidelines.</w:t>
      </w:r>
    </w:p>
    <w:p w14:paraId="4FCD41CD" w14:textId="77777777" w:rsidR="003D247F" w:rsidRPr="00ED08B9" w:rsidRDefault="003D247F" w:rsidP="003D247F">
      <w:pPr>
        <w:spacing w:before="100" w:beforeAutospacing="1" w:after="100" w:afterAutospacing="1" w:line="360" w:lineRule="auto"/>
        <w:jc w:val="both"/>
        <w:rPr>
          <w:rFonts w:ascii="Arial" w:hAnsi="Arial" w:cs="Arial"/>
          <w:b/>
          <w:bCs/>
          <w:sz w:val="24"/>
          <w:szCs w:val="24"/>
          <w:lang w:eastAsia="en-GB"/>
        </w:rPr>
      </w:pPr>
      <w:r w:rsidRPr="00ED08B9">
        <w:rPr>
          <w:rFonts w:ascii="Arial" w:hAnsi="Arial" w:cs="Arial"/>
          <w:b/>
          <w:bCs/>
          <w:sz w:val="24"/>
          <w:szCs w:val="24"/>
          <w:lang w:eastAsia="en-GB"/>
        </w:rPr>
        <w:t>1.7 Chapter Summary</w:t>
      </w:r>
    </w:p>
    <w:p w14:paraId="10622619"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chapter introduced the context for examining the relationship between ADHD medication use and cardiovascular risk in middle-aged men. It outlined the persistence of ADHD across the lifespan, the rise in adult diagnoses and prescribing trends, and the established cardiovascular vulnerability of this demographic. The chapter also highlighted inconsistencies between clinical guidelines and routine practice, identified gaps in existing research and set out the rationale for focusing on a population that remains under-examined yet increasingly represented in treatment pathways.</w:t>
      </w:r>
    </w:p>
    <w:p w14:paraId="205C51A5"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br w:type="page"/>
      </w:r>
    </w:p>
    <w:p w14:paraId="10B4E223" w14:textId="77777777" w:rsidR="003D247F" w:rsidRPr="00ED08B9" w:rsidRDefault="003D247F" w:rsidP="003D247F">
      <w:pPr>
        <w:spacing w:before="100" w:beforeAutospacing="1" w:after="100" w:afterAutospacing="1" w:line="360" w:lineRule="auto"/>
        <w:jc w:val="center"/>
        <w:rPr>
          <w:rFonts w:ascii="Arial" w:hAnsi="Arial" w:cs="Arial"/>
          <w:b/>
          <w:bCs/>
          <w:sz w:val="24"/>
          <w:szCs w:val="24"/>
        </w:rPr>
      </w:pPr>
      <w:r w:rsidRPr="00ED08B9">
        <w:rPr>
          <w:rFonts w:ascii="Arial" w:hAnsi="Arial" w:cs="Arial"/>
          <w:b/>
          <w:bCs/>
          <w:sz w:val="24"/>
          <w:szCs w:val="24"/>
        </w:rPr>
        <w:t>CHAPTER 2: LITERATURE REVIEW</w:t>
      </w:r>
    </w:p>
    <w:p w14:paraId="06541F3A"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2.1 Introduction to ADHD Medication</w:t>
      </w:r>
    </w:p>
    <w:p w14:paraId="643EA49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ADHD is widely managed through pharmacological interventions, particularly in adults where symptom persistence continues to affect occupational, social and psychological functioning. Pharmacotherapy remains central to clinical management, with stimulant and non-stimulant medications forming the cornerstone of treatment strategies. As outlined in Chapter 1, increasing diagnosis rates among adults, particularly middle-aged men, have led to a parallel rise in medication use, raising important questions about long-term safety.</w:t>
      </w:r>
    </w:p>
    <w:p w14:paraId="523E5C93"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Central nervous system stimulants are the most commonly prescribed class of ADHD medication. These include methylphenidate and amphetamine-based formulations, which act primarily through increasing synaptic concentrations of dopamine and noradrenaline in the brain. This mechanism enhances attention, executive functioning and impulse control (Berridge &amp; Arnsten, 2015; Zhou et al., 2024; Raji et al., 2025). Evidence consistently demonstrates their effectiveness in reducing core ADHD symptoms across age groups, including adults (Ostinelli et al., 2025; Włodarczyk et al., 2026).</w:t>
      </w:r>
    </w:p>
    <w:p w14:paraId="3D72540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Non-stimulant medications, such as atomoxetine, guanfacine and clonidine, offer alternatives for individuals who do not tolerate stimulants or present with contraindications. Atomoxetine, a selective noradrenaline reuptake inhibitor, is particularly relevant in adult populations and has shown moderate efficacy, although generally lower than stimulants (Reed et al., 2016; Hu, Pan &amp; Li, 2023).</w:t>
      </w:r>
    </w:p>
    <w:p w14:paraId="660FA96D"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Despite therapeutic benefits, these medications are associated with a range of side effects (Table 6). Common adverse effects include insomnia, reduced appetite, dry mouth and gastrointestinal discomfort. Of particular concern are cardiovascular effects, including increases in heart rate and blood pressure, which may have clinical significance in populations already at risk of cardiovascular disease (Akasaki &amp; Ohishi, 2020; Calvi et al., 2021).</w:t>
      </w:r>
    </w:p>
    <w:p w14:paraId="01E39C9C"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Table 6: Central Nervous System Stimulants and Common Side Effects</w:t>
      </w:r>
    </w:p>
    <w:tbl>
      <w:tblPr>
        <w:tblStyle w:val="TableGrid"/>
        <w:tblW w:w="8926" w:type="dxa"/>
        <w:tblLook w:val="04A0" w:firstRow="1" w:lastRow="0" w:firstColumn="1" w:lastColumn="0" w:noHBand="0" w:noVBand="1"/>
      </w:tblPr>
      <w:tblGrid>
        <w:gridCol w:w="1342"/>
        <w:gridCol w:w="2044"/>
        <w:gridCol w:w="1724"/>
        <w:gridCol w:w="1270"/>
        <w:gridCol w:w="2546"/>
      </w:tblGrid>
      <w:tr w:rsidR="003D247F" w:rsidRPr="00ED08B9" w14:paraId="7E318644" w14:textId="77777777" w:rsidTr="00CD232E">
        <w:trPr>
          <w:trHeight w:val="348"/>
        </w:trPr>
        <w:tc>
          <w:tcPr>
            <w:tcW w:w="1343" w:type="dxa"/>
            <w:vAlign w:val="center"/>
          </w:tcPr>
          <w:p w14:paraId="13FBB044"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b/>
                <w:bCs/>
                <w:sz w:val="24"/>
                <w:szCs w:val="24"/>
              </w:rPr>
              <w:t>Drug Class</w:t>
            </w:r>
          </w:p>
        </w:tc>
        <w:tc>
          <w:tcPr>
            <w:tcW w:w="2019" w:type="dxa"/>
            <w:vAlign w:val="center"/>
          </w:tcPr>
          <w:p w14:paraId="39A5DEE6"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b/>
                <w:bCs/>
                <w:sz w:val="24"/>
                <w:szCs w:val="24"/>
              </w:rPr>
              <w:t>Examples</w:t>
            </w:r>
          </w:p>
        </w:tc>
        <w:tc>
          <w:tcPr>
            <w:tcW w:w="1695" w:type="dxa"/>
            <w:vAlign w:val="center"/>
          </w:tcPr>
          <w:p w14:paraId="2B64DEE5"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b/>
                <w:bCs/>
                <w:sz w:val="24"/>
                <w:szCs w:val="24"/>
              </w:rPr>
              <w:t>Mechanism of Action</w:t>
            </w:r>
          </w:p>
        </w:tc>
        <w:tc>
          <w:tcPr>
            <w:tcW w:w="1248" w:type="dxa"/>
            <w:vAlign w:val="center"/>
          </w:tcPr>
          <w:p w14:paraId="57C7B9A7"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b/>
                <w:bCs/>
                <w:sz w:val="24"/>
                <w:szCs w:val="24"/>
              </w:rPr>
              <w:t>Common Side Effects</w:t>
            </w:r>
          </w:p>
        </w:tc>
        <w:tc>
          <w:tcPr>
            <w:tcW w:w="2621" w:type="dxa"/>
            <w:vAlign w:val="center"/>
          </w:tcPr>
          <w:p w14:paraId="242A19EE"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b/>
                <w:bCs/>
                <w:sz w:val="24"/>
                <w:szCs w:val="24"/>
              </w:rPr>
              <w:t>Cardiovascular Effects</w:t>
            </w:r>
          </w:p>
        </w:tc>
      </w:tr>
      <w:tr w:rsidR="003D247F" w:rsidRPr="00ED08B9" w14:paraId="2F5BB5BF" w14:textId="77777777" w:rsidTr="00CD232E">
        <w:trPr>
          <w:trHeight w:val="348"/>
        </w:trPr>
        <w:tc>
          <w:tcPr>
            <w:tcW w:w="1343" w:type="dxa"/>
            <w:vAlign w:val="center"/>
          </w:tcPr>
          <w:p w14:paraId="4CF8D17E"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Stimulants</w:t>
            </w:r>
          </w:p>
        </w:tc>
        <w:tc>
          <w:tcPr>
            <w:tcW w:w="2019" w:type="dxa"/>
            <w:vAlign w:val="center"/>
          </w:tcPr>
          <w:p w14:paraId="0089B31B"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Methylphenidate, Amphetamines</w:t>
            </w:r>
          </w:p>
        </w:tc>
        <w:tc>
          <w:tcPr>
            <w:tcW w:w="1695" w:type="dxa"/>
            <w:vAlign w:val="center"/>
          </w:tcPr>
          <w:p w14:paraId="3DA8CE9A"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Increase dopamine and noradrenaline activity</w:t>
            </w:r>
          </w:p>
        </w:tc>
        <w:tc>
          <w:tcPr>
            <w:tcW w:w="1248" w:type="dxa"/>
            <w:vAlign w:val="center"/>
          </w:tcPr>
          <w:p w14:paraId="100AC1D7"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Insomnia, appetite loss, anxiety</w:t>
            </w:r>
          </w:p>
        </w:tc>
        <w:tc>
          <w:tcPr>
            <w:tcW w:w="2621" w:type="dxa"/>
            <w:vAlign w:val="center"/>
          </w:tcPr>
          <w:p w14:paraId="07BB1686"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Increased heart rate, elevated blood pressure</w:t>
            </w:r>
          </w:p>
        </w:tc>
      </w:tr>
      <w:tr w:rsidR="003D247F" w:rsidRPr="00ED08B9" w14:paraId="6B6A20BB" w14:textId="77777777" w:rsidTr="00CD232E">
        <w:trPr>
          <w:trHeight w:val="363"/>
        </w:trPr>
        <w:tc>
          <w:tcPr>
            <w:tcW w:w="1343" w:type="dxa"/>
            <w:vAlign w:val="center"/>
          </w:tcPr>
          <w:p w14:paraId="6C583A86"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Non-stimulants</w:t>
            </w:r>
          </w:p>
        </w:tc>
        <w:tc>
          <w:tcPr>
            <w:tcW w:w="2019" w:type="dxa"/>
            <w:vAlign w:val="center"/>
          </w:tcPr>
          <w:p w14:paraId="0FCA143A"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Atomoxetine, Guanfacine</w:t>
            </w:r>
          </w:p>
        </w:tc>
        <w:tc>
          <w:tcPr>
            <w:tcW w:w="1695" w:type="dxa"/>
            <w:vAlign w:val="center"/>
          </w:tcPr>
          <w:p w14:paraId="5676BE20"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Noradrenaline reuptake inhibition or receptor modulation</w:t>
            </w:r>
          </w:p>
        </w:tc>
        <w:tc>
          <w:tcPr>
            <w:tcW w:w="1248" w:type="dxa"/>
            <w:vAlign w:val="center"/>
          </w:tcPr>
          <w:p w14:paraId="2468AF4A"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Fatigue, dizziness, dry mouth</w:t>
            </w:r>
          </w:p>
        </w:tc>
        <w:tc>
          <w:tcPr>
            <w:tcW w:w="2621" w:type="dxa"/>
            <w:vAlign w:val="center"/>
          </w:tcPr>
          <w:p w14:paraId="5F195F4E" w14:textId="77777777" w:rsidR="003D247F" w:rsidRPr="00ED08B9" w:rsidRDefault="003D247F" w:rsidP="00CD232E">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Mild increases in heart rate and blood pressure</w:t>
            </w:r>
          </w:p>
        </w:tc>
      </w:tr>
    </w:tbl>
    <w:p w14:paraId="61768744" w14:textId="77777777" w:rsidR="003D247F" w:rsidRPr="00ED08B9" w:rsidRDefault="003D247F" w:rsidP="003D247F">
      <w:pPr>
        <w:spacing w:before="100" w:beforeAutospacing="1" w:after="100" w:afterAutospacing="1" w:line="360" w:lineRule="auto"/>
        <w:jc w:val="both"/>
        <w:rPr>
          <w:rFonts w:ascii="Arial" w:hAnsi="Arial" w:cs="Arial"/>
          <w:sz w:val="24"/>
          <w:szCs w:val="24"/>
        </w:rPr>
      </w:pPr>
    </w:p>
    <w:p w14:paraId="1B3013B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Lifestyle factors play a critical role in shaping both ADHD symptom expression and treatment outcomes. Smoking, for example, is more prevalent among individuals with ADHD, with studies suggesting rates up to twice that of the general population (Guydish et al., 2016). Nicotine may temporarily enhance attention, which can reinforce smoking behaviour, yet it significantly increases cardiovascular risk. Alcohol consumption, sedentary lifestyle patterns and poor dietary habits are also more common in this population, contributing to a cumulative risk profile (Del-Ponte et al., 2019).</w:t>
      </w:r>
    </w:p>
    <w:p w14:paraId="1E724A4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dissertation recognises that medication effects cannot be examined in isolation. Instead, cardiovascular outcomes must be understood within a broader behavioural and lifestyle context, particularly in middle-aged men where risk factors often cluster.</w:t>
      </w:r>
    </w:p>
    <w:p w14:paraId="219828A3"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2.2 Cardiovascular Concerns and Late Diagnosis</w:t>
      </w:r>
    </w:p>
    <w:p w14:paraId="655BBA7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cardiovascular safety of ADHD medication has been the subject of extensive investigation, with particular attention to stimulant medications. These drugs exert sympathomimetic effects, leading to increased catecholamine activity, which in turn elevates heart rate and blood pressure. While these changes are often modest, their cumulative impact over time remains a concern (Torres-Acosta et al., 2020; Zhang et al., 2024; Farhat et al., 2025).</w:t>
      </w:r>
    </w:p>
    <w:p w14:paraId="0B0CA153"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 xml:space="preserve">Meta-analyses indicate that stimulant medications are associated with small but statistically significant increases in systolic blood pressure (approximately 2–4 mmHg) and heart rate (around 3–6 beats per minute) (Hennissen et al., 2017). In healthy younger populations, these changes are rarely clinically significant. However, their implications differ in middle-aged adults who may already have underlying cardiovascular conditions or risk factors.  </w:t>
      </w:r>
    </w:p>
    <w:p w14:paraId="7E95B4EE"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Late diagnosis introduces an additional layer of complexity. Individuals diagnosed in middle age often have a longer history of unmanaged symptoms, which may contribute to adverse health behaviours such as smoking, poor diet and low physical activity. These behaviours are well-established contributors to cardiovascular disease (Hamed et al., 2015; Björk et al., 2023; Gostoli et al., 2024). Initiation of stimulant medication in this context may interact with pre-existing vulnerabilities, potentially amplifying cardiovascular risk.</w:t>
      </w:r>
    </w:p>
    <w:p w14:paraId="504B0F1D"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Large observational studies provide mixed findings. Some studies report no significant increase in serious cardiovascular events such as myocardial infarction or stroke among adult users of ADHD medication (Zito &amp; Burcu, 2017; Tadrous et al., 2021; Zhang et al., 2022). In contrast, more recent research suggests a modest increase in risk, particularly with long-term use and higher cumulative doses (Fairman et al., 2018; Hammerness et al., 2015; Sinha et al., 2026). These inconsistencies highlight the need for population-specific analysis, particularly in under-researched groups such as middle-aged men.</w:t>
      </w:r>
    </w:p>
    <w:p w14:paraId="6A8FA0B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Clinical guidelines reflect this uncertainty. The National Institute for Health and Care Excellence recommends careful cardiovascular assessment before initiating stimulant therapy, including measurement of blood pressure and heart rate, alongside a detailed medical history. Similarly, the American Heart Association advises caution in individuals with known cardiovascular disease or risk factors.</w:t>
      </w:r>
    </w:p>
    <w:p w14:paraId="2315ED91"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Despite these recommendations, evidence suggests that adherence in routine clinical practice is inconsistent, particularly in primary care settings. This gap between guideline and practice reinforces the need for further investigation into real-world prescribing and monitoring patterns.</w:t>
      </w:r>
    </w:p>
    <w:p w14:paraId="1B47A008"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2.3 Gap in Literature</w:t>
      </w:r>
    </w:p>
    <w:p w14:paraId="25D309E8"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 review of existing research shows that important gaps remain in understanding the cardiovascular risks associated with ADHD medication in adult men, particularly those in middle age. Although clinical guidelines outline screening and monitoring requirements, the evidence base that informs these recommendations is uneven and often centred on children or mixed adult populations. This dissertation argues that the absence of focused research on adult men limits the ability of clinicians to make informed decisions about long</w:t>
      </w:r>
      <w:r w:rsidRPr="00ED08B9">
        <w:rPr>
          <w:rFonts w:ascii="Arial" w:hAnsi="Arial" w:cs="Arial"/>
          <w:sz w:val="24"/>
          <w:szCs w:val="24"/>
        </w:rPr>
        <w:noBreakHyphen/>
        <w:t>term treatment, especially for individuals who may already carry elevated cardiovascular risk.</w:t>
      </w:r>
    </w:p>
    <w:p w14:paraId="2C2FC932"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2.3.1 Screening and Monitoring Practices</w:t>
      </w:r>
    </w:p>
    <w:p w14:paraId="40465AAE"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Clinical guidelines identify cardiovascular screening as an essential component of ADHD medication management. Recommendations from national and international bodies advise clinicians to assess personal and family history of cardiac disease, measure blood pressure and heart rate, and consider an electrocardiogram for individuals with known risk factors (NICE, 2018). These recommendations are grounded in concerns about the sympathomimetic effects of stimulant medication and the noradrenergic effects of atomoxetine.</w:t>
      </w:r>
    </w:p>
    <w:p w14:paraId="6611A50B"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Research shows that implementation of these recommendations is inconsistent. A recent study found that adults receiving ADHD medication often do not receive the recommended cardiovascular checks during follow</w:t>
      </w:r>
      <w:r w:rsidRPr="00ED08B9">
        <w:rPr>
          <w:rFonts w:ascii="Arial" w:hAnsi="Arial" w:cs="Arial"/>
          <w:sz w:val="24"/>
          <w:szCs w:val="24"/>
        </w:rPr>
        <w:noBreakHyphen/>
        <w:t>up appointments, despite clear guidance (Sinha et al., 2016). This inconsistency is concerning for middle</w:t>
      </w:r>
      <w:r w:rsidRPr="00ED08B9">
        <w:rPr>
          <w:rFonts w:ascii="Arial" w:hAnsi="Arial" w:cs="Arial"/>
          <w:sz w:val="24"/>
          <w:szCs w:val="24"/>
        </w:rPr>
        <w:noBreakHyphen/>
        <w:t>aged men, who are more likely to present with undiagnosed hypertension or early signs of cardiovascular disease.</w:t>
      </w:r>
    </w:p>
    <w:p w14:paraId="4DF57D0C"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International guidance also varies. European recommendations emphasise risk stratification and ongoing monitoring, while American guidance places greater weight on pre</w:t>
      </w:r>
      <w:r w:rsidRPr="00ED08B9">
        <w:rPr>
          <w:rFonts w:ascii="Arial" w:hAnsi="Arial" w:cs="Arial"/>
          <w:sz w:val="24"/>
          <w:szCs w:val="24"/>
        </w:rPr>
        <w:noBreakHyphen/>
        <w:t>treatment screening and identification of structural cardiac abnormalities (Eom &amp; Kim, 2023). These differences contribute to variation in clinical practice and create uncertainty for clinicians working with adult men who may require long</w:t>
      </w:r>
      <w:r w:rsidRPr="00ED08B9">
        <w:rPr>
          <w:rFonts w:ascii="Arial" w:hAnsi="Arial" w:cs="Arial"/>
          <w:sz w:val="24"/>
          <w:szCs w:val="24"/>
        </w:rPr>
        <w:noBreakHyphen/>
        <w:t>term medication. The absence of a unified approach is particularly problematic for middle</w:t>
      </w:r>
      <w:r w:rsidRPr="00ED08B9">
        <w:rPr>
          <w:rFonts w:ascii="Arial" w:hAnsi="Arial" w:cs="Arial"/>
          <w:sz w:val="24"/>
          <w:szCs w:val="24"/>
        </w:rPr>
        <w:noBreakHyphen/>
        <w:t>aged men, who often experience age</w:t>
      </w:r>
      <w:r w:rsidRPr="00ED08B9">
        <w:rPr>
          <w:rFonts w:ascii="Arial" w:hAnsi="Arial" w:cs="Arial"/>
          <w:sz w:val="24"/>
          <w:szCs w:val="24"/>
        </w:rPr>
        <w:noBreakHyphen/>
        <w:t>related increases in blood pressure and other cardiovascular risk factors.</w:t>
      </w:r>
    </w:p>
    <w:p w14:paraId="5DCB1E55"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2.3.2 Duration and Dosage of Medication</w:t>
      </w:r>
    </w:p>
    <w:p w14:paraId="54578F13"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Duration and dosage represent another area where the evidence base is limited. Many adults continue ADHD medication for extended periods, sometimes spanning decades. Research suggests that stimulant medication can produce small but measurable increases in blood pressure and heart rate, although the clinical significance of these changes is still contested. A large meta</w:t>
      </w:r>
      <w:r w:rsidRPr="00ED08B9">
        <w:rPr>
          <w:rFonts w:ascii="Arial" w:hAnsi="Arial" w:cs="Arial"/>
          <w:sz w:val="24"/>
          <w:szCs w:val="24"/>
        </w:rPr>
        <w:noBreakHyphen/>
        <w:t>analysis reported that stimulant and non</w:t>
      </w:r>
      <w:r w:rsidRPr="00ED08B9">
        <w:rPr>
          <w:rFonts w:ascii="Arial" w:hAnsi="Arial" w:cs="Arial"/>
          <w:sz w:val="24"/>
          <w:szCs w:val="24"/>
        </w:rPr>
        <w:noBreakHyphen/>
        <w:t>stimulant medications were associated with modest increases in cardiovascular parameters, yet the long</w:t>
      </w:r>
      <w:r w:rsidRPr="00ED08B9">
        <w:rPr>
          <w:rFonts w:ascii="Arial" w:hAnsi="Arial" w:cs="Arial"/>
          <w:sz w:val="24"/>
          <w:szCs w:val="24"/>
        </w:rPr>
        <w:noBreakHyphen/>
        <w:t>term implications of these changes are not fully understood (Hennissen et al., 2017; Liang et al., 2018).</w:t>
      </w:r>
    </w:p>
    <w:p w14:paraId="3E18B0D5"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Another study found no significant association between ADHD medication and major cardiovascular events in the general adult population but noted that evidence for individuals with pre</w:t>
      </w:r>
      <w:r w:rsidRPr="00ED08B9">
        <w:rPr>
          <w:rFonts w:ascii="Arial" w:hAnsi="Arial" w:cs="Arial"/>
          <w:sz w:val="24"/>
          <w:szCs w:val="24"/>
        </w:rPr>
        <w:noBreakHyphen/>
        <w:t>existing cardiovascular disease was insufficient (Li et al., 2022). These findings highlight the need for research that focuses specifically on middle</w:t>
      </w:r>
      <w:r w:rsidRPr="00ED08B9">
        <w:rPr>
          <w:rFonts w:ascii="Arial" w:hAnsi="Arial" w:cs="Arial"/>
          <w:sz w:val="24"/>
          <w:szCs w:val="24"/>
        </w:rPr>
        <w:noBreakHyphen/>
        <w:t>aged men, who may be more vulnerable to cumulative cardiovascular strain.</w:t>
      </w:r>
    </w:p>
    <w:p w14:paraId="5444A88E"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Long</w:t>
      </w:r>
      <w:r w:rsidRPr="00ED08B9">
        <w:rPr>
          <w:rFonts w:ascii="Arial" w:hAnsi="Arial" w:cs="Arial"/>
          <w:sz w:val="24"/>
          <w:szCs w:val="24"/>
        </w:rPr>
        <w:noBreakHyphen/>
        <w:t>term studies are particularly scarce. Many clinical trials exclude individuals with comorbid conditions, which limits the applicability of findings to real</w:t>
      </w:r>
      <w:r w:rsidRPr="00ED08B9">
        <w:rPr>
          <w:rFonts w:ascii="Arial" w:hAnsi="Arial" w:cs="Arial"/>
          <w:sz w:val="24"/>
          <w:szCs w:val="24"/>
        </w:rPr>
        <w:noBreakHyphen/>
        <w:t>world populations. Middle</w:t>
      </w:r>
      <w:r w:rsidRPr="00ED08B9">
        <w:rPr>
          <w:rFonts w:ascii="Arial" w:hAnsi="Arial" w:cs="Arial"/>
          <w:sz w:val="24"/>
          <w:szCs w:val="24"/>
        </w:rPr>
        <w:noBreakHyphen/>
        <w:t>aged men frequently present with multiple risk factors, including hypertension, elevated cholesterol, and increased body mass index. The absence of long</w:t>
      </w:r>
      <w:r w:rsidRPr="00ED08B9">
        <w:rPr>
          <w:rFonts w:ascii="Arial" w:hAnsi="Arial" w:cs="Arial"/>
          <w:sz w:val="24"/>
          <w:szCs w:val="24"/>
        </w:rPr>
        <w:noBreakHyphen/>
        <w:t>term, population</w:t>
      </w:r>
      <w:r w:rsidRPr="00ED08B9">
        <w:rPr>
          <w:rFonts w:ascii="Arial" w:hAnsi="Arial" w:cs="Arial"/>
          <w:sz w:val="24"/>
          <w:szCs w:val="24"/>
        </w:rPr>
        <w:noBreakHyphen/>
        <w:t>specific research creates uncertainty about the safety profile of ADHD medication for this group. This dissertation argues that the lack of longitudinal evidence represents a significant gap in the literature, especially given the growing number of adults receiving ADHD diagnoses and treatment.</w:t>
      </w:r>
    </w:p>
    <w:p w14:paraId="69032CDF"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2.3.3 Demographic and Lifestyle Factors</w:t>
      </w:r>
    </w:p>
    <w:p w14:paraId="39DD465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Demographic and lifestyle factors play a significant role in shaping cardiovascular outcomes. Middle</w:t>
      </w:r>
      <w:r w:rsidRPr="00ED08B9">
        <w:rPr>
          <w:rFonts w:ascii="Arial" w:hAnsi="Arial" w:cs="Arial"/>
          <w:sz w:val="24"/>
          <w:szCs w:val="24"/>
        </w:rPr>
        <w:noBreakHyphen/>
        <w:t>aged men have higher rates of smoking, alcohol consumption, and physical inactivity compared with women of the same age group (Gebel et al., 2015; Ding et al., 2020; Thomas et al., 2020). These behaviours contribute to elevated cardiovascular risk and may interact with the physiological effects of ADHD medication.</w:t>
      </w:r>
    </w:p>
    <w:p w14:paraId="78DF936C"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Research shows that individuals with ADHD are more likely to engage in risk</w:t>
      </w:r>
      <w:r w:rsidRPr="00ED08B9">
        <w:rPr>
          <w:rFonts w:ascii="Arial" w:hAnsi="Arial" w:cs="Arial"/>
          <w:sz w:val="24"/>
          <w:szCs w:val="24"/>
        </w:rPr>
        <w:noBreakHyphen/>
        <w:t>taking behaviours and may find it difficult to keep consistent health</w:t>
      </w:r>
      <w:r w:rsidRPr="00ED08B9">
        <w:rPr>
          <w:rFonts w:ascii="Arial" w:hAnsi="Arial" w:cs="Arial"/>
          <w:sz w:val="24"/>
          <w:szCs w:val="24"/>
        </w:rPr>
        <w:noBreakHyphen/>
        <w:t>promoting routines (Schoenfelder &amp; Kollins, 2016; Pollak et al., 2019; Shoham et al., 2021). These behavioural patterns can compound existing cardiovascular risk and may influence how medication affects long</w:t>
      </w:r>
      <w:r w:rsidRPr="00ED08B9">
        <w:rPr>
          <w:rFonts w:ascii="Arial" w:hAnsi="Arial" w:cs="Arial"/>
          <w:sz w:val="24"/>
          <w:szCs w:val="24"/>
        </w:rPr>
        <w:noBreakHyphen/>
        <w:t>term health.</w:t>
      </w:r>
    </w:p>
    <w:p w14:paraId="34279C0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Socioeconomic factors further complicate the picture. Access to healthcare, continuity of care, and adherence to monitoring recommendations vary across populations. Middle</w:t>
      </w:r>
      <w:r w:rsidRPr="00ED08B9">
        <w:rPr>
          <w:rFonts w:ascii="Arial" w:hAnsi="Arial" w:cs="Arial"/>
          <w:sz w:val="24"/>
          <w:szCs w:val="24"/>
        </w:rPr>
        <w:noBreakHyphen/>
        <w:t>aged men are less likely to attend routine health checks and may delay seeking medical advice, which increases the likelihood that cardiovascular risk factors remain undetected. Studies show that men often underutilise preventive health services, which may reduce opportunities for early identification of medication</w:t>
      </w:r>
      <w:r w:rsidRPr="00ED08B9">
        <w:rPr>
          <w:rFonts w:ascii="Arial" w:hAnsi="Arial" w:cs="Arial"/>
          <w:sz w:val="24"/>
          <w:szCs w:val="24"/>
        </w:rPr>
        <w:noBreakHyphen/>
        <w:t>related cardiovascular changes (Gallegos et al., 2024; Garg et al., 2025; Pilotta, 2025). This dissertation argues that these demographic and behavioural factors are insufficiently integrated into existing research on ADHD medication safety.</w:t>
      </w:r>
    </w:p>
    <w:p w14:paraId="6E9AAECF"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2.3.4 Sex</w:t>
      </w:r>
      <w:r w:rsidRPr="00ED08B9">
        <w:rPr>
          <w:rFonts w:ascii="Arial" w:hAnsi="Arial" w:cs="Arial"/>
          <w:b/>
          <w:bCs/>
          <w:sz w:val="24"/>
          <w:szCs w:val="24"/>
        </w:rPr>
        <w:noBreakHyphen/>
        <w:t>Specific Cardiovascular Physiology</w:t>
      </w:r>
    </w:p>
    <w:p w14:paraId="3F31205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Sex</w:t>
      </w:r>
      <w:r w:rsidRPr="00ED08B9">
        <w:rPr>
          <w:rFonts w:ascii="Arial" w:hAnsi="Arial" w:cs="Arial"/>
          <w:sz w:val="24"/>
          <w:szCs w:val="24"/>
        </w:rPr>
        <w:noBreakHyphen/>
        <w:t>specific cardiovascular physiology represents another important gap. Research shows that men and women differ in autonomic regulation, hormonal influences, and patterns of cardiovascular disease. Middle</w:t>
      </w:r>
      <w:r w:rsidRPr="00ED08B9">
        <w:rPr>
          <w:rFonts w:ascii="Arial" w:hAnsi="Arial" w:cs="Arial"/>
          <w:sz w:val="24"/>
          <w:szCs w:val="24"/>
        </w:rPr>
        <w:noBreakHyphen/>
        <w:t>aged men experience a steeper rise in hypertension and coronary artery disease compared with women of the same age (Peng &amp; Yu, 2021). These differences suggest that cardiovascular responses to stimulant and non</w:t>
      </w:r>
      <w:r w:rsidRPr="00ED08B9">
        <w:rPr>
          <w:rFonts w:ascii="Arial" w:hAnsi="Arial" w:cs="Arial"/>
          <w:sz w:val="24"/>
          <w:szCs w:val="24"/>
        </w:rPr>
        <w:noBreakHyphen/>
        <w:t>stimulant medication may not be uniform across sexes.</w:t>
      </w:r>
    </w:p>
    <w:p w14:paraId="5AB2FEED"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Despite this, most studies do not report sex</w:t>
      </w:r>
      <w:r w:rsidRPr="00ED08B9">
        <w:rPr>
          <w:rFonts w:ascii="Arial" w:hAnsi="Arial" w:cs="Arial"/>
          <w:sz w:val="24"/>
          <w:szCs w:val="24"/>
        </w:rPr>
        <w:noBreakHyphen/>
        <w:t>disaggregated findings, and very few focus specifically on adult men. This limits the ability to understand how medication interacts with male</w:t>
      </w:r>
      <w:r w:rsidRPr="00ED08B9">
        <w:rPr>
          <w:rFonts w:ascii="Arial" w:hAnsi="Arial" w:cs="Arial"/>
          <w:sz w:val="24"/>
          <w:szCs w:val="24"/>
        </w:rPr>
        <w:noBreakHyphen/>
        <w:t>specific cardiovascular risk trajectories. The absence of sex</w:t>
      </w:r>
      <w:r w:rsidRPr="00ED08B9">
        <w:rPr>
          <w:rFonts w:ascii="Arial" w:hAnsi="Arial" w:cs="Arial"/>
          <w:sz w:val="24"/>
          <w:szCs w:val="24"/>
        </w:rPr>
        <w:noBreakHyphen/>
        <w:t>specific analysis is a significant gap, given the biological and behavioural differences that shape cardiovascular outcomes.</w:t>
      </w:r>
    </w:p>
    <w:p w14:paraId="1FEAA8F6"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2.3.5 Interaction with Pre</w:t>
      </w:r>
      <w:r w:rsidRPr="00ED08B9">
        <w:rPr>
          <w:rFonts w:ascii="Arial" w:hAnsi="Arial" w:cs="Arial"/>
          <w:b/>
          <w:bCs/>
          <w:sz w:val="24"/>
          <w:szCs w:val="24"/>
        </w:rPr>
        <w:noBreakHyphen/>
        <w:t>Existing Cardiovascular Conditions</w:t>
      </w:r>
    </w:p>
    <w:p w14:paraId="08609733"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interaction between ADHD medication and pre</w:t>
      </w:r>
      <w:r w:rsidRPr="00ED08B9">
        <w:rPr>
          <w:rFonts w:ascii="Arial" w:hAnsi="Arial" w:cs="Arial"/>
          <w:sz w:val="24"/>
          <w:szCs w:val="24"/>
        </w:rPr>
        <w:noBreakHyphen/>
        <w:t>existing cardiovascular conditions is another area where evidence is limited. Middle</w:t>
      </w:r>
      <w:r w:rsidRPr="00ED08B9">
        <w:rPr>
          <w:rFonts w:ascii="Arial" w:hAnsi="Arial" w:cs="Arial"/>
          <w:sz w:val="24"/>
          <w:szCs w:val="24"/>
        </w:rPr>
        <w:noBreakHyphen/>
        <w:t>aged men are more likely to present with early signs of atherosclerosis, left ventricular hypertrophy, or metabolic syndrome. Research indicates that stimulant medication can increase sympathetic nervous system activity, which may exacerbate underlying cardiovascular conditions (Akasak &amp; Ohishi, 2020; Topriceanu et al., 2022; de Lima et al., 2026). Despite this, many studies exclude individuals with cardiovascular disease, which restricts the ability to assess risk in the very population that may be most vulnerable.</w:t>
      </w:r>
    </w:p>
    <w:p w14:paraId="7C952AFB"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dissertation argues that the current evidence base does not adequately address the combined effects of age, sex, lifestyle, and comorbidity on cardiovascular outcomes for men receiving ADHD medication. Existing studies often focus on pharmacological effects in isolation, without considering the broader behavioural and environmental context. A more integrated approach is needed to understand how these factors interact over time.</w:t>
      </w:r>
    </w:p>
    <w:p w14:paraId="019EECE1"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2.3.6 Summary of Gaps</w:t>
      </w:r>
    </w:p>
    <w:p w14:paraId="48F2136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literature reveals several important gaps. Screening and monitoring practices are inconsistently implemented, and international guidance lacks coherence. Evidence on long</w:t>
      </w:r>
      <w:r w:rsidRPr="00ED08B9">
        <w:rPr>
          <w:rFonts w:ascii="Arial" w:hAnsi="Arial" w:cs="Arial"/>
          <w:sz w:val="24"/>
          <w:szCs w:val="24"/>
        </w:rPr>
        <w:noBreakHyphen/>
        <w:t>term safety is limited, particularly for middle</w:t>
      </w:r>
      <w:r w:rsidRPr="00ED08B9">
        <w:rPr>
          <w:rFonts w:ascii="Arial" w:hAnsi="Arial" w:cs="Arial"/>
          <w:sz w:val="24"/>
          <w:szCs w:val="24"/>
        </w:rPr>
        <w:noBreakHyphen/>
        <w:t>aged men with existing cardiovascular risk factors. Demographic and lifestyle influences are often overlooked, and sex</w:t>
      </w:r>
      <w:r w:rsidRPr="00ED08B9">
        <w:rPr>
          <w:rFonts w:ascii="Arial" w:hAnsi="Arial" w:cs="Arial"/>
          <w:sz w:val="24"/>
          <w:szCs w:val="24"/>
        </w:rPr>
        <w:noBreakHyphen/>
        <w:t>specific analyses are rare. This dissertation addresses these gaps by examining how cardiovascular risk should be understood in relation to ADHD medication use in adult men, with particular attention to the complex interplay between pharmacological, physiological, and behavioural factors.</w:t>
      </w:r>
    </w:p>
    <w:p w14:paraId="09E05CCD"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2.4 Co-morbidities and Clinical Significance</w:t>
      </w:r>
    </w:p>
    <w:p w14:paraId="7F54CA6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Co-morbid conditions are highly prevalent among adults with ADHD and represent a critical factor in understanding cardiovascular risk. Common co-morbidities include anxiety, depression, obesity and metabolic disorders such as diabetes (Sun et al., 2019).</w:t>
      </w:r>
    </w:p>
    <w:p w14:paraId="72E50E5B"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Obesity and diabetes are particularly relevant due to their strong association with cardiovascular disease. Stimulant medications may influence appetite and weight, which can have both beneficial and adverse effects depending on the individual context (Landau &amp; Pinhas-Hamiel, 2019; Dehnavi et al., 2023; Ryszkiewicz et al., 2025). Anxiety and depression may further complicate treatment, influencing medication adherence and lifestyle behaviours (Weissenberger et al., 2017; Khan &amp; Aslani, 2019).</w:t>
      </w:r>
    </w:p>
    <w:p w14:paraId="5864A388"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Mental health co-morbidities also increase the likelihood of substance use, including smoking and alcohol consumption, which contribute to cardiovascular risk (Luo &amp; Levin, 2017; French et al., 2024). These overlapping factors create a complex clinical picture in which medication effects cannot be easily isolated.</w:t>
      </w:r>
    </w:p>
    <w:p w14:paraId="27E27698"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significance of this study lies in its focus on middle-aged men, a group that remains underrepresented in ADHD research. Most existing studies focus on children, adolescents or younger adults, limiting their relevance to older populations. Middle-aged men often present with accumulated risk factors, including long-term lifestyle behaviours and undiagnosed or untreated ADHD symptoms.</w:t>
      </w:r>
    </w:p>
    <w:p w14:paraId="35EC650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dissertation addresses an important gap by examining how ADHD medication interacts with cardiovascular risk in this specific demographic. The findings have implications for clinical decision-making, particularly in relation to risk assessment, monitoring and personalised treatment strategies.</w:t>
      </w:r>
    </w:p>
    <w:p w14:paraId="48EDC0F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From a public health perspective, the increasing prevalence of adult ADHD diagnoses and rising prescription rates highlight the need for evidence that reflects real-world populations. Improved understanding of cardiovascular risk can inform guidelines, enhance patient safety and support more effective management strategies.</w:t>
      </w:r>
    </w:p>
    <w:p w14:paraId="6411DA97"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CHAPTER 3: METHODOLOGY</w:t>
      </w:r>
    </w:p>
    <w:p w14:paraId="1BFBB889"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3.1 Introduction to Chapter</w:t>
      </w:r>
    </w:p>
    <w:p w14:paraId="22E325E8"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chapter sets out the methodological approach used to answer the review question on whether prescribed ADHD medication is associated with cardiovascular risk in middle-aged men, a population identified in Chapter 1 as clinically important but insufficiently examined. The chapter explains the rationale for adopting a systematic literature review, describes the search strategy and the use of the PICO framework, and outlines the search terms, keywords and databases used to retrieve relevant studies. It also presents the inclusion and exclusion criteria, summarises the search results using the PRISMA approach, and discusses the ethical issues relevant to evidence synthesis. The chapter concludes with a summary of what was achieved and a signpost to the next chapter.</w:t>
      </w:r>
    </w:p>
    <w:p w14:paraId="7F31E95A"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3.2 Systematic Literature Review (SLR)</w:t>
      </w:r>
    </w:p>
    <w:p w14:paraId="38D22B1D"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 systematic literature review is a structured and transparent method for identifying, selecting, appraising and synthesising evidence relevant to a clearly defined research question. Its defining strength lies in the use of explicit methods that reduce selection bias and improve reproducibility when compared with a conventional narrative review (Chandler et al., 2019; Page et al., 2021). In this dissertation, an SLR was selected because the question concerns clinical risk, prescribing practice and long-term outcomes across a scattered body of evidence rather than a single intervention trial.</w:t>
      </w:r>
    </w:p>
    <w:p w14:paraId="71CCD677"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review followed the recognised stages of systematic evidence synthesis. These stages included defining the review question in advance, developing a protocol-led search strategy, selecting relevant databases, applying predetermined eligibility criteria, screening titles, abstracts and full texts, appraising methodological quality, and synthesising the included studies in a structured manner (Chandler et al., 2019). PRISMA 2020 was used to strengthen reporting transparency, particularly in relation to study identification, screening and reasons for exclusion (Page et al., 2021). The purpose of the SLR was therefore not simply to gather studies, but to produce a critical and methodical account of what is currently known, what remains uncertain, and where the main gaps in evidence lie for middle-aged men prescribed ADHD medication.</w:t>
      </w:r>
    </w:p>
    <w:p w14:paraId="5A4C98C0"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3.3 Search Strategy</w:t>
      </w:r>
    </w:p>
    <w:p w14:paraId="478CF1F7"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 search strategy is a planned and systematic process used to locate relevant evidence efficiently and consistently across selected information sources. In systematic reviewing, the search strategy is central because it shapes the breadth, precision and reliability of the evidence base ultimately included in the review (Chandler et al., 2019). For this study, the search strategy was designed around the PICO framework, which is widely used in health research to define the Population, Intervention, Comparator and Outcome of a focused question (Amir-Behghadami and Janati, 2020; Cochrane Library, 2024).</w:t>
      </w:r>
    </w:p>
    <w:p w14:paraId="052B600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review question was framed as follows: among middle-aged men with ADHD, is the use of prescribed ADHD medication associated with increased cardiovascular events when compared with men not using such medication or receiving non-pharmacological management? This framing supported a focused and clinically relevant search. Searches were conducted across the selected databases for studies published between January 2010 and March 2025. This time limit was chosen to capture contemporary prescribing patterns, newer adult ADHD evidence, and more recent cardiovascular safety data. Boolean operators, truncation where appropriate, database subject headings and manual reference checking were used to increase both sensitivity and precision.</w:t>
      </w:r>
    </w:p>
    <w:p w14:paraId="6C0EE6F2"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3.4 Search Terms</w:t>
      </w:r>
    </w:p>
    <w:p w14:paraId="12BEB0ED"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Search terms are the words and phrases entered into databases to identify literature relevant to a specific review question. In systematic research, their importance lies in ensuring that the search retrieves as many relevant studies as possible without being overwhelmed by irrelevant material. A weak set of search terms can distort the evidence base from the outset, whereas a well-constructed set improves comprehensiveness, transparency and reproducibility (Chandler et al., 2019; Page et al., 2021).</w:t>
      </w:r>
    </w:p>
    <w:p w14:paraId="389633DD"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use of synonyms was especially important in this review because terminology differs across clinical, epidemiological and pharmacological studies. ADHD may be described as “attention deficit hyperactivity disorder” or “adult ADHD”. Medication exposure may appear as “ADHD medication”, “psychostimulants”, “stimulants”, “methylphenidate”, “amphetamine”, “lisdexamfetamine” or “atomoxetine”. Cardiovascular outcomes may be indexed under broad terms such as “cardiovascular disease” or under specific endpoints such as “myocardial infarction”, “stroke”, “arrhythmia”, “hypertension” or “sudden cardiac death”. Failing to account for this variation risks missing important studies that use alternative clinical language.</w:t>
      </w:r>
    </w:p>
    <w:p w14:paraId="75506EDD"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PICO framework guided the development of the search terms because the review question focused on exposure and outcome in a specific adult population. Table 7 shows how the framework was operationalised for this dissertation.</w:t>
      </w:r>
    </w:p>
    <w:p w14:paraId="29B9FC5D"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Table 7: PICO Framework</w:t>
      </w:r>
    </w:p>
    <w:tbl>
      <w:tblPr>
        <w:tblStyle w:val="TableGrid1"/>
        <w:tblW w:w="0" w:type="auto"/>
        <w:tblLook w:val="04A0" w:firstRow="1" w:lastRow="0" w:firstColumn="1" w:lastColumn="0" w:noHBand="0" w:noVBand="1"/>
      </w:tblPr>
      <w:tblGrid>
        <w:gridCol w:w="3005"/>
        <w:gridCol w:w="3005"/>
        <w:gridCol w:w="3006"/>
      </w:tblGrid>
      <w:tr w:rsidR="003D247F" w:rsidRPr="00ED08B9" w14:paraId="429ABF36" w14:textId="77777777" w:rsidTr="00CD232E">
        <w:tc>
          <w:tcPr>
            <w:tcW w:w="3005" w:type="dxa"/>
            <w:vAlign w:val="center"/>
          </w:tcPr>
          <w:p w14:paraId="5F133ACC"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b/>
                <w:bCs/>
              </w:rPr>
              <w:t>PICO element</w:t>
            </w:r>
          </w:p>
        </w:tc>
        <w:tc>
          <w:tcPr>
            <w:tcW w:w="3005" w:type="dxa"/>
            <w:vAlign w:val="center"/>
          </w:tcPr>
          <w:p w14:paraId="7FC39B18"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b/>
                <w:bCs/>
              </w:rPr>
              <w:t>Description</w:t>
            </w:r>
          </w:p>
        </w:tc>
        <w:tc>
          <w:tcPr>
            <w:tcW w:w="3006" w:type="dxa"/>
            <w:vAlign w:val="center"/>
          </w:tcPr>
          <w:p w14:paraId="0E21D2A5"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b/>
                <w:bCs/>
              </w:rPr>
              <w:t>Application to this study</w:t>
            </w:r>
          </w:p>
        </w:tc>
      </w:tr>
      <w:tr w:rsidR="003D247F" w:rsidRPr="00ED08B9" w14:paraId="1CA7986E" w14:textId="77777777" w:rsidTr="00CD232E">
        <w:tc>
          <w:tcPr>
            <w:tcW w:w="3005" w:type="dxa"/>
            <w:vAlign w:val="center"/>
          </w:tcPr>
          <w:p w14:paraId="45A64818"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Population</w:t>
            </w:r>
          </w:p>
        </w:tc>
        <w:tc>
          <w:tcPr>
            <w:tcW w:w="3005" w:type="dxa"/>
            <w:vAlign w:val="center"/>
          </w:tcPr>
          <w:p w14:paraId="17289384"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Group under study</w:t>
            </w:r>
          </w:p>
        </w:tc>
        <w:tc>
          <w:tcPr>
            <w:tcW w:w="3006" w:type="dxa"/>
            <w:vAlign w:val="center"/>
          </w:tcPr>
          <w:p w14:paraId="0AAFFDC8"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Middle-aged men, typically aged 40 to 65, diagnosed with ADHD</w:t>
            </w:r>
          </w:p>
        </w:tc>
      </w:tr>
      <w:tr w:rsidR="003D247F" w:rsidRPr="00ED08B9" w14:paraId="7B0AC1B0" w14:textId="77777777" w:rsidTr="00CD232E">
        <w:tc>
          <w:tcPr>
            <w:tcW w:w="3005" w:type="dxa"/>
            <w:vAlign w:val="center"/>
          </w:tcPr>
          <w:p w14:paraId="648F8555"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Intervention</w:t>
            </w:r>
          </w:p>
        </w:tc>
        <w:tc>
          <w:tcPr>
            <w:tcW w:w="3005" w:type="dxa"/>
            <w:vAlign w:val="center"/>
          </w:tcPr>
          <w:p w14:paraId="70FAF1C1"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Treatment or exposure</w:t>
            </w:r>
          </w:p>
        </w:tc>
        <w:tc>
          <w:tcPr>
            <w:tcW w:w="3006" w:type="dxa"/>
            <w:vAlign w:val="center"/>
          </w:tcPr>
          <w:p w14:paraId="66197E2F"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Prescribed ADHD medication, including stimulants and non-stimulants</w:t>
            </w:r>
          </w:p>
        </w:tc>
      </w:tr>
      <w:tr w:rsidR="003D247F" w:rsidRPr="00ED08B9" w14:paraId="5C9A91B1" w14:textId="77777777" w:rsidTr="00CD232E">
        <w:tc>
          <w:tcPr>
            <w:tcW w:w="3005" w:type="dxa"/>
            <w:vAlign w:val="center"/>
          </w:tcPr>
          <w:p w14:paraId="66B57D5D"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Comparator</w:t>
            </w:r>
          </w:p>
        </w:tc>
        <w:tc>
          <w:tcPr>
            <w:tcW w:w="3005" w:type="dxa"/>
            <w:vAlign w:val="center"/>
          </w:tcPr>
          <w:p w14:paraId="5B973F83"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Comparison group</w:t>
            </w:r>
          </w:p>
        </w:tc>
        <w:tc>
          <w:tcPr>
            <w:tcW w:w="3006" w:type="dxa"/>
            <w:vAlign w:val="center"/>
          </w:tcPr>
          <w:p w14:paraId="546C5F8D"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Men with ADHD not prescribed medication, alternative treatment, or lower exposure categories</w:t>
            </w:r>
          </w:p>
        </w:tc>
      </w:tr>
      <w:tr w:rsidR="003D247F" w:rsidRPr="00ED08B9" w14:paraId="75CA146F" w14:textId="77777777" w:rsidTr="00CD232E">
        <w:tc>
          <w:tcPr>
            <w:tcW w:w="3005" w:type="dxa"/>
            <w:vAlign w:val="center"/>
          </w:tcPr>
          <w:p w14:paraId="30D41B9A"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Outcome</w:t>
            </w:r>
          </w:p>
        </w:tc>
        <w:tc>
          <w:tcPr>
            <w:tcW w:w="3005" w:type="dxa"/>
            <w:vAlign w:val="center"/>
          </w:tcPr>
          <w:p w14:paraId="5433B6CA"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Measurable effect</w:t>
            </w:r>
          </w:p>
        </w:tc>
        <w:tc>
          <w:tcPr>
            <w:tcW w:w="3006" w:type="dxa"/>
            <w:vAlign w:val="center"/>
          </w:tcPr>
          <w:p w14:paraId="5EF84709"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Cardiovascular events or markers, including myocardial infarction, stroke, arrhythmia, hypertension and other cardiac complications</w:t>
            </w:r>
          </w:p>
        </w:tc>
      </w:tr>
    </w:tbl>
    <w:p w14:paraId="647EE34D"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Using this framework, the search question was refined into searchable concepts rather than a single sentence. The Population concept centred on middle-aged adult men with ADHD. The Intervention concept focused on prescribed ADHD medicines. The Comparator concept was broader because many observational studies do not use a clearly labelled untreated control group; therefore, studies comparing exposed and unexposed participants, current and past users, or different exposure durations were all considered. The Outcome concept captured both major cardiovascular events and clinically relevant cardiovascular risk markers.</w:t>
      </w:r>
    </w:p>
    <w:p w14:paraId="72E3004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 xml:space="preserve">Searches were built in stages. First, synonyms within each PICO component were combined with the Boolean operator </w:t>
      </w:r>
      <w:r w:rsidRPr="00ED08B9">
        <w:rPr>
          <w:rFonts w:ascii="Arial" w:hAnsi="Arial" w:cs="Arial"/>
          <w:i/>
          <w:iCs/>
          <w:sz w:val="24"/>
          <w:szCs w:val="24"/>
        </w:rPr>
        <w:t>OR</w:t>
      </w:r>
      <w:r w:rsidRPr="00ED08B9">
        <w:rPr>
          <w:rFonts w:ascii="Arial" w:hAnsi="Arial" w:cs="Arial"/>
          <w:sz w:val="24"/>
          <w:szCs w:val="24"/>
        </w:rPr>
        <w:t xml:space="preserve">. This broadened retrieval within each concept. Second, the completed concept groups were combined with </w:t>
      </w:r>
      <w:r w:rsidRPr="00ED08B9">
        <w:rPr>
          <w:rFonts w:ascii="Arial" w:hAnsi="Arial" w:cs="Arial"/>
          <w:i/>
          <w:iCs/>
          <w:sz w:val="24"/>
          <w:szCs w:val="24"/>
        </w:rPr>
        <w:t>AND</w:t>
      </w:r>
      <w:r w:rsidRPr="00ED08B9">
        <w:rPr>
          <w:rFonts w:ascii="Arial" w:hAnsi="Arial" w:cs="Arial"/>
          <w:sz w:val="24"/>
          <w:szCs w:val="24"/>
        </w:rPr>
        <w:t xml:space="preserve"> so that retrieved records had to address all major elements of the review question. This is consistent with accepted systematic review practice in health evidence synthesis (Cochrane Library, 2024).</w:t>
      </w:r>
    </w:p>
    <w:p w14:paraId="098E6E93"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structure used across databases followed the logic presented in Table 8:</w:t>
      </w:r>
    </w:p>
    <w:p w14:paraId="3834BBAB"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Table 8: Search Strategy</w:t>
      </w:r>
    </w:p>
    <w:tbl>
      <w:tblPr>
        <w:tblStyle w:val="TableGrid1"/>
        <w:tblW w:w="0" w:type="auto"/>
        <w:tblLook w:val="04A0" w:firstRow="1" w:lastRow="0" w:firstColumn="1" w:lastColumn="0" w:noHBand="0" w:noVBand="1"/>
      </w:tblPr>
      <w:tblGrid>
        <w:gridCol w:w="4508"/>
        <w:gridCol w:w="4508"/>
      </w:tblGrid>
      <w:tr w:rsidR="003D247F" w:rsidRPr="00ED08B9" w14:paraId="49C49531" w14:textId="77777777" w:rsidTr="00CD232E">
        <w:tc>
          <w:tcPr>
            <w:tcW w:w="4508" w:type="dxa"/>
          </w:tcPr>
          <w:p w14:paraId="5A1066C9" w14:textId="77777777" w:rsidR="003D247F" w:rsidRPr="00ED08B9" w:rsidRDefault="003D247F" w:rsidP="00CD232E">
            <w:pPr>
              <w:spacing w:before="100" w:beforeAutospacing="1" w:after="100" w:afterAutospacing="1" w:line="360" w:lineRule="auto"/>
              <w:jc w:val="both"/>
              <w:rPr>
                <w:rFonts w:ascii="Arial" w:hAnsi="Arial" w:cs="Arial"/>
                <w:b/>
                <w:bCs/>
              </w:rPr>
            </w:pPr>
            <w:r w:rsidRPr="00ED08B9">
              <w:rPr>
                <w:rFonts w:ascii="Arial" w:hAnsi="Arial" w:cs="Arial"/>
                <w:b/>
                <w:bCs/>
              </w:rPr>
              <w:t>Search (PICO)</w:t>
            </w:r>
          </w:p>
        </w:tc>
        <w:tc>
          <w:tcPr>
            <w:tcW w:w="4508" w:type="dxa"/>
          </w:tcPr>
          <w:p w14:paraId="42441ACA" w14:textId="77777777" w:rsidR="003D247F" w:rsidRPr="00ED08B9" w:rsidRDefault="003D247F" w:rsidP="00CD232E">
            <w:pPr>
              <w:spacing w:before="100" w:beforeAutospacing="1" w:after="100" w:afterAutospacing="1" w:line="360" w:lineRule="auto"/>
              <w:jc w:val="both"/>
              <w:rPr>
                <w:rFonts w:ascii="Arial" w:hAnsi="Arial" w:cs="Arial"/>
                <w:b/>
                <w:bCs/>
              </w:rPr>
            </w:pPr>
            <w:r w:rsidRPr="00ED08B9">
              <w:rPr>
                <w:rFonts w:ascii="Arial" w:hAnsi="Arial" w:cs="Arial"/>
                <w:b/>
                <w:bCs/>
              </w:rPr>
              <w:t>Strategy</w:t>
            </w:r>
          </w:p>
        </w:tc>
      </w:tr>
      <w:tr w:rsidR="003D247F" w:rsidRPr="00ED08B9" w14:paraId="65403475" w14:textId="77777777" w:rsidTr="00CD232E">
        <w:tc>
          <w:tcPr>
            <w:tcW w:w="4508" w:type="dxa"/>
          </w:tcPr>
          <w:p w14:paraId="159C6287"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Search 1: Population</w:t>
            </w:r>
          </w:p>
        </w:tc>
        <w:tc>
          <w:tcPr>
            <w:tcW w:w="4508" w:type="dxa"/>
          </w:tcPr>
          <w:p w14:paraId="2B7C93D6"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(“ADHD” OR “attention deficit hyperactivity disorder” OR “adult ADHD”)</w:t>
            </w:r>
            <w:r w:rsidRPr="00ED08B9">
              <w:rPr>
                <w:rFonts w:ascii="Arial" w:hAnsi="Arial" w:cs="Arial"/>
              </w:rPr>
              <w:br/>
              <w:t>AND</w:t>
            </w:r>
            <w:r w:rsidRPr="00ED08B9">
              <w:rPr>
                <w:rFonts w:ascii="Arial" w:hAnsi="Arial" w:cs="Arial"/>
              </w:rPr>
              <w:br/>
              <w:t>(“middle-aged men” OR “adult males” OR “men aged 40-65” OR “men aged 40 to 65”)</w:t>
            </w:r>
          </w:p>
        </w:tc>
      </w:tr>
      <w:tr w:rsidR="003D247F" w:rsidRPr="00ED08B9" w14:paraId="6FEC4F12" w14:textId="77777777" w:rsidTr="00CD232E">
        <w:tc>
          <w:tcPr>
            <w:tcW w:w="4508" w:type="dxa"/>
          </w:tcPr>
          <w:p w14:paraId="6B2963CA"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Search 2: Intervention</w:t>
            </w:r>
          </w:p>
        </w:tc>
        <w:tc>
          <w:tcPr>
            <w:tcW w:w="4508" w:type="dxa"/>
          </w:tcPr>
          <w:p w14:paraId="2DE61CD1"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(“ADHD medication” OR psychostimulant* OR stimulant* OR methylphenidate OR amphetamine* OR lisdexamfetamine OR atomoxetine)</w:t>
            </w:r>
          </w:p>
        </w:tc>
      </w:tr>
      <w:tr w:rsidR="003D247F" w:rsidRPr="00ED08B9" w14:paraId="32597AA6" w14:textId="77777777" w:rsidTr="00CD232E">
        <w:tc>
          <w:tcPr>
            <w:tcW w:w="4508" w:type="dxa"/>
          </w:tcPr>
          <w:p w14:paraId="57A25AE0"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Search 3: Comparator</w:t>
            </w:r>
          </w:p>
        </w:tc>
        <w:tc>
          <w:tcPr>
            <w:tcW w:w="4508" w:type="dxa"/>
          </w:tcPr>
          <w:p w14:paraId="0A852E9A"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(untreated OR unmedicated OR “non-pharmacological treatment” OR “usual care” OR comparison)</w:t>
            </w:r>
          </w:p>
        </w:tc>
      </w:tr>
      <w:tr w:rsidR="003D247F" w:rsidRPr="00ED08B9" w14:paraId="31E57735" w14:textId="77777777" w:rsidTr="00CD232E">
        <w:tc>
          <w:tcPr>
            <w:tcW w:w="4508" w:type="dxa"/>
          </w:tcPr>
          <w:p w14:paraId="2DC30EB1"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Search 4: Outcome</w:t>
            </w:r>
          </w:p>
        </w:tc>
        <w:tc>
          <w:tcPr>
            <w:tcW w:w="4508" w:type="dxa"/>
          </w:tcPr>
          <w:p w14:paraId="2F1774B8"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(“cardiovascular event*” OR “cardiovascular disease” OR “heart disease” OR “myocardial infarction” OR stroke OR arrhythmia OR hypertension OR “cardiac complication*”)</w:t>
            </w:r>
          </w:p>
        </w:tc>
      </w:tr>
      <w:tr w:rsidR="003D247F" w:rsidRPr="00ED08B9" w14:paraId="41B7CD1C" w14:textId="77777777" w:rsidTr="00CD232E">
        <w:tc>
          <w:tcPr>
            <w:tcW w:w="4508" w:type="dxa"/>
          </w:tcPr>
          <w:p w14:paraId="4B1B0737"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Combined search example</w:t>
            </w:r>
          </w:p>
        </w:tc>
        <w:tc>
          <w:tcPr>
            <w:tcW w:w="4508" w:type="dxa"/>
          </w:tcPr>
          <w:p w14:paraId="66F0B673"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Search 1 AND Search 2 AND Search 4</w:t>
            </w:r>
          </w:p>
          <w:p w14:paraId="3B944214" w14:textId="77777777" w:rsidR="003D247F" w:rsidRPr="00ED08B9" w:rsidRDefault="003D247F" w:rsidP="00CD232E">
            <w:pPr>
              <w:spacing w:before="100" w:beforeAutospacing="1" w:after="100" w:afterAutospacing="1" w:line="360" w:lineRule="auto"/>
              <w:jc w:val="both"/>
              <w:rPr>
                <w:rFonts w:ascii="Arial" w:hAnsi="Arial" w:cs="Arial"/>
              </w:rPr>
            </w:pPr>
          </w:p>
        </w:tc>
      </w:tr>
    </w:tbl>
    <w:p w14:paraId="43448ED4"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In practice, the comparator terms were used more flexibly because many epidemiological database studies do not report comparator language in titles or abstracts. As a result, some database searches prioritised Population, Intervention and Outcome terms, with comparator decisions made during full-text screening. Subject headings such as MeSH in PubMed were also used where available, alongside free-text searching. Reference list checking of included studies and relevant reviews was carried out to identify any further articles that may not have been captured through database indexing alone.</w:t>
      </w:r>
    </w:p>
    <w:p w14:paraId="382824D2"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3.5 Key Words</w:t>
      </w:r>
    </w:p>
    <w:p w14:paraId="771962E7"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Keywords are the core terms that represent the main concepts of a study and guide efficient database searching. Their importance lies in improving the precision of retrieval and ensuring alignment between the research question and the literature identified. The main keywords used in this review were: ADHD, adult ADHD, ADHD medication, psychostimulants, methylphenidate, amphetamines, lisdexamfetamine, atomoxetine, cardiovascular events, myocardial infarction, stroke, arrhythmia, hypertension, middle-aged men, comorbidity, lifestyle factors and medication adherence.</w:t>
      </w:r>
    </w:p>
    <w:p w14:paraId="23F43739"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3.6 Databases</w:t>
      </w:r>
    </w:p>
    <w:p w14:paraId="6AF7508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literature search was conducted using major academic and biomedical databases to ensure broad and relevant coverage of evidence. Searching several databases is necessary in systematic review work because no single database indexes all journals, study designs or disciplines relevant to a health topic. Database coverage varies, and relying on one source alone increases the risk of missing eligible studies and introducing retrieval bias (Chandler et al., 2019; Booth et al., 2016).</w:t>
      </w:r>
    </w:p>
    <w:p w14:paraId="2CDA696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For this reason, the review searched PubMed, PsycINFO, Scopus, CINAHL, Cochrane Library and Web of Science. PubMed was included because of its strong biomedical and pharmacological coverage. PsycINFO was important for adult ADHD and psychiatric literature. Scopus and Web of Science provided broad multidisciplinary indexing and citation tracking. CINAHL contributed nursing and allied health literature, which is relevant to monitoring, adherence and service delivery. The Cochrane Library was searched for systematic reviews and controlled evidence relating to medication safety. In addition, NICE guidance was consulted to contextualise UK recommendations on baseline cardiovascular assessment and monitoring in adults prescribed ADHD medication, although guideline documents were not treated as primary outcome studies (NICE, 2018).</w:t>
      </w:r>
    </w:p>
    <w:p w14:paraId="520A33D0"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3.7 Inclusion/Exclusion Criteria</w:t>
      </w:r>
    </w:p>
    <w:p w14:paraId="6C729085"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Inclusion and exclusion criteria are the predetermined rules used to decide which studies are eligible for a review. They are essential because they maintain consistency, reduce arbitrary decision-making and ensure that the final body of evidence remains directly relevant to the review question (Chandler et al., 2019). In this dissertation, the criteria were designed to focus the review on adult male populations, prescribed ADHD medication, and measurable cardiovascular outcomes. Clear eligibility criteria also strengthened transparency during screening and allowed the search process to be reported in a way consistent with PRISMA 2020 (Page et al., 2021).</w:t>
      </w:r>
    </w:p>
    <w:p w14:paraId="021F35FB"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3.7.1 Inclusion Criteria</w:t>
      </w:r>
    </w:p>
    <w:p w14:paraId="026694C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Studies were included if they were peer-reviewed, published in English between January 2010 and March 2025, and examined adult men broadly within the 40 to 65 age range diagnosed with ADHD. Eligible studies assessed prescribed stimulant or non-stimulant ADHD medication and reported cardiovascular outcomes, cardiovascular events or clinically relevant cardiovascular markers. Quantitative studies, cohort studies, case-control studies, registry studies, database studies and clinical trials were eligible where they addressed the review question directly.</w:t>
      </w:r>
    </w:p>
    <w:p w14:paraId="34678CA3"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3.7.2 Exclusion Criteria</w:t>
      </w:r>
    </w:p>
    <w:p w14:paraId="038B25F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Studies were excluded if they focused mainly on children, adolescents, women or mixed populations where findings for middle-aged men could not be separated. Non-peer-reviewed sources, editorials, opinion pieces, conference abstracts without full data, and non-English studies were excluded. Articles were also excluded where ADHD medication exposure was unclear, cardiovascular outcomes were not reported, or the design was purely qualitative and therefore unable to address the review question on medication-associated cardiovascular risk.</w:t>
      </w:r>
    </w:p>
    <w:p w14:paraId="0C3C8EB6"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3.8 Search Results</w:t>
      </w:r>
    </w:p>
    <w:p w14:paraId="0A3B9A03"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search and study selection process was reported using the PRISMA 2020 framework, which provides an accepted standard for documenting how evidence is identified, screened and included in a systematic review (Page et al., 2021). The initial database search retrieved 1,132 records across PubMed, PsycINFO, Scopus, CINAHL, Cochrane Library and Web of Science. These results were exported and checked for duplication. After automatic and manual duplicate removal, 235 records were removed and 897 studies remained for title and abstract screening.</w:t>
      </w:r>
    </w:p>
    <w:p w14:paraId="2B9019E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During title and abstract screening, 713 records were excluded because they did not meet the review criteria. The most common reasons were that the study population was outside the target age range, the article did not focus on prescribed ADHD medication, the outcome was unrelated to cardiovascular risk, or the paper was not an empirical peer-reviewed study. This first screening stage was important in narrowing the search to studies with a realistic likelihood of addressing the review question.</w:t>
      </w:r>
    </w:p>
    <w:p w14:paraId="523F0205"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remaining 184 full-text articles were then assessed in detail against the inclusion and exclusion criteria. At full-text stage, 176 articles were excluded. The reasons included non-specific age groups, inability to isolate male adult data, absence of cardiovascular outcomes, non-comparable medication exposure, qualitative design, and insufficient methodological detail. This left 8 studies that met all criteria and were included in the final review.</w:t>
      </w:r>
    </w:p>
    <w:p w14:paraId="563D55C1"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These 8 studies formed the basis for the evidence synthesis (see Figure 5). Their inclusion reflected both topic relevance and methodological suitability. The use of structured screening, explicit eligibility criteria and duplicate removal reduced the risk of selection bias and improved the reliability of the final sample. Manual reference list checks were also undertaken after full-text review to ensure that no major eligible study had been missed through indexing limitations.</w:t>
      </w:r>
    </w:p>
    <w:p w14:paraId="0A0FA21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noProof/>
          <w:sz w:val="24"/>
          <w:szCs w:val="24"/>
        </w:rPr>
        <w:drawing>
          <wp:inline distT="0" distB="0" distL="0" distR="0" wp14:anchorId="56716D18" wp14:editId="5873196B">
            <wp:extent cx="4968671" cy="5662151"/>
            <wp:effectExtent l="0" t="0" r="3810" b="0"/>
            <wp:docPr id="1177770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770659" name=""/>
                    <pic:cNvPicPr/>
                  </pic:nvPicPr>
                  <pic:blipFill>
                    <a:blip r:embed="rId15"/>
                    <a:stretch>
                      <a:fillRect/>
                    </a:stretch>
                  </pic:blipFill>
                  <pic:spPr>
                    <a:xfrm>
                      <a:off x="0" y="0"/>
                      <a:ext cx="4968671" cy="5662151"/>
                    </a:xfrm>
                    <a:prstGeom prst="rect">
                      <a:avLst/>
                    </a:prstGeom>
                  </pic:spPr>
                </pic:pic>
              </a:graphicData>
            </a:graphic>
          </wp:inline>
        </w:drawing>
      </w:r>
    </w:p>
    <w:p w14:paraId="14C9D8B9"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b/>
          <w:bCs/>
          <w:sz w:val="24"/>
          <w:szCs w:val="24"/>
        </w:rPr>
        <w:t>Figure 5: PRISMA Flow Chart</w:t>
      </w:r>
    </w:p>
    <w:p w14:paraId="1E8BE390"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3.9 Ethical Considerations</w:t>
      </w:r>
    </w:p>
    <w:p w14:paraId="77A5C12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Research ethics refers to the principles and standards that protect integrity, transparency and responsible conduct in the production and use of knowledge. In a systematic literature review, ethical issues differ from those in primary research because no new participants are recruited and no identifiable personal data are collected directly. For that reason, a review of published studies will often not require NHS Research Ethics Committee approval, although local institutional requirements may still apply (UK Research and Innovation, 2026). The ethical responsibility in this dissertation therefore centred on conducting the review honestly, reporting methods transparently, representing source findings accurately, and using studies that had already undergone formal ethical and editorial scrutiny before publication. Care was also taken to use reputable peer-reviewed and guideline sources rather than unsupported material. Because this review did not process personal data, the central issues were research integrity, accurate synthesis and avoidance of misrepresentation rather than participant consent or direct data governance.</w:t>
      </w:r>
    </w:p>
    <w:p w14:paraId="2CF118EB"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3.10 Chapter Summary</w:t>
      </w:r>
    </w:p>
    <w:p w14:paraId="3855B821"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chapter has outlined the methodological framework used to conduct the systematic literature review. It explained why an SLR was appropriate, described how the search strategy was developed using the PICO framework, identified the keywords and databases used, and set out the inclusion and exclusion criteria that guided study selection. It also presented the PRISMA-based screening results and clarified the ethical considerations relevant to evidence synthesis rather than primary data collection. The next chapter presents the findings of the review, drawing together the evidence on ADHD medication, cardiovascular outcomes, monitoring practices, comorbidities and lifestyle-related risk in middle-aged men.</w:t>
      </w:r>
    </w:p>
    <w:p w14:paraId="4B858BC6"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CHAPTER 4: DATA EXTRACTION AND EVALUATION</w:t>
      </w:r>
    </w:p>
    <w:p w14:paraId="5D501733"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4.1 Introduction to Chapter</w:t>
      </w:r>
    </w:p>
    <w:p w14:paraId="6496EB6C"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chapter presents the processes used to extract and critically evaluate the evidence included in this systematic literature review. Following the methodology outlined in Chapter 3, the chapter explains how data were systematically retrieved from the eight selected studies and organised into a structured format to support comparison and synthesis. It then outlines the approach used to assess study quality through the application of recognised critical appraisal tools.</w:t>
      </w:r>
    </w:p>
    <w:p w14:paraId="0CD27DA8"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chapter evaluates both quantitative and qualitative evidence, reflecting the composition of the final dataset, which includes six quantitative studies and two qualitative studies. Particular attention is given to methodological rigour, sources of bias, and the extent to which findings can be applied to middle-aged men prescribed ADHD medication. The chapter concludes by examining the biological mechanisms through which stimulant medications may influence cardiovascular function, providing a foundation for interpreting the results in the next chapter.</w:t>
      </w:r>
    </w:p>
    <w:p w14:paraId="022B4D55"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4.2 Data Extraction</w:t>
      </w:r>
    </w:p>
    <w:p w14:paraId="52426B4D"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Data extraction is the structured process of identifying and recording relevant information from selected studies to enable systematic comparison and synthesis (Munn et al., 2014; Jonnalagadda et al., 2015; Shokraneh &amp; Adams, 2017). In this dissertation, a standardised data extraction form was developed to ensure consistency across all included studies.</w:t>
      </w:r>
    </w:p>
    <w:p w14:paraId="591B565E"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For each of the eight studies, key variables were extracted. These included study design, sample size, population characteristics, ADHD diagnostic criteria, type and duration of medication, cardiovascular outcomes, and main findings. Where available, additional variables such as comorbidities and lifestyle factors, including smoking and physical activity, were also recorded due to their established role in cardiovascular risk.</w:t>
      </w:r>
    </w:p>
    <w:p w14:paraId="08CD4C7D"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extraction process was conducted systematically, with each study reviewed in detail to ensure that all relevant data were captured accurately. The use of a structured approach reduced the risk of omission or inconsistency and enabled the development of a comparative framework that supported both descriptive and critical analysis of the evidence.</w:t>
      </w:r>
    </w:p>
    <w:p w14:paraId="46FBFFF2"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4.3 Brief Introduction to Critical Appraisal and Quality Assessment</w:t>
      </w:r>
    </w:p>
    <w:p w14:paraId="4C96CB05"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Critical appraisal refers to the systematic evaluation of research studies to assess their validity, reliability and relevance before incorporating their findings into a review (Patel et al., 2022; Tod et al., 2022; Shaheen et al., 2023). It is a central component of systematic reviews because it allows the researcher to judge the strength of evidence rather than treating all studies as equally credible.</w:t>
      </w:r>
    </w:p>
    <w:p w14:paraId="4FF74C11"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In this dissertation, critical appraisal was necessary due to the variation in study designs, sample sizes and methodological approaches across the eight included studies. Without this process, there would be a risk of drawing conclusions from evidence that may be biased or methodologically weak (Cromie et al., 2022; Stone et al., 2023; Cheungpasitporn et al., 2025).</w:t>
      </w:r>
    </w:p>
    <w:p w14:paraId="5D2E0C6E"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appraisal process also enhances transparency. It allows the reader to understand how evidence has been evaluated and why certain findings carry more weight in the final synthesis (Mandrik et al., 2021; Barker et al., 2023). This is particularly important in a topic such as ADHD medication and cardiovascular risk, where findings are not entirely consistent across studies.</w:t>
      </w:r>
    </w:p>
    <w:p w14:paraId="4A9FB326"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4.4 Critical Appraisal Tools</w:t>
      </w:r>
    </w:p>
    <w:p w14:paraId="6BA894D0"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Critical appraisal tools are structured frameworks designed to guide the evaluation of research quality. They provide systematic criteria for assessing methodological rigour, risk of bias and the applicability of findings to a given research question (CASP, 2018).</w:t>
      </w:r>
    </w:p>
    <w:p w14:paraId="3D61F1DD"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choice of appraisal tool depends on study design. In this dissertation, three tools were considered, but two were ultimately applied based on the final dataset. The CASP qualitative checklist was used to evaluate qualitative studies, while the NIH Quality Assessment Tool for Observational Cohort and Cross-Sectional Studies was used to assess quantitative research.</w:t>
      </w:r>
    </w:p>
    <w:p w14:paraId="71888053"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These tools were selected because they are widely recognised in health research and provide clear, structured criteria. The CASP tool supports evaluation of research aims, data collection, analysis and ethical considerations (Majid &amp; Vanstone, 2018; Long et al., 2020), while the NIH tool focuses on internal validity, confounding, and measurement accuracy (Ma et al., 2020; Luchini et al., 2021). Their combined use ensured that both qualitative and quantitative evidence were assessed appropriately and consistently.</w:t>
      </w:r>
    </w:p>
    <w:p w14:paraId="1CAFF694"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4.5 Evaluation of Qualitative Studies Using the CASP Tool</w:t>
      </w:r>
    </w:p>
    <w:p w14:paraId="25933A2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Two qualitative studies were included in this review and were appraised using the CASP qualitative checklist. This tool consists of ten questions that assess the clarity of research aims, appropriateness of methodology, recruitment strategy, data collection, analysis, ethical considerations and overall value of the research (CASP, 2018).</w:t>
      </w:r>
    </w:p>
    <w:p w14:paraId="1C2A87FE"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first study explored adult experiences of initiating ADHD medication and the factors influencing adherence. The second study synthesised qualitative evidence on how adults engage with ADHD medication treatment. Both studies were relevant in providing insight into behavioural and experiential factors that may influence cardiovascular risk indirectly, particularly through medication adherence and lifestyle behaviours.</w:t>
      </w:r>
    </w:p>
    <w:p w14:paraId="26AFD9FE"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 xml:space="preserve">The appraisal found that both studies demonstrated clear research aims and appropriate qualitative methodologies. Data collection methods, including interviews and thematic synthesis, were suitable for exploring subjective experiences. Ethical considerations were addressed, and findings were presented in a coherent and structured manner. </w:t>
      </w:r>
    </w:p>
    <w:p w14:paraId="434A9A0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However, some limitations were identified. Both studies lacked detailed reflexivity, limiting understanding of how researcher perspectives may have influenced interpretation. In addition, the reliance on self-reported experiences introduces the possibility of recall bias.</w:t>
      </w:r>
    </w:p>
    <w:p w14:paraId="2003AD3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Despite these limitations, both studies were judged to be of moderate to high quality. Their findings provide valuable context that complements the quantitative evidence, particularly in understanding patient behaviour and decision-making. Full appraisal details are presented in Appendix A.</w:t>
      </w:r>
    </w:p>
    <w:p w14:paraId="481943C4"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4.6 Evaluation of Quantitative Studies</w:t>
      </w:r>
    </w:p>
    <w:p w14:paraId="0C498ACD"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4.6.1 Overview of Included Studies</w:t>
      </w:r>
    </w:p>
    <w:p w14:paraId="7C5E90B8"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Six quantitative studies were included in this review. These comprised four cohort studies and two studies using large-scale observational or registry-based designs. The studies examined the relationship between ADHD medication use and cardiovascular outcomes in adult populations, with some specifically including middle-aged participants.</w:t>
      </w:r>
    </w:p>
    <w:p w14:paraId="52E2D02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overall aim across these studies was consistent: to determine whether exposure to ADHD medication is associated with an increased risk of cardiovascular events. Outcomes assessed included myocardial infarction, stroke, hypertension and broader cardiovascular disease.</w:t>
      </w:r>
    </w:p>
    <w:p w14:paraId="6258B5B2"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4.6.2 Methodological Appropriateness</w:t>
      </w:r>
    </w:p>
    <w:p w14:paraId="003F50B9"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use of observational study designs was entirely appropriate given the nature of the research question and the practical realities of studying cardiovascular outcomes in adults taking ADHD medication. Randomised controlled trials would, in theory, offer the strongest evidence, but in this context they are extremely difficult to conduct. Long</w:t>
      </w:r>
      <w:r w:rsidRPr="00ED08B9">
        <w:rPr>
          <w:rFonts w:ascii="Arial" w:hAnsi="Arial" w:cs="Arial"/>
          <w:sz w:val="24"/>
          <w:szCs w:val="24"/>
        </w:rPr>
        <w:noBreakHyphen/>
        <w:t>term cardiovascular events unfold over many years, and it would be neither ethical nor feasible to randomise large groups of adults to stimulant medication or placebo for such extended periods (Cortese &amp; Fava, 2024). In addition, withdrawing effective treatment from individuals with clinically significant ADHD symptoms would raise clear ethical concerns. For these reasons, researchers have relied on observational approaches to generate evidence that is both meaningful and ethically sound (Gorup, 2020).</w:t>
      </w:r>
    </w:p>
    <w:p w14:paraId="180881A1"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Cohort studies have been particularly valuable because they allow researchers to examine temporal relationships between medication exposure and subsequent cardiovascular events (Coupland et al., 2016). By following individuals over time, these studies can identify patterns that cross</w:t>
      </w:r>
      <w:r w:rsidRPr="00ED08B9">
        <w:rPr>
          <w:rFonts w:ascii="Arial" w:hAnsi="Arial" w:cs="Arial"/>
          <w:sz w:val="24"/>
          <w:szCs w:val="24"/>
        </w:rPr>
        <w:noBreakHyphen/>
        <w:t>sectional designs would miss. Many of the most influential studies in this field draw on large</w:t>
      </w:r>
      <w:r w:rsidRPr="00ED08B9">
        <w:rPr>
          <w:rFonts w:ascii="Arial" w:hAnsi="Arial" w:cs="Arial"/>
          <w:sz w:val="24"/>
          <w:szCs w:val="24"/>
        </w:rPr>
        <w:noBreakHyphen/>
        <w:t>scale datasets, including electronic health records, insurance claims, and national registries. These sources provide access to diverse populations and long follow</w:t>
      </w:r>
      <w:r w:rsidRPr="00ED08B9">
        <w:rPr>
          <w:rFonts w:ascii="Arial" w:hAnsi="Arial" w:cs="Arial"/>
          <w:sz w:val="24"/>
          <w:szCs w:val="24"/>
        </w:rPr>
        <w:noBreakHyphen/>
        <w:t>up periods, which increases statistical power and improves the generalisability of findings.</w:t>
      </w:r>
    </w:p>
    <w:p w14:paraId="1961CEB7"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Another strength of cohort designs is their ability to adjust for a wide range of confounding variables, such as age, sex, comorbidities, and baseline cardiovascular risk (Wang &amp; Kattan, 2020). Although residual confounding can never be eliminated entirely, the use of large, well</w:t>
      </w:r>
      <w:r w:rsidRPr="00ED08B9">
        <w:rPr>
          <w:rFonts w:ascii="Arial" w:hAnsi="Arial" w:cs="Arial"/>
          <w:sz w:val="24"/>
          <w:szCs w:val="24"/>
        </w:rPr>
        <w:noBreakHyphen/>
        <w:t>characterised datasets allows for more robust modelling than would be possible in smaller clinical samples. These features make observational cohort studies the most practical and informative approach for investigating long</w:t>
      </w:r>
      <w:r w:rsidRPr="00ED08B9">
        <w:rPr>
          <w:rFonts w:ascii="Arial" w:hAnsi="Arial" w:cs="Arial"/>
          <w:sz w:val="24"/>
          <w:szCs w:val="24"/>
        </w:rPr>
        <w:noBreakHyphen/>
        <w:t>term cardiovascular outcomes associated with ADHD medication.</w:t>
      </w:r>
    </w:p>
    <w:p w14:paraId="5844006D"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4.6.3 Critical Appraisal Findings</w:t>
      </w:r>
    </w:p>
    <w:p w14:paraId="43D13F9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NIH Quality Assessment Tool was used to evaluate all six quantitative studies, and the appraisal highlighted a range of important strengths across the evidence base. One of the clearest strengths was the use of large sample sizes. Most studies drew on national datasets, insurance claims, electronic health records, or population</w:t>
      </w:r>
      <w:r w:rsidRPr="00ED08B9">
        <w:rPr>
          <w:rFonts w:ascii="Arial" w:hAnsi="Arial" w:cs="Arial"/>
          <w:sz w:val="24"/>
          <w:szCs w:val="24"/>
        </w:rPr>
        <w:noBreakHyphen/>
        <w:t>level registries, which created substantial statistical power and enabled researchers to detect even small differences in cardiovascular outcomes. These extensive datasets also enhanced the generalisability of findings, as the samples tended to reflect real</w:t>
      </w:r>
      <w:r w:rsidRPr="00ED08B9">
        <w:rPr>
          <w:rFonts w:ascii="Arial" w:hAnsi="Arial" w:cs="Arial"/>
          <w:sz w:val="24"/>
          <w:szCs w:val="24"/>
        </w:rPr>
        <w:noBreakHyphen/>
        <w:t>world populations rather than narrow clinical cohorts.</w:t>
      </w:r>
    </w:p>
    <w:p w14:paraId="4D81D97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Another strength related to the reliability of the data sources. Prescription records, hospital admissions information, and validated diagnostic codes were commonly used to identify medication exposure and cardiovascular events. These sources are widely regarded as robust because they rely on routinely collected clinical information rather than participant recall (Helgeland et al., 2016). In most studies, medication exposure was clearly defined, often through detailed prescription histories that distinguished between current, recent, and past use. Cardiovascular outcomes were identified through validated clinical criteria, such as ICD</w:t>
      </w:r>
      <w:r w:rsidRPr="00ED08B9">
        <w:rPr>
          <w:rFonts w:ascii="Arial" w:hAnsi="Arial" w:cs="Arial"/>
          <w:sz w:val="24"/>
          <w:szCs w:val="24"/>
        </w:rPr>
        <w:noBreakHyphen/>
        <w:t>coded diagnoses of myocardial infarction, stroke, arrhythmia, or hypertension. This consistency strengthened internal validity and reduced the likelihood of misclassification.</w:t>
      </w:r>
    </w:p>
    <w:p w14:paraId="0980F1B1"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Several studies also demonstrated strong methodological awareness through adjustment for key confounding variables. Age, sex, baseline cardiovascular risk, and pre</w:t>
      </w:r>
      <w:r w:rsidRPr="00ED08B9">
        <w:rPr>
          <w:rFonts w:ascii="Arial" w:hAnsi="Arial" w:cs="Arial"/>
          <w:sz w:val="24"/>
          <w:szCs w:val="24"/>
        </w:rPr>
        <w:noBreakHyphen/>
        <w:t>existing health conditions were frequently included in statistical models. In some cases, researchers also controlled for psychiatric comorbidities, socioeconomic status, and concurrent medication use. These adjustments are essential in observational research, where the absence of randomisation means that confounding remains a constant concern (Caparrotta et al., 2019; D'Onofrio et al., 2020). Controlling for these variables helped isolate the association between ADHD medication and cardiovascular outcomes, even though some degree of residual confounding is inevitable.</w:t>
      </w:r>
    </w:p>
    <w:p w14:paraId="32C4DB0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Despite these strengths, the appraisal identified several limitations that appeared repeatedly across the studies. One of the most significant limitations involved incomplete adjustment for lifestyle factors. Smoking, alcohol consumption, diet, physical activity, and body mass index are well</w:t>
      </w:r>
      <w:r w:rsidRPr="00ED08B9">
        <w:rPr>
          <w:rFonts w:ascii="Arial" w:hAnsi="Arial" w:cs="Arial"/>
          <w:sz w:val="24"/>
          <w:szCs w:val="24"/>
        </w:rPr>
        <w:noBreakHyphen/>
        <w:t>established contributors to cardiovascular risk, yet they were not consistently measured or controlled for. Large administrative datasets rarely contain detailed behavioural information, which leaves important gaps in the analysis. Without these variables, some confounding is likely, particularly in populations where lifestyle patterns vary widely.</w:t>
      </w:r>
    </w:p>
    <w:p w14:paraId="4512AF0C"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Another limitation concerned the duration of follow</w:t>
      </w:r>
      <w:r w:rsidRPr="00ED08B9">
        <w:rPr>
          <w:rFonts w:ascii="Arial" w:hAnsi="Arial" w:cs="Arial"/>
          <w:sz w:val="24"/>
          <w:szCs w:val="24"/>
        </w:rPr>
        <w:noBreakHyphen/>
        <w:t>up. Some studies tracked participants for several years, but others had relatively short follow</w:t>
      </w:r>
      <w:r w:rsidRPr="00ED08B9">
        <w:rPr>
          <w:rFonts w:ascii="Arial" w:hAnsi="Arial" w:cs="Arial"/>
          <w:sz w:val="24"/>
          <w:szCs w:val="24"/>
        </w:rPr>
        <w:noBreakHyphen/>
        <w:t>up periods, which restricts the ability to draw conclusions about long</w:t>
      </w:r>
      <w:r w:rsidRPr="00ED08B9">
        <w:rPr>
          <w:rFonts w:ascii="Arial" w:hAnsi="Arial" w:cs="Arial"/>
          <w:sz w:val="24"/>
          <w:szCs w:val="24"/>
        </w:rPr>
        <w:noBreakHyphen/>
        <w:t>term cardiovascular outcomes. Many cardiovascular conditions develop gradually, so short observation windows may underestimate risk or fail to capture late</w:t>
      </w:r>
      <w:r w:rsidRPr="00ED08B9">
        <w:rPr>
          <w:rFonts w:ascii="Arial" w:hAnsi="Arial" w:cs="Arial"/>
          <w:sz w:val="24"/>
          <w:szCs w:val="24"/>
        </w:rPr>
        <w:noBreakHyphen/>
        <w:t>emerging effects associated with prolonged stimulant use. This issue is especially relevant for middle</w:t>
      </w:r>
      <w:r w:rsidRPr="00ED08B9">
        <w:rPr>
          <w:rFonts w:ascii="Arial" w:hAnsi="Arial" w:cs="Arial"/>
          <w:sz w:val="24"/>
          <w:szCs w:val="24"/>
        </w:rPr>
        <w:noBreakHyphen/>
        <w:t>aged adults, who may already be on a trajectory of increasing cardiovascular vulnerability (Wang et al. 2023).</w:t>
      </w:r>
    </w:p>
    <w:p w14:paraId="78D23899"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Variability in exposure and outcome measurement also introduced heterogeneity across the evidence base. Some studies defined exposure as any prescription within a given period, while others required continuous use or specific dosage thresholds. Cardiovascular outcomes ranged from broad composite endpoints to narrowly defined clinical events. This variation complicates direct comparison and may help explain differences in findings.</w:t>
      </w:r>
    </w:p>
    <w:p w14:paraId="33D22C3C"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Despite these limitations, the evidence base demonstrated moderate to high quality. The studies were generally well designed, used reliable data sources, and applied appropriate statistical methods. The findings point to a complex relationship between ADHD medication and cardiovascular risk. Some studies reported no significant association between stimulant use and major cardiovascular events, while others identified a modest increase in risk, particularly with long</w:t>
      </w:r>
      <w:r w:rsidRPr="00ED08B9">
        <w:rPr>
          <w:rFonts w:ascii="Arial" w:hAnsi="Arial" w:cs="Arial"/>
          <w:sz w:val="24"/>
          <w:szCs w:val="24"/>
        </w:rPr>
        <w:noBreakHyphen/>
        <w:t>term or high</w:t>
      </w:r>
      <w:r w:rsidRPr="00ED08B9">
        <w:rPr>
          <w:rFonts w:ascii="Arial" w:hAnsi="Arial" w:cs="Arial"/>
          <w:sz w:val="24"/>
          <w:szCs w:val="24"/>
        </w:rPr>
        <w:noBreakHyphen/>
        <w:t>dose exposure. Variation in findings is not surprising given the heterogeneity of study designs, populations, and outcome measures.</w:t>
      </w:r>
    </w:p>
    <w:p w14:paraId="20F7CDF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Most studies demonstrated strong methodological quality, although limitations linked to residual confounding and the constraints of observational designs were consistently noted. These issues do not undermine the value of the evidence but highlight the need for careful interpretation. The current evidence base offers meaningful insight into potential cardiovascular risks while also emphasising the importance of further research with refined methods and extended follow</w:t>
      </w:r>
      <w:r w:rsidRPr="00ED08B9">
        <w:rPr>
          <w:rFonts w:ascii="Arial" w:hAnsi="Arial" w:cs="Arial"/>
          <w:sz w:val="24"/>
          <w:szCs w:val="24"/>
        </w:rPr>
        <w:noBreakHyphen/>
        <w:t>up periods.</w:t>
      </w:r>
    </w:p>
    <w:p w14:paraId="5DA46FB7"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4.6.4 Biological Mechanisms and Cardiovascular Effects</w:t>
      </w:r>
    </w:p>
    <w:p w14:paraId="085E9F2B"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potential cardiovascular effects of ADHD medication are closely tied to the way these drugs act on the central nervous system. Stimulant medications such as methylphenidate increase levels of dopamine and noradrenaline, which enhances attention and executive functioning but also activates the sympathetic nervous system (Campbell &amp; Young, 2018; Docherty &amp; Alsufyani, 2021). This sympathetic activation is a predictable pharmacological response, and it explains why increases in heart rate and blood pressure are consistently observed in adults taking stimulant medication. Although these changes are usually modest, they represent an additional physiological load that becomes more relevant when treatment is long term or when individuals already have elevated cardiovascular risk (Carnovale et al., 2013).</w:t>
      </w:r>
    </w:p>
    <w:p w14:paraId="310CE660"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Sustained sympathetic activation can influence cardiovascular structure and function over time. Research on vascular ageing shows that chronic increases in blood pressure and heart rate may contribute to arterial stiffness, reduced vascular compliance, and changes in cardiac contractility (Zanoli et al., 2019; Nardone et al., 2020; Gronda et al., 2022). These adaptations are part of a broader pattern of cardiovascular remodelling associated with prolonged adrenergic stimulation. While such changes may not pose significant risk for younger adults with healthy cardiovascular profiles, they become more clinically meaningful in populations where vascular ageing is already underway (Forouzandeh et al., 2024).</w:t>
      </w:r>
    </w:p>
    <w:p w14:paraId="56EEBBB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is particularly relevant for middle</w:t>
      </w:r>
      <w:r w:rsidRPr="00ED08B9">
        <w:rPr>
          <w:rFonts w:ascii="Arial" w:hAnsi="Arial" w:cs="Arial"/>
          <w:sz w:val="24"/>
          <w:szCs w:val="24"/>
        </w:rPr>
        <w:noBreakHyphen/>
        <w:t>aged men. By midlife, many men exhibit early signs of cardiovascular ageing, including increased arterial stiffness and endothelial dysfunction. Large cohort studies demonstrate that arterial stiffness accelerates with age and is strongly associated with future cardiovascular events, especially in men (Boutouyrie et al., 2021). Similarly, research on cardiovascular risk trajectories shows that men tend to accumulate risk factors earlier and more rapidly than women, including rising blood pressure, dyslipidaemia, and increased body mass index (Pierce et al., 2022). When stimulant</w:t>
      </w:r>
      <w:r w:rsidRPr="00ED08B9">
        <w:rPr>
          <w:rFonts w:ascii="Arial" w:hAnsi="Arial" w:cs="Arial"/>
          <w:sz w:val="24"/>
          <w:szCs w:val="24"/>
        </w:rPr>
        <w:noBreakHyphen/>
        <w:t>related sympathetic activation is layered onto these existing trends, the combined effect may amplify cardiovascular strain.</w:t>
      </w:r>
    </w:p>
    <w:p w14:paraId="1FA4BA05"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Lifestyle and comorbidities further shape this risk profile. Middle</w:t>
      </w:r>
      <w:r w:rsidRPr="00ED08B9">
        <w:rPr>
          <w:rFonts w:ascii="Arial" w:hAnsi="Arial" w:cs="Arial"/>
          <w:sz w:val="24"/>
          <w:szCs w:val="24"/>
        </w:rPr>
        <w:noBreakHyphen/>
        <w:t>aged men are more likely to smoke, consume alcohol at higher levels, and engage in lower levels of physical activity, all of which contribute to heightened sympathetic tone and increased cardiovascular load (Creery &amp; Davies, 2024). ADHD itself is associated with behavioural patterns that may indirectly influence cardiovascular health, such as irregular routines, sleep disruption, and higher stress reactivity (Dixit et al., 2025). These factors interact with medication effects in complex ways, making individual risk highly variable.</w:t>
      </w:r>
    </w:p>
    <w:p w14:paraId="0D81176E"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Although serious cardiovascular events remain rare, the interplay between medication, underlying physiology, and lifestyle factors highlights the importance of careful assessment. Clinical guidelines recommending cardiovascular screening before initiating ADHD medication, and ongoing monitoring throughout treatment, are grounded in this evidence (NICE, 2018). For middle</w:t>
      </w:r>
      <w:r w:rsidRPr="00ED08B9">
        <w:rPr>
          <w:rFonts w:ascii="Arial" w:hAnsi="Arial" w:cs="Arial"/>
          <w:sz w:val="24"/>
          <w:szCs w:val="24"/>
        </w:rPr>
        <w:noBreakHyphen/>
        <w:t>aged men, who often carry a higher baseline risk, adherence to these recommendations is particularly important.</w:t>
      </w:r>
    </w:p>
    <w:p w14:paraId="2C6C809F"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4.6.5 Summary of Quantitative Evidence</w:t>
      </w:r>
    </w:p>
    <w:p w14:paraId="598F2D4D"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quantitative evidence suggests that ADHD medication is associated with measurable physiological effects on the cardiovascular system. However, the extent to which these effects translate into clinically significant outcomes remains uncertain.</w:t>
      </w:r>
    </w:p>
    <w:p w14:paraId="64C9BF2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variability in findings across studies reflects differences in study design, population characteristics and duration of follow-up. While some studies report no significant increase in major cardiovascular events, others highlight potential risks associated with long-term exposure.</w:t>
      </w:r>
    </w:p>
    <w:p w14:paraId="2AB6653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Although most studies were rated as high quality, all quantitative evidence was observational in nature. As a result, causal inference remains limited, and the possibility of residual confounding, particularly from lifestyle factors such as smoking and physical activity, cannot be excluded.</w:t>
      </w:r>
    </w:p>
    <w:p w14:paraId="32562ECC"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4.7 Evaluation of Mixed Methods Studies</w:t>
      </w:r>
    </w:p>
    <w:p w14:paraId="2F4E21F3"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No mixed-methods studies met the inclusion criteria for this review. Although some studies combined elements of quantitative and qualitative analysis, they did not meet the criteria for formal mixed-methods appraisal using tools such as the MMAT.</w:t>
      </w:r>
    </w:p>
    <w:p w14:paraId="637938F3"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absence of mixed-methods research highlights a gap in the literature. Studies that integrate clinical data with patient experiences could provide a more comprehensive understanding of how ADHD medication influences cardiovascular risk in real-world settings.</w:t>
      </w:r>
    </w:p>
    <w:p w14:paraId="3C8A9BAB"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4.8 Chapter Summary</w:t>
      </w:r>
    </w:p>
    <w:p w14:paraId="2C82BD59"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chapter outlined the processes used to extract and evaluate the evidence included in this systematic review. A structured data extraction approach ensured consistency across the eight included studies, while critical appraisal using the CASP and NIH tools allowed for systematic evaluation of study quality.</w:t>
      </w:r>
    </w:p>
    <w:p w14:paraId="2EA6CB1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findings indicate that while the quantitative evidence suggests a potential association between ADHD medication and cardiovascular risk, this relationship is influenced by study design, confounding factors and underlying biological mechanisms. Qualitative evidence provided important contextual insights into medication use and adherence.</w:t>
      </w:r>
    </w:p>
    <w:p w14:paraId="4FC9D6F8"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next chapter presents the results of the review, synthesising findings across studies to provide a clear account of current evidence on ADHD medication and cardiovascular outcomes in middle-aged men.</w:t>
      </w:r>
    </w:p>
    <w:p w14:paraId="0D48C8FB"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CHAPTER 5: DATA ANALYSIS AND SYNTHESIS</w:t>
      </w:r>
    </w:p>
    <w:p w14:paraId="3C52F357"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5.1 Introduction to Chapter</w:t>
      </w:r>
    </w:p>
    <w:p w14:paraId="554E263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chapter presents the analysis and synthesis of the eight studies included in this systematic literature review. Building on the data extraction and appraisal processes outlined in Chapter 4, the discussion moves beyond description to interpret the evidence critically. The purpose is to identify patterns, relationships, and areas of convergence and divergence across studies examining the association between ADHD medication and cardiovascular risk in middle</w:t>
      </w:r>
      <w:r w:rsidRPr="00ED08B9">
        <w:rPr>
          <w:rFonts w:ascii="Arial" w:hAnsi="Arial" w:cs="Arial"/>
          <w:sz w:val="24"/>
          <w:szCs w:val="24"/>
        </w:rPr>
        <w:noBreakHyphen/>
        <w:t>aged men. Through this synthesis, the chapter aims to develop a clearer understanding of how existing research conceptualises cardiovascular safety and where gaps remain.</w:t>
      </w:r>
    </w:p>
    <w:p w14:paraId="321E3054"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opening section outlines the thematic analysis process and the analytical framework adopted for the review. This framework integrates quantitative and qualitative findings, enabling a balanced interpretation of the data and highlighting recurring ideas that link medication exposure to cardiovascular outcomes. It also allows comparison between studies that differ in design, population, and analytical focus, ensuring that both consistency and variation are captured.</w:t>
      </w:r>
    </w:p>
    <w:p w14:paraId="4B30E081"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next section summarises the characteristics of the included studies, noting their geographical distribution, sample size, and methodological design. Cohort and case</w:t>
      </w:r>
      <w:r w:rsidRPr="00ED08B9">
        <w:rPr>
          <w:rFonts w:ascii="Arial" w:hAnsi="Arial" w:cs="Arial"/>
          <w:sz w:val="24"/>
          <w:szCs w:val="24"/>
        </w:rPr>
        <w:noBreakHyphen/>
        <w:t>control studies dominate the evidence base, supported by registry data and smaller clinical samples. The main section synthesises findings into key themes and sub</w:t>
      </w:r>
      <w:r w:rsidRPr="00ED08B9">
        <w:rPr>
          <w:rFonts w:ascii="Arial" w:hAnsi="Arial" w:cs="Arial"/>
          <w:sz w:val="24"/>
          <w:szCs w:val="24"/>
        </w:rPr>
        <w:noBreakHyphen/>
        <w:t>themes, combining quantitative outcomes and qualitative insights to form a coherent narrative. This thematic structure provides a foundation for interpreting the evidence and identifying how ADHD medication may influence cardiovascular health in middle</w:t>
      </w:r>
      <w:r w:rsidRPr="00ED08B9">
        <w:rPr>
          <w:rFonts w:ascii="Arial" w:hAnsi="Arial" w:cs="Arial"/>
          <w:sz w:val="24"/>
          <w:szCs w:val="24"/>
        </w:rPr>
        <w:noBreakHyphen/>
        <w:t>aged men, setting the stage for the discussion that follows in Chapter 6.</w:t>
      </w:r>
    </w:p>
    <w:p w14:paraId="2D219479"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5.2 Thematic Analysis</w:t>
      </w:r>
    </w:p>
    <w:p w14:paraId="7C49B71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Thematic analysis is a structured method used to identify, organise and interpret patterns within data. It is widely applied in qualitative research because it enables researchers to explore experiences, meanings and perceptions in a systematic way. When used within a systematic literature review, the approach is often described as thematic synthesis, as it involves drawing together findings from multiple studies to generate broader, higher</w:t>
      </w:r>
      <w:r w:rsidRPr="00ED08B9">
        <w:rPr>
          <w:rFonts w:ascii="Arial" w:hAnsi="Arial" w:cs="Arial"/>
          <w:sz w:val="24"/>
          <w:szCs w:val="24"/>
        </w:rPr>
        <w:noBreakHyphen/>
        <w:t>order interpretations that extend beyond the results of any single paper.</w:t>
      </w:r>
    </w:p>
    <w:p w14:paraId="330255C9"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Although thematic analysis is traditionally associated with qualitative evidence, it can also be applied to quantitative studies. In this context, the focus shifts from narrative accounts to recurring patterns in outcomes, associations and reported trends. Identifying these patterns allows quantitative findings to be examined through a conceptual lens, highlighting consistencies and discrepancies across studies. This is particularly useful when research designs, populations or outcome measures vary, as it provides a coherent structure for comparison.</w:t>
      </w:r>
    </w:p>
    <w:p w14:paraId="7BA1C4E0"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In this review, thematic synthesis enables the integration of both qualitative insights and quantitative results. Bringing these strands together supports a more rounded understanding of cardiovascular risk associated with ADHD medication, helping to illuminate not only measurable clinical outcomes but also the contextual and experiential factors that shape how risk is interpreted and reported across the literature.</w:t>
      </w:r>
    </w:p>
    <w:p w14:paraId="080AC2CF"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5.3 Data Analysis Tool</w:t>
      </w:r>
    </w:p>
    <w:p w14:paraId="1FE03560"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review adopted the thematic analysis framework developed by Braun and Clarke (2006) (Figure 6). Their framework provides a clear and systematic approach for identifying and interpreting patterns within a body of evidence, and it has become one of the most widely used methods in qualitative research. The process involves six interconnected stages: familiarisation with the data, generating initial codes, searching for potential themes, reviewing those themes in relation to the dataset, defining and naming each theme, and producing the final synthesis. Working through these stages ensures that the analysis is both rigorous and transparent, with each step contributing to the development of a coherent thematic structure.</w:t>
      </w:r>
    </w:p>
    <w:p w14:paraId="776C63DC"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framework was selected for this review because of its flexibility and its suitability for analysing diverse forms of data. Systematic reviews often include studies that vary considerably in design, focus and methodological quality, and a rigid analytical approach would risk oversimplifying or excluding important nuances. Braun and Clarke’s method accommodates both inductive and deductive reasoning, allowing themes to emerge from the data while also enabling the reviewer to draw on existing theoretical concepts where appropriate. This balance is particularly valuable when synthesising evidence on complex issues such as cardiovascular risk associated with ADHD medication.</w:t>
      </w:r>
    </w:p>
    <w:p w14:paraId="143FF3C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Its structured yet adaptable nature supports transparency in the analytical process and helps ensure that themes remain grounded in the evidence rather than imposed artificially. As a result, the framework provides a robust foundation for integrating findings across studies and developing meaningful higher</w:t>
      </w:r>
      <w:r w:rsidRPr="00ED08B9">
        <w:rPr>
          <w:rFonts w:ascii="Arial" w:hAnsi="Arial" w:cs="Arial"/>
          <w:sz w:val="24"/>
          <w:szCs w:val="24"/>
        </w:rPr>
        <w:noBreakHyphen/>
        <w:t>order interpretations.</w:t>
      </w:r>
    </w:p>
    <w:p w14:paraId="7477A85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noProof/>
        </w:rPr>
        <w:drawing>
          <wp:inline distT="0" distB="0" distL="0" distR="0" wp14:anchorId="52A306B2" wp14:editId="5344B8EC">
            <wp:extent cx="5106077" cy="5193196"/>
            <wp:effectExtent l="0" t="0" r="0" b="7620"/>
            <wp:docPr id="697823510" name="Picture 1" descr="Thematic Analysis in the Age of AI | by Mufaddal Haidermota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matic Analysis in the Age of AI | by Mufaddal Haidermota | Mediu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11044" cy="5198248"/>
                    </a:xfrm>
                    <a:prstGeom prst="rect">
                      <a:avLst/>
                    </a:prstGeom>
                    <a:noFill/>
                    <a:ln>
                      <a:noFill/>
                    </a:ln>
                  </pic:spPr>
                </pic:pic>
              </a:graphicData>
            </a:graphic>
          </wp:inline>
        </w:drawing>
      </w:r>
    </w:p>
    <w:p w14:paraId="2D827218"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 xml:space="preserve">Figure 6: Thematic Map (Braun &amp; Clarke’s) </w:t>
      </w:r>
    </w:p>
    <w:p w14:paraId="005FBDB1"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lang w:val="fr-CA"/>
        </w:rPr>
        <w:t>Source: Haidermota (2024)</w:t>
      </w:r>
    </w:p>
    <w:p w14:paraId="73FCE0E7"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5.4 Characteristics of the Identified Studies</w:t>
      </w:r>
    </w:p>
    <w:p w14:paraId="474CE133"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eight studies included in this review were conducted across a range of countries, reflecting the increasingly global nature of ADHD research and the widespread clinical interest in understanding potential cardiovascular effects of medication use. Two studies were undertaken in the United States (Habel et al., 2011; Reeves et al., 2025), both drawing on large administrative datasets that enabled the examination of cardiovascular outcomes in substantial adult populations. Two further studies were conducted in Sweden (Garcia</w:t>
      </w:r>
      <w:r w:rsidRPr="00ED08B9">
        <w:rPr>
          <w:rFonts w:ascii="Arial" w:hAnsi="Arial" w:cs="Arial"/>
          <w:sz w:val="24"/>
          <w:szCs w:val="24"/>
        </w:rPr>
        <w:noBreakHyphen/>
        <w:t>Argibay et al., 2024; Zhang et al., 2023), a country with robust national health registers that support high</w:t>
      </w:r>
      <w:r w:rsidRPr="00ED08B9">
        <w:rPr>
          <w:rFonts w:ascii="Arial" w:hAnsi="Arial" w:cs="Arial"/>
          <w:sz w:val="24"/>
          <w:szCs w:val="24"/>
        </w:rPr>
        <w:noBreakHyphen/>
        <w:t>quality epidemiological research. In addition, one multi</w:t>
      </w:r>
      <w:r w:rsidRPr="00ED08B9">
        <w:rPr>
          <w:rFonts w:ascii="Arial" w:hAnsi="Arial" w:cs="Arial"/>
          <w:sz w:val="24"/>
          <w:szCs w:val="24"/>
        </w:rPr>
        <w:noBreakHyphen/>
        <w:t>country study was carried out across Denmark and Sweden (Forns et al., 2022), allowing for cross</w:t>
      </w:r>
      <w:r w:rsidRPr="00ED08B9">
        <w:rPr>
          <w:rFonts w:ascii="Arial" w:hAnsi="Arial" w:cs="Arial"/>
          <w:sz w:val="24"/>
          <w:szCs w:val="24"/>
        </w:rPr>
        <w:noBreakHyphen/>
        <w:t>national comparison within similar healthcare systems. Another study drew on international datasets through a meta</w:t>
      </w:r>
      <w:r w:rsidRPr="00ED08B9">
        <w:rPr>
          <w:rFonts w:ascii="Arial" w:hAnsi="Arial" w:cs="Arial"/>
          <w:sz w:val="24"/>
          <w:szCs w:val="24"/>
        </w:rPr>
        <w:noBreakHyphen/>
        <w:t>analytic approach (Zhang et al., 2022), synthesising evidence from multiple regions to provide broader insight into cardiovascular risk. Holt et al. (2024) contributed findings from a wider European clinical population, adding further geographical diversity. The only qualitative study, conducted by Barnes et al. (2025), took place in the United Kingdom and offered an important experiential perspective that complemented the predominantly quantitative evidence base.</w:t>
      </w:r>
    </w:p>
    <w:p w14:paraId="6B683D50"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Most of the included studies employed quantitative observational designs, particularly cohort and registry</w:t>
      </w:r>
      <w:r w:rsidRPr="00ED08B9">
        <w:rPr>
          <w:rFonts w:ascii="Arial" w:hAnsi="Arial" w:cs="Arial"/>
          <w:sz w:val="24"/>
          <w:szCs w:val="24"/>
        </w:rPr>
        <w:noBreakHyphen/>
        <w:t>based approaches. These designs dominate research in this field due to ethical and practical constraints that limit the feasibility of experimental or randomised studies involving stimulant medication and cardiovascular outcomes. Observational designs therefore provide the most viable means of examining real</w:t>
      </w:r>
      <w:r w:rsidRPr="00ED08B9">
        <w:rPr>
          <w:rFonts w:ascii="Arial" w:hAnsi="Arial" w:cs="Arial"/>
          <w:sz w:val="24"/>
          <w:szCs w:val="24"/>
        </w:rPr>
        <w:noBreakHyphen/>
        <w:t>world patterns of medication use and associated health risks. Two studies used qualitative methods, offering insight into patient experiences, perceptions of risk and factors influencing adherence. Together, this distribution of study designs reflects the methodological landscape of current research. Further details of study characteristics are presented in the data extraction tables (see Appendix A and Appendix B).</w:t>
      </w:r>
    </w:p>
    <w:p w14:paraId="19051376"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5.5 Emerging Themes from Included Studies</w:t>
      </w:r>
    </w:p>
    <w:p w14:paraId="72C850D5"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Table 9: Themes and Associated Studies</w:t>
      </w:r>
    </w:p>
    <w:tbl>
      <w:tblPr>
        <w:tblStyle w:val="TableGrid2"/>
        <w:tblW w:w="9016" w:type="dxa"/>
        <w:tblLook w:val="04A0" w:firstRow="1" w:lastRow="0" w:firstColumn="1" w:lastColumn="0" w:noHBand="0" w:noVBand="1"/>
      </w:tblPr>
      <w:tblGrid>
        <w:gridCol w:w="4508"/>
        <w:gridCol w:w="4508"/>
      </w:tblGrid>
      <w:tr w:rsidR="003D247F" w:rsidRPr="00ED08B9" w14:paraId="6AC07E56" w14:textId="77777777" w:rsidTr="00CD232E">
        <w:tc>
          <w:tcPr>
            <w:tcW w:w="4508" w:type="dxa"/>
            <w:vAlign w:val="center"/>
          </w:tcPr>
          <w:p w14:paraId="09D1F9B6"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b/>
                <w:bCs/>
              </w:rPr>
              <w:t>Theme</w:t>
            </w:r>
          </w:p>
        </w:tc>
        <w:tc>
          <w:tcPr>
            <w:tcW w:w="4508" w:type="dxa"/>
            <w:vAlign w:val="center"/>
          </w:tcPr>
          <w:p w14:paraId="5765782F"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b/>
                <w:bCs/>
              </w:rPr>
              <w:t>Studies</w:t>
            </w:r>
          </w:p>
        </w:tc>
      </w:tr>
      <w:tr w:rsidR="003D247F" w:rsidRPr="00ED08B9" w14:paraId="790E7005" w14:textId="77777777" w:rsidTr="00CD232E">
        <w:tc>
          <w:tcPr>
            <w:tcW w:w="4508" w:type="dxa"/>
            <w:vAlign w:val="center"/>
          </w:tcPr>
          <w:p w14:paraId="75BB8C38"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Cardiovascular Risk and ADHD Medication</w:t>
            </w:r>
          </w:p>
        </w:tc>
        <w:tc>
          <w:tcPr>
            <w:tcW w:w="4508" w:type="dxa"/>
            <w:vAlign w:val="center"/>
          </w:tcPr>
          <w:p w14:paraId="36FF3E86"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lang w:val="fr-CA"/>
              </w:rPr>
              <w:t xml:space="preserve">Habel et al. (2011); Zhang et al. (2022); Zhang et al. (2023); Holt et al. </w:t>
            </w:r>
            <w:r w:rsidRPr="00ED08B9">
              <w:rPr>
                <w:rFonts w:ascii="Arial" w:hAnsi="Arial" w:cs="Arial"/>
              </w:rPr>
              <w:t>(2024); Garcia-Argibay et al. (2024); Forns et al. (2022)</w:t>
            </w:r>
          </w:p>
        </w:tc>
      </w:tr>
      <w:tr w:rsidR="003D247F" w:rsidRPr="00ED08B9" w14:paraId="7E3F5DC5" w14:textId="77777777" w:rsidTr="00CD232E">
        <w:tc>
          <w:tcPr>
            <w:tcW w:w="4508" w:type="dxa"/>
            <w:vAlign w:val="center"/>
          </w:tcPr>
          <w:p w14:paraId="39EC6BC0"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Duration and Exposure Effects</w:t>
            </w:r>
          </w:p>
        </w:tc>
        <w:tc>
          <w:tcPr>
            <w:tcW w:w="4508" w:type="dxa"/>
            <w:vAlign w:val="center"/>
          </w:tcPr>
          <w:p w14:paraId="3DEE6903"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lang w:val="fr-CA"/>
              </w:rPr>
              <w:t xml:space="preserve">Zhang et al. (2023); Holt et al. </w:t>
            </w:r>
            <w:r w:rsidRPr="00ED08B9">
              <w:rPr>
                <w:rFonts w:ascii="Arial" w:hAnsi="Arial" w:cs="Arial"/>
              </w:rPr>
              <w:t>(2024); Garcia-Argibay et al. (2024)</w:t>
            </w:r>
          </w:p>
        </w:tc>
      </w:tr>
      <w:tr w:rsidR="003D247F" w:rsidRPr="00ED08B9" w14:paraId="7668FE92" w14:textId="77777777" w:rsidTr="00CD232E">
        <w:tc>
          <w:tcPr>
            <w:tcW w:w="4508" w:type="dxa"/>
            <w:vAlign w:val="center"/>
          </w:tcPr>
          <w:p w14:paraId="5FFD4BEB"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Short-term vs Long-term Risk</w:t>
            </w:r>
          </w:p>
        </w:tc>
        <w:tc>
          <w:tcPr>
            <w:tcW w:w="4508" w:type="dxa"/>
            <w:vAlign w:val="center"/>
          </w:tcPr>
          <w:p w14:paraId="1356723B"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lang w:val="fr-CA"/>
              </w:rPr>
              <w:t xml:space="preserve">Garcia-Argibay et al. (2024); Habel et al. </w:t>
            </w:r>
            <w:r w:rsidRPr="00ED08B9">
              <w:rPr>
                <w:rFonts w:ascii="Arial" w:hAnsi="Arial" w:cs="Arial"/>
              </w:rPr>
              <w:t>(2011); Zhang et al. (2023)</w:t>
            </w:r>
          </w:p>
        </w:tc>
      </w:tr>
      <w:tr w:rsidR="003D247F" w:rsidRPr="00ED08B9" w14:paraId="1712562E" w14:textId="77777777" w:rsidTr="00CD232E">
        <w:tc>
          <w:tcPr>
            <w:tcW w:w="4508" w:type="dxa"/>
            <w:vAlign w:val="center"/>
          </w:tcPr>
          <w:p w14:paraId="34FB2FA2"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Role of Confounding and Lifestyle Factors</w:t>
            </w:r>
          </w:p>
        </w:tc>
        <w:tc>
          <w:tcPr>
            <w:tcW w:w="4508" w:type="dxa"/>
            <w:vAlign w:val="center"/>
          </w:tcPr>
          <w:p w14:paraId="235F38CA"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All quantitative studies</w:t>
            </w:r>
          </w:p>
        </w:tc>
      </w:tr>
      <w:tr w:rsidR="003D247F" w:rsidRPr="00ED08B9" w14:paraId="7832EE4A" w14:textId="77777777" w:rsidTr="00CD232E">
        <w:tc>
          <w:tcPr>
            <w:tcW w:w="4508" w:type="dxa"/>
            <w:vAlign w:val="center"/>
          </w:tcPr>
          <w:p w14:paraId="3580F06A"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Patient Experience and Medication Adherence</w:t>
            </w:r>
          </w:p>
        </w:tc>
        <w:tc>
          <w:tcPr>
            <w:tcW w:w="4508" w:type="dxa"/>
            <w:vAlign w:val="center"/>
          </w:tcPr>
          <w:p w14:paraId="2E93D3D9"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lang w:val="fr-CA"/>
              </w:rPr>
              <w:t xml:space="preserve">Barnes et al. (2025); Reeves et al. </w:t>
            </w:r>
            <w:r w:rsidRPr="00ED08B9">
              <w:rPr>
                <w:rFonts w:ascii="Arial" w:hAnsi="Arial" w:cs="Arial"/>
              </w:rPr>
              <w:t>(2025)</w:t>
            </w:r>
          </w:p>
        </w:tc>
      </w:tr>
      <w:tr w:rsidR="003D247F" w:rsidRPr="00ED08B9" w14:paraId="4362B870" w14:textId="77777777" w:rsidTr="00CD232E">
        <w:tc>
          <w:tcPr>
            <w:tcW w:w="4508" w:type="dxa"/>
            <w:vAlign w:val="center"/>
          </w:tcPr>
          <w:p w14:paraId="54EC9181"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Biological Mechanisms and Cardiovascular Response</w:t>
            </w:r>
          </w:p>
        </w:tc>
        <w:tc>
          <w:tcPr>
            <w:tcW w:w="4508" w:type="dxa"/>
            <w:vAlign w:val="center"/>
          </w:tcPr>
          <w:p w14:paraId="1296EF30" w14:textId="77777777" w:rsidR="003D247F" w:rsidRPr="00ED08B9" w:rsidRDefault="003D247F" w:rsidP="00CD232E">
            <w:pPr>
              <w:spacing w:before="100" w:beforeAutospacing="1" w:after="100" w:afterAutospacing="1" w:line="360" w:lineRule="auto"/>
              <w:jc w:val="both"/>
              <w:rPr>
                <w:rFonts w:ascii="Arial" w:hAnsi="Arial" w:cs="Arial"/>
              </w:rPr>
            </w:pPr>
            <w:r w:rsidRPr="00ED08B9">
              <w:rPr>
                <w:rFonts w:ascii="Arial" w:hAnsi="Arial" w:cs="Arial"/>
              </w:rPr>
              <w:t>All quantitative studies</w:t>
            </w:r>
          </w:p>
        </w:tc>
      </w:tr>
    </w:tbl>
    <w:p w14:paraId="3D4A7CC6"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Theme 1: Cardiovascular Risk and ADHD Medication</w:t>
      </w:r>
    </w:p>
    <w:p w14:paraId="6DA19AD5"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 central theme across all quantitative studies was the relationship between ADHD medication use and cardiovascular outcomes. Although all studies addressed this association directly, their findings were not entirely consistent, reflecting differences in study design, population characteristics, analytical approaches and duration of exposure. These variations are important, as they shape how cardiovascular risk is understood and reported across the evidence base.</w:t>
      </w:r>
    </w:p>
    <w:p w14:paraId="6BBDD49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Habel et al. (2011) found no significant association between ADHD medication use and serious cardiovascular events in adults. Their large cohort study, based on extensive administrative data, suggested that stimulant use did not meaningfully elevate the risk of myocardial infarction, stroke or sudden cardiac death within the observation period. Similarly, Zhang et al. (2022), drawing on international datasets through meta</w:t>
      </w:r>
      <w:r w:rsidRPr="00ED08B9">
        <w:rPr>
          <w:rFonts w:ascii="Arial" w:hAnsi="Arial" w:cs="Arial"/>
          <w:sz w:val="24"/>
          <w:szCs w:val="24"/>
        </w:rPr>
        <w:noBreakHyphen/>
        <w:t>analysis, reported no overall increase in cardiovascular disease risk among adults prescribed ADHD medication. These findings collectively indicate that, in the short term, ADHD medication may not significantly elevate cardiovascular risk, particularly when exposure is limited or intermittent.</w:t>
      </w:r>
    </w:p>
    <w:p w14:paraId="6C917E64"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However, contrasting evidence emerged from studies with longer follow</w:t>
      </w:r>
      <w:r w:rsidRPr="00ED08B9">
        <w:rPr>
          <w:rFonts w:ascii="Arial" w:hAnsi="Arial" w:cs="Arial"/>
          <w:sz w:val="24"/>
          <w:szCs w:val="24"/>
        </w:rPr>
        <w:noBreakHyphen/>
        <w:t>up periods or more detailed exposure measurement. Zhang et al. (2023) reported that prolonged exposure to ADHD medication was associated with an increased risk of cardiovascular disease, with hypertension appearing as the most prominent outcome. Their findings suggest that cumulative stimulant exposure may contribute to sustained elevations in blood pressure, which over time could translate into clinically significant cardiovascular risk. Holt et al. (2024) similarly identified increased cardiovascular risk in adult populations receiving long</w:t>
      </w:r>
      <w:r w:rsidRPr="00ED08B9">
        <w:rPr>
          <w:rFonts w:ascii="Arial" w:hAnsi="Arial" w:cs="Arial"/>
          <w:sz w:val="24"/>
          <w:szCs w:val="24"/>
        </w:rPr>
        <w:noBreakHyphen/>
        <w:t>term treatment, noting that individuals with pre</w:t>
      </w:r>
      <w:r w:rsidRPr="00ED08B9">
        <w:rPr>
          <w:rFonts w:ascii="Arial" w:hAnsi="Arial" w:cs="Arial"/>
          <w:sz w:val="24"/>
          <w:szCs w:val="24"/>
        </w:rPr>
        <w:noBreakHyphen/>
        <w:t>existing risk factors appeared particularly vulnerable. These studies emphasise the importance of considering not only whether medication is used, but for how long, at what dose and in what clinical context.</w:t>
      </w:r>
    </w:p>
    <w:p w14:paraId="24AAC4EE"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evidence suggests a temporal distinction in cardiovascular risk. Short</w:t>
      </w:r>
      <w:r w:rsidRPr="00ED08B9">
        <w:rPr>
          <w:rFonts w:ascii="Arial" w:hAnsi="Arial" w:cs="Arial"/>
          <w:sz w:val="24"/>
          <w:szCs w:val="24"/>
        </w:rPr>
        <w:noBreakHyphen/>
        <w:t>term use appears relatively safe, with minimal evidence of acute cardiovascular events attributable to medication. In contrast, long</w:t>
      </w:r>
      <w:r w:rsidRPr="00ED08B9">
        <w:rPr>
          <w:rFonts w:ascii="Arial" w:hAnsi="Arial" w:cs="Arial"/>
          <w:sz w:val="24"/>
          <w:szCs w:val="24"/>
        </w:rPr>
        <w:noBreakHyphen/>
        <w:t>term exposure may carry increased risk, particularly for conditions such as hypertension that develop gradually and may not be captured in studies with shorter follow</w:t>
      </w:r>
      <w:r w:rsidRPr="00ED08B9">
        <w:rPr>
          <w:rFonts w:ascii="Arial" w:hAnsi="Arial" w:cs="Arial"/>
          <w:sz w:val="24"/>
          <w:szCs w:val="24"/>
        </w:rPr>
        <w:noBreakHyphen/>
        <w:t>up periods. This distinction highlights the need for clinicians to consider duration and cumulative exposure when evaluating cardiovascular safety, especially in middle</w:t>
      </w:r>
      <w:r w:rsidRPr="00ED08B9">
        <w:rPr>
          <w:rFonts w:ascii="Arial" w:hAnsi="Arial" w:cs="Arial"/>
          <w:sz w:val="24"/>
          <w:szCs w:val="24"/>
        </w:rPr>
        <w:noBreakHyphen/>
        <w:t>aged men who may already have age</w:t>
      </w:r>
      <w:r w:rsidRPr="00ED08B9">
        <w:rPr>
          <w:rFonts w:ascii="Arial" w:hAnsi="Arial" w:cs="Arial"/>
          <w:sz w:val="24"/>
          <w:szCs w:val="24"/>
        </w:rPr>
        <w:noBreakHyphen/>
        <w:t>related increases in baseline cardiovascular risk.</w:t>
      </w:r>
    </w:p>
    <w:p w14:paraId="4651A904"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divergence in findings also underscores the methodological challenges inherent in observational research. Studies vary in how they define exposure, measure outcomes and adjust for confounding variables such as smoking, obesity, physical activity and comorbid mental health conditions. These differences influence the magnitude and direction of reported associations. Nonetheless, the emerging pattern across studies points to a nuanced relationship: ADHD medication does not appear to pose substantial short</w:t>
      </w:r>
      <w:r w:rsidRPr="00ED08B9">
        <w:rPr>
          <w:rFonts w:ascii="Arial" w:hAnsi="Arial" w:cs="Arial"/>
          <w:sz w:val="24"/>
          <w:szCs w:val="24"/>
        </w:rPr>
        <w:noBreakHyphen/>
        <w:t>term cardiovascular risk, but long</w:t>
      </w:r>
      <w:r w:rsidRPr="00ED08B9">
        <w:rPr>
          <w:rFonts w:ascii="Arial" w:hAnsi="Arial" w:cs="Arial"/>
          <w:sz w:val="24"/>
          <w:szCs w:val="24"/>
        </w:rPr>
        <w:noBreakHyphen/>
        <w:t>term use warrants careful monitoring and further investigation.</w:t>
      </w:r>
    </w:p>
    <w:p w14:paraId="45CDCE07"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theme therefore provides an essential foundation for understanding the broader evidence base and sets the stage for subsequent themes that explore duration, confounding factors, patient experience and underlying biological mechanisms.</w:t>
      </w:r>
    </w:p>
    <w:p w14:paraId="0365B8A4"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Theme 2: Duration and Exposure Effects</w:t>
      </w:r>
    </w:p>
    <w:p w14:paraId="706913BD"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duration of medication use emerged as a critical factor influencing cardiovascular risk across the included studies. Although all studies examined exposure in some form, they differed considerably in how duration was measured, categorised and interpreted. These methodological differences shaped the conclusions drawn and contributed to the variation observed across the evidence base. Nonetheless, a clear pattern emerged: cardiovascular risk appears to change over time, with both early and cumulative effects playing a role.</w:t>
      </w:r>
    </w:p>
    <w:p w14:paraId="0A27214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Zhang et al. (2023) provided some of the strongest evidence for the importance of cumulative exposure. Their large registry</w:t>
      </w:r>
      <w:r w:rsidRPr="00ED08B9">
        <w:rPr>
          <w:rFonts w:ascii="Arial" w:hAnsi="Arial" w:cs="Arial"/>
          <w:sz w:val="24"/>
          <w:szCs w:val="24"/>
        </w:rPr>
        <w:noBreakHyphen/>
        <w:t>based study demonstrated that longer periods of ADHD medication use were associated with a higher risk of cardiovascular disease, particularly hypertension. The authors argued that sustained stimulant exposure may contribute to persistent elevations in blood pressure and heart rate, which, over time, could lead to clinically meaningful cardiovascular changes. This interpretation aligns with broader physiological research suggesting that chronic sympathetic activation can have cumulative effects on vascular function. Holt et al. (2024) supported this perspective, emphasising the need for long</w:t>
      </w:r>
      <w:r w:rsidRPr="00ED08B9">
        <w:rPr>
          <w:rFonts w:ascii="Arial" w:hAnsi="Arial" w:cs="Arial"/>
          <w:sz w:val="24"/>
          <w:szCs w:val="24"/>
        </w:rPr>
        <w:noBreakHyphen/>
        <w:t>term monitoring in adult populations, especially those with pre</w:t>
      </w:r>
      <w:r w:rsidRPr="00ED08B9">
        <w:rPr>
          <w:rFonts w:ascii="Arial" w:hAnsi="Arial" w:cs="Arial"/>
          <w:sz w:val="24"/>
          <w:szCs w:val="24"/>
        </w:rPr>
        <w:noBreakHyphen/>
        <w:t>existing cardiovascular risk factors. Their findings suggest that risk may not be immediately apparent but may accumulate gradually as exposure lengthens.</w:t>
      </w:r>
    </w:p>
    <w:p w14:paraId="1A34CF74"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In contrast, Garcia</w:t>
      </w:r>
      <w:r w:rsidRPr="00ED08B9">
        <w:rPr>
          <w:rFonts w:ascii="Arial" w:hAnsi="Arial" w:cs="Arial"/>
          <w:sz w:val="24"/>
          <w:szCs w:val="24"/>
        </w:rPr>
        <w:noBreakHyphen/>
        <w:t>Argibay et al. (2024) focused specifically on short</w:t>
      </w:r>
      <w:r w:rsidRPr="00ED08B9">
        <w:rPr>
          <w:rFonts w:ascii="Arial" w:hAnsi="Arial" w:cs="Arial"/>
          <w:sz w:val="24"/>
          <w:szCs w:val="24"/>
        </w:rPr>
        <w:noBreakHyphen/>
        <w:t>term exposure and identified an increased risk within the first six months of treatment. Their findings indicate that cardiovascular effects may emerge early in the treatment course, potentially reflecting acute physiological responses to stimulant initiation. These early effects may include transient increases in blood pressure and heart rate, which could be particularly relevant for individuals with undiagnosed or poorly controlled cardiovascular conditions. The identification of early</w:t>
      </w:r>
      <w:r w:rsidRPr="00ED08B9">
        <w:rPr>
          <w:rFonts w:ascii="Arial" w:hAnsi="Arial" w:cs="Arial"/>
          <w:sz w:val="24"/>
          <w:szCs w:val="24"/>
        </w:rPr>
        <w:noBreakHyphen/>
        <w:t>onset risk highlights the importance of initial cardiovascular assessment and close monitoring during the first months of treatment.</w:t>
      </w:r>
    </w:p>
    <w:p w14:paraId="77075820"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These findings indicate that cardiovascular risk associated with ADHD medication is not static but varies over time. The evidence suggests a dual</w:t>
      </w:r>
      <w:r w:rsidRPr="00ED08B9">
        <w:rPr>
          <w:rFonts w:ascii="Arial" w:hAnsi="Arial" w:cs="Arial"/>
          <w:sz w:val="24"/>
          <w:szCs w:val="24"/>
        </w:rPr>
        <w:noBreakHyphen/>
        <w:t>phase pattern: an initial period during which acute physiological responses may elevate risk, followed by a longer</w:t>
      </w:r>
      <w:r w:rsidRPr="00ED08B9">
        <w:rPr>
          <w:rFonts w:ascii="Arial" w:hAnsi="Arial" w:cs="Arial"/>
          <w:sz w:val="24"/>
          <w:szCs w:val="24"/>
        </w:rPr>
        <w:noBreakHyphen/>
        <w:t>term phase in which cumulative exposure becomes increasingly relevant. The mechanisms underlying these phases may differ, with early effects driven by immediate pharmacological action and later effects shaped by sustained sympathetic activation and gradual vascular changes.</w:t>
      </w:r>
    </w:p>
    <w:p w14:paraId="6FCCAC4C"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temporal dimension has important implications for clinical practice. It suggests that cardiovascular monitoring should not be limited to treatment initiation but should continue throughout long</w:t>
      </w:r>
      <w:r w:rsidRPr="00ED08B9">
        <w:rPr>
          <w:rFonts w:ascii="Arial" w:hAnsi="Arial" w:cs="Arial"/>
          <w:sz w:val="24"/>
          <w:szCs w:val="24"/>
        </w:rPr>
        <w:noBreakHyphen/>
        <w:t>term therapy, particularly for middle</w:t>
      </w:r>
      <w:r w:rsidRPr="00ED08B9">
        <w:rPr>
          <w:rFonts w:ascii="Arial" w:hAnsi="Arial" w:cs="Arial"/>
          <w:sz w:val="24"/>
          <w:szCs w:val="24"/>
        </w:rPr>
        <w:noBreakHyphen/>
        <w:t>aged men who may already have elevated baseline risk. It also underscores the need for future research to adopt more nuanced exposure measures, including dose trajectories, treatment interruptions and cumulative dose calculations. By recognising that cardiovascular risk evolves over time, clinicians and researchers can better understand the complex relationship between ADHD medication and cardiovascular health, ultimately supporting safer and more informed prescribing decisions.</w:t>
      </w:r>
    </w:p>
    <w:p w14:paraId="19FAD660"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Theme 3: Short-term vs Long-term Risk</w:t>
      </w:r>
    </w:p>
    <w:p w14:paraId="46FED09B"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 clear distinction emerged between short</w:t>
      </w:r>
      <w:r w:rsidRPr="00ED08B9">
        <w:rPr>
          <w:rFonts w:ascii="Arial" w:hAnsi="Arial" w:cs="Arial"/>
          <w:sz w:val="24"/>
          <w:szCs w:val="24"/>
        </w:rPr>
        <w:noBreakHyphen/>
        <w:t>term and long</w:t>
      </w:r>
      <w:r w:rsidRPr="00ED08B9">
        <w:rPr>
          <w:rFonts w:ascii="Arial" w:hAnsi="Arial" w:cs="Arial"/>
          <w:sz w:val="24"/>
          <w:szCs w:val="24"/>
        </w:rPr>
        <w:noBreakHyphen/>
        <w:t>term cardiovascular risk across the included studies. Research focusing on short</w:t>
      </w:r>
      <w:r w:rsidRPr="00ED08B9">
        <w:rPr>
          <w:rFonts w:ascii="Arial" w:hAnsi="Arial" w:cs="Arial"/>
          <w:sz w:val="24"/>
          <w:szCs w:val="24"/>
        </w:rPr>
        <w:noBreakHyphen/>
        <w:t>term exposure generally reported minimal or modest risk, whereas studies examining longer periods of medication use identified more concerning patterns. This temporal divergence is central to understanding how ADHD medication may influence cardiovascular health in adults, particularly middle</w:t>
      </w:r>
      <w:r w:rsidRPr="00ED08B9">
        <w:rPr>
          <w:rFonts w:ascii="Arial" w:hAnsi="Arial" w:cs="Arial"/>
          <w:sz w:val="24"/>
          <w:szCs w:val="24"/>
        </w:rPr>
        <w:noBreakHyphen/>
        <w:t>aged men who often present with existing risk factors.</w:t>
      </w:r>
    </w:p>
    <w:p w14:paraId="389598D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Short</w:t>
      </w:r>
      <w:r w:rsidRPr="00ED08B9">
        <w:rPr>
          <w:rFonts w:ascii="Arial" w:hAnsi="Arial" w:cs="Arial"/>
          <w:sz w:val="24"/>
          <w:szCs w:val="24"/>
        </w:rPr>
        <w:noBreakHyphen/>
        <w:t>term studies, such as Habel et al. (2011), found little evidence of serious cardiovascular events attributable to ADHD medication within relatively brief follow</w:t>
      </w:r>
      <w:r w:rsidRPr="00ED08B9">
        <w:rPr>
          <w:rFonts w:ascii="Arial" w:hAnsi="Arial" w:cs="Arial"/>
          <w:sz w:val="24"/>
          <w:szCs w:val="24"/>
        </w:rPr>
        <w:noBreakHyphen/>
        <w:t>up periods. Their findings suggested that stimulant initiation does not immediately translate into major adverse outcomes such as myocardial infarction or stroke. This aligns with broader clinical observations that early physiological changes, typically small increases in heart rate and blood pressure, may not be sufficient to trigger acute cardiovascular events in otherwise healthy adults.</w:t>
      </w:r>
    </w:p>
    <w:p w14:paraId="5E150B01"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Garcia</w:t>
      </w:r>
      <w:r w:rsidRPr="00ED08B9">
        <w:rPr>
          <w:rFonts w:ascii="Arial" w:hAnsi="Arial" w:cs="Arial"/>
          <w:sz w:val="24"/>
          <w:szCs w:val="24"/>
        </w:rPr>
        <w:noBreakHyphen/>
        <w:t>Argibay et al. (2024) offered a more nuanced perspective on early risk. Their analysis identified a modest increase in cardiovascular events within the first six months of treatment, indicating that some individuals may experience heightened vulnerability shortly after medication initiation. These early effects may reflect acute sympathetic activation or unmasking of previously undetected cardiovascular conditions. The study underscores the importance of careful assessment and monitoring during the initial treatment phase, particularly for individuals with borderline or poorly controlled cardiovascular profiles.</w:t>
      </w:r>
    </w:p>
    <w:p w14:paraId="68540738"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Long</w:t>
      </w:r>
      <w:r w:rsidRPr="00ED08B9">
        <w:rPr>
          <w:rFonts w:ascii="Arial" w:hAnsi="Arial" w:cs="Arial"/>
          <w:sz w:val="24"/>
          <w:szCs w:val="24"/>
        </w:rPr>
        <w:noBreakHyphen/>
        <w:t>term studies presented a different picture. Zhang et al. (2023) demonstrated that prolonged cumulative exposure to ADHD medication was associated with an increased risk of cardiovascular disease, with hypertension emerging as a particularly prominent outcome. Their findings suggest that sustained stimulant use may contribute to persistent elevations in blood pressure and heart rate, which, over time, can place additional strain on the cardiovascular system. Holt et al. (2024) reinforced this interpretation, reporting elevated cardiovascular risk among adults receiving long</w:t>
      </w:r>
      <w:r w:rsidRPr="00ED08B9">
        <w:rPr>
          <w:rFonts w:ascii="Arial" w:hAnsi="Arial" w:cs="Arial"/>
          <w:sz w:val="24"/>
          <w:szCs w:val="24"/>
        </w:rPr>
        <w:noBreakHyphen/>
        <w:t>term treatment and highlighting the need for ongoing monitoring in clinical practice.</w:t>
      </w:r>
    </w:p>
    <w:p w14:paraId="7AA5D1B9"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contrast between early and later findings points towards a dual</w:t>
      </w:r>
      <w:r w:rsidRPr="00ED08B9">
        <w:rPr>
          <w:rFonts w:ascii="Arial" w:hAnsi="Arial" w:cs="Arial"/>
          <w:sz w:val="24"/>
          <w:szCs w:val="24"/>
        </w:rPr>
        <w:noBreakHyphen/>
        <w:t>risk model. In the initial stages of treatment, physiological responses to stimulant medication may create short</w:t>
      </w:r>
      <w:r w:rsidRPr="00ED08B9">
        <w:rPr>
          <w:rFonts w:ascii="Arial" w:hAnsi="Arial" w:cs="Arial"/>
          <w:sz w:val="24"/>
          <w:szCs w:val="24"/>
        </w:rPr>
        <w:noBreakHyphen/>
        <w:t>term vulnerability, especially in individuals with underlying risk factors. Over longer periods, cumulative exposure appears to play a more substantial role, contributing to gradual cardiovascular strain that may not be immediately detectable in short</w:t>
      </w:r>
      <w:r w:rsidRPr="00ED08B9">
        <w:rPr>
          <w:rFonts w:ascii="Arial" w:hAnsi="Arial" w:cs="Arial"/>
          <w:sz w:val="24"/>
          <w:szCs w:val="24"/>
        </w:rPr>
        <w:noBreakHyphen/>
        <w:t>term studies. This model helps explain why studies with limited follow</w:t>
      </w:r>
      <w:r w:rsidRPr="00ED08B9">
        <w:rPr>
          <w:rFonts w:ascii="Arial" w:hAnsi="Arial" w:cs="Arial"/>
          <w:sz w:val="24"/>
          <w:szCs w:val="24"/>
        </w:rPr>
        <w:noBreakHyphen/>
        <w:t>up often report minimal risk, while those examining extended exposure identify more concerning trends.</w:t>
      </w:r>
    </w:p>
    <w:p w14:paraId="466B9301"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Understanding this temporal dimension is essential for interpreting the evidence base. It highlights the need for clinicians to consider not only whether medication is used, but also the duration, dosage trajectory and individual cardiovascular profile of each patient. It also emphasises the importance of future research adopting more refined exposure measures and longer follow</w:t>
      </w:r>
      <w:r w:rsidRPr="00ED08B9">
        <w:rPr>
          <w:rFonts w:ascii="Arial" w:hAnsi="Arial" w:cs="Arial"/>
          <w:sz w:val="24"/>
          <w:szCs w:val="24"/>
        </w:rPr>
        <w:noBreakHyphen/>
        <w:t>up periods to capture the evolving nature of cardiovascular risk associated with ADHD medication.</w:t>
      </w:r>
    </w:p>
    <w:p w14:paraId="27F35D50"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Theme 4: Role of Confounding and Lifestyle Factors</w:t>
      </w:r>
    </w:p>
    <w:p w14:paraId="3E4F98A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All quantitative studies highlighted the importance of confounding factors, particularly lifestyle behaviours such as smoking, diet and physical activity, in shaping cardiovascular outcomes. These behaviours are well</w:t>
      </w:r>
      <w:r w:rsidRPr="00ED08B9">
        <w:rPr>
          <w:rFonts w:ascii="Arial" w:hAnsi="Arial" w:cs="Arial"/>
          <w:sz w:val="24"/>
          <w:szCs w:val="24"/>
        </w:rPr>
        <w:noBreakHyphen/>
        <w:t>established determinants of cardiovascular health, and their uneven distribution across populations makes them especially relevant when examining medication</w:t>
      </w:r>
      <w:r w:rsidRPr="00ED08B9">
        <w:rPr>
          <w:rFonts w:ascii="Arial" w:hAnsi="Arial" w:cs="Arial"/>
          <w:sz w:val="24"/>
          <w:szCs w:val="24"/>
        </w:rPr>
        <w:noBreakHyphen/>
        <w:t>related risk. Despite broad recognition of their significance, the extent to which studies were able to account for these variables varied considerably, influencing the strength and reliability of the reported associations.</w:t>
      </w:r>
    </w:p>
    <w:p w14:paraId="0E9F5F23"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Habel et al. (2011) incorporated adjustments for several key confounders, including smoking status and pre</w:t>
      </w:r>
      <w:r w:rsidRPr="00ED08B9">
        <w:rPr>
          <w:rFonts w:ascii="Arial" w:hAnsi="Arial" w:cs="Arial"/>
          <w:sz w:val="24"/>
          <w:szCs w:val="24"/>
        </w:rPr>
        <w:noBreakHyphen/>
        <w:t>existing cardiovascular conditions. Their analysis demonstrated that even with extensive adjustment, the possibility of residual confounding remained. They acknowledged that lifestyle behaviours are often imperfectly measured in administrative datasets, meaning that subtle but meaningful differences between medicated and unmedicated groups may persist. Forns et al. (2022) adopted a similarly rigorous approach, adjusting for a wide range of demographic and clinical variables. However, they also noted that behavioural factors such as diet and physical activity were not consistently available across national registers, limiting the precision of their models.</w:t>
      </w:r>
    </w:p>
    <w:p w14:paraId="131184DB"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Zhang et al. (2023) explicitly recognised that lifestyle factors may influence the observed association between ADHD medication and cardiovascular risk. Their study highlighted the challenge of disentangling medication effects from the broader behavioural profile of individuals with ADHD, who may have higher rates of smoking, substance use or sedentary behaviour. These patterns complicate interpretation, as cardiovascular risk may be shaped as much by underlying lifestyle characteristics as by medication exposure itself. Even when statistical adjustments are applied, unmeasured or poorly measured confounders can introduce bias, potentially inflating or obscuring true associations.</w:t>
      </w:r>
    </w:p>
    <w:p w14:paraId="22226F7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theme exposes a central limitation of the evidence base. Although studies consistently attempt to control for confounding, the complexity of behavioural and environmental influences means that residual bias cannot be eliminated entirely. Lifestyle behaviours are dynamic, multifaceted and often correlated with socioeconomic factors, mental health status and healthcare access. These interdependencies make them difficult to capture accurately in observational research. As a result, even well</w:t>
      </w:r>
      <w:r w:rsidRPr="00ED08B9">
        <w:rPr>
          <w:rFonts w:ascii="Arial" w:hAnsi="Arial" w:cs="Arial"/>
          <w:sz w:val="24"/>
          <w:szCs w:val="24"/>
        </w:rPr>
        <w:noBreakHyphen/>
        <w:t>designed studies may struggle to isolate the independent effect of ADHD medication on cardiovascular outcomes.</w:t>
      </w:r>
    </w:p>
    <w:p w14:paraId="1E1A307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limitations associated with confounding have important implications for interpreting the evidence. They suggest that findings should be approached with caution, particularly when differences between medicated and unmedicated groups may reflect broader behavioural patterns rather than medication effects alone. They also highlight the need for future research to incorporate more detailed behavioural data, potentially through linkage with lifestyle surveys, wearable devices or clinical assessments. Improved measurement of confounding variables would strengthen causal inference and support more precise evaluation of cardiovascular risk.</w:t>
      </w:r>
    </w:p>
    <w:p w14:paraId="6DC347E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prominence of confounding and lifestyle factors across studies underscores the inherent challenges of observational research in this field. While adjustments can reduce bias, they cannot fully resolve the complexity of real</w:t>
      </w:r>
      <w:r w:rsidRPr="00ED08B9">
        <w:rPr>
          <w:rFonts w:ascii="Arial" w:hAnsi="Arial" w:cs="Arial"/>
          <w:sz w:val="24"/>
          <w:szCs w:val="24"/>
        </w:rPr>
        <w:noBreakHyphen/>
        <w:t>world behaviours that influence cardiovascular health.</w:t>
      </w:r>
    </w:p>
    <w:p w14:paraId="77AB86D2"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Theme 5: Patient Experience and Medication Adherence</w:t>
      </w:r>
    </w:p>
    <w:p w14:paraId="0A600ED1"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Qualitative studies provided valuable insight into how patients experience ADHD medication and how these experiences shape patterns of use. Barnes et al. (2025) found that adherence was strongly influenced by patients’ perceptions of effectiveness, the presence and severity of side effects, and personal beliefs about the role of medication in managing symptoms. Participants described weighing perceived benefits against concerns about dependency, long</w:t>
      </w:r>
      <w:r w:rsidRPr="00ED08B9">
        <w:rPr>
          <w:rFonts w:ascii="Arial" w:hAnsi="Arial" w:cs="Arial"/>
          <w:sz w:val="24"/>
          <w:szCs w:val="24"/>
        </w:rPr>
        <w:noBreakHyphen/>
        <w:t>term health implications and the impact of medication on their sense of identity. These reflections often shaped decisions about whether to continue, adjust or discontinue treatment.</w:t>
      </w:r>
    </w:p>
    <w:p w14:paraId="22252A64"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Reeves et al. (2025) highlighted the importance of communication between patients and clinicians in shaping treatment decisions. Their findings showed that clear explanations, collaborative decision</w:t>
      </w:r>
      <w:r w:rsidRPr="00ED08B9">
        <w:rPr>
          <w:rFonts w:ascii="Arial" w:hAnsi="Arial" w:cs="Arial"/>
          <w:sz w:val="24"/>
          <w:szCs w:val="24"/>
        </w:rPr>
        <w:noBreakHyphen/>
        <w:t>making and opportunities to discuss concerns played a central role in supporting consistent medication use. Conversely, limited dialogue or perceived dismissal of patient concerns contributed to uncertainty and inconsistent adherence. The study emphasised that patients’ interpretations of cardiovascular side effects were often shaped by the quality of information and reassurance provided during clinical encounters.</w:t>
      </w:r>
    </w:p>
    <w:p w14:paraId="06D7F63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These qualitative insights demonstrate that adherence is influenced by far more than clinical indicators alone. Psychological factors, personal beliefs and social interactions all contribute to how individuals engage with treatment. This has direct implications for cardiovascular risk, as inconsistent medication use may lead to fluctuating physiological effects, including variable heart rate and blood pressure responses. Understanding these experiential dimensions is therefore essential for interpreting quantitative findings and for designing monitoring strategies that reflect the realities of patient behaviour.</w:t>
      </w:r>
    </w:p>
    <w:p w14:paraId="260DD5E1"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Theme 6: Biological Mechanisms and Cardiovascular Response</w:t>
      </w:r>
    </w:p>
    <w:p w14:paraId="7BD2E529"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final theme concerns the biological mechanisms that may underlie cardiovascular risk in adults using ADHD medication. Stimulant medications act by increasing catecholamine activity, which enhances the release of noradrenaline and dopamine. This process stimulates the sympathetic nervous system and leads to measurable physiological effects, including elevated heart rate and increased blood pressure. These responses are well documented in pharmacological research and are generally expected outcomes of stimulant action.</w:t>
      </w:r>
    </w:p>
    <w:p w14:paraId="64AE609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In the short term, these changes are usually modest, although they may be more pronounced in individuals with heightened sensitivity to sympathetic stimulation. For most adults, these early effects do not translate into immediate cardiovascular events, but they can still create temporary strain on the cardiovascular system. This is particularly relevant for people with undiagnosed hypertension or other underlying conditions that may amplify the impact of increased sympathetic activity.</w:t>
      </w:r>
    </w:p>
    <w:p w14:paraId="10BC3CB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Over longer periods, sustained elevations in heart rate and blood pressure may contribute to cumulative cardiovascular strain. Prolonged sympathetic activation has been linked to vascular stiffness, increased myocardial workload and gradual changes in cardiac structure. These mechanisms offer a plausible explanation for the increased risk observed in long</w:t>
      </w:r>
      <w:r w:rsidRPr="00ED08B9">
        <w:rPr>
          <w:rFonts w:ascii="Arial" w:hAnsi="Arial" w:cs="Arial"/>
          <w:sz w:val="24"/>
          <w:szCs w:val="24"/>
        </w:rPr>
        <w:noBreakHyphen/>
        <w:t>term studies, where hypertension and other cardiovascular outcomes appear more frequently among individuals with extended exposure to stimulant medication.</w:t>
      </w:r>
    </w:p>
    <w:p w14:paraId="2072641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Understanding these biological pathways is important for interpreting the broader evidence base. It helps clarify why short</w:t>
      </w:r>
      <w:r w:rsidRPr="00ED08B9">
        <w:rPr>
          <w:rFonts w:ascii="Arial" w:hAnsi="Arial" w:cs="Arial"/>
          <w:sz w:val="24"/>
          <w:szCs w:val="24"/>
        </w:rPr>
        <w:noBreakHyphen/>
        <w:t>term studies often report minimal risk, while research examining longer exposure periods identifies more concerning patterns.</w:t>
      </w:r>
    </w:p>
    <w:p w14:paraId="5F75B85D"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5.6 Chapter Summary</w:t>
      </w:r>
    </w:p>
    <w:p w14:paraId="422EBFF8"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chapter synthesised findings from eight studies examining the relationship between ADHD medication and cardiovascular risk. The analysis identified several key themes, including the role of duration, the distinction between short-term and long-term risk, and the influence of confounding factors.</w:t>
      </w:r>
    </w:p>
    <w:p w14:paraId="1687746C"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findings suggest that while ADHD medication may not significantly increase short-term cardiovascular risk, prolonged exposure may be associated with adverse outcomes. Qualitative evidence highlights the importance of patient experience and adherence, while biological mechanisms provide a plausible explanation for observed effects.</w:t>
      </w:r>
    </w:p>
    <w:p w14:paraId="658A1937"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next chapter will discuss these findings in relation to existing literature and explore their implications for clinical practice and future research.</w:t>
      </w:r>
      <w:r w:rsidRPr="00ED08B9">
        <w:rPr>
          <w:rFonts w:ascii="Arial" w:hAnsi="Arial" w:cs="Arial"/>
          <w:b/>
          <w:bCs/>
          <w:sz w:val="24"/>
          <w:szCs w:val="24"/>
        </w:rPr>
        <w:br w:type="page"/>
      </w:r>
    </w:p>
    <w:p w14:paraId="7DF645D8"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CHAPTER 6: DISCUSSION</w:t>
      </w:r>
    </w:p>
    <w:p w14:paraId="6BE25AC4"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6.1 Introduction to Chapter</w:t>
      </w:r>
    </w:p>
    <w:p w14:paraId="65C0EF3C"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chapter critically interprets the findings of this systematic literature review in relation to the research question, which examines the association between ADHD medication use and cardiovascular risk in middle-aged men. Drawing on the thematic synthesis presented in Chapter 5, the discussion moves beyond description to evaluate how the identified themes correspond with existing research, established clinical understanding, and broader public health priorities. Particular attention is given to areas of convergence and divergence within the evidence base, recognising that the relationship between ADHD medication and cardiovascular outcomes is shaped by multiple interacting factors, including duration of exposure, comorbidities, and lifestyle behaviours.</w:t>
      </w:r>
    </w:p>
    <w:p w14:paraId="35A6CF80"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chapter also considers the extent to which the findings extend current knowledge. While some results reinforce existing evidence regarding the relative short-term safety of ADHD medication, others highlight emerging concerns linked to long-term use, thereby contributing a more nuanced perspective to the field. In doing so, the discussion situates the findings within ongoing debates around medication safety, risk stratification, and the management of adult ADHD.</w:t>
      </w:r>
    </w:p>
    <w:p w14:paraId="5B73414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 critical reflection on the methodological approach adopted in this review is also provided. This includes an assessment of the strengths and limitations of the systematic literature review design, with particular attention to issues such as study heterogeneity, reliance on observational evidence, and the potential influence of residual confounding. The chapter concludes by offering a balanced evaluation of the robustness of the findings, setting the foundation for the final conclusions and recommendations.</w:t>
      </w:r>
    </w:p>
    <w:p w14:paraId="6F9B600F"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6.2 Discussion of Key Findings</w:t>
      </w:r>
    </w:p>
    <w:p w14:paraId="36C10C8C"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Cardiovascular Risk and ADHD Medication</w:t>
      </w:r>
    </w:p>
    <w:p w14:paraId="270B1C5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findings of this review suggest a complex and, at times, inconsistent relationship between ADHD medication use and cardiovascular outcomes. Several quantitative studies, including Habel et al. (2011) and Zhang et al. (2022), reported no statistically significant increase in major cardiovascular events among adult users of ADHD medication. These findings are broadly consistent with earlier safety studies, which have suggested that stimulant medications are generally well tolerated in the short term, particularly in populations without pre-existing cardiovascular conditions. This has contributed to a degree of clinical reassurance, supporting current prescribing practices where baseline cardiovascular risk is considered low.</w:t>
      </w:r>
    </w:p>
    <w:p w14:paraId="704A37E0"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However, this apparent reassurance must be interpreted with caution. More recent evidence, particularly Zhang et al. (2023) and Holt et al. (2024), indicates that long-term exposure may be associated with an increased risk of cardiovascular disease, including hypertension and arterial disorders. This divergence highlights an important shift in the literature, where earlier studies focused primarily on short-term safety, whereas newer studies have begun to examine cumulative exposure and long-term outcomes. It also reflects improvements in data availability, with larger datasets and longer follow-up periods enabling more detailed assessment of risk over time.</w:t>
      </w:r>
    </w:p>
    <w:p w14:paraId="6A4E6E27"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pattern aligns with broader cardiovascular research, which emphasises the cumulative nature of risk. Chronic elevation of blood pressure and heart rate, even if modest, may contribute to long-term cardiovascular strain and progressive vascular changes. In this context, the findings of this review are consistent with established physiological theory, suggesting that sustained sympathetic activation may have clinically meaningful consequences over time, particularly in middle-aged populations who may already have underlying risk factors.</w:t>
      </w:r>
    </w:p>
    <w:p w14:paraId="5DE4D004"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Duration and Exposure Effects</w:t>
      </w:r>
    </w:p>
    <w:p w14:paraId="2E0D2157"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Duration of medication use emerged as a key determinant of cardiovascular risk. The findings suggest that risk is not static but evolves over time, with prolonged exposure associated with an increased cardiovascular burden. This is strongly supported by Zhang et al. (2023), who demonstrated a clear relationship between cumulative medication exposure and the incidence of cardiovascular disease. Their findings indicate that risk accumulates gradually, rather than appearing as an immediate consequence of treatment, which has important implications for long-term prescribing and monitoring strategies in adult populations.</w:t>
      </w:r>
    </w:p>
    <w:p w14:paraId="48C4D20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observation is consistent with pharmacological theory, which suggests that repeated stimulation of the sympathetic nervous system may lead to progressive structural and functional changes in the cardiovascular system. Sustained increases in heart rate and blood pressure can contribute to arterial stiffness, endothelial dysfunction and, over time, increased cardiovascular strain. It also aligns with broader epidemiological evidence indicating that long-term exposure to even relatively modest risk factors can result in clinically significant outcomes, particularly in individuals with underlying vulnerabilities.</w:t>
      </w:r>
    </w:p>
    <w:p w14:paraId="41BB5FEB"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At the same time, the evidence is not entirely uniform. Garcia-Argibay et al. (2024) identified an elevated risk within the first six months of treatment, suggesting that early physiological responses may also play a role. This introduces the possibility of a dual-risk pattern, where both early and long-term exposure contribute to cardiovascular risk through different mechanisms. Early risk may reflect acute haemodynamic changes following treatment initiation, whereas long-term risk appears to be driven by cumulative physiological effects, highlighting the need for both short-term vigilance and sustained monitoring.</w:t>
      </w:r>
    </w:p>
    <w:p w14:paraId="4C5B8560"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Short-term versus Long-term Risk</w:t>
      </w:r>
    </w:p>
    <w:p w14:paraId="6E1886E5"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distinction between short-term and long-term risk is central to understanding the overall findings. Short-term studies generally report minimal cardiovascular risk, which has contributed to the perception that ADHD medication is relatively safe from a cardiovascular perspective. This has informed clinical confidence in initiating treatment, particularly in individuals without known cardiovascular conditions. However, this review highlights that such conclusions may be incomplete if long-term effects are not adequately considered, especially given the increasing duration of treatment among adult populations.</w:t>
      </w:r>
    </w:p>
    <w:p w14:paraId="3DFBE2EC"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findings suggest that short-term safety does not necessarily translate into long-term safety. In adults, where medication use may continue for many years, cumulative exposure becomes a critical factor. Evidence from longer-term studies indicates that sustained pharmacological effects may contribute to gradual cardiovascular changes that are not immediately apparent in early stages of treatment. This challenges the assumption that the absence of short-term adverse outcomes is sufficient to establish overall safety and underscores the importance of longitudinal perspectives in evaluating medication risk.</w:t>
      </w:r>
    </w:p>
    <w:p w14:paraId="033D489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interpretation is supported by broader clinical practice, where ongoing monitoring of cardiovascular parameters is often recommended even when initial treatment appears well tolerated. Regular assessment of blood pressure, heart rate and other risk indicators reflects an awareness that cardiovascular effects may develop over time. It also raises important questions about how risk is communicated to patients, particularly in the context of increasing adult diagnoses and long-term treatment pathways, where expectations of safety may need to be balanced with informed awareness of potential long-term implications.</w:t>
      </w:r>
    </w:p>
    <w:p w14:paraId="61165597"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Role of Confounding and Lifestyle Factors</w:t>
      </w:r>
    </w:p>
    <w:p w14:paraId="30DE7D6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One of the most consistent findings across the included studies is the influence of confounding factors. Lifestyle behaviours such as smoking, physical inactivity and poor diet are well-established contributors to cardiovascular risk and are also more prevalent among individuals with ADHD. These behaviours may cluster with other risk determinants, including alcohol use, sleep disturbance and socioeconomic disadvantage, all of which can independently influence cardiovascular outcomes. As a result, distinguishing the specific effect of medication from the broader behavioural profile of the population remains challenging.</w:t>
      </w:r>
    </w:p>
    <w:p w14:paraId="627E2A24"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Although many studies attempted to adjust for confounders, none were able to fully account for all relevant variables. Large registry-based studies, such as those by Zhang et al. (2023) and Forns et al. (2022), included adjustments for demographic and clinical factors, yet often lacked detailed information on lifestyle behaviours. This reflects a broader limitation of observational research, where residual confounding cannot be entirely eliminated, particularly when key variables are difficult to measure or inconsistently recorded.</w:t>
      </w:r>
    </w:p>
    <w:p w14:paraId="1D2390BB"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findings of this review therefore highlight the need to interpret associations between medication and cardiovascular outcomes with caution. It is plausible that some of the observed risks may be partially attributable to underlying behavioural or environmental factors rather than medication alone. This is particularly important in middle-aged men, where baseline cardiovascular risk is already elevated due to age-related changes and accumulated exposures. The interaction between medication, lifestyle and existing health conditions creates a complex risk profile, making it difficult to isolate causal pathways and reinforcing the importance of comprehensive risk assessment in clinical practice.</w:t>
      </w:r>
    </w:p>
    <w:p w14:paraId="78740DC1"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Patient Experience and Medication Adherence</w:t>
      </w:r>
    </w:p>
    <w:p w14:paraId="17408B51"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qualitative studies included in this review provide valuable insight into how individuals experience ADHD medication and how this influences adherence. Barnes et al. (2025) found that adherence is shaped by perceived benefits, side effects and personal beliefs, while Reeves et al. (2025) highlighted the importance of patient-clinician relationships.</w:t>
      </w:r>
    </w:p>
    <w:p w14:paraId="222D72F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These findings are consistent with existing research on medication adherence, which emphasises the role of psychological and social factors. They also provide important context for interpreting quantitative findings, as adherence patterns may influence both exposure and outcomes.</w:t>
      </w:r>
    </w:p>
    <w:p w14:paraId="44A09E69"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For example, inconsistent medication use may lead to fluctuating physiological responses, which could affect cardiovascular risk. Similarly, discontinuation due to side effects may alter exposure patterns in ways that are not captured in observational data.</w:t>
      </w:r>
    </w:p>
    <w:p w14:paraId="60EA07D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These insights highlight the importance of integrating qualitative evidence into the analysis, as it provides a more complete understanding of how medication is used in real-world settings.</w:t>
      </w:r>
    </w:p>
    <w:p w14:paraId="0D3AEFCA"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Biological Mechanisms and Cardiovascular Response</w:t>
      </w:r>
    </w:p>
    <w:p w14:paraId="290DCC7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biological mechanisms underlying cardiovascular risk are well established and provide a coherent explanation for the findings of this review. Stimulant medications increase levels of catecholamines, leading to increased heart rate and blood pressure. These effects are consistent across studies and are a known pharmacological consequence of stimulant use.</w:t>
      </w:r>
    </w:p>
    <w:p w14:paraId="11698790"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Over time, sustained sympathetic activation may contribute to cardiovascular strain, including increased arterial stiffness and changes in cardiac contractility. This provides a plausible pathway linking medication use to long-term cardiovascular outcomes.</w:t>
      </w:r>
    </w:p>
    <w:p w14:paraId="188257BC"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Importantly, these mechanisms do not operate in isolation. They interact with individual risk factors, including age, comorbidities and lifestyle behaviours. This reinforces the view that cardiovascular risk associated with ADHD medication is multifactorial rather than solely pharmacological.</w:t>
      </w:r>
    </w:p>
    <w:p w14:paraId="5B6C9885"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Critical Reflection on Findings</w:t>
      </w:r>
    </w:p>
    <w:p w14:paraId="7023FC4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Although most studies were of high methodological quality, all quantitative evidence was observational in nature. As a result, causal inference remains limited, and the possibility of residual confounding, particularly from lifestyle factors such as smoking and physical activity, cannot be excluded.</w:t>
      </w:r>
    </w:p>
    <w:p w14:paraId="2F9156EE"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limitation is inherent to the evidence base and reflects the ethical and practical challenges of conducting long-term experimental research in this area. It also highlights the need for cautious interpretation and for future research that can better account for confounding variables.</w:t>
      </w:r>
    </w:p>
    <w:p w14:paraId="75C0B21D"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At the same time, the consistency of findings across multiple studies strengthens confidence in the observed patterns. The convergence of evidence from different designs and populations suggests that the relationship between ADHD medication and cardiovascular risk is real, even if its precise nature remains uncertain.</w:t>
      </w:r>
    </w:p>
    <w:p w14:paraId="7C7DF193"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6.3 Strengths and Limitations</w:t>
      </w:r>
    </w:p>
    <w:p w14:paraId="06A99C1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systematic literature review has several strengths. It adopted a structured and transparent methodology, guided by established systematic review principles, including a clearly defined research question, comprehensive search strategy and explicit inclusion and exclusion criteria. This approach enhances reproducibility and reduces the likelihood of selection bias. The use of recognised critical appraisal tools, specifically CASP and the NIH Quality Assessment Tool, ensured that the methodological quality of each included study was systematically evaluated rather than assumed. This strengthens the credibility of the synthesis, as findings were interpreted considering study quality rather than treated as equally robust.</w:t>
      </w:r>
    </w:p>
    <w:p w14:paraId="33D64320"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 further strength lies in the integration of both quantitative and qualitative evidence. While quantitative studies provided measurable associations between ADHD medication and cardiovascular outcomes, qualitative studies offered insight into patient experiences, adherence behaviours and contextual influences. This combination enabled a more holistic understanding of the topic, extending beyond clinical outcomes to include behavioural and psychosocial dimensions. In addition, the use of thematic synthesis allowed patterns to be identified across diverse study designs, supporting a coherent and structured interpretation of the evidence.</w:t>
      </w:r>
    </w:p>
    <w:p w14:paraId="3DD9E683"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However, several limitations must be acknowledged. The review included a relatively small number of studies, which may limit the generalisability of the findings. Although the included studies were of moderate to high quality, the reliance on observational designs means that causal relationships cannot be definitively established. Residual confounding remains a key concern, particularly in relation to lifestyle factors such as smoking, diet and physical activity, which were not consistently accounted for across studies.</w:t>
      </w:r>
    </w:p>
    <w:p w14:paraId="6B6CF8CB"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There was also considerable variability in study design, populations, exposure definitions and outcome measures, which made direct comparison challenging and limited the potential for quantitative synthesis. In addition, the possibility of publication bias cannot be excluded, as studies reporting significant findings are more likely to be published. The restriction to English-language studies may have further limited the scope of the review by excluding relevant research conducted in other settings. Collectively, these limitations highlight the need for cautious interpretation and for further research to strengthen the evidence base.</w:t>
      </w:r>
    </w:p>
    <w:p w14:paraId="4E916F58"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6.4 Chapter Summary</w:t>
      </w:r>
    </w:p>
    <w:p w14:paraId="3C695684"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chapter critically discussed the findings of the review, highlighting the complex relationship between ADHD medication and cardiovascular risk. The analysis identified key themes, including the role of duration, the distinction between short-term and long-term risk, and the influence of confounding factors. While the evidence suggests a potential association, it also highlights important limitations and uncertainties. The findings contribute to a more nuanced understanding of cardiovascular risk in middle-aged men and provide a foundation for future research and clinical practice.</w:t>
      </w:r>
    </w:p>
    <w:p w14:paraId="3028CDBC" w14:textId="77777777" w:rsidR="003D247F" w:rsidRPr="00ED08B9" w:rsidRDefault="003D247F" w:rsidP="003D247F">
      <w:pPr>
        <w:spacing w:line="278" w:lineRule="auto"/>
        <w:rPr>
          <w:rFonts w:ascii="Arial" w:hAnsi="Arial" w:cs="Arial"/>
          <w:sz w:val="24"/>
          <w:szCs w:val="24"/>
        </w:rPr>
      </w:pPr>
      <w:r w:rsidRPr="00ED08B9">
        <w:rPr>
          <w:rFonts w:ascii="Arial" w:hAnsi="Arial" w:cs="Arial"/>
          <w:sz w:val="24"/>
          <w:szCs w:val="24"/>
        </w:rPr>
        <w:br w:type="page"/>
      </w:r>
    </w:p>
    <w:p w14:paraId="28697F96"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CHAPTER 7: RECOMMENDATIONS AND CONCLUSION</w:t>
      </w:r>
    </w:p>
    <w:p w14:paraId="7250729C"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7.1 Introduction to Chapter</w:t>
      </w:r>
    </w:p>
    <w:p w14:paraId="1349B1B4"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chapter presents the final stage of this systematic literature review by outlining the implications of the findings, providing recommendations for practice and future research, and drawing overall conclusions. Building on the synthesis and critical discussion presented in previous chapters, the chapter moves from analysis to application, translating the findings into practical and research-oriented insights relevant to the management of ADHD in middle-aged men. In doing so, it considers how the evidence can inform clinical decision-making, particularly in relation to cardiovascular risk, long-term medication uses and the importance of ongoing monitoring.</w:t>
      </w:r>
    </w:p>
    <w:p w14:paraId="0D32F094"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 xml:space="preserve">Attention is given to the </w:t>
      </w:r>
      <w:r>
        <w:rPr>
          <w:rFonts w:ascii="Arial" w:hAnsi="Arial" w:cs="Arial"/>
          <w:sz w:val="24"/>
          <w:szCs w:val="24"/>
        </w:rPr>
        <w:t>conjunction</w:t>
      </w:r>
      <w:r w:rsidRPr="00ED08B9">
        <w:rPr>
          <w:rFonts w:ascii="Arial" w:hAnsi="Arial" w:cs="Arial"/>
          <w:sz w:val="24"/>
          <w:szCs w:val="24"/>
        </w:rPr>
        <w:t xml:space="preserve"> between pharmacological treatment and broader health determinants, including lifestyle factors such as smoking, physical activity and diet. This reflects the recognition that cardiovascular outcomes are influenced by a combination of clinical and behavioural variables rather than medication alone. The chapter also acknowledges areas of uncertainty within the evidence base, highlighting where findings are consistent and where further clarity is required.</w:t>
      </w:r>
    </w:p>
    <w:p w14:paraId="76441B5B"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recommendations presented aim to support evidence-informed practice by encouraging a more cautious, individualised approach to prescribing and patient management. At the same time, they identify key gaps in the literature that require further investigation, particularly in relation to long-term outcomes and specific population groups. The chapter concludes with a synthesis of the study’s main findings, emphasising their significance within the wider context of public health and clinical care, and reinforcing the need for balanced, informed approaches to treatment.</w:t>
      </w:r>
    </w:p>
    <w:p w14:paraId="2DDA57BD"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7.2 Implications of Findings</w:t>
      </w:r>
    </w:p>
    <w:p w14:paraId="2C64B3DF"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findings of this review have important implications for clinical practice, public health and the management of adult ADHD. The evidence suggests that while ADHD medication may not be associated with significant short-term cardiovascular risk, there is increasing concern regarding long-term exposure, particularly among middle-aged populations who may already have elevated baseline risk. This highlights the need for a more cautious and individualised approach to prescribing, where cardiovascular risk is assessed comprehensively at baseline and monitored consistently over time. Routine evaluation of blood pressure, heart rate and relevant clinical history should form an integral part of ongoing care rather than a one-off assessment.</w:t>
      </w:r>
    </w:p>
    <w:p w14:paraId="2E552D0E"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findings also emphasise the importance of considering lifestyle factors, as these may interact with medication effects to influence cardiovascular outcomes. Behaviours such as smoking, physical inactivity and poor diet are known contributors to cardiovascular disease and may amplify any pharmacological effects of stimulant medication. This reinforces the need for a holistic approach to care that integrates pharmacological treatment with behavioural and lifestyle interventions, ensuring that patients receive support that extends beyond medication alone.</w:t>
      </w:r>
    </w:p>
    <w:p w14:paraId="14AE5106"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In addition, the variability in findings across studies highlights the ongoing uncertainty within the evidence base. This suggests that clinicians must carefully balance the therapeutic benefits of ADHD medication with emerging evidence of potential long-term risks, particularly in patients with pre-existing cardiovascular conditions. Such an approach requires clinical judgement, patient engagement and a commitment to ongoing risk evaluation.</w:t>
      </w:r>
    </w:p>
    <w:p w14:paraId="7E670BF9"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7.3 Recommendations for Practice</w:t>
      </w:r>
    </w:p>
    <w:p w14:paraId="52434385"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Based on the findings of this review, several recommendations can be made for clinical practice. First, cardiovascular risk assessment should be an integral part of ADHD management in adults, particularly in middle-aged men. This should include a thorough medical history</w:t>
      </w:r>
      <w:r>
        <w:rPr>
          <w:rFonts w:ascii="Arial" w:hAnsi="Arial" w:cs="Arial"/>
          <w:sz w:val="24"/>
          <w:szCs w:val="24"/>
        </w:rPr>
        <w:t xml:space="preserve"> background check</w:t>
      </w:r>
      <w:r w:rsidRPr="00ED08B9">
        <w:rPr>
          <w:rFonts w:ascii="Arial" w:hAnsi="Arial" w:cs="Arial"/>
          <w:sz w:val="24"/>
          <w:szCs w:val="24"/>
        </w:rPr>
        <w:t>, assessment of risk factors such as hypertension and smoking, and baseline measurements of blood pressure and heart rate prior to initiating medication.</w:t>
      </w:r>
    </w:p>
    <w:p w14:paraId="79822D17"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Second, ongoing monitoring is essential. Regular follow-up assessments should be conducted to detect any changes in cardiovascular status over time. This is particularly important for patients receiving long-term treatment, where cumulative exposure may increase risk. Where appropriate, additional investigations such as electrocardiograms may be considered, especially in individuals with existing cardiovascular concerns.</w:t>
      </w:r>
    </w:p>
    <w:p w14:paraId="1208BB27"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Third, clinicians should adopt a patient-centred approach to prescribing. This includes discussing potential risks and benefits with patients, considering individual preferences, and addressing concerns related to medication use. Given the role of lifestyle factors, patients should also be supported in adopting healthier behaviours, including smoking cessation, improved diet and increased physical activity.</w:t>
      </w:r>
    </w:p>
    <w:p w14:paraId="74007AF1"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Finally, interdisciplinary collaboration between mental health and cardiovascular services may enhance patient care, ensuring that both psychological and physical health needs are addressed in a coordinated manner.</w:t>
      </w:r>
    </w:p>
    <w:p w14:paraId="51795D18"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7.4 Recommendations for Future Research</w:t>
      </w:r>
    </w:p>
    <w:p w14:paraId="37F55123"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need for more long-term studies examining the cardiovascular effects of ADHD medication in adult populations. Existing research is largely observational, and while valuable, it limits the ability to establish causal relationships. Future studies should aim to use more robust designs and incorporate longer follow-up periods to better understand cumulative risk.</w:t>
      </w:r>
    </w:p>
    <w:p w14:paraId="59368960"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In addition, there is a need for research that more effectively accounts for confounding factors. Lifestyle behaviours such as smoking, physical activity and diet should be measured and controlled for in future studies to provide a clearer understanding of the independent effects of medication.</w:t>
      </w:r>
    </w:p>
    <w:p w14:paraId="1C4103AA"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Further research is also needed to explore patient experiences and adherence patterns in greater depth. Qualitative and mixed-methods studies could provide valuable insight into how medication is used in real-world settings and how this may influence cardiovascular outcomes.</w:t>
      </w:r>
    </w:p>
    <w:p w14:paraId="053657CB"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Finally, studies focusing specifically on middle-aged men are limited. Future research should aim to address this gap, as this population may have distinct risk profiles that are not adequately captured in broader studies.</w:t>
      </w:r>
    </w:p>
    <w:p w14:paraId="10D2C1B8" w14:textId="77777777" w:rsidR="003D247F" w:rsidRPr="00ED08B9" w:rsidRDefault="003D247F" w:rsidP="003D247F">
      <w:pPr>
        <w:spacing w:before="100" w:beforeAutospacing="1" w:after="100" w:afterAutospacing="1" w:line="360" w:lineRule="auto"/>
        <w:jc w:val="both"/>
        <w:rPr>
          <w:rFonts w:ascii="Arial" w:hAnsi="Arial" w:cs="Arial"/>
          <w:b/>
          <w:bCs/>
          <w:sz w:val="24"/>
          <w:szCs w:val="24"/>
        </w:rPr>
      </w:pPr>
      <w:r w:rsidRPr="00ED08B9">
        <w:rPr>
          <w:rFonts w:ascii="Arial" w:hAnsi="Arial" w:cs="Arial"/>
          <w:b/>
          <w:bCs/>
          <w:sz w:val="24"/>
          <w:szCs w:val="24"/>
        </w:rPr>
        <w:t>7.5 Conclusion</w:t>
      </w:r>
    </w:p>
    <w:p w14:paraId="005E6173"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This study set out to examine the association between ADHD medication use and cardiovascular risk in middle-aged men through a systematic review of existing literature. The findings indicate that the relationship between medication use and cardiovascular outcomes is complex and influenced by multiple interacting factors.</w:t>
      </w:r>
    </w:p>
    <w:p w14:paraId="3FCD35B2"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evidence suggests that ADHD medication is generally well tolerated in the short term, with several studies reporting no significant increase in major cardiovascular events. However, emerging evidence indicates that long-term exposure may be associated with increased cardiovascular risk, particularly in relation to hypertension and arterial disease. These findings highlight the importance of considering duration of use and cumulative exposure when evaluating medication safety.</w:t>
      </w:r>
    </w:p>
    <w:p w14:paraId="3E91BAFE"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review also identified the significant role of confounding factors, particularly lifestyle behaviours such as smoking and physical inactivity. These factors may influence cardiovascular outcomes independently of medication use, making it difficult to establish clear causal relationships. In addition, qualitative findings emphasise the importance of patient experience and adherence, which may further shape exposure patterns and associated risks.</w:t>
      </w:r>
    </w:p>
    <w:p w14:paraId="77BF7584"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The study contributes to a more nuanced understanding of cardiovascular risk in adults prescribed ADHD medication. It highlights the need for cautious and individualised prescribing, ongoing monitoring and a holistic approach to patient care. While the findings provide valuable insight, they also underscore the limitations of the current evidence base and the need for further research.</w:t>
      </w:r>
    </w:p>
    <w:p w14:paraId="070C4197" w14:textId="77777777" w:rsidR="003D247F" w:rsidRPr="00ED08B9" w:rsidRDefault="003D247F" w:rsidP="003D247F">
      <w:pPr>
        <w:spacing w:before="100" w:beforeAutospacing="1" w:after="100" w:afterAutospacing="1" w:line="360" w:lineRule="auto"/>
        <w:jc w:val="both"/>
        <w:rPr>
          <w:rFonts w:ascii="Arial" w:hAnsi="Arial" w:cs="Arial"/>
          <w:sz w:val="24"/>
          <w:szCs w:val="24"/>
        </w:rPr>
      </w:pPr>
      <w:r w:rsidRPr="00ED08B9">
        <w:rPr>
          <w:rFonts w:ascii="Arial" w:hAnsi="Arial" w:cs="Arial"/>
          <w:sz w:val="24"/>
          <w:szCs w:val="24"/>
        </w:rPr>
        <w:t>ADHD medication thus remains an important component of treatment for many individuals, but its long-term cardiovascular implications require careful consideration. A balanced approach that integrates clinical judgement, patient engagement and ongoing evaluation is essential to ensure safe and effective treatment outcomes.</w:t>
      </w:r>
    </w:p>
    <w:p w14:paraId="07146C1C" w14:textId="52F72A5C" w:rsidR="003D247F" w:rsidRDefault="003D247F">
      <w:pPr>
        <w:rPr>
          <w:rFonts w:ascii="Arial" w:hAnsi="Arial" w:cs="Arial"/>
          <w:sz w:val="24"/>
          <w:szCs w:val="24"/>
        </w:rPr>
      </w:pPr>
      <w:r>
        <w:rPr>
          <w:rFonts w:ascii="Arial" w:hAnsi="Arial" w:cs="Arial"/>
          <w:sz w:val="24"/>
          <w:szCs w:val="24"/>
        </w:rPr>
        <w:br w:type="page"/>
      </w:r>
    </w:p>
    <w:p w14:paraId="2C4D6EFC"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b/>
          <w:bCs/>
          <w:sz w:val="24"/>
          <w:szCs w:val="24"/>
        </w:rPr>
        <w:t>REFERENCES</w:t>
      </w:r>
    </w:p>
    <w:p w14:paraId="31A77E8F"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ADHD UK (2022). </w:t>
      </w:r>
      <w:r w:rsidRPr="002E3ACD">
        <w:rPr>
          <w:rFonts w:ascii="Arial" w:hAnsi="Arial" w:cs="Arial"/>
          <w:i/>
          <w:iCs/>
          <w:sz w:val="24"/>
          <w:szCs w:val="24"/>
        </w:rPr>
        <w:t>About</w:t>
      </w:r>
      <w:r w:rsidRPr="002E3ACD">
        <w:rPr>
          <w:rFonts w:ascii="Arial" w:hAnsi="Arial" w:cs="Arial"/>
          <w:sz w:val="24"/>
          <w:szCs w:val="24"/>
        </w:rPr>
        <w:t xml:space="preserve"> </w:t>
      </w:r>
      <w:r w:rsidRPr="002E3ACD">
        <w:rPr>
          <w:rFonts w:ascii="Arial" w:hAnsi="Arial" w:cs="Arial"/>
          <w:i/>
          <w:iCs/>
          <w:sz w:val="24"/>
          <w:szCs w:val="24"/>
        </w:rPr>
        <w:t xml:space="preserve">ADHD UK. </w:t>
      </w:r>
      <w:r w:rsidRPr="002E3ACD">
        <w:rPr>
          <w:rFonts w:ascii="Arial" w:hAnsi="Arial" w:cs="Arial"/>
          <w:sz w:val="24"/>
          <w:szCs w:val="24"/>
        </w:rPr>
        <w:t>ADHD UK</w:t>
      </w:r>
      <w:r w:rsidRPr="002E3ACD">
        <w:rPr>
          <w:rFonts w:ascii="Arial" w:hAnsi="Arial" w:cs="Arial"/>
          <w:i/>
          <w:iCs/>
          <w:sz w:val="24"/>
          <w:szCs w:val="24"/>
        </w:rPr>
        <w:t>.</w:t>
      </w:r>
      <w:r w:rsidRPr="002E3ACD">
        <w:rPr>
          <w:rFonts w:ascii="Arial" w:hAnsi="Arial" w:cs="Arial"/>
          <w:sz w:val="24"/>
          <w:szCs w:val="24"/>
        </w:rPr>
        <w:t xml:space="preserve"> Available at: </w:t>
      </w:r>
      <w:hyperlink r:id="rId17" w:history="1">
        <w:r w:rsidRPr="002E3ACD">
          <w:rPr>
            <w:rStyle w:val="Hyperlink"/>
            <w:rFonts w:ascii="Arial" w:hAnsi="Arial" w:cs="Arial"/>
            <w:sz w:val="24"/>
            <w:szCs w:val="24"/>
          </w:rPr>
          <w:t>https://adhduk.co.uk/</w:t>
        </w:r>
      </w:hyperlink>
      <w:r w:rsidRPr="002E3ACD">
        <w:rPr>
          <w:rFonts w:ascii="Arial" w:hAnsi="Arial" w:cs="Arial"/>
          <w:sz w:val="24"/>
          <w:szCs w:val="24"/>
        </w:rPr>
        <w:t>. (Accessed 14 May 2025).</w:t>
      </w:r>
    </w:p>
    <w:p w14:paraId="01AEF298"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Akasaki, Y. and Ohishi, M., 2020. Cerebrovascular and cardiovascular diseases caused by drugs of abuse. </w:t>
      </w:r>
      <w:r w:rsidRPr="002E3ACD">
        <w:rPr>
          <w:rFonts w:ascii="Arial" w:hAnsi="Arial" w:cs="Arial"/>
          <w:i/>
          <w:iCs/>
          <w:sz w:val="24"/>
          <w:szCs w:val="24"/>
        </w:rPr>
        <w:t>Hypertension Research</w:t>
      </w:r>
      <w:r w:rsidRPr="002E3ACD">
        <w:rPr>
          <w:rFonts w:ascii="Arial" w:hAnsi="Arial" w:cs="Arial"/>
          <w:sz w:val="24"/>
          <w:szCs w:val="24"/>
        </w:rPr>
        <w:t>, </w:t>
      </w:r>
      <w:r w:rsidRPr="002E3ACD">
        <w:rPr>
          <w:rFonts w:ascii="Arial" w:hAnsi="Arial" w:cs="Arial"/>
          <w:i/>
          <w:iCs/>
          <w:sz w:val="24"/>
          <w:szCs w:val="24"/>
        </w:rPr>
        <w:t>43</w:t>
      </w:r>
      <w:r w:rsidRPr="002E3ACD">
        <w:rPr>
          <w:rFonts w:ascii="Arial" w:hAnsi="Arial" w:cs="Arial"/>
          <w:sz w:val="24"/>
          <w:szCs w:val="24"/>
        </w:rPr>
        <w:t>(5), pp.363-371.</w:t>
      </w:r>
    </w:p>
    <w:p w14:paraId="2F9D5F00"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 xml:space="preserve">Barkley, R. A., Murphy, K. R., and Fischer (2008). APA PsycNet. (online) Available at: </w:t>
      </w:r>
      <w:hyperlink r:id="rId18" w:history="1">
        <w:r w:rsidRPr="002E3ACD">
          <w:rPr>
            <w:rStyle w:val="Hyperlink"/>
            <w:rFonts w:ascii="Arial" w:hAnsi="Arial" w:cs="Arial"/>
            <w:sz w:val="24"/>
            <w:szCs w:val="24"/>
          </w:rPr>
          <w:t>https://psycnet.apa.org/record/2007-18100-000</w:t>
        </w:r>
      </w:hyperlink>
      <w:r w:rsidRPr="002E3ACD">
        <w:rPr>
          <w:rFonts w:ascii="Arial" w:hAnsi="Arial" w:cs="Arial"/>
          <w:sz w:val="24"/>
          <w:szCs w:val="24"/>
        </w:rPr>
        <w:t>. (Accessed 21</w:t>
      </w:r>
      <w:r w:rsidRPr="002E3ACD">
        <w:rPr>
          <w:rFonts w:ascii="Arial" w:hAnsi="Arial" w:cs="Arial"/>
          <w:sz w:val="24"/>
          <w:szCs w:val="24"/>
          <w:vertAlign w:val="superscript"/>
        </w:rPr>
        <w:t>st</w:t>
      </w:r>
      <w:r w:rsidRPr="002E3ACD">
        <w:rPr>
          <w:rFonts w:ascii="Arial" w:hAnsi="Arial" w:cs="Arial"/>
          <w:sz w:val="24"/>
          <w:szCs w:val="24"/>
        </w:rPr>
        <w:t xml:space="preserve"> May 2025).</w:t>
      </w:r>
    </w:p>
    <w:p w14:paraId="43525C2B"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 xml:space="preserve">Benjamin, E.J., Muntner, P., Alonso, A., Bittencourt, M.S., Callaway, C.W., Carson, A.P., Chamberlain, A.M., Chang, A.R., Cheng, S., Das, S.R., Delling, F.N., Djousse, L., Elkind, M.S.V., Ferguson, J.F., Fornage, M., Jordan, L.C., Khan, S.S., Kissela, B.M., Knutson, K.L. and Kwan, T.W. (2019). Heart Disease and Stroke Statistics—2019 Update: </w:t>
      </w:r>
      <w:r w:rsidRPr="002E3ACD">
        <w:rPr>
          <w:rFonts w:ascii="Arial" w:hAnsi="Arial" w:cs="Arial"/>
          <w:i/>
          <w:iCs/>
          <w:sz w:val="24"/>
          <w:szCs w:val="24"/>
        </w:rPr>
        <w:t>A Report from the American Heart Association. Circulation</w:t>
      </w:r>
      <w:r w:rsidRPr="002E3ACD">
        <w:rPr>
          <w:rFonts w:ascii="Arial" w:hAnsi="Arial" w:cs="Arial"/>
          <w:sz w:val="24"/>
          <w:szCs w:val="24"/>
        </w:rPr>
        <w:t xml:space="preserve">, 139(10), pp.56–528. </w:t>
      </w:r>
      <w:hyperlink r:id="rId19" w:history="1">
        <w:r w:rsidRPr="002E3ACD">
          <w:rPr>
            <w:rStyle w:val="Hyperlink"/>
            <w:rFonts w:ascii="Arial" w:hAnsi="Arial" w:cs="Arial"/>
            <w:sz w:val="24"/>
            <w:szCs w:val="24"/>
          </w:rPr>
          <w:t>https://doi.org/10.1161/cir.0000000000000659</w:t>
        </w:r>
      </w:hyperlink>
      <w:r w:rsidRPr="002E3ACD">
        <w:rPr>
          <w:rFonts w:ascii="Arial" w:hAnsi="Arial" w:cs="Arial"/>
          <w:sz w:val="24"/>
          <w:szCs w:val="24"/>
        </w:rPr>
        <w:t xml:space="preserve">. </w:t>
      </w:r>
    </w:p>
    <w:p w14:paraId="49A6ADF2"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Berridge, C.W. and Arnsten, A.F., 2015. Catecholamine mechanisms in the prefrontal cortex: proven strategies for enhancing higher cognitive function. </w:t>
      </w:r>
      <w:r w:rsidRPr="002E3ACD">
        <w:rPr>
          <w:rFonts w:ascii="Arial" w:hAnsi="Arial" w:cs="Arial"/>
          <w:i/>
          <w:iCs/>
          <w:sz w:val="24"/>
          <w:szCs w:val="24"/>
        </w:rPr>
        <w:t>Current Opinion in Behavioral Sciences</w:t>
      </w:r>
      <w:r w:rsidRPr="002E3ACD">
        <w:rPr>
          <w:rFonts w:ascii="Arial" w:hAnsi="Arial" w:cs="Arial"/>
          <w:sz w:val="24"/>
          <w:szCs w:val="24"/>
        </w:rPr>
        <w:t>, </w:t>
      </w:r>
      <w:r w:rsidRPr="002E3ACD">
        <w:rPr>
          <w:rFonts w:ascii="Arial" w:hAnsi="Arial" w:cs="Arial"/>
          <w:i/>
          <w:iCs/>
          <w:sz w:val="24"/>
          <w:szCs w:val="24"/>
        </w:rPr>
        <w:t>4</w:t>
      </w:r>
      <w:r w:rsidRPr="002E3ACD">
        <w:rPr>
          <w:rFonts w:ascii="Arial" w:hAnsi="Arial" w:cs="Arial"/>
          <w:sz w:val="24"/>
          <w:szCs w:val="24"/>
        </w:rPr>
        <w:t>, pp.33-40.</w:t>
      </w:r>
    </w:p>
    <w:p w14:paraId="1A6BEBF7" w14:textId="77777777" w:rsidR="00972164" w:rsidRPr="002E3ACD" w:rsidRDefault="00972164" w:rsidP="00972164">
      <w:pPr>
        <w:spacing w:before="100" w:beforeAutospacing="1" w:after="100" w:afterAutospacing="1" w:line="360" w:lineRule="auto"/>
        <w:jc w:val="both"/>
        <w:rPr>
          <w:rFonts w:ascii="Arial" w:hAnsi="Arial" w:cs="Arial"/>
          <w:sz w:val="24"/>
          <w:szCs w:val="24"/>
        </w:rPr>
      </w:pPr>
      <w:bookmarkStart w:id="8" w:name="_Hlk199927660"/>
      <w:r w:rsidRPr="002E3ACD">
        <w:rPr>
          <w:rFonts w:ascii="Arial" w:hAnsi="Arial" w:cs="Arial"/>
          <w:sz w:val="24"/>
          <w:szCs w:val="24"/>
        </w:rPr>
        <w:t xml:space="preserve">Besag, </w:t>
      </w:r>
      <w:bookmarkEnd w:id="8"/>
      <w:r w:rsidRPr="002E3ACD">
        <w:rPr>
          <w:rFonts w:ascii="Arial" w:hAnsi="Arial" w:cs="Arial"/>
          <w:sz w:val="24"/>
          <w:szCs w:val="24"/>
        </w:rPr>
        <w:t>F.M.C., Vasey, M.J., Roy, S. and Cortese, S. (2025). Raynaud Syndrome Associated with Medication for Attention-Deficit/Hyperactivity Disorder: A Systematic Review. </w:t>
      </w:r>
      <w:r w:rsidRPr="002E3ACD">
        <w:rPr>
          <w:rFonts w:ascii="Arial" w:hAnsi="Arial" w:cs="Arial"/>
          <w:i/>
          <w:iCs/>
          <w:sz w:val="24"/>
          <w:szCs w:val="24"/>
        </w:rPr>
        <w:t>CNS Drugs,</w:t>
      </w:r>
      <w:r w:rsidRPr="002E3ACD">
        <w:rPr>
          <w:rFonts w:ascii="Arial" w:hAnsi="Arial" w:cs="Arial"/>
          <w:sz w:val="24"/>
          <w:szCs w:val="24"/>
        </w:rPr>
        <w:t xml:space="preserve"> 39(3), pp.213 - 241. </w:t>
      </w:r>
      <w:hyperlink r:id="rId20" w:history="1">
        <w:r w:rsidRPr="002E3ACD">
          <w:rPr>
            <w:rStyle w:val="Hyperlink"/>
            <w:rFonts w:ascii="Arial" w:hAnsi="Arial" w:cs="Arial"/>
            <w:sz w:val="24"/>
            <w:szCs w:val="24"/>
          </w:rPr>
          <w:t>https://doi.org/10.1007/s40263-024-01154-4</w:t>
        </w:r>
      </w:hyperlink>
      <w:r w:rsidRPr="002E3ACD">
        <w:rPr>
          <w:rFonts w:ascii="Arial" w:hAnsi="Arial" w:cs="Arial"/>
          <w:sz w:val="24"/>
          <w:szCs w:val="24"/>
        </w:rPr>
        <w:t xml:space="preserve">. </w:t>
      </w:r>
    </w:p>
    <w:p w14:paraId="39482E69"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Björk, A., Rönngren, Y. and Våge, L., 2023. Adult Persons with ADHD and Their Lifestyle. In </w:t>
      </w:r>
      <w:r w:rsidRPr="002E3ACD">
        <w:rPr>
          <w:rFonts w:ascii="Arial" w:hAnsi="Arial" w:cs="Arial"/>
          <w:i/>
          <w:iCs/>
          <w:sz w:val="24"/>
          <w:szCs w:val="24"/>
        </w:rPr>
        <w:t>Clinical Handbook of ADHD Assessment and Treatment Across the Lifespan</w:t>
      </w:r>
      <w:r w:rsidRPr="002E3ACD">
        <w:rPr>
          <w:rFonts w:ascii="Arial" w:hAnsi="Arial" w:cs="Arial"/>
          <w:sz w:val="24"/>
          <w:szCs w:val="24"/>
        </w:rPr>
        <w:t> (pp. 161-182). Cham: Springer International Publishing.</w:t>
      </w:r>
    </w:p>
    <w:p w14:paraId="21293728"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Björk, A., Rönngren, Y., Selander, J., Vinberg, S., Hellzen, O. and Olofsson, N., 2018. Health, lifestyle habits, and physical fitness among adults with ADHD compared with a random sample of a Swedish general population. </w:t>
      </w:r>
      <w:r w:rsidRPr="002E3ACD">
        <w:rPr>
          <w:rFonts w:ascii="Arial" w:hAnsi="Arial" w:cs="Arial"/>
          <w:i/>
          <w:iCs/>
          <w:sz w:val="24"/>
          <w:szCs w:val="24"/>
        </w:rPr>
        <w:t>Society, Health &amp; Vulnerability</w:t>
      </w:r>
      <w:r w:rsidRPr="002E3ACD">
        <w:rPr>
          <w:rFonts w:ascii="Arial" w:hAnsi="Arial" w:cs="Arial"/>
          <w:sz w:val="24"/>
          <w:szCs w:val="24"/>
        </w:rPr>
        <w:t>, </w:t>
      </w:r>
      <w:r w:rsidRPr="002E3ACD">
        <w:rPr>
          <w:rFonts w:ascii="Arial" w:hAnsi="Arial" w:cs="Arial"/>
          <w:i/>
          <w:iCs/>
          <w:sz w:val="24"/>
          <w:szCs w:val="24"/>
        </w:rPr>
        <w:t>9</w:t>
      </w:r>
      <w:r w:rsidRPr="002E3ACD">
        <w:rPr>
          <w:rFonts w:ascii="Arial" w:hAnsi="Arial" w:cs="Arial"/>
          <w:sz w:val="24"/>
          <w:szCs w:val="24"/>
        </w:rPr>
        <w:t>(1), p.1553916.</w:t>
      </w:r>
    </w:p>
    <w:p w14:paraId="4535B82C"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lang w:val="pt-BR"/>
        </w:rPr>
        <w:t xml:space="preserve">Brancati, G.E., Magnesa, A., Acierno, D., Carli, M., De Rosa, U., Froli, A., Gemignani, S., Ventura, L., Weiss, F. and Perugi, G., 2024. </w:t>
      </w:r>
      <w:r w:rsidRPr="002E3ACD">
        <w:rPr>
          <w:rFonts w:ascii="Arial" w:hAnsi="Arial" w:cs="Arial"/>
          <w:sz w:val="24"/>
          <w:szCs w:val="24"/>
        </w:rPr>
        <w:t>Current nonstimulant medications for adults with attention-deficit/hyperactivity disorder. </w:t>
      </w:r>
      <w:r w:rsidRPr="002E3ACD">
        <w:rPr>
          <w:rFonts w:ascii="Arial" w:hAnsi="Arial" w:cs="Arial"/>
          <w:i/>
          <w:iCs/>
          <w:sz w:val="24"/>
          <w:szCs w:val="24"/>
        </w:rPr>
        <w:t>Expert Review of Neurotherapeutics</w:t>
      </w:r>
      <w:r w:rsidRPr="002E3ACD">
        <w:rPr>
          <w:rFonts w:ascii="Arial" w:hAnsi="Arial" w:cs="Arial"/>
          <w:sz w:val="24"/>
          <w:szCs w:val="24"/>
        </w:rPr>
        <w:t>, </w:t>
      </w:r>
      <w:r w:rsidRPr="002E3ACD">
        <w:rPr>
          <w:rFonts w:ascii="Arial" w:hAnsi="Arial" w:cs="Arial"/>
          <w:i/>
          <w:iCs/>
          <w:sz w:val="24"/>
          <w:szCs w:val="24"/>
        </w:rPr>
        <w:t>24</w:t>
      </w:r>
      <w:r w:rsidRPr="002E3ACD">
        <w:rPr>
          <w:rFonts w:ascii="Arial" w:hAnsi="Arial" w:cs="Arial"/>
          <w:sz w:val="24"/>
          <w:szCs w:val="24"/>
        </w:rPr>
        <w:t>(8), pp.743-759.</w:t>
      </w:r>
    </w:p>
    <w:p w14:paraId="38E74421" w14:textId="77777777" w:rsidR="00972164" w:rsidRPr="002E3ACD" w:rsidRDefault="00972164" w:rsidP="0097216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E3ACD">
        <w:rPr>
          <w:rFonts w:ascii="Arial" w:eastAsia="Times New Roman" w:hAnsi="Arial" w:cs="Arial"/>
          <w:kern w:val="0"/>
          <w:sz w:val="24"/>
          <w:szCs w:val="24"/>
          <w:lang w:eastAsia="en-GB"/>
          <w14:ligatures w14:val="none"/>
        </w:rPr>
        <w:t>Brikell, I., Yao, H., Li, L., Astrup, A., Gao, L., Gillies, M.B., Xie, T., Zhang-James, Y., Dalsgaard, S., Engeland, A. and Faraone, S.V., 2024. ADHD medication discontinuation and persistence across the lifespan: a retrospective observational study using population-based databases. </w:t>
      </w:r>
      <w:r w:rsidRPr="002E3ACD">
        <w:rPr>
          <w:rFonts w:ascii="Arial" w:eastAsia="Times New Roman" w:hAnsi="Arial" w:cs="Arial"/>
          <w:i/>
          <w:iCs/>
          <w:kern w:val="0"/>
          <w:sz w:val="24"/>
          <w:szCs w:val="24"/>
          <w:lang w:eastAsia="en-GB"/>
          <w14:ligatures w14:val="none"/>
        </w:rPr>
        <w:t>The Lancet Psychiatry</w:t>
      </w:r>
      <w:r w:rsidRPr="002E3ACD">
        <w:rPr>
          <w:rFonts w:ascii="Arial" w:eastAsia="Times New Roman" w:hAnsi="Arial" w:cs="Arial"/>
          <w:kern w:val="0"/>
          <w:sz w:val="24"/>
          <w:szCs w:val="24"/>
          <w:lang w:eastAsia="en-GB"/>
          <w14:ligatures w14:val="none"/>
        </w:rPr>
        <w:t>, </w:t>
      </w:r>
      <w:r w:rsidRPr="002E3ACD">
        <w:rPr>
          <w:rFonts w:ascii="Arial" w:eastAsia="Times New Roman" w:hAnsi="Arial" w:cs="Arial"/>
          <w:i/>
          <w:iCs/>
          <w:kern w:val="0"/>
          <w:sz w:val="24"/>
          <w:szCs w:val="24"/>
          <w:lang w:eastAsia="en-GB"/>
          <w14:ligatures w14:val="none"/>
        </w:rPr>
        <w:t>11</w:t>
      </w:r>
      <w:r w:rsidRPr="002E3ACD">
        <w:rPr>
          <w:rFonts w:ascii="Arial" w:eastAsia="Times New Roman" w:hAnsi="Arial" w:cs="Arial"/>
          <w:kern w:val="0"/>
          <w:sz w:val="24"/>
          <w:szCs w:val="24"/>
          <w:lang w:eastAsia="en-GB"/>
          <w14:ligatures w14:val="none"/>
        </w:rPr>
        <w:t>(1), pp.16-26.</w:t>
      </w:r>
    </w:p>
    <w:p w14:paraId="1B2D7F28"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Calvi, A., Fischetti, I., Verzicco, I., Belvederi Murri, M., Zanetidou, S., Volpi, R., Coghi, P., Tedeschi, S., Amore, M. and Cabassi, A., 2021. Antidepressant drugs effects on blood pressure. </w:t>
      </w:r>
      <w:r w:rsidRPr="002E3ACD">
        <w:rPr>
          <w:rFonts w:ascii="Arial" w:hAnsi="Arial" w:cs="Arial"/>
          <w:i/>
          <w:iCs/>
          <w:sz w:val="24"/>
          <w:szCs w:val="24"/>
        </w:rPr>
        <w:t>Frontiers in cardiovascular medicine</w:t>
      </w:r>
      <w:r w:rsidRPr="002E3ACD">
        <w:rPr>
          <w:rFonts w:ascii="Arial" w:hAnsi="Arial" w:cs="Arial"/>
          <w:sz w:val="24"/>
          <w:szCs w:val="24"/>
        </w:rPr>
        <w:t>, </w:t>
      </w:r>
      <w:r w:rsidRPr="002E3ACD">
        <w:rPr>
          <w:rFonts w:ascii="Arial" w:hAnsi="Arial" w:cs="Arial"/>
          <w:i/>
          <w:iCs/>
          <w:sz w:val="24"/>
          <w:szCs w:val="24"/>
        </w:rPr>
        <w:t>8</w:t>
      </w:r>
      <w:r w:rsidRPr="002E3ACD">
        <w:rPr>
          <w:rFonts w:ascii="Arial" w:hAnsi="Arial" w:cs="Arial"/>
          <w:sz w:val="24"/>
          <w:szCs w:val="24"/>
        </w:rPr>
        <w:t>, p.704281.</w:t>
      </w:r>
    </w:p>
    <w:p w14:paraId="3B73DADA" w14:textId="77777777" w:rsidR="00972164" w:rsidRPr="002E3ACD" w:rsidRDefault="00972164" w:rsidP="0097216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E3ACD">
        <w:rPr>
          <w:rFonts w:ascii="Arial" w:eastAsia="Times New Roman" w:hAnsi="Arial" w:cs="Arial"/>
          <w:kern w:val="0"/>
          <w:sz w:val="24"/>
          <w:szCs w:val="24"/>
          <w:lang w:eastAsia="en-GB"/>
          <w14:ligatures w14:val="none"/>
        </w:rPr>
        <w:t xml:space="preserve">Connelly, D. (2023). ADHD and central nervous system stimulant prescribing nearly doubles in adults in three years. The Pharmaceutical Journal. Available at: </w:t>
      </w:r>
      <w:hyperlink r:id="rId21" w:tgtFrame="_new" w:history="1">
        <w:r w:rsidRPr="002E3ACD">
          <w:rPr>
            <w:rFonts w:ascii="Arial" w:eastAsia="Times New Roman" w:hAnsi="Arial" w:cs="Arial"/>
            <w:color w:val="0000FF"/>
            <w:kern w:val="0"/>
            <w:sz w:val="24"/>
            <w:szCs w:val="24"/>
            <w:u w:val="single"/>
            <w:lang w:eastAsia="en-GB"/>
            <w14:ligatures w14:val="none"/>
          </w:rPr>
          <w:t>https://pharmaceutical-journal.com/article/news/adhd-and-central-nervous-system-stimulant-prescribing-nearly-doubles-in-adults-in-three-years</w:t>
        </w:r>
      </w:hyperlink>
      <w:r w:rsidRPr="002E3ACD">
        <w:rPr>
          <w:rFonts w:ascii="Arial" w:eastAsia="Times New Roman" w:hAnsi="Arial" w:cs="Arial"/>
          <w:kern w:val="0"/>
          <w:sz w:val="24"/>
          <w:szCs w:val="24"/>
          <w:lang w:eastAsia="en-GB"/>
          <w14:ligatures w14:val="none"/>
        </w:rPr>
        <w:t xml:space="preserve"> (Accessed: 28 May 2025).</w:t>
      </w:r>
    </w:p>
    <w:p w14:paraId="669FB54F"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Cortese, S., Newcorn, J.H. and Coghill, D., 2021. A practical, evidence-informed approach to managing stimulant-refractory attention deficit hyperactivity disorder (ADHD). </w:t>
      </w:r>
      <w:r w:rsidRPr="002E3ACD">
        <w:rPr>
          <w:rFonts w:ascii="Arial" w:hAnsi="Arial" w:cs="Arial"/>
          <w:i/>
          <w:iCs/>
          <w:sz w:val="24"/>
          <w:szCs w:val="24"/>
        </w:rPr>
        <w:t>CNS drugs</w:t>
      </w:r>
      <w:r w:rsidRPr="002E3ACD">
        <w:rPr>
          <w:rFonts w:ascii="Arial" w:hAnsi="Arial" w:cs="Arial"/>
          <w:sz w:val="24"/>
          <w:szCs w:val="24"/>
        </w:rPr>
        <w:t>, </w:t>
      </w:r>
      <w:r w:rsidRPr="002E3ACD">
        <w:rPr>
          <w:rFonts w:ascii="Arial" w:hAnsi="Arial" w:cs="Arial"/>
          <w:i/>
          <w:iCs/>
          <w:sz w:val="24"/>
          <w:szCs w:val="24"/>
        </w:rPr>
        <w:t>35</w:t>
      </w:r>
      <w:r w:rsidRPr="002E3ACD">
        <w:rPr>
          <w:rFonts w:ascii="Arial" w:hAnsi="Arial" w:cs="Arial"/>
          <w:sz w:val="24"/>
          <w:szCs w:val="24"/>
        </w:rPr>
        <w:t>(10), pp.1035-1051.</w:t>
      </w:r>
    </w:p>
    <w:p w14:paraId="17FB88EB"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de Lima, B.S., Marzari, M., Heck, L.L. and Librelotto, I.R., 2026. Use of psychostimulants in adult ADHD: Cardiovascular safety assessment in clinical practice. </w:t>
      </w:r>
      <w:r w:rsidRPr="002E3ACD">
        <w:rPr>
          <w:rFonts w:ascii="Arial" w:hAnsi="Arial" w:cs="Arial"/>
          <w:i/>
          <w:iCs/>
          <w:sz w:val="24"/>
          <w:szCs w:val="24"/>
        </w:rPr>
        <w:t>International Health Sciences Review</w:t>
      </w:r>
      <w:r w:rsidRPr="002E3ACD">
        <w:rPr>
          <w:rFonts w:ascii="Arial" w:hAnsi="Arial" w:cs="Arial"/>
          <w:sz w:val="24"/>
          <w:szCs w:val="24"/>
        </w:rPr>
        <w:t>, </w:t>
      </w:r>
      <w:r w:rsidRPr="002E3ACD">
        <w:rPr>
          <w:rFonts w:ascii="Arial" w:hAnsi="Arial" w:cs="Arial"/>
          <w:i/>
          <w:iCs/>
          <w:sz w:val="24"/>
          <w:szCs w:val="24"/>
        </w:rPr>
        <w:t>2</w:t>
      </w:r>
      <w:r w:rsidRPr="002E3ACD">
        <w:rPr>
          <w:rFonts w:ascii="Arial" w:hAnsi="Arial" w:cs="Arial"/>
          <w:sz w:val="24"/>
          <w:szCs w:val="24"/>
        </w:rPr>
        <w:t>(2), pp.56-66.</w:t>
      </w:r>
    </w:p>
    <w:p w14:paraId="27C06475"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Dehnavi, A.Z., Zhang-James, Y., Draytsel, D., Carguello, B., Faraone, S.V. and Weinstock, R.S., 2023. Association of ADHD symptoms with type 2 diabetes and cardiovascular comorbidities in adults receiving outpatient diabetes care. </w:t>
      </w:r>
      <w:r w:rsidRPr="002E3ACD">
        <w:rPr>
          <w:rFonts w:ascii="Arial" w:hAnsi="Arial" w:cs="Arial"/>
          <w:i/>
          <w:iCs/>
          <w:sz w:val="24"/>
          <w:szCs w:val="24"/>
        </w:rPr>
        <w:t>Journal of clinical &amp; translational endocrinology</w:t>
      </w:r>
      <w:r w:rsidRPr="002E3ACD">
        <w:rPr>
          <w:rFonts w:ascii="Arial" w:hAnsi="Arial" w:cs="Arial"/>
          <w:sz w:val="24"/>
          <w:szCs w:val="24"/>
        </w:rPr>
        <w:t>, </w:t>
      </w:r>
      <w:r w:rsidRPr="002E3ACD">
        <w:rPr>
          <w:rFonts w:ascii="Arial" w:hAnsi="Arial" w:cs="Arial"/>
          <w:i/>
          <w:iCs/>
          <w:sz w:val="24"/>
          <w:szCs w:val="24"/>
        </w:rPr>
        <w:t>32</w:t>
      </w:r>
      <w:r w:rsidRPr="002E3ACD">
        <w:rPr>
          <w:rFonts w:ascii="Arial" w:hAnsi="Arial" w:cs="Arial"/>
          <w:sz w:val="24"/>
          <w:szCs w:val="24"/>
        </w:rPr>
        <w:t>, p.100318.</w:t>
      </w:r>
    </w:p>
    <w:p w14:paraId="1ADAA21D"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Del-Ponte, B., Quinte, G.C., Cruz, S., Grellert, M. and Santos, I.S., 2019. Dietary patterns and attention deficit/hyperactivity disorder (ADHD): a systematic review and meta-analysis. </w:t>
      </w:r>
      <w:r w:rsidRPr="002E3ACD">
        <w:rPr>
          <w:rFonts w:ascii="Arial" w:hAnsi="Arial" w:cs="Arial"/>
          <w:i/>
          <w:iCs/>
          <w:sz w:val="24"/>
          <w:szCs w:val="24"/>
        </w:rPr>
        <w:t>Journal of affective disorders</w:t>
      </w:r>
      <w:r w:rsidRPr="002E3ACD">
        <w:rPr>
          <w:rFonts w:ascii="Arial" w:hAnsi="Arial" w:cs="Arial"/>
          <w:sz w:val="24"/>
          <w:szCs w:val="24"/>
        </w:rPr>
        <w:t>, </w:t>
      </w:r>
      <w:r w:rsidRPr="002E3ACD">
        <w:rPr>
          <w:rFonts w:ascii="Arial" w:hAnsi="Arial" w:cs="Arial"/>
          <w:i/>
          <w:iCs/>
          <w:sz w:val="24"/>
          <w:szCs w:val="24"/>
        </w:rPr>
        <w:t>252</w:t>
      </w:r>
      <w:r w:rsidRPr="002E3ACD">
        <w:rPr>
          <w:rFonts w:ascii="Arial" w:hAnsi="Arial" w:cs="Arial"/>
          <w:sz w:val="24"/>
          <w:szCs w:val="24"/>
        </w:rPr>
        <w:t>, pp.160-173.</w:t>
      </w:r>
    </w:p>
    <w:p w14:paraId="508A028F"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Ding, L., Liang, Y., Tan, E.C., Hu, Y., Zhang, C., Liu, Y., Xue, F. and Wang, R., 2020. Smoking, heavy drinking, physical inactivity, and obesity among middle-aged and older adults in China: cross-sectional findings from the baseline survey of CHARLS 2011–2012. </w:t>
      </w:r>
      <w:r w:rsidRPr="002E3ACD">
        <w:rPr>
          <w:rFonts w:ascii="Arial" w:hAnsi="Arial" w:cs="Arial"/>
          <w:i/>
          <w:iCs/>
          <w:sz w:val="24"/>
          <w:szCs w:val="24"/>
        </w:rPr>
        <w:t>BMC public health</w:t>
      </w:r>
      <w:r w:rsidRPr="002E3ACD">
        <w:rPr>
          <w:rFonts w:ascii="Arial" w:hAnsi="Arial" w:cs="Arial"/>
          <w:sz w:val="24"/>
          <w:szCs w:val="24"/>
        </w:rPr>
        <w:t>, </w:t>
      </w:r>
      <w:r w:rsidRPr="002E3ACD">
        <w:rPr>
          <w:rFonts w:ascii="Arial" w:hAnsi="Arial" w:cs="Arial"/>
          <w:i/>
          <w:iCs/>
          <w:sz w:val="24"/>
          <w:szCs w:val="24"/>
        </w:rPr>
        <w:t>20</w:t>
      </w:r>
      <w:r w:rsidRPr="002E3ACD">
        <w:rPr>
          <w:rFonts w:ascii="Arial" w:hAnsi="Arial" w:cs="Arial"/>
          <w:sz w:val="24"/>
          <w:szCs w:val="24"/>
        </w:rPr>
        <w:t xml:space="preserve">(1), p.1062. </w:t>
      </w:r>
    </w:p>
    <w:p w14:paraId="5991017D"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Eom, T.H. and Kim, Y.H., 2023. Clinical practice guidelines for attention-deficit/hyperactivity disorder: recent updates. </w:t>
      </w:r>
      <w:r w:rsidRPr="002E3ACD">
        <w:rPr>
          <w:rFonts w:ascii="Arial" w:hAnsi="Arial" w:cs="Arial"/>
          <w:i/>
          <w:iCs/>
          <w:sz w:val="24"/>
          <w:szCs w:val="24"/>
        </w:rPr>
        <w:t>Clinical and Experimental Pediatrics</w:t>
      </w:r>
      <w:r w:rsidRPr="002E3ACD">
        <w:rPr>
          <w:rFonts w:ascii="Arial" w:hAnsi="Arial" w:cs="Arial"/>
          <w:sz w:val="24"/>
          <w:szCs w:val="24"/>
        </w:rPr>
        <w:t>, </w:t>
      </w:r>
      <w:r w:rsidRPr="002E3ACD">
        <w:rPr>
          <w:rFonts w:ascii="Arial" w:hAnsi="Arial" w:cs="Arial"/>
          <w:i/>
          <w:iCs/>
          <w:sz w:val="24"/>
          <w:szCs w:val="24"/>
        </w:rPr>
        <w:t>67</w:t>
      </w:r>
      <w:r w:rsidRPr="002E3ACD">
        <w:rPr>
          <w:rFonts w:ascii="Arial" w:hAnsi="Arial" w:cs="Arial"/>
          <w:sz w:val="24"/>
          <w:szCs w:val="24"/>
        </w:rPr>
        <w:t>(1), p.26.</w:t>
      </w:r>
    </w:p>
    <w:p w14:paraId="2AF2F493"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Fairman, K.A., Davis, L.E., Peckham, A.M. and Sclar, D.A., 2018. Diagnoses of cardiovascular disease or substance addiction/abuse in US Adults treated for ADHD with stimulants or atomoxetine: is use consistent with product labeling?. </w:t>
      </w:r>
      <w:r w:rsidRPr="002E3ACD">
        <w:rPr>
          <w:rFonts w:ascii="Arial" w:hAnsi="Arial" w:cs="Arial"/>
          <w:i/>
          <w:iCs/>
          <w:sz w:val="24"/>
          <w:szCs w:val="24"/>
        </w:rPr>
        <w:t>Drugs-Real World Outcomes</w:t>
      </w:r>
      <w:r w:rsidRPr="002E3ACD">
        <w:rPr>
          <w:rFonts w:ascii="Arial" w:hAnsi="Arial" w:cs="Arial"/>
          <w:sz w:val="24"/>
          <w:szCs w:val="24"/>
        </w:rPr>
        <w:t>, </w:t>
      </w:r>
      <w:r w:rsidRPr="002E3ACD">
        <w:rPr>
          <w:rFonts w:ascii="Arial" w:hAnsi="Arial" w:cs="Arial"/>
          <w:i/>
          <w:iCs/>
          <w:sz w:val="24"/>
          <w:szCs w:val="24"/>
        </w:rPr>
        <w:t>5</w:t>
      </w:r>
      <w:r w:rsidRPr="002E3ACD">
        <w:rPr>
          <w:rFonts w:ascii="Arial" w:hAnsi="Arial" w:cs="Arial"/>
          <w:sz w:val="24"/>
          <w:szCs w:val="24"/>
        </w:rPr>
        <w:t>(1), pp.69-79.</w:t>
      </w:r>
    </w:p>
    <w:p w14:paraId="459D6EEA"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Faraone, S.V., Cheung, C.H.M., Rijdijk, F., McLoughlin, G., Asherson, P. and Kuntsi, J. (2015). Childhood predictors of adolescent and young adult outcome in ADHD. </w:t>
      </w:r>
      <w:r w:rsidRPr="002E3ACD">
        <w:rPr>
          <w:rFonts w:ascii="Arial" w:hAnsi="Arial" w:cs="Arial"/>
          <w:i/>
          <w:iCs/>
          <w:sz w:val="24"/>
          <w:szCs w:val="24"/>
        </w:rPr>
        <w:t>Journal of Psychiatric Research,</w:t>
      </w:r>
      <w:r w:rsidRPr="002E3ACD">
        <w:rPr>
          <w:rFonts w:ascii="Arial" w:hAnsi="Arial" w:cs="Arial"/>
          <w:sz w:val="24"/>
          <w:szCs w:val="24"/>
        </w:rPr>
        <w:t xml:space="preserve"> 62, pp.92–100. </w:t>
      </w:r>
      <w:hyperlink r:id="rId22" w:history="1">
        <w:r w:rsidRPr="002E3ACD">
          <w:rPr>
            <w:rStyle w:val="Hyperlink"/>
            <w:rFonts w:ascii="Arial" w:hAnsi="Arial" w:cs="Arial"/>
            <w:sz w:val="24"/>
            <w:szCs w:val="24"/>
          </w:rPr>
          <w:t>https://doi.org/10.1016/j.jpsychires.2015.01.011</w:t>
        </w:r>
      </w:hyperlink>
      <w:r w:rsidRPr="002E3ACD">
        <w:rPr>
          <w:rFonts w:ascii="Arial" w:hAnsi="Arial" w:cs="Arial"/>
          <w:sz w:val="24"/>
          <w:szCs w:val="24"/>
        </w:rPr>
        <w:t xml:space="preserve">. </w:t>
      </w:r>
    </w:p>
    <w:p w14:paraId="43B4D3BC"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Farhat, L.C., Lannes, A., Del Giovane, C., Parlatini, V., Garcia-Argibay, M., Ostinelli, E.G., Tomlinson, A., Chang, Z., Larsson, H., Fava, C. and Montastruc, F., 2025. Comparative cardiovascular safety of medications for attention-deficit hyperactivity disorder in children, adolescents, and adults: a systematic review and network meta-analysis. </w:t>
      </w:r>
      <w:r w:rsidRPr="002E3ACD">
        <w:rPr>
          <w:rFonts w:ascii="Arial" w:hAnsi="Arial" w:cs="Arial"/>
          <w:i/>
          <w:iCs/>
          <w:sz w:val="24"/>
          <w:szCs w:val="24"/>
        </w:rPr>
        <w:t>The Lancet Psychiatry</w:t>
      </w:r>
      <w:r w:rsidRPr="002E3ACD">
        <w:rPr>
          <w:rFonts w:ascii="Arial" w:hAnsi="Arial" w:cs="Arial"/>
          <w:sz w:val="24"/>
          <w:szCs w:val="24"/>
        </w:rPr>
        <w:t>, </w:t>
      </w:r>
      <w:r w:rsidRPr="002E3ACD">
        <w:rPr>
          <w:rFonts w:ascii="Arial" w:hAnsi="Arial" w:cs="Arial"/>
          <w:i/>
          <w:iCs/>
          <w:sz w:val="24"/>
          <w:szCs w:val="24"/>
        </w:rPr>
        <w:t>12</w:t>
      </w:r>
      <w:r w:rsidRPr="002E3ACD">
        <w:rPr>
          <w:rFonts w:ascii="Arial" w:hAnsi="Arial" w:cs="Arial"/>
          <w:sz w:val="24"/>
          <w:szCs w:val="24"/>
        </w:rPr>
        <w:t>(5), pp.355-365.</w:t>
      </w:r>
    </w:p>
    <w:p w14:paraId="0B2BAD24"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French, B., Nalbant, G., Wright, H., Sayal, K., Daley, D., Groom, M.J., Cassidy, S. and Hall, C.L., 2024. The impacts associated with having ADHD: an umbrella review. </w:t>
      </w:r>
      <w:r w:rsidRPr="002E3ACD">
        <w:rPr>
          <w:rFonts w:ascii="Arial" w:hAnsi="Arial" w:cs="Arial"/>
          <w:i/>
          <w:iCs/>
          <w:sz w:val="24"/>
          <w:szCs w:val="24"/>
        </w:rPr>
        <w:t>Frontiers in psychiatry</w:t>
      </w:r>
      <w:r w:rsidRPr="002E3ACD">
        <w:rPr>
          <w:rFonts w:ascii="Arial" w:hAnsi="Arial" w:cs="Arial"/>
          <w:sz w:val="24"/>
          <w:szCs w:val="24"/>
        </w:rPr>
        <w:t>, </w:t>
      </w:r>
      <w:r w:rsidRPr="002E3ACD">
        <w:rPr>
          <w:rFonts w:ascii="Arial" w:hAnsi="Arial" w:cs="Arial"/>
          <w:i/>
          <w:iCs/>
          <w:sz w:val="24"/>
          <w:szCs w:val="24"/>
        </w:rPr>
        <w:t>15</w:t>
      </w:r>
      <w:r w:rsidRPr="002E3ACD">
        <w:rPr>
          <w:rFonts w:ascii="Arial" w:hAnsi="Arial" w:cs="Arial"/>
          <w:sz w:val="24"/>
          <w:szCs w:val="24"/>
        </w:rPr>
        <w:t>, p.1343314.</w:t>
      </w:r>
    </w:p>
    <w:p w14:paraId="259DE963"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Gallegos, J.L., Serrano, C., Holly, C. and Nelson, J., 2024. Advancing preventive health care for men across the lifespan. </w:t>
      </w:r>
      <w:r w:rsidRPr="002E3ACD">
        <w:rPr>
          <w:rFonts w:ascii="Arial" w:hAnsi="Arial" w:cs="Arial"/>
          <w:i/>
          <w:iCs/>
          <w:sz w:val="24"/>
          <w:szCs w:val="24"/>
        </w:rPr>
        <w:t>The Nurse Practitioner</w:t>
      </w:r>
      <w:r w:rsidRPr="002E3ACD">
        <w:rPr>
          <w:rFonts w:ascii="Arial" w:hAnsi="Arial" w:cs="Arial"/>
          <w:sz w:val="24"/>
          <w:szCs w:val="24"/>
        </w:rPr>
        <w:t>, </w:t>
      </w:r>
      <w:r w:rsidRPr="002E3ACD">
        <w:rPr>
          <w:rFonts w:ascii="Arial" w:hAnsi="Arial" w:cs="Arial"/>
          <w:i/>
          <w:iCs/>
          <w:sz w:val="24"/>
          <w:szCs w:val="24"/>
        </w:rPr>
        <w:t>49</w:t>
      </w:r>
      <w:r w:rsidRPr="002E3ACD">
        <w:rPr>
          <w:rFonts w:ascii="Arial" w:hAnsi="Arial" w:cs="Arial"/>
          <w:sz w:val="24"/>
          <w:szCs w:val="24"/>
        </w:rPr>
        <w:t>(11), pp.44-47.</w:t>
      </w:r>
    </w:p>
    <w:p w14:paraId="360F545B"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Garg, R.K., Thirusangu, S., Kumar, Y., Niwas, R., Singh, J. and Joseph, L., 2025. Bridging the Gap: Ensuring Equitable Access to Healthcare Services for Cardiovascular Diseases Prevention. </w:t>
      </w:r>
      <w:r w:rsidRPr="002E3ACD">
        <w:rPr>
          <w:rFonts w:ascii="Arial" w:hAnsi="Arial" w:cs="Arial"/>
          <w:i/>
          <w:iCs/>
          <w:sz w:val="24"/>
          <w:szCs w:val="24"/>
        </w:rPr>
        <w:t>Journal of the Practice of Cardiovascular Sciences</w:t>
      </w:r>
      <w:r w:rsidRPr="002E3ACD">
        <w:rPr>
          <w:rFonts w:ascii="Arial" w:hAnsi="Arial" w:cs="Arial"/>
          <w:sz w:val="24"/>
          <w:szCs w:val="24"/>
        </w:rPr>
        <w:t>, </w:t>
      </w:r>
      <w:r w:rsidRPr="002E3ACD">
        <w:rPr>
          <w:rFonts w:ascii="Arial" w:hAnsi="Arial" w:cs="Arial"/>
          <w:i/>
          <w:iCs/>
          <w:sz w:val="24"/>
          <w:szCs w:val="24"/>
        </w:rPr>
        <w:t>11</w:t>
      </w:r>
      <w:r w:rsidRPr="002E3ACD">
        <w:rPr>
          <w:rFonts w:ascii="Arial" w:hAnsi="Arial" w:cs="Arial"/>
          <w:sz w:val="24"/>
          <w:szCs w:val="24"/>
        </w:rPr>
        <w:t>(2), pp.131-138.</w:t>
      </w:r>
    </w:p>
    <w:p w14:paraId="0523F54A"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Gebel, K., Ding, D., Chey, T., Stamatakis, E., Brown, W.J. and Bauman, A.E., 2015. Effect of moderate to vigorous physical activity on all-cause mortality in middle-aged and older Australians. </w:t>
      </w:r>
      <w:r w:rsidRPr="002E3ACD">
        <w:rPr>
          <w:rFonts w:ascii="Arial" w:hAnsi="Arial" w:cs="Arial"/>
          <w:i/>
          <w:iCs/>
          <w:sz w:val="24"/>
          <w:szCs w:val="24"/>
        </w:rPr>
        <w:t>JAMA internal medicine</w:t>
      </w:r>
      <w:r w:rsidRPr="002E3ACD">
        <w:rPr>
          <w:rFonts w:ascii="Arial" w:hAnsi="Arial" w:cs="Arial"/>
          <w:sz w:val="24"/>
          <w:szCs w:val="24"/>
        </w:rPr>
        <w:t>, </w:t>
      </w:r>
      <w:r w:rsidRPr="002E3ACD">
        <w:rPr>
          <w:rFonts w:ascii="Arial" w:hAnsi="Arial" w:cs="Arial"/>
          <w:i/>
          <w:iCs/>
          <w:sz w:val="24"/>
          <w:szCs w:val="24"/>
        </w:rPr>
        <w:t>175</w:t>
      </w:r>
      <w:r w:rsidRPr="002E3ACD">
        <w:rPr>
          <w:rFonts w:ascii="Arial" w:hAnsi="Arial" w:cs="Arial"/>
          <w:sz w:val="24"/>
          <w:szCs w:val="24"/>
        </w:rPr>
        <w:t>(6), pp.970-977.</w:t>
      </w:r>
    </w:p>
    <w:p w14:paraId="4F85BD45"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Gostoli, S., Raimondi, G., Gremigni, P. and Rafanelli, C., 2024. Subclinical attention-deficit hyperactivity disorder symptoms and unhealthy lifestyle behaviours. </w:t>
      </w:r>
      <w:r w:rsidRPr="002E3ACD">
        <w:rPr>
          <w:rFonts w:ascii="Arial" w:hAnsi="Arial" w:cs="Arial"/>
          <w:i/>
          <w:iCs/>
          <w:sz w:val="24"/>
          <w:szCs w:val="24"/>
        </w:rPr>
        <w:t>BJPsych Open</w:t>
      </w:r>
      <w:r w:rsidRPr="002E3ACD">
        <w:rPr>
          <w:rFonts w:ascii="Arial" w:hAnsi="Arial" w:cs="Arial"/>
          <w:sz w:val="24"/>
          <w:szCs w:val="24"/>
        </w:rPr>
        <w:t>, </w:t>
      </w:r>
      <w:r w:rsidRPr="002E3ACD">
        <w:rPr>
          <w:rFonts w:ascii="Arial" w:hAnsi="Arial" w:cs="Arial"/>
          <w:i/>
          <w:iCs/>
          <w:sz w:val="24"/>
          <w:szCs w:val="24"/>
        </w:rPr>
        <w:t>10</w:t>
      </w:r>
      <w:r w:rsidRPr="002E3ACD">
        <w:rPr>
          <w:rFonts w:ascii="Arial" w:hAnsi="Arial" w:cs="Arial"/>
          <w:sz w:val="24"/>
          <w:szCs w:val="24"/>
        </w:rPr>
        <w:t>(5), p.e168.</w:t>
      </w:r>
    </w:p>
    <w:p w14:paraId="58BAF268"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Guydish, J., Passalacqua, E., Pagano, A., Martínez, C., Le, T., Chun, J., Tajima, B., Docto, L., Garina, D. and Delucchi, K., 2016. An international systematic review of smoking prevalence in addiction treatment. </w:t>
      </w:r>
      <w:r w:rsidRPr="002E3ACD">
        <w:rPr>
          <w:rFonts w:ascii="Arial" w:hAnsi="Arial" w:cs="Arial"/>
          <w:i/>
          <w:iCs/>
          <w:sz w:val="24"/>
          <w:szCs w:val="24"/>
        </w:rPr>
        <w:t>Addiction</w:t>
      </w:r>
      <w:r w:rsidRPr="002E3ACD">
        <w:rPr>
          <w:rFonts w:ascii="Arial" w:hAnsi="Arial" w:cs="Arial"/>
          <w:sz w:val="24"/>
          <w:szCs w:val="24"/>
        </w:rPr>
        <w:t>, </w:t>
      </w:r>
      <w:r w:rsidRPr="002E3ACD">
        <w:rPr>
          <w:rFonts w:ascii="Arial" w:hAnsi="Arial" w:cs="Arial"/>
          <w:i/>
          <w:iCs/>
          <w:sz w:val="24"/>
          <w:szCs w:val="24"/>
        </w:rPr>
        <w:t>111</w:t>
      </w:r>
      <w:r w:rsidRPr="002E3ACD">
        <w:rPr>
          <w:rFonts w:ascii="Arial" w:hAnsi="Arial" w:cs="Arial"/>
          <w:sz w:val="24"/>
          <w:szCs w:val="24"/>
        </w:rPr>
        <w:t>(2), pp.220-230.</w:t>
      </w:r>
    </w:p>
    <w:p w14:paraId="16F260AB"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lang w:val="fr-CA"/>
        </w:rPr>
        <w:t xml:space="preserve">Habel, L. A., Cooper, W. O., Sox, C. M., et al. </w:t>
      </w:r>
      <w:r w:rsidRPr="002E3ACD">
        <w:rPr>
          <w:rFonts w:ascii="Arial" w:hAnsi="Arial" w:cs="Arial"/>
          <w:sz w:val="24"/>
          <w:szCs w:val="24"/>
        </w:rPr>
        <w:t>(2011) ADHD medications and risk of serious cardiovascular events in young and middle-aged adults. JAMA 306(24):2673–2683. </w:t>
      </w:r>
      <w:hyperlink r:id="rId23" w:history="1">
        <w:r w:rsidRPr="002E3ACD">
          <w:rPr>
            <w:rStyle w:val="Hyperlink"/>
            <w:rFonts w:ascii="Arial" w:hAnsi="Arial" w:cs="Arial"/>
            <w:sz w:val="24"/>
            <w:szCs w:val="24"/>
          </w:rPr>
          <w:t>https://doi.org/10.1001/jama.2011.1830</w:t>
        </w:r>
      </w:hyperlink>
    </w:p>
    <w:p w14:paraId="6B732E46"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Hamed, A.M., Kauer, A.J. and Stevens, H.E., 2015. Why the diagnosis of attention deficit hyperactivity disorder matters. </w:t>
      </w:r>
      <w:r w:rsidRPr="002E3ACD">
        <w:rPr>
          <w:rFonts w:ascii="Arial" w:hAnsi="Arial" w:cs="Arial"/>
          <w:i/>
          <w:iCs/>
          <w:sz w:val="24"/>
          <w:szCs w:val="24"/>
        </w:rPr>
        <w:t>Frontiers in psychiatry</w:t>
      </w:r>
      <w:r w:rsidRPr="002E3ACD">
        <w:rPr>
          <w:rFonts w:ascii="Arial" w:hAnsi="Arial" w:cs="Arial"/>
          <w:sz w:val="24"/>
          <w:szCs w:val="24"/>
        </w:rPr>
        <w:t>, </w:t>
      </w:r>
      <w:r w:rsidRPr="002E3ACD">
        <w:rPr>
          <w:rFonts w:ascii="Arial" w:hAnsi="Arial" w:cs="Arial"/>
          <w:i/>
          <w:iCs/>
          <w:sz w:val="24"/>
          <w:szCs w:val="24"/>
        </w:rPr>
        <w:t>6</w:t>
      </w:r>
      <w:r w:rsidRPr="002E3ACD">
        <w:rPr>
          <w:rFonts w:ascii="Arial" w:hAnsi="Arial" w:cs="Arial"/>
          <w:sz w:val="24"/>
          <w:szCs w:val="24"/>
        </w:rPr>
        <w:t>, p.168.</w:t>
      </w:r>
    </w:p>
    <w:p w14:paraId="3CC32F70"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Hammerness, P.G., Karampahtsis, C., Babalola, R. and Alexander, M.E., 2015. Attention-deficit/hyperactivity disorder treatment: what are the long-term cardiovascular risks?. </w:t>
      </w:r>
      <w:r w:rsidRPr="002E3ACD">
        <w:rPr>
          <w:rFonts w:ascii="Arial" w:hAnsi="Arial" w:cs="Arial"/>
          <w:i/>
          <w:iCs/>
          <w:sz w:val="24"/>
          <w:szCs w:val="24"/>
        </w:rPr>
        <w:t>Expert opinion on drug safety</w:t>
      </w:r>
      <w:r w:rsidRPr="002E3ACD">
        <w:rPr>
          <w:rFonts w:ascii="Arial" w:hAnsi="Arial" w:cs="Arial"/>
          <w:sz w:val="24"/>
          <w:szCs w:val="24"/>
        </w:rPr>
        <w:t>, </w:t>
      </w:r>
      <w:r w:rsidRPr="002E3ACD">
        <w:rPr>
          <w:rFonts w:ascii="Arial" w:hAnsi="Arial" w:cs="Arial"/>
          <w:i/>
          <w:iCs/>
          <w:sz w:val="24"/>
          <w:szCs w:val="24"/>
        </w:rPr>
        <w:t>14</w:t>
      </w:r>
      <w:r w:rsidRPr="002E3ACD">
        <w:rPr>
          <w:rFonts w:ascii="Arial" w:hAnsi="Arial" w:cs="Arial"/>
          <w:sz w:val="24"/>
          <w:szCs w:val="24"/>
        </w:rPr>
        <w:t>(4), pp.543-551.</w:t>
      </w:r>
    </w:p>
    <w:p w14:paraId="26FFA6D8" w14:textId="77777777" w:rsidR="00972164" w:rsidRPr="002E3ACD" w:rsidRDefault="00972164" w:rsidP="00972164">
      <w:pPr>
        <w:spacing w:before="100" w:beforeAutospacing="1" w:after="100" w:afterAutospacing="1" w:line="360" w:lineRule="auto"/>
        <w:jc w:val="both"/>
        <w:rPr>
          <w:rFonts w:ascii="Arial" w:hAnsi="Arial" w:cs="Arial"/>
          <w:sz w:val="24"/>
          <w:szCs w:val="24"/>
          <w:lang w:val="pt-BR"/>
        </w:rPr>
      </w:pPr>
      <w:r w:rsidRPr="002E3ACD">
        <w:rPr>
          <w:rFonts w:ascii="Arial" w:hAnsi="Arial" w:cs="Arial"/>
          <w:sz w:val="24"/>
          <w:szCs w:val="24"/>
        </w:rPr>
        <w:t xml:space="preserve">Heidenreich, P.A., Trogdon, J.G., Khavjou, O.A., Butler, J., Dracup, K., Ezekowitz, M.D., Finkelstein, E.A., Hong, Y., Johnston, S.C., Khera, A., Lloyd-Jones, D.M., Nelson, S.A., Nichol, G., Orenstein, D., Wilson, P.W.F. and Woo, Y.J. (2011). </w:t>
      </w:r>
      <w:r w:rsidRPr="002E3ACD">
        <w:rPr>
          <w:rFonts w:ascii="Arial" w:hAnsi="Arial" w:cs="Arial"/>
          <w:i/>
          <w:iCs/>
          <w:sz w:val="24"/>
          <w:szCs w:val="24"/>
        </w:rPr>
        <w:t>Forecasting the Future of Cardiovascular Disease in the United States. </w:t>
      </w:r>
      <w:r w:rsidRPr="002E3ACD">
        <w:rPr>
          <w:rFonts w:ascii="Arial" w:hAnsi="Arial" w:cs="Arial"/>
          <w:i/>
          <w:iCs/>
          <w:sz w:val="24"/>
          <w:szCs w:val="24"/>
          <w:lang w:val="pt-BR"/>
        </w:rPr>
        <w:t>Circulation,</w:t>
      </w:r>
      <w:r w:rsidRPr="002E3ACD">
        <w:rPr>
          <w:rFonts w:ascii="Arial" w:hAnsi="Arial" w:cs="Arial"/>
          <w:sz w:val="24"/>
          <w:szCs w:val="24"/>
          <w:lang w:val="pt-BR"/>
        </w:rPr>
        <w:t xml:space="preserve"> 123(8), pp.933–944. </w:t>
      </w:r>
      <w:hyperlink r:id="rId24" w:history="1">
        <w:r w:rsidRPr="002E3ACD">
          <w:rPr>
            <w:rStyle w:val="Hyperlink"/>
            <w:rFonts w:ascii="Arial" w:hAnsi="Arial" w:cs="Arial"/>
            <w:sz w:val="24"/>
            <w:szCs w:val="24"/>
            <w:lang w:val="pt-BR"/>
          </w:rPr>
          <w:t>https://doi.org/10.1161/cir.0b013e31820a55f5</w:t>
        </w:r>
      </w:hyperlink>
      <w:r w:rsidRPr="002E3ACD">
        <w:rPr>
          <w:rFonts w:ascii="Arial" w:hAnsi="Arial" w:cs="Arial"/>
          <w:sz w:val="24"/>
          <w:szCs w:val="24"/>
          <w:lang w:val="pt-BR"/>
        </w:rPr>
        <w:t xml:space="preserve">. </w:t>
      </w:r>
    </w:p>
    <w:p w14:paraId="38B06710"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lang w:val="pt-BR"/>
        </w:rPr>
        <w:t xml:space="preserve">Hennissen, L., Bakker, M.J., Banaschewski, T., Carucci, S., Coghill, D., Danckaerts, M., Dittmann, R.W., Hollis, C., Kovshoff, H., McCarthy, S. and Nagy, P., 2017. </w:t>
      </w:r>
      <w:r w:rsidRPr="002E3ACD">
        <w:rPr>
          <w:rFonts w:ascii="Arial" w:hAnsi="Arial" w:cs="Arial"/>
          <w:sz w:val="24"/>
          <w:szCs w:val="24"/>
        </w:rPr>
        <w:t>Cardiovascular effects of stimulant and non-stimulant medication for children and adolescents with ADHD: a systematic review and meta-analysis of trials of methylphenidate, amphetamines and atomoxetine. </w:t>
      </w:r>
      <w:r w:rsidRPr="002E3ACD">
        <w:rPr>
          <w:rFonts w:ascii="Arial" w:hAnsi="Arial" w:cs="Arial"/>
          <w:i/>
          <w:iCs/>
          <w:sz w:val="24"/>
          <w:szCs w:val="24"/>
        </w:rPr>
        <w:t>CNS drugs</w:t>
      </w:r>
      <w:r w:rsidRPr="002E3ACD">
        <w:rPr>
          <w:rFonts w:ascii="Arial" w:hAnsi="Arial" w:cs="Arial"/>
          <w:sz w:val="24"/>
          <w:szCs w:val="24"/>
        </w:rPr>
        <w:t>, </w:t>
      </w:r>
      <w:r w:rsidRPr="002E3ACD">
        <w:rPr>
          <w:rFonts w:ascii="Arial" w:hAnsi="Arial" w:cs="Arial"/>
          <w:i/>
          <w:iCs/>
          <w:sz w:val="24"/>
          <w:szCs w:val="24"/>
        </w:rPr>
        <w:t>31</w:t>
      </w:r>
      <w:r w:rsidRPr="002E3ACD">
        <w:rPr>
          <w:rFonts w:ascii="Arial" w:hAnsi="Arial" w:cs="Arial"/>
          <w:sz w:val="24"/>
          <w:szCs w:val="24"/>
        </w:rPr>
        <w:t>(3), pp.199-215.</w:t>
      </w:r>
    </w:p>
    <w:p w14:paraId="626EAC4C" w14:textId="77777777" w:rsidR="00972164" w:rsidRPr="002E3ACD" w:rsidRDefault="00972164" w:rsidP="0097216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E3ACD">
        <w:rPr>
          <w:rFonts w:ascii="Arial" w:eastAsia="Times New Roman" w:hAnsi="Arial" w:cs="Arial"/>
          <w:kern w:val="0"/>
          <w:sz w:val="24"/>
          <w:szCs w:val="24"/>
          <w:lang w:eastAsia="en-GB"/>
          <w14:ligatures w14:val="none"/>
        </w:rPr>
        <w:t>Holt, A., Strange, J.E., Rasmussen, P.V., Nouhravesh, N., Nielsen, S.K., Sindet-Pedersen, C., Fosbøl, E.L., Køber, L., Torp-Pedersen, C., Gislason, G.H. and McGettigan, P., 2024. Long-term cardiovascular risk associated with treatment of attention-deficit/hyperactivity disorder in adults. </w:t>
      </w:r>
      <w:r w:rsidRPr="002E3ACD">
        <w:rPr>
          <w:rFonts w:ascii="Arial" w:eastAsia="Times New Roman" w:hAnsi="Arial" w:cs="Arial"/>
          <w:i/>
          <w:iCs/>
          <w:kern w:val="0"/>
          <w:sz w:val="24"/>
          <w:szCs w:val="24"/>
          <w:lang w:eastAsia="en-GB"/>
          <w14:ligatures w14:val="none"/>
        </w:rPr>
        <w:t>Journal of the American College of Cardiology</w:t>
      </w:r>
      <w:r w:rsidRPr="002E3ACD">
        <w:rPr>
          <w:rFonts w:ascii="Arial" w:eastAsia="Times New Roman" w:hAnsi="Arial" w:cs="Arial"/>
          <w:kern w:val="0"/>
          <w:sz w:val="24"/>
          <w:szCs w:val="24"/>
          <w:lang w:eastAsia="en-GB"/>
          <w14:ligatures w14:val="none"/>
        </w:rPr>
        <w:t>, </w:t>
      </w:r>
      <w:r w:rsidRPr="002E3ACD">
        <w:rPr>
          <w:rFonts w:ascii="Arial" w:eastAsia="Times New Roman" w:hAnsi="Arial" w:cs="Arial"/>
          <w:i/>
          <w:iCs/>
          <w:kern w:val="0"/>
          <w:sz w:val="24"/>
          <w:szCs w:val="24"/>
          <w:lang w:eastAsia="en-GB"/>
          <w14:ligatures w14:val="none"/>
        </w:rPr>
        <w:t>83</w:t>
      </w:r>
      <w:r w:rsidRPr="002E3ACD">
        <w:rPr>
          <w:rFonts w:ascii="Arial" w:eastAsia="Times New Roman" w:hAnsi="Arial" w:cs="Arial"/>
          <w:kern w:val="0"/>
          <w:sz w:val="24"/>
          <w:szCs w:val="24"/>
          <w:lang w:eastAsia="en-GB"/>
          <w14:ligatures w14:val="none"/>
        </w:rPr>
        <w:t>(19), pp.1870-1882.</w:t>
      </w:r>
    </w:p>
    <w:p w14:paraId="4AD4D77F"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Hu, X., Pan, L. and Li, W., 2023. Meta-analysis on the efficacy of the norepinephrine reuptake inhibitors reboxetine and atomoxetine for the treatment of schizophrenia and attention deficit hyperactivity disorder. </w:t>
      </w:r>
      <w:r w:rsidRPr="002E3ACD">
        <w:rPr>
          <w:rFonts w:ascii="Arial" w:hAnsi="Arial" w:cs="Arial"/>
          <w:i/>
          <w:iCs/>
          <w:sz w:val="24"/>
          <w:szCs w:val="24"/>
        </w:rPr>
        <w:t>Advances in Clinical and Experimental Medicine</w:t>
      </w:r>
      <w:r w:rsidRPr="002E3ACD">
        <w:rPr>
          <w:rFonts w:ascii="Arial" w:hAnsi="Arial" w:cs="Arial"/>
          <w:sz w:val="24"/>
          <w:szCs w:val="24"/>
        </w:rPr>
        <w:t>, </w:t>
      </w:r>
      <w:r w:rsidRPr="002E3ACD">
        <w:rPr>
          <w:rFonts w:ascii="Arial" w:hAnsi="Arial" w:cs="Arial"/>
          <w:i/>
          <w:iCs/>
          <w:sz w:val="24"/>
          <w:szCs w:val="24"/>
        </w:rPr>
        <w:t>32</w:t>
      </w:r>
      <w:r w:rsidRPr="002E3ACD">
        <w:rPr>
          <w:rFonts w:ascii="Arial" w:hAnsi="Arial" w:cs="Arial"/>
          <w:sz w:val="24"/>
          <w:szCs w:val="24"/>
        </w:rPr>
        <w:t>(5), pp.511-522.</w:t>
      </w:r>
    </w:p>
    <w:p w14:paraId="625BEE96"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Jiménez-Muñoz, L., Olatz Lopez-Fernandez, Inmaculada Peñuelas-Calvo, Delgado-Gómez, D., Miguélez-Fernández, C., López-González, S., González-Garrido, C., Baca-García, E., Carballo, J.J. and Porras-Segovia, A. (2024). Persistence of ADHD into adulthood and associated factors: a prospective study. Psiquiatría Biológica,</w:t>
      </w:r>
      <w:r w:rsidRPr="002E3ACD">
        <w:rPr>
          <w:rFonts w:ascii="Arial" w:hAnsi="Arial" w:cs="Arial"/>
          <w:i/>
          <w:iCs/>
          <w:sz w:val="24"/>
          <w:szCs w:val="24"/>
        </w:rPr>
        <w:t xml:space="preserve"> SceinceDirect</w:t>
      </w:r>
      <w:r w:rsidRPr="002E3ACD">
        <w:rPr>
          <w:rFonts w:ascii="Arial" w:hAnsi="Arial" w:cs="Arial"/>
          <w:sz w:val="24"/>
          <w:szCs w:val="24"/>
        </w:rPr>
        <w:t xml:space="preserve">, 32(2), pp.100529–100529. </w:t>
      </w:r>
      <w:hyperlink r:id="rId25" w:history="1">
        <w:r w:rsidRPr="002E3ACD">
          <w:rPr>
            <w:rStyle w:val="Hyperlink"/>
            <w:rFonts w:ascii="Arial" w:hAnsi="Arial" w:cs="Arial"/>
            <w:sz w:val="24"/>
            <w:szCs w:val="24"/>
          </w:rPr>
          <w:t>https://doi.org/10.1016/j.psiq.2024.100529</w:t>
        </w:r>
      </w:hyperlink>
      <w:r w:rsidRPr="002E3ACD">
        <w:rPr>
          <w:rFonts w:ascii="Arial" w:hAnsi="Arial" w:cs="Arial"/>
          <w:sz w:val="24"/>
          <w:szCs w:val="24"/>
        </w:rPr>
        <w:t xml:space="preserve">. </w:t>
      </w:r>
    </w:p>
    <w:p w14:paraId="7BDCED52"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Kessler, R.C., Adler, L., Barkley, R., Biederman, J., Conners, C.K., Demler, O., Faraone, S.V., Greenhill, L.L., Howes, M.J., Secnik, K., Spencer, T., Ustun, T.B., Walters, E.E. and Zaslavsky, A.M. (2006). The prevalence and correlates of adult ADHD in the United States: results from the National Comorbidity Survey Replication</w:t>
      </w:r>
      <w:r w:rsidRPr="002E3ACD">
        <w:rPr>
          <w:rFonts w:ascii="Arial" w:hAnsi="Arial" w:cs="Arial"/>
          <w:i/>
          <w:iCs/>
          <w:sz w:val="24"/>
          <w:szCs w:val="24"/>
        </w:rPr>
        <w:t>. The American journal of psychiatry,</w:t>
      </w:r>
      <w:r w:rsidRPr="002E3ACD">
        <w:rPr>
          <w:rFonts w:ascii="Arial" w:hAnsi="Arial" w:cs="Arial"/>
          <w:sz w:val="24"/>
          <w:szCs w:val="24"/>
        </w:rPr>
        <w:t xml:space="preserve"> 163(4), pp.716–723. </w:t>
      </w:r>
      <w:hyperlink r:id="rId26" w:history="1">
        <w:r w:rsidRPr="002E3ACD">
          <w:rPr>
            <w:rStyle w:val="Hyperlink"/>
            <w:rFonts w:ascii="Arial" w:hAnsi="Arial" w:cs="Arial"/>
            <w:sz w:val="24"/>
            <w:szCs w:val="24"/>
          </w:rPr>
          <w:t>https://doi.org/10.1176/ajp.2006.163.4.716</w:t>
        </w:r>
      </w:hyperlink>
      <w:r w:rsidRPr="002E3ACD">
        <w:rPr>
          <w:rFonts w:ascii="Arial" w:hAnsi="Arial" w:cs="Arial"/>
          <w:sz w:val="24"/>
          <w:szCs w:val="24"/>
        </w:rPr>
        <w:t xml:space="preserve">. </w:t>
      </w:r>
    </w:p>
    <w:p w14:paraId="65895427"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Khan, M.U. and Aslani, P., 2019. A review of factors influencing the three phases of medication adherence in people with attention-deficit/hyperactivity disorder. </w:t>
      </w:r>
      <w:r w:rsidRPr="002E3ACD">
        <w:rPr>
          <w:rFonts w:ascii="Arial" w:hAnsi="Arial" w:cs="Arial"/>
          <w:i/>
          <w:iCs/>
          <w:sz w:val="24"/>
          <w:szCs w:val="24"/>
        </w:rPr>
        <w:t>Journal of child and adolescent psychopharmacology</w:t>
      </w:r>
      <w:r w:rsidRPr="002E3ACD">
        <w:rPr>
          <w:rFonts w:ascii="Arial" w:hAnsi="Arial" w:cs="Arial"/>
          <w:sz w:val="24"/>
          <w:szCs w:val="24"/>
        </w:rPr>
        <w:t>, </w:t>
      </w:r>
      <w:r w:rsidRPr="002E3ACD">
        <w:rPr>
          <w:rFonts w:ascii="Arial" w:hAnsi="Arial" w:cs="Arial"/>
          <w:i/>
          <w:iCs/>
          <w:sz w:val="24"/>
          <w:szCs w:val="24"/>
        </w:rPr>
        <w:t>29</w:t>
      </w:r>
      <w:r w:rsidRPr="002E3ACD">
        <w:rPr>
          <w:rFonts w:ascii="Arial" w:hAnsi="Arial" w:cs="Arial"/>
          <w:sz w:val="24"/>
          <w:szCs w:val="24"/>
        </w:rPr>
        <w:t>(6), pp.398-418.</w:t>
      </w:r>
    </w:p>
    <w:p w14:paraId="606E55A0" w14:textId="77777777" w:rsidR="00972164" w:rsidRPr="002E3ACD" w:rsidRDefault="00972164" w:rsidP="00972164">
      <w:pPr>
        <w:spacing w:before="100" w:beforeAutospacing="1" w:after="100" w:afterAutospacing="1" w:line="360" w:lineRule="auto"/>
        <w:jc w:val="both"/>
        <w:rPr>
          <w:rFonts w:ascii="Arial" w:hAnsi="Arial" w:cs="Arial"/>
          <w:sz w:val="24"/>
          <w:szCs w:val="24"/>
        </w:rPr>
      </w:pPr>
      <w:bookmarkStart w:id="9" w:name="_Hlk198720208"/>
      <w:r w:rsidRPr="002E3ACD">
        <w:rPr>
          <w:rFonts w:ascii="Arial" w:hAnsi="Arial" w:cs="Arial"/>
          <w:sz w:val="24"/>
          <w:szCs w:val="24"/>
        </w:rPr>
        <w:t>Kinney,</w:t>
      </w:r>
      <w:bookmarkEnd w:id="9"/>
      <w:r w:rsidRPr="002E3ACD">
        <w:rPr>
          <w:rFonts w:ascii="Arial" w:hAnsi="Arial" w:cs="Arial"/>
          <w:sz w:val="24"/>
          <w:szCs w:val="24"/>
        </w:rPr>
        <w:t xml:space="preserve"> J.W., Davis, C.N., Tabarean, I., Conti, B., Bartfai, T. and Behrens, M.M. (2006). A Specific Role for NR2A-Containing NMDA Receptors in the Maintenance of Parvalbumin and GAD67 Immunoreactivity in Cultured Interneurons. </w:t>
      </w:r>
      <w:r w:rsidRPr="002E3ACD">
        <w:rPr>
          <w:rFonts w:ascii="Arial" w:hAnsi="Arial" w:cs="Arial"/>
          <w:i/>
          <w:iCs/>
          <w:sz w:val="24"/>
          <w:szCs w:val="24"/>
        </w:rPr>
        <w:t>The Journal of Neuroscience</w:t>
      </w:r>
      <w:r w:rsidRPr="002E3ACD">
        <w:rPr>
          <w:rFonts w:ascii="Arial" w:hAnsi="Arial" w:cs="Arial"/>
          <w:sz w:val="24"/>
          <w:szCs w:val="24"/>
        </w:rPr>
        <w:t xml:space="preserve">, 26(5), pp.1604–1615. </w:t>
      </w:r>
      <w:hyperlink r:id="rId27" w:history="1">
        <w:r w:rsidRPr="002E3ACD">
          <w:rPr>
            <w:rStyle w:val="Hyperlink"/>
            <w:rFonts w:ascii="Arial" w:hAnsi="Arial" w:cs="Arial"/>
            <w:sz w:val="24"/>
            <w:szCs w:val="24"/>
          </w:rPr>
          <w:t>https://doi.org/10.1523/jneurosci.4722-05.2006</w:t>
        </w:r>
      </w:hyperlink>
      <w:r w:rsidRPr="002E3ACD">
        <w:rPr>
          <w:rFonts w:ascii="Arial" w:hAnsi="Arial" w:cs="Arial"/>
          <w:sz w:val="24"/>
          <w:szCs w:val="24"/>
        </w:rPr>
        <w:t xml:space="preserve">. </w:t>
      </w:r>
    </w:p>
    <w:p w14:paraId="03D7C5D4"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Landau, Z. and Pinhas-Hamiel, O., 2019. Attention deficit/hyperactivity, the metabolic syndrome, and type 2 diabetes. </w:t>
      </w:r>
      <w:r w:rsidRPr="002E3ACD">
        <w:rPr>
          <w:rFonts w:ascii="Arial" w:hAnsi="Arial" w:cs="Arial"/>
          <w:i/>
          <w:iCs/>
          <w:sz w:val="24"/>
          <w:szCs w:val="24"/>
        </w:rPr>
        <w:t>Current diabetes reports</w:t>
      </w:r>
      <w:r w:rsidRPr="002E3ACD">
        <w:rPr>
          <w:rFonts w:ascii="Arial" w:hAnsi="Arial" w:cs="Arial"/>
          <w:sz w:val="24"/>
          <w:szCs w:val="24"/>
        </w:rPr>
        <w:t>, </w:t>
      </w:r>
      <w:r w:rsidRPr="002E3ACD">
        <w:rPr>
          <w:rFonts w:ascii="Arial" w:hAnsi="Arial" w:cs="Arial"/>
          <w:i/>
          <w:iCs/>
          <w:sz w:val="24"/>
          <w:szCs w:val="24"/>
        </w:rPr>
        <w:t>19</w:t>
      </w:r>
      <w:r w:rsidRPr="002E3ACD">
        <w:rPr>
          <w:rFonts w:ascii="Arial" w:hAnsi="Arial" w:cs="Arial"/>
          <w:sz w:val="24"/>
          <w:szCs w:val="24"/>
        </w:rPr>
        <w:t>(8), p.46.</w:t>
      </w:r>
    </w:p>
    <w:p w14:paraId="07CCFC4F"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Leszczyńska-Knaga, E., Chodkowska, E., Jakubczyk, N., Dominiczak, K., Szafrańska, K., Mucha, A., Graszka, S., Szeps, A., Dominiczak, P. and Bielas, K., 2025. The Treatment of ADHD in Adults: Efficacy and Safety of Stimulants and Non-Stimulants. </w:t>
      </w:r>
      <w:r w:rsidRPr="002E3ACD">
        <w:rPr>
          <w:rFonts w:ascii="Arial" w:hAnsi="Arial" w:cs="Arial"/>
          <w:i/>
          <w:iCs/>
          <w:sz w:val="24"/>
          <w:szCs w:val="24"/>
        </w:rPr>
        <w:t>Journal of Education, Health and Sport</w:t>
      </w:r>
      <w:r w:rsidRPr="002E3ACD">
        <w:rPr>
          <w:rFonts w:ascii="Arial" w:hAnsi="Arial" w:cs="Arial"/>
          <w:sz w:val="24"/>
          <w:szCs w:val="24"/>
        </w:rPr>
        <w:t>, </w:t>
      </w:r>
      <w:r w:rsidRPr="002E3ACD">
        <w:rPr>
          <w:rFonts w:ascii="Arial" w:hAnsi="Arial" w:cs="Arial"/>
          <w:i/>
          <w:iCs/>
          <w:sz w:val="24"/>
          <w:szCs w:val="24"/>
        </w:rPr>
        <w:t>83</w:t>
      </w:r>
      <w:r w:rsidRPr="002E3ACD">
        <w:rPr>
          <w:rFonts w:ascii="Arial" w:hAnsi="Arial" w:cs="Arial"/>
          <w:sz w:val="24"/>
          <w:szCs w:val="24"/>
        </w:rPr>
        <w:t>, pp.60705-60705.</w:t>
      </w:r>
    </w:p>
    <w:p w14:paraId="5DF80F35"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Li, L., Chang, Z., Sun, J., Garcia</w:t>
      </w:r>
      <w:r w:rsidRPr="002E3ACD">
        <w:rPr>
          <w:rFonts w:ascii="Cambria Math" w:hAnsi="Cambria Math" w:cs="Cambria Math"/>
          <w:sz w:val="24"/>
          <w:szCs w:val="24"/>
        </w:rPr>
        <w:t>‐</w:t>
      </w:r>
      <w:r w:rsidRPr="002E3ACD">
        <w:rPr>
          <w:rFonts w:ascii="Arial" w:hAnsi="Arial" w:cs="Arial"/>
          <w:sz w:val="24"/>
          <w:szCs w:val="24"/>
        </w:rPr>
        <w:t>Argibay, M., Du Rietz, E., Dobrosavljevic, M., Brikell, I., Jernberg, T., Solmi, M., Cortese, S. and Larsson, H., 2022. Attention</w:t>
      </w:r>
      <w:r w:rsidRPr="002E3ACD">
        <w:rPr>
          <w:rFonts w:ascii="Cambria Math" w:hAnsi="Cambria Math" w:cs="Cambria Math"/>
          <w:sz w:val="24"/>
          <w:szCs w:val="24"/>
        </w:rPr>
        <w:t>‐</w:t>
      </w:r>
      <w:r w:rsidRPr="002E3ACD">
        <w:rPr>
          <w:rFonts w:ascii="Arial" w:hAnsi="Arial" w:cs="Arial"/>
          <w:sz w:val="24"/>
          <w:szCs w:val="24"/>
        </w:rPr>
        <w:t>deficit/hyperactivity disorder as a risk factor for cardiovascular diseases: A nationwide population</w:t>
      </w:r>
      <w:r w:rsidRPr="002E3ACD">
        <w:rPr>
          <w:rFonts w:ascii="Cambria Math" w:hAnsi="Cambria Math" w:cs="Cambria Math"/>
          <w:sz w:val="24"/>
          <w:szCs w:val="24"/>
        </w:rPr>
        <w:t>‐</w:t>
      </w:r>
      <w:r w:rsidRPr="002E3ACD">
        <w:rPr>
          <w:rFonts w:ascii="Arial" w:hAnsi="Arial" w:cs="Arial"/>
          <w:sz w:val="24"/>
          <w:szCs w:val="24"/>
        </w:rPr>
        <w:t>based cohort study. </w:t>
      </w:r>
      <w:r w:rsidRPr="002E3ACD">
        <w:rPr>
          <w:rFonts w:ascii="Arial" w:hAnsi="Arial" w:cs="Arial"/>
          <w:i/>
          <w:iCs/>
          <w:sz w:val="24"/>
          <w:szCs w:val="24"/>
        </w:rPr>
        <w:t>World Psychiatry</w:t>
      </w:r>
      <w:r w:rsidRPr="002E3ACD">
        <w:rPr>
          <w:rFonts w:ascii="Arial" w:hAnsi="Arial" w:cs="Arial"/>
          <w:sz w:val="24"/>
          <w:szCs w:val="24"/>
        </w:rPr>
        <w:t>, </w:t>
      </w:r>
      <w:r w:rsidRPr="002E3ACD">
        <w:rPr>
          <w:rFonts w:ascii="Arial" w:hAnsi="Arial" w:cs="Arial"/>
          <w:i/>
          <w:iCs/>
          <w:sz w:val="24"/>
          <w:szCs w:val="24"/>
        </w:rPr>
        <w:t>21</w:t>
      </w:r>
      <w:r w:rsidRPr="002E3ACD">
        <w:rPr>
          <w:rFonts w:ascii="Arial" w:hAnsi="Arial" w:cs="Arial"/>
          <w:sz w:val="24"/>
          <w:szCs w:val="24"/>
        </w:rPr>
        <w:t>(3), pp.452-459.</w:t>
      </w:r>
    </w:p>
    <w:p w14:paraId="106C3A0D"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Liang, E.F., Lim, S.Z., Tam, W.W., Ho, C.S., Zhang, M.W., McIntyre, R.S. and Ho, R.C., 2018. The effect of methylphenidate and atomoxetine on heart rate and systolic blood pressure in young people and adults with attention-deficit hyperactivity disorder (ADHD): systematic review, meta-analysis, and meta-regression. </w:t>
      </w:r>
      <w:r w:rsidRPr="002E3ACD">
        <w:rPr>
          <w:rFonts w:ascii="Arial" w:hAnsi="Arial" w:cs="Arial"/>
          <w:i/>
          <w:iCs/>
          <w:sz w:val="24"/>
          <w:szCs w:val="24"/>
        </w:rPr>
        <w:t>International journal of environmental research and public health</w:t>
      </w:r>
      <w:r w:rsidRPr="002E3ACD">
        <w:rPr>
          <w:rFonts w:ascii="Arial" w:hAnsi="Arial" w:cs="Arial"/>
          <w:sz w:val="24"/>
          <w:szCs w:val="24"/>
        </w:rPr>
        <w:t>, </w:t>
      </w:r>
      <w:r w:rsidRPr="002E3ACD">
        <w:rPr>
          <w:rFonts w:ascii="Arial" w:hAnsi="Arial" w:cs="Arial"/>
          <w:i/>
          <w:iCs/>
          <w:sz w:val="24"/>
          <w:szCs w:val="24"/>
        </w:rPr>
        <w:t>15</w:t>
      </w:r>
      <w:r w:rsidRPr="002E3ACD">
        <w:rPr>
          <w:rFonts w:ascii="Arial" w:hAnsi="Arial" w:cs="Arial"/>
          <w:sz w:val="24"/>
          <w:szCs w:val="24"/>
        </w:rPr>
        <w:t>(8), p.1789.</w:t>
      </w:r>
    </w:p>
    <w:p w14:paraId="22FBB760"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Luo, S.X. and Levin, F.R., 2017. Towards precision addiction treatment: new findings in co-morbid substance use and attention-deficit hyperactivity disorders. </w:t>
      </w:r>
      <w:r w:rsidRPr="002E3ACD">
        <w:rPr>
          <w:rFonts w:ascii="Arial" w:hAnsi="Arial" w:cs="Arial"/>
          <w:i/>
          <w:iCs/>
          <w:sz w:val="24"/>
          <w:szCs w:val="24"/>
        </w:rPr>
        <w:t>Current psychiatry reports</w:t>
      </w:r>
      <w:r w:rsidRPr="002E3ACD">
        <w:rPr>
          <w:rFonts w:ascii="Arial" w:hAnsi="Arial" w:cs="Arial"/>
          <w:sz w:val="24"/>
          <w:szCs w:val="24"/>
        </w:rPr>
        <w:t>, </w:t>
      </w:r>
      <w:r w:rsidRPr="002E3ACD">
        <w:rPr>
          <w:rFonts w:ascii="Arial" w:hAnsi="Arial" w:cs="Arial"/>
          <w:i/>
          <w:iCs/>
          <w:sz w:val="24"/>
          <w:szCs w:val="24"/>
        </w:rPr>
        <w:t>19</w:t>
      </w:r>
      <w:r w:rsidRPr="002E3ACD">
        <w:rPr>
          <w:rFonts w:ascii="Arial" w:hAnsi="Arial" w:cs="Arial"/>
          <w:sz w:val="24"/>
          <w:szCs w:val="24"/>
        </w:rPr>
        <w:t>(3), p.14.</w:t>
      </w:r>
    </w:p>
    <w:p w14:paraId="2DB6AFA0"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Mick, E., McManus, D.D. and Goldberg, R.J. (2013). Meta-analysis of increased heart rate and blood pressure associated with CNS stimulant treatment of ADHD in adults. </w:t>
      </w:r>
      <w:r w:rsidRPr="002E3ACD">
        <w:rPr>
          <w:rFonts w:ascii="Arial" w:hAnsi="Arial" w:cs="Arial"/>
          <w:i/>
          <w:iCs/>
          <w:sz w:val="24"/>
          <w:szCs w:val="24"/>
        </w:rPr>
        <w:t>European Neuropsychopharmacology</w:t>
      </w:r>
      <w:r w:rsidRPr="002E3ACD">
        <w:rPr>
          <w:rFonts w:ascii="Arial" w:hAnsi="Arial" w:cs="Arial"/>
          <w:sz w:val="24"/>
          <w:szCs w:val="24"/>
        </w:rPr>
        <w:t xml:space="preserve">, 23(6), pp.534–541. </w:t>
      </w:r>
      <w:hyperlink r:id="rId28" w:history="1">
        <w:r w:rsidRPr="002E3ACD">
          <w:rPr>
            <w:rStyle w:val="Hyperlink"/>
            <w:rFonts w:ascii="Arial" w:hAnsi="Arial" w:cs="Arial"/>
            <w:sz w:val="24"/>
            <w:szCs w:val="24"/>
          </w:rPr>
          <w:t>https://doi.org/10.1016/j.euroneuro.2012.06.011</w:t>
        </w:r>
      </w:hyperlink>
      <w:r w:rsidRPr="002E3ACD">
        <w:rPr>
          <w:rFonts w:ascii="Arial" w:hAnsi="Arial" w:cs="Arial"/>
          <w:sz w:val="24"/>
          <w:szCs w:val="24"/>
        </w:rPr>
        <w:t xml:space="preserve">. </w:t>
      </w:r>
    </w:p>
    <w:p w14:paraId="547C471E" w14:textId="77777777" w:rsidR="00972164" w:rsidRPr="002E3ACD" w:rsidRDefault="00972164" w:rsidP="00972164">
      <w:pPr>
        <w:spacing w:before="100" w:beforeAutospacing="1" w:after="100" w:afterAutospacing="1" w:line="360" w:lineRule="auto"/>
        <w:jc w:val="both"/>
        <w:rPr>
          <w:rFonts w:ascii="Arial" w:hAnsi="Arial" w:cs="Arial"/>
          <w:sz w:val="24"/>
          <w:szCs w:val="24"/>
        </w:rPr>
      </w:pPr>
      <w:bookmarkStart w:id="10" w:name="_Hlk194589132"/>
      <w:bookmarkStart w:id="11" w:name="_Hlk194589865"/>
      <w:r w:rsidRPr="002E3ACD">
        <w:rPr>
          <w:rFonts w:ascii="Arial" w:hAnsi="Arial" w:cs="Arial"/>
          <w:sz w:val="24"/>
          <w:szCs w:val="24"/>
        </w:rPr>
        <w:t>National Institute of Mental Health (2024)</w:t>
      </w:r>
      <w:bookmarkEnd w:id="10"/>
      <w:r w:rsidRPr="002E3ACD">
        <w:rPr>
          <w:rFonts w:ascii="Arial" w:hAnsi="Arial" w:cs="Arial"/>
          <w:sz w:val="24"/>
          <w:szCs w:val="24"/>
        </w:rPr>
        <w:t>. </w:t>
      </w:r>
      <w:bookmarkEnd w:id="11"/>
      <w:r w:rsidRPr="002E3ACD">
        <w:rPr>
          <w:rFonts w:ascii="Arial" w:hAnsi="Arial" w:cs="Arial"/>
          <w:i/>
          <w:iCs/>
          <w:sz w:val="24"/>
          <w:szCs w:val="24"/>
        </w:rPr>
        <w:t>Attention-Deficit/Hyperactivity disorder.</w:t>
      </w:r>
      <w:r w:rsidRPr="002E3ACD">
        <w:rPr>
          <w:rFonts w:ascii="Arial" w:hAnsi="Arial" w:cs="Arial"/>
          <w:sz w:val="24"/>
          <w:szCs w:val="24"/>
        </w:rPr>
        <w:t xml:space="preserve"> www.nimh.nih.gov. Available at: </w:t>
      </w:r>
      <w:hyperlink r:id="rId29" w:history="1">
        <w:r w:rsidRPr="002E3ACD">
          <w:rPr>
            <w:rStyle w:val="Hyperlink"/>
            <w:rFonts w:ascii="Arial" w:hAnsi="Arial" w:cs="Arial"/>
            <w:sz w:val="24"/>
            <w:szCs w:val="24"/>
          </w:rPr>
          <w:t>https://www.nimh.nih.gov/health/topics/attention-deficit-hyperactivity-disorder-adhd</w:t>
        </w:r>
      </w:hyperlink>
      <w:r w:rsidRPr="002E3ACD">
        <w:rPr>
          <w:rFonts w:ascii="Arial" w:hAnsi="Arial" w:cs="Arial"/>
          <w:sz w:val="24"/>
          <w:szCs w:val="24"/>
        </w:rPr>
        <w:t>. (Accessed 3</w:t>
      </w:r>
      <w:r w:rsidRPr="002E3ACD">
        <w:rPr>
          <w:rFonts w:ascii="Arial" w:hAnsi="Arial" w:cs="Arial"/>
          <w:sz w:val="24"/>
          <w:szCs w:val="24"/>
          <w:vertAlign w:val="superscript"/>
        </w:rPr>
        <w:t>rd</w:t>
      </w:r>
      <w:r w:rsidRPr="002E3ACD">
        <w:rPr>
          <w:rFonts w:ascii="Arial" w:hAnsi="Arial" w:cs="Arial"/>
          <w:sz w:val="24"/>
          <w:szCs w:val="24"/>
        </w:rPr>
        <w:t xml:space="preserve"> April 2025).</w:t>
      </w:r>
    </w:p>
    <w:p w14:paraId="3EC13A5E"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 xml:space="preserve">National Institute of Mental Health (2024). Attention-Deficit/Hyperactivity disorder. [online] www.nimh.nih.gov. Available at: </w:t>
      </w:r>
      <w:hyperlink r:id="rId30" w:history="1">
        <w:r w:rsidRPr="002E3ACD">
          <w:rPr>
            <w:rStyle w:val="Hyperlink"/>
            <w:rFonts w:ascii="Arial" w:hAnsi="Arial" w:cs="Arial"/>
            <w:sz w:val="24"/>
            <w:szCs w:val="24"/>
          </w:rPr>
          <w:t>https://www.nimh.nih.gov/health/topics/attention-deficit-Mayhyperactivity-disorder-adhd</w:t>
        </w:r>
      </w:hyperlink>
      <w:r w:rsidRPr="002E3ACD">
        <w:rPr>
          <w:rFonts w:ascii="Arial" w:hAnsi="Arial" w:cs="Arial"/>
          <w:sz w:val="24"/>
          <w:szCs w:val="24"/>
        </w:rPr>
        <w:t>. (Accessed 3</w:t>
      </w:r>
      <w:r w:rsidRPr="002E3ACD">
        <w:rPr>
          <w:rFonts w:ascii="Arial" w:hAnsi="Arial" w:cs="Arial"/>
          <w:sz w:val="24"/>
          <w:szCs w:val="24"/>
          <w:vertAlign w:val="superscript"/>
        </w:rPr>
        <w:t>rd</w:t>
      </w:r>
      <w:r w:rsidRPr="002E3ACD">
        <w:rPr>
          <w:rFonts w:ascii="Arial" w:hAnsi="Arial" w:cs="Arial"/>
          <w:sz w:val="24"/>
          <w:szCs w:val="24"/>
        </w:rPr>
        <w:t xml:space="preserve"> April 2025).</w:t>
      </w:r>
    </w:p>
    <w:p w14:paraId="15E8F447"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NHS Business Services Authority (2025). </w:t>
      </w:r>
      <w:r w:rsidRPr="002E3ACD">
        <w:rPr>
          <w:rFonts w:ascii="Arial" w:hAnsi="Arial" w:cs="Arial"/>
          <w:i/>
          <w:iCs/>
          <w:sz w:val="24"/>
          <w:szCs w:val="24"/>
        </w:rPr>
        <w:t xml:space="preserve">Medicines Used in Mental Health - England | NHSBSA. </w:t>
      </w:r>
      <w:r w:rsidRPr="002E3ACD">
        <w:rPr>
          <w:rFonts w:ascii="Arial" w:hAnsi="Arial" w:cs="Arial"/>
          <w:sz w:val="24"/>
          <w:szCs w:val="24"/>
        </w:rPr>
        <w:t xml:space="preserve">(online) Available at: </w:t>
      </w:r>
      <w:hyperlink r:id="rId31" w:history="1">
        <w:r w:rsidRPr="002E3ACD">
          <w:rPr>
            <w:rStyle w:val="Hyperlink"/>
            <w:rFonts w:ascii="Arial" w:hAnsi="Arial" w:cs="Arial"/>
            <w:sz w:val="24"/>
            <w:szCs w:val="24"/>
          </w:rPr>
          <w:t>https://www.nhsbsa.nhs.uk/statistical-collections/medicines-used-mental-health-england</w:t>
        </w:r>
      </w:hyperlink>
      <w:r w:rsidRPr="002E3ACD">
        <w:rPr>
          <w:rFonts w:ascii="Arial" w:hAnsi="Arial" w:cs="Arial"/>
          <w:sz w:val="24"/>
          <w:szCs w:val="24"/>
        </w:rPr>
        <w:t>. (Accessed 28</w:t>
      </w:r>
      <w:r w:rsidRPr="002E3ACD">
        <w:rPr>
          <w:rFonts w:ascii="Arial" w:hAnsi="Arial" w:cs="Arial"/>
          <w:sz w:val="24"/>
          <w:szCs w:val="24"/>
          <w:vertAlign w:val="superscript"/>
        </w:rPr>
        <w:t xml:space="preserve"> </w:t>
      </w:r>
      <w:r w:rsidRPr="002E3ACD">
        <w:rPr>
          <w:rFonts w:ascii="Arial" w:hAnsi="Arial" w:cs="Arial"/>
          <w:sz w:val="24"/>
          <w:szCs w:val="24"/>
        </w:rPr>
        <w:t>May 2025).</w:t>
      </w:r>
    </w:p>
    <w:p w14:paraId="24F01040"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NICE (2018). </w:t>
      </w:r>
      <w:r w:rsidRPr="002E3ACD">
        <w:rPr>
          <w:rFonts w:ascii="Arial" w:hAnsi="Arial" w:cs="Arial"/>
          <w:i/>
          <w:iCs/>
          <w:sz w:val="24"/>
          <w:szCs w:val="24"/>
        </w:rPr>
        <w:t>Attention deficit h Attention deficit hyper yperactivity disorder: activity disorder: diagnosis and management diagnosis and management NICE guideline</w:t>
      </w:r>
      <w:r w:rsidRPr="002E3ACD">
        <w:rPr>
          <w:rFonts w:ascii="Arial" w:hAnsi="Arial" w:cs="Arial"/>
          <w:sz w:val="24"/>
          <w:szCs w:val="24"/>
        </w:rPr>
        <w:t xml:space="preserve">. [online] Available at: </w:t>
      </w:r>
      <w:hyperlink r:id="rId32" w:history="1">
        <w:r w:rsidRPr="002E3ACD">
          <w:rPr>
            <w:rStyle w:val="Hyperlink"/>
            <w:rFonts w:ascii="Arial" w:hAnsi="Arial" w:cs="Arial"/>
            <w:sz w:val="24"/>
            <w:szCs w:val="24"/>
          </w:rPr>
          <w:t>https://www.nice.org.uk/guidance/ng87/resources/attention-deficit-hyperactivity-disorder-diagnosis-and-management-pdf-1837699732933</w:t>
        </w:r>
      </w:hyperlink>
      <w:r w:rsidRPr="002E3ACD">
        <w:rPr>
          <w:rFonts w:ascii="Arial" w:hAnsi="Arial" w:cs="Arial"/>
          <w:sz w:val="24"/>
          <w:szCs w:val="24"/>
        </w:rPr>
        <w:t>, (Accessed: 31 December 2025).</w:t>
      </w:r>
    </w:p>
    <w:p w14:paraId="28AC3387"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Ostinelli, E.G., Schulze, M., Zangani, C., Farhat, L.C., Tomlinson, A., Del Giovane, C., Chamberlain, S.R., Philipsen, A., Young, S., Cowen, P.J. and Bilbow, A., 2025. Comparative efficacy and acceptability of pharmacological, psychological, and neurostimulatory interventions for ADHD in adults: a systematic review and component network meta-analysis. </w:t>
      </w:r>
      <w:r w:rsidRPr="002E3ACD">
        <w:rPr>
          <w:rFonts w:ascii="Arial" w:hAnsi="Arial" w:cs="Arial"/>
          <w:i/>
          <w:iCs/>
          <w:sz w:val="24"/>
          <w:szCs w:val="24"/>
        </w:rPr>
        <w:t>The Lancet Psychiatry</w:t>
      </w:r>
      <w:r w:rsidRPr="002E3ACD">
        <w:rPr>
          <w:rFonts w:ascii="Arial" w:hAnsi="Arial" w:cs="Arial"/>
          <w:sz w:val="24"/>
          <w:szCs w:val="24"/>
        </w:rPr>
        <w:t>, </w:t>
      </w:r>
      <w:r w:rsidRPr="002E3ACD">
        <w:rPr>
          <w:rFonts w:ascii="Arial" w:hAnsi="Arial" w:cs="Arial"/>
          <w:i/>
          <w:iCs/>
          <w:sz w:val="24"/>
          <w:szCs w:val="24"/>
        </w:rPr>
        <w:t>12</w:t>
      </w:r>
      <w:r w:rsidRPr="002E3ACD">
        <w:rPr>
          <w:rFonts w:ascii="Arial" w:hAnsi="Arial" w:cs="Arial"/>
          <w:sz w:val="24"/>
          <w:szCs w:val="24"/>
        </w:rPr>
        <w:t>(1), pp.32-43.</w:t>
      </w:r>
    </w:p>
    <w:p w14:paraId="7141986F"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lang w:val="pt-BR"/>
        </w:rPr>
        <w:t xml:space="preserve">Papanastasiou, G., Drigas, A. and Papanastasiou, P., 2021. </w:t>
      </w:r>
      <w:r w:rsidRPr="002E3ACD">
        <w:rPr>
          <w:rFonts w:ascii="Arial" w:hAnsi="Arial" w:cs="Arial"/>
          <w:sz w:val="24"/>
          <w:szCs w:val="24"/>
        </w:rPr>
        <w:t>The association of diet quality and lifestyle factors in children and adults with ADHD: a systematic review and meta-analysis. </w:t>
      </w:r>
      <w:r w:rsidRPr="002E3ACD">
        <w:rPr>
          <w:rFonts w:ascii="Arial" w:hAnsi="Arial" w:cs="Arial"/>
          <w:i/>
          <w:iCs/>
          <w:sz w:val="24"/>
          <w:szCs w:val="24"/>
        </w:rPr>
        <w:t>Sci. Electron. Arch</w:t>
      </w:r>
      <w:r w:rsidRPr="002E3ACD">
        <w:rPr>
          <w:rFonts w:ascii="Arial" w:hAnsi="Arial" w:cs="Arial"/>
          <w:sz w:val="24"/>
          <w:szCs w:val="24"/>
        </w:rPr>
        <w:t>, </w:t>
      </w:r>
      <w:r w:rsidRPr="002E3ACD">
        <w:rPr>
          <w:rFonts w:ascii="Arial" w:hAnsi="Arial" w:cs="Arial"/>
          <w:i/>
          <w:iCs/>
          <w:sz w:val="24"/>
          <w:szCs w:val="24"/>
        </w:rPr>
        <w:t>14</w:t>
      </w:r>
      <w:r w:rsidRPr="002E3ACD">
        <w:rPr>
          <w:rFonts w:ascii="Arial" w:hAnsi="Arial" w:cs="Arial"/>
          <w:sz w:val="24"/>
          <w:szCs w:val="24"/>
        </w:rPr>
        <w:t>, pp.39-58.</w:t>
      </w:r>
    </w:p>
    <w:p w14:paraId="7C81C4B8"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Peng, K.G. and Yu, H.L., 2021. Characteristic analysis of clinical coronary heart disease and coronary artery disease concerning young and middle-aged male patients. </w:t>
      </w:r>
      <w:r w:rsidRPr="002E3ACD">
        <w:rPr>
          <w:rFonts w:ascii="Arial" w:hAnsi="Arial" w:cs="Arial"/>
          <w:i/>
          <w:iCs/>
          <w:sz w:val="24"/>
          <w:szCs w:val="24"/>
        </w:rPr>
        <w:t>World journal of clinical cases</w:t>
      </w:r>
      <w:r w:rsidRPr="002E3ACD">
        <w:rPr>
          <w:rFonts w:ascii="Arial" w:hAnsi="Arial" w:cs="Arial"/>
          <w:sz w:val="24"/>
          <w:szCs w:val="24"/>
        </w:rPr>
        <w:t>, </w:t>
      </w:r>
      <w:r w:rsidRPr="002E3ACD">
        <w:rPr>
          <w:rFonts w:ascii="Arial" w:hAnsi="Arial" w:cs="Arial"/>
          <w:i/>
          <w:iCs/>
          <w:sz w:val="24"/>
          <w:szCs w:val="24"/>
        </w:rPr>
        <w:t>9</w:t>
      </w:r>
      <w:r w:rsidRPr="002E3ACD">
        <w:rPr>
          <w:rFonts w:ascii="Arial" w:hAnsi="Arial" w:cs="Arial"/>
          <w:sz w:val="24"/>
          <w:szCs w:val="24"/>
        </w:rPr>
        <w:t>(25), p.7358.</w:t>
      </w:r>
    </w:p>
    <w:p w14:paraId="1964C45A"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Pilotta, A., 2025. Exploring Gender Disparities in Cardiovascular Health: A Comprehensive Analysis of Risk Factors, Diagnosis, Treatment, and Prevention of Heart Disease in Women Across the United States.</w:t>
      </w:r>
    </w:p>
    <w:p w14:paraId="49CD6DC3"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Pollak, Y., Dekkers, T.J., Shoham, R. and Huizenga, H.M., 2019. Risk-taking behavior in attention deficit/hyperactivity disorder (ADHD): A review of potential underlying mechanisms and of interventions. </w:t>
      </w:r>
      <w:r w:rsidRPr="002E3ACD">
        <w:rPr>
          <w:rFonts w:ascii="Arial" w:hAnsi="Arial" w:cs="Arial"/>
          <w:i/>
          <w:iCs/>
          <w:sz w:val="24"/>
          <w:szCs w:val="24"/>
        </w:rPr>
        <w:t>Current psychiatry reports</w:t>
      </w:r>
      <w:r w:rsidRPr="002E3ACD">
        <w:rPr>
          <w:rFonts w:ascii="Arial" w:hAnsi="Arial" w:cs="Arial"/>
          <w:sz w:val="24"/>
          <w:szCs w:val="24"/>
        </w:rPr>
        <w:t>, </w:t>
      </w:r>
      <w:r w:rsidRPr="002E3ACD">
        <w:rPr>
          <w:rFonts w:ascii="Arial" w:hAnsi="Arial" w:cs="Arial"/>
          <w:i/>
          <w:iCs/>
          <w:sz w:val="24"/>
          <w:szCs w:val="24"/>
        </w:rPr>
        <w:t>21</w:t>
      </w:r>
      <w:r w:rsidRPr="002E3ACD">
        <w:rPr>
          <w:rFonts w:ascii="Arial" w:hAnsi="Arial" w:cs="Arial"/>
          <w:sz w:val="24"/>
          <w:szCs w:val="24"/>
        </w:rPr>
        <w:t>(5), p.33.</w:t>
      </w:r>
    </w:p>
    <w:p w14:paraId="68F8AD1A"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Raji, H., Dinesh, S. and Sharma, S., 2025. Inside the impulsive brain: a narrative review on the role of neurobiological, hormonal and genetic factors influencing impulsivity in psychiatric disorders. </w:t>
      </w:r>
      <w:r w:rsidRPr="002E3ACD">
        <w:rPr>
          <w:rFonts w:ascii="Arial" w:hAnsi="Arial" w:cs="Arial"/>
          <w:i/>
          <w:iCs/>
          <w:sz w:val="24"/>
          <w:szCs w:val="24"/>
        </w:rPr>
        <w:t>The Egyptian Journal of Neurology, Psychiatry and Neurosurgery</w:t>
      </w:r>
      <w:r w:rsidRPr="002E3ACD">
        <w:rPr>
          <w:rFonts w:ascii="Arial" w:hAnsi="Arial" w:cs="Arial"/>
          <w:sz w:val="24"/>
          <w:szCs w:val="24"/>
        </w:rPr>
        <w:t>, </w:t>
      </w:r>
      <w:r w:rsidRPr="002E3ACD">
        <w:rPr>
          <w:rFonts w:ascii="Arial" w:hAnsi="Arial" w:cs="Arial"/>
          <w:i/>
          <w:iCs/>
          <w:sz w:val="24"/>
          <w:szCs w:val="24"/>
        </w:rPr>
        <w:t>61</w:t>
      </w:r>
      <w:r w:rsidRPr="002E3ACD">
        <w:rPr>
          <w:rFonts w:ascii="Arial" w:hAnsi="Arial" w:cs="Arial"/>
          <w:sz w:val="24"/>
          <w:szCs w:val="24"/>
        </w:rPr>
        <w:t>(1), p.4.</w:t>
      </w:r>
    </w:p>
    <w:p w14:paraId="2715A16D" w14:textId="77777777" w:rsidR="00972164" w:rsidRPr="002E3ACD" w:rsidRDefault="00972164" w:rsidP="0097216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E3ACD">
        <w:rPr>
          <w:rFonts w:ascii="Arial" w:eastAsia="Times New Roman" w:hAnsi="Arial" w:cs="Arial"/>
          <w:kern w:val="0"/>
          <w:sz w:val="24"/>
          <w:szCs w:val="24"/>
          <w:lang w:val="pt-BR" w:eastAsia="en-GB"/>
          <w14:ligatures w14:val="none"/>
        </w:rPr>
        <w:t xml:space="preserve">Ramos-Casals, M., Brito-Zerón, P., López-Guillermo, A., Khamashta, M.A. &amp; Bosch, X. (2014). </w:t>
      </w:r>
      <w:r w:rsidRPr="002E3ACD">
        <w:rPr>
          <w:rFonts w:ascii="Arial" w:eastAsia="Times New Roman" w:hAnsi="Arial" w:cs="Arial"/>
          <w:kern w:val="0"/>
          <w:sz w:val="24"/>
          <w:szCs w:val="24"/>
          <w:lang w:eastAsia="en-GB"/>
          <w14:ligatures w14:val="none"/>
        </w:rPr>
        <w:t xml:space="preserve">Adult hemophagocytic syndrome. </w:t>
      </w:r>
      <w:r w:rsidRPr="002E3ACD">
        <w:rPr>
          <w:rFonts w:ascii="Arial" w:eastAsia="Times New Roman" w:hAnsi="Arial" w:cs="Arial"/>
          <w:i/>
          <w:iCs/>
          <w:kern w:val="0"/>
          <w:sz w:val="24"/>
          <w:szCs w:val="24"/>
          <w:lang w:eastAsia="en-GB"/>
          <w14:ligatures w14:val="none"/>
        </w:rPr>
        <w:t>The Lancet</w:t>
      </w:r>
      <w:r w:rsidRPr="002E3ACD">
        <w:rPr>
          <w:rFonts w:ascii="Arial" w:eastAsia="Times New Roman" w:hAnsi="Arial" w:cs="Arial"/>
          <w:kern w:val="0"/>
          <w:sz w:val="24"/>
          <w:szCs w:val="24"/>
          <w:lang w:eastAsia="en-GB"/>
          <w14:ligatures w14:val="none"/>
        </w:rPr>
        <w:t xml:space="preserve">, 383(9927), pp.1503–1516. </w:t>
      </w:r>
      <w:hyperlink r:id="rId33" w:tgtFrame="_new" w:history="1">
        <w:r w:rsidRPr="002E3ACD">
          <w:rPr>
            <w:rFonts w:ascii="Arial" w:eastAsia="Times New Roman" w:hAnsi="Arial" w:cs="Arial"/>
            <w:color w:val="0000FF"/>
            <w:kern w:val="0"/>
            <w:sz w:val="24"/>
            <w:szCs w:val="24"/>
            <w:u w:val="single"/>
            <w:lang w:eastAsia="en-GB"/>
            <w14:ligatures w14:val="none"/>
          </w:rPr>
          <w:t>https://doi.org/10.1016/s0140-6736(13)61048-x</w:t>
        </w:r>
      </w:hyperlink>
      <w:r w:rsidRPr="002E3ACD">
        <w:rPr>
          <w:rFonts w:ascii="Arial" w:eastAsia="Times New Roman" w:hAnsi="Arial" w:cs="Arial"/>
          <w:kern w:val="0"/>
          <w:sz w:val="24"/>
          <w:szCs w:val="24"/>
          <w:lang w:eastAsia="en-GB"/>
          <w14:ligatures w14:val="none"/>
        </w:rPr>
        <w:t>.</w:t>
      </w:r>
    </w:p>
    <w:p w14:paraId="03DEAA6B"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Reed, V.A., Buitelaar, J.K., Anand, E., Day, K.A., Treuer, T., Upadhyaya, H.P., Coghill, D.R., Kryzhanovskaya, L.A. and Savill, N.C., 2016. The safety of atomoxetine for the treatment of children and adolescents with attention-deficit/hyperactivity disorder: a comprehensive review of over a decade of research. </w:t>
      </w:r>
      <w:r w:rsidRPr="002E3ACD">
        <w:rPr>
          <w:rFonts w:ascii="Arial" w:hAnsi="Arial" w:cs="Arial"/>
          <w:i/>
          <w:iCs/>
          <w:sz w:val="24"/>
          <w:szCs w:val="24"/>
        </w:rPr>
        <w:t>CNS drugs</w:t>
      </w:r>
      <w:r w:rsidRPr="002E3ACD">
        <w:rPr>
          <w:rFonts w:ascii="Arial" w:hAnsi="Arial" w:cs="Arial"/>
          <w:sz w:val="24"/>
          <w:szCs w:val="24"/>
        </w:rPr>
        <w:t>, </w:t>
      </w:r>
      <w:r w:rsidRPr="002E3ACD">
        <w:rPr>
          <w:rFonts w:ascii="Arial" w:hAnsi="Arial" w:cs="Arial"/>
          <w:i/>
          <w:iCs/>
          <w:sz w:val="24"/>
          <w:szCs w:val="24"/>
        </w:rPr>
        <w:t>30</w:t>
      </w:r>
      <w:r w:rsidRPr="002E3ACD">
        <w:rPr>
          <w:rFonts w:ascii="Arial" w:hAnsi="Arial" w:cs="Arial"/>
          <w:sz w:val="24"/>
          <w:szCs w:val="24"/>
        </w:rPr>
        <w:t>(7), pp.603-628.</w:t>
      </w:r>
    </w:p>
    <w:p w14:paraId="103C79DB" w14:textId="77777777" w:rsidR="00972164" w:rsidRPr="002E3ACD" w:rsidRDefault="00972164" w:rsidP="0097216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E3ACD">
        <w:rPr>
          <w:rFonts w:ascii="Arial" w:eastAsia="Times New Roman" w:hAnsi="Arial" w:cs="Arial"/>
          <w:kern w:val="0"/>
          <w:sz w:val="24"/>
          <w:szCs w:val="24"/>
          <w:lang w:val="fr-CA" w:eastAsia="en-GB"/>
          <w14:ligatures w14:val="none"/>
        </w:rPr>
        <w:t xml:space="preserve">Renoux, C., Shin, J., Dell’Aniello, S., Fergusson, E. &amp; Suissa, S. (2016). </w:t>
      </w:r>
      <w:r w:rsidRPr="002E3ACD">
        <w:rPr>
          <w:rFonts w:ascii="Arial" w:eastAsia="Times New Roman" w:hAnsi="Arial" w:cs="Arial"/>
          <w:kern w:val="0"/>
          <w:sz w:val="24"/>
          <w:szCs w:val="24"/>
          <w:lang w:eastAsia="en-GB"/>
          <w14:ligatures w14:val="none"/>
        </w:rPr>
        <w:t>Prescribing trends of attention</w:t>
      </w:r>
      <w:r w:rsidRPr="002E3ACD">
        <w:rPr>
          <w:rFonts w:ascii="Cambria Math" w:eastAsia="Times New Roman" w:hAnsi="Cambria Math" w:cs="Cambria Math"/>
          <w:kern w:val="0"/>
          <w:sz w:val="24"/>
          <w:szCs w:val="24"/>
          <w:lang w:eastAsia="en-GB"/>
          <w14:ligatures w14:val="none"/>
        </w:rPr>
        <w:t>‐</w:t>
      </w:r>
      <w:r w:rsidRPr="002E3ACD">
        <w:rPr>
          <w:rFonts w:ascii="Arial" w:eastAsia="Times New Roman" w:hAnsi="Arial" w:cs="Arial"/>
          <w:kern w:val="0"/>
          <w:sz w:val="24"/>
          <w:szCs w:val="24"/>
          <w:lang w:eastAsia="en-GB"/>
          <w14:ligatures w14:val="none"/>
        </w:rPr>
        <w:t xml:space="preserve">deficit hyperactivity disorder (ADHD) medications in UK primary care, 1995–2015. </w:t>
      </w:r>
      <w:r w:rsidRPr="002E3ACD">
        <w:rPr>
          <w:rFonts w:ascii="Arial" w:eastAsia="Times New Roman" w:hAnsi="Arial" w:cs="Arial"/>
          <w:i/>
          <w:iCs/>
          <w:kern w:val="0"/>
          <w:sz w:val="24"/>
          <w:szCs w:val="24"/>
          <w:lang w:eastAsia="en-GB"/>
          <w14:ligatures w14:val="none"/>
        </w:rPr>
        <w:t>British Journal of Clinical Pharmacology</w:t>
      </w:r>
      <w:r w:rsidRPr="002E3ACD">
        <w:rPr>
          <w:rFonts w:ascii="Arial" w:eastAsia="Times New Roman" w:hAnsi="Arial" w:cs="Arial"/>
          <w:kern w:val="0"/>
          <w:sz w:val="24"/>
          <w:szCs w:val="24"/>
          <w:lang w:eastAsia="en-GB"/>
          <w14:ligatures w14:val="none"/>
        </w:rPr>
        <w:t xml:space="preserve">, 82(3), pp.858–868. </w:t>
      </w:r>
      <w:hyperlink r:id="rId34" w:tgtFrame="_new" w:history="1">
        <w:r w:rsidRPr="002E3ACD">
          <w:rPr>
            <w:rFonts w:ascii="Arial" w:eastAsia="Times New Roman" w:hAnsi="Arial" w:cs="Arial"/>
            <w:color w:val="0000FF"/>
            <w:kern w:val="0"/>
            <w:sz w:val="24"/>
            <w:szCs w:val="24"/>
            <w:u w:val="single"/>
            <w:lang w:eastAsia="en-GB"/>
            <w14:ligatures w14:val="none"/>
          </w:rPr>
          <w:t>https://doi.org/10.1111/bcp.13000</w:t>
        </w:r>
      </w:hyperlink>
      <w:r w:rsidRPr="002E3ACD">
        <w:rPr>
          <w:rFonts w:ascii="Arial" w:eastAsia="Times New Roman" w:hAnsi="Arial" w:cs="Arial"/>
          <w:kern w:val="0"/>
          <w:sz w:val="24"/>
          <w:szCs w:val="24"/>
          <w:lang w:eastAsia="en-GB"/>
          <w14:ligatures w14:val="none"/>
        </w:rPr>
        <w:t>.</w:t>
      </w:r>
    </w:p>
    <w:p w14:paraId="7B1B75C3"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Ryszkiewicz, P., Malinowska, B. and Jasińska-Stroschein, M., 2025. Evaluating the causal effects of ADHD and autism on cardiovascular diseases and vice versa: a systematic review and meta-analysis of Mendelian randomization studies. </w:t>
      </w:r>
      <w:r w:rsidRPr="002E3ACD">
        <w:rPr>
          <w:rFonts w:ascii="Arial" w:hAnsi="Arial" w:cs="Arial"/>
          <w:i/>
          <w:iCs/>
          <w:sz w:val="24"/>
          <w:szCs w:val="24"/>
        </w:rPr>
        <w:t>Cells</w:t>
      </w:r>
      <w:r w:rsidRPr="002E3ACD">
        <w:rPr>
          <w:rFonts w:ascii="Arial" w:hAnsi="Arial" w:cs="Arial"/>
          <w:sz w:val="24"/>
          <w:szCs w:val="24"/>
        </w:rPr>
        <w:t>, </w:t>
      </w:r>
      <w:r w:rsidRPr="002E3ACD">
        <w:rPr>
          <w:rFonts w:ascii="Arial" w:hAnsi="Arial" w:cs="Arial"/>
          <w:i/>
          <w:iCs/>
          <w:sz w:val="24"/>
          <w:szCs w:val="24"/>
        </w:rPr>
        <w:t>14</w:t>
      </w:r>
      <w:r w:rsidRPr="002E3ACD">
        <w:rPr>
          <w:rFonts w:ascii="Arial" w:hAnsi="Arial" w:cs="Arial"/>
          <w:sz w:val="24"/>
          <w:szCs w:val="24"/>
        </w:rPr>
        <w:t>(15), p.1180.</w:t>
      </w:r>
    </w:p>
    <w:p w14:paraId="6781A450" w14:textId="77777777" w:rsidR="00972164" w:rsidRPr="002E3ACD" w:rsidRDefault="00972164" w:rsidP="0097216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E3ACD">
        <w:rPr>
          <w:rFonts w:ascii="Arial" w:eastAsia="Times New Roman" w:hAnsi="Arial" w:cs="Arial"/>
          <w:kern w:val="0"/>
          <w:sz w:val="24"/>
          <w:szCs w:val="24"/>
          <w:lang w:eastAsia="en-GB"/>
          <w14:ligatures w14:val="none"/>
        </w:rPr>
        <w:t xml:space="preserve">Schelleman, H., Bilker, W. B., Kimmel, S. E., Daniel, G. W., Newcomb, C., Guevara, J. P., Cziraky, M. J., Storm, B. L., &amp; Hennessy, S. (2012, February). Methylphenidate and risk of serious cardiovascular events in adults. The American Journal of Psychiatry, 169(2), 178- 185. </w:t>
      </w:r>
      <w:hyperlink r:id="rId35" w:history="1">
        <w:r w:rsidRPr="002E3ACD">
          <w:rPr>
            <w:rStyle w:val="Hyperlink"/>
            <w:rFonts w:ascii="Arial" w:eastAsia="Times New Roman" w:hAnsi="Arial" w:cs="Arial"/>
            <w:kern w:val="0"/>
            <w:sz w:val="24"/>
            <w:szCs w:val="24"/>
            <w:lang w:eastAsia="en-GB"/>
            <w14:ligatures w14:val="none"/>
          </w:rPr>
          <w:t>https://doi.org/10.1176/appi.ajp.2011.11010125</w:t>
        </w:r>
      </w:hyperlink>
    </w:p>
    <w:p w14:paraId="73896F3F"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Schoenfelder, E.N. and Kollins, S.H., 2016. Topical review: ADHD and health-risk behaviors: toward prevention and health promotion. </w:t>
      </w:r>
      <w:r w:rsidRPr="002E3ACD">
        <w:rPr>
          <w:rFonts w:ascii="Arial" w:hAnsi="Arial" w:cs="Arial"/>
          <w:i/>
          <w:iCs/>
          <w:sz w:val="24"/>
          <w:szCs w:val="24"/>
        </w:rPr>
        <w:t>Journal of Pediatric Psychology</w:t>
      </w:r>
      <w:r w:rsidRPr="002E3ACD">
        <w:rPr>
          <w:rFonts w:ascii="Arial" w:hAnsi="Arial" w:cs="Arial"/>
          <w:sz w:val="24"/>
          <w:szCs w:val="24"/>
        </w:rPr>
        <w:t>, </w:t>
      </w:r>
      <w:r w:rsidRPr="002E3ACD">
        <w:rPr>
          <w:rFonts w:ascii="Arial" w:hAnsi="Arial" w:cs="Arial"/>
          <w:i/>
          <w:iCs/>
          <w:sz w:val="24"/>
          <w:szCs w:val="24"/>
        </w:rPr>
        <w:t>41</w:t>
      </w:r>
      <w:r w:rsidRPr="002E3ACD">
        <w:rPr>
          <w:rFonts w:ascii="Arial" w:hAnsi="Arial" w:cs="Arial"/>
          <w:sz w:val="24"/>
          <w:szCs w:val="24"/>
        </w:rPr>
        <w:t>(7), pp.735-740.</w:t>
      </w:r>
    </w:p>
    <w:p w14:paraId="7A7DAA16" w14:textId="77777777" w:rsidR="00972164" w:rsidRPr="002E3ACD" w:rsidRDefault="00972164" w:rsidP="0097216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E3ACD">
        <w:rPr>
          <w:rFonts w:ascii="Arial" w:eastAsia="Times New Roman" w:hAnsi="Arial" w:cs="Arial"/>
          <w:kern w:val="0"/>
          <w:sz w:val="24"/>
          <w:szCs w:val="24"/>
          <w:lang w:eastAsia="en-GB"/>
          <w14:ligatures w14:val="none"/>
        </w:rPr>
        <w:t>Shakoor, H., Platat, C., Ali, H.I., Ismail, L.C., Al Dhaheri, A.S., Bosevski, M., Apostolopoulos, V. and Stojanovska, L., 2023. The benefits of physical activity in middle-aged individuals for cardiovascular disease outcomes. </w:t>
      </w:r>
      <w:r w:rsidRPr="002E3ACD">
        <w:rPr>
          <w:rFonts w:ascii="Arial" w:eastAsia="Times New Roman" w:hAnsi="Arial" w:cs="Arial"/>
          <w:i/>
          <w:iCs/>
          <w:kern w:val="0"/>
          <w:sz w:val="24"/>
          <w:szCs w:val="24"/>
          <w:lang w:eastAsia="en-GB"/>
          <w14:ligatures w14:val="none"/>
        </w:rPr>
        <w:t>Maturitas</w:t>
      </w:r>
      <w:r w:rsidRPr="002E3ACD">
        <w:rPr>
          <w:rFonts w:ascii="Arial" w:eastAsia="Times New Roman" w:hAnsi="Arial" w:cs="Arial"/>
          <w:kern w:val="0"/>
          <w:sz w:val="24"/>
          <w:szCs w:val="24"/>
          <w:lang w:eastAsia="en-GB"/>
          <w14:ligatures w14:val="none"/>
        </w:rPr>
        <w:t>, </w:t>
      </w:r>
      <w:r w:rsidRPr="002E3ACD">
        <w:rPr>
          <w:rFonts w:ascii="Arial" w:eastAsia="Times New Roman" w:hAnsi="Arial" w:cs="Arial"/>
          <w:i/>
          <w:iCs/>
          <w:kern w:val="0"/>
          <w:sz w:val="24"/>
          <w:szCs w:val="24"/>
          <w:lang w:eastAsia="en-GB"/>
          <w14:ligatures w14:val="none"/>
        </w:rPr>
        <w:t>168</w:t>
      </w:r>
      <w:r w:rsidRPr="002E3ACD">
        <w:rPr>
          <w:rFonts w:ascii="Arial" w:eastAsia="Times New Roman" w:hAnsi="Arial" w:cs="Arial"/>
          <w:kern w:val="0"/>
          <w:sz w:val="24"/>
          <w:szCs w:val="24"/>
          <w:lang w:eastAsia="en-GB"/>
          <w14:ligatures w14:val="none"/>
        </w:rPr>
        <w:t>, pp.49-52.</w:t>
      </w:r>
    </w:p>
    <w:p w14:paraId="41F304E7" w14:textId="77777777" w:rsidR="00972164" w:rsidRPr="002E3ACD" w:rsidRDefault="00972164" w:rsidP="0097216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E3ACD">
        <w:rPr>
          <w:rFonts w:ascii="Arial" w:eastAsia="Times New Roman" w:hAnsi="Arial" w:cs="Arial"/>
          <w:kern w:val="0"/>
          <w:sz w:val="24"/>
          <w:szCs w:val="24"/>
          <w:lang w:eastAsia="en-GB"/>
          <w14:ligatures w14:val="none"/>
        </w:rPr>
        <w:t>Shin, J.Y., Roughead, E.E., Park, B.J. and Pratt, N.L., 2016. Cardiovascular safety of methylphenidate among children and young people with attention-deficit/hyperactivity disorder (ADHD): nationwide self-controlled case series study. </w:t>
      </w:r>
      <w:r w:rsidRPr="002E3ACD">
        <w:rPr>
          <w:rFonts w:ascii="Arial" w:eastAsia="Times New Roman" w:hAnsi="Arial" w:cs="Arial"/>
          <w:i/>
          <w:iCs/>
          <w:kern w:val="0"/>
          <w:sz w:val="24"/>
          <w:szCs w:val="24"/>
          <w:lang w:eastAsia="en-GB"/>
          <w14:ligatures w14:val="none"/>
        </w:rPr>
        <w:t>BMJ</w:t>
      </w:r>
      <w:r w:rsidRPr="002E3ACD">
        <w:rPr>
          <w:rFonts w:ascii="Arial" w:eastAsia="Times New Roman" w:hAnsi="Arial" w:cs="Arial"/>
          <w:kern w:val="0"/>
          <w:sz w:val="24"/>
          <w:szCs w:val="24"/>
          <w:lang w:eastAsia="en-GB"/>
          <w14:ligatures w14:val="none"/>
        </w:rPr>
        <w:t>, </w:t>
      </w:r>
      <w:r w:rsidRPr="002E3ACD">
        <w:rPr>
          <w:rFonts w:ascii="Arial" w:eastAsia="Times New Roman" w:hAnsi="Arial" w:cs="Arial"/>
          <w:i/>
          <w:iCs/>
          <w:kern w:val="0"/>
          <w:sz w:val="24"/>
          <w:szCs w:val="24"/>
          <w:lang w:eastAsia="en-GB"/>
          <w14:ligatures w14:val="none"/>
        </w:rPr>
        <w:t>353</w:t>
      </w:r>
      <w:r w:rsidRPr="002E3ACD">
        <w:rPr>
          <w:rFonts w:ascii="Arial" w:eastAsia="Times New Roman" w:hAnsi="Arial" w:cs="Arial"/>
          <w:kern w:val="0"/>
          <w:sz w:val="24"/>
          <w:szCs w:val="24"/>
          <w:lang w:eastAsia="en-GB"/>
          <w14:ligatures w14:val="none"/>
        </w:rPr>
        <w:t>.</w:t>
      </w:r>
    </w:p>
    <w:p w14:paraId="230FF5F3"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Shoham, R., Sonuga-Barke, E., Yaniv, I. and Pollak, Y., 2021. ADHD is associated with a widespread pattern of risky behavior across activity domains. </w:t>
      </w:r>
      <w:r w:rsidRPr="002E3ACD">
        <w:rPr>
          <w:rFonts w:ascii="Arial" w:hAnsi="Arial" w:cs="Arial"/>
          <w:i/>
          <w:iCs/>
          <w:sz w:val="24"/>
          <w:szCs w:val="24"/>
        </w:rPr>
        <w:t>Journal of attention disorders</w:t>
      </w:r>
      <w:r w:rsidRPr="002E3ACD">
        <w:rPr>
          <w:rFonts w:ascii="Arial" w:hAnsi="Arial" w:cs="Arial"/>
          <w:sz w:val="24"/>
          <w:szCs w:val="24"/>
        </w:rPr>
        <w:t>, </w:t>
      </w:r>
      <w:r w:rsidRPr="002E3ACD">
        <w:rPr>
          <w:rFonts w:ascii="Arial" w:hAnsi="Arial" w:cs="Arial"/>
          <w:i/>
          <w:iCs/>
          <w:sz w:val="24"/>
          <w:szCs w:val="24"/>
        </w:rPr>
        <w:t>25</w:t>
      </w:r>
      <w:r w:rsidRPr="002E3ACD">
        <w:rPr>
          <w:rFonts w:ascii="Arial" w:hAnsi="Arial" w:cs="Arial"/>
          <w:sz w:val="24"/>
          <w:szCs w:val="24"/>
        </w:rPr>
        <w:t>(7), pp.989-1000.</w:t>
      </w:r>
    </w:p>
    <w:p w14:paraId="365B3190"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Sinha, A., Lewis, O., Kumar, R., Yeruva, S.L.H. and Curry, B.H., 2016. Adult ADHD medications and their cardiovascular implications. </w:t>
      </w:r>
      <w:r w:rsidRPr="002E3ACD">
        <w:rPr>
          <w:rFonts w:ascii="Arial" w:hAnsi="Arial" w:cs="Arial"/>
          <w:i/>
          <w:iCs/>
          <w:sz w:val="24"/>
          <w:szCs w:val="24"/>
        </w:rPr>
        <w:t>Case Reports in Cardiology</w:t>
      </w:r>
      <w:r w:rsidRPr="002E3ACD">
        <w:rPr>
          <w:rFonts w:ascii="Arial" w:hAnsi="Arial" w:cs="Arial"/>
          <w:sz w:val="24"/>
          <w:szCs w:val="24"/>
        </w:rPr>
        <w:t>, </w:t>
      </w:r>
      <w:r w:rsidRPr="002E3ACD">
        <w:rPr>
          <w:rFonts w:ascii="Arial" w:hAnsi="Arial" w:cs="Arial"/>
          <w:i/>
          <w:iCs/>
          <w:sz w:val="24"/>
          <w:szCs w:val="24"/>
        </w:rPr>
        <w:t>2016</w:t>
      </w:r>
      <w:r w:rsidRPr="002E3ACD">
        <w:rPr>
          <w:rFonts w:ascii="Arial" w:hAnsi="Arial" w:cs="Arial"/>
          <w:sz w:val="24"/>
          <w:szCs w:val="24"/>
        </w:rPr>
        <w:t>(1), p.2343691.</w:t>
      </w:r>
    </w:p>
    <w:p w14:paraId="63892353"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Sun, S., Kuja-Halkola, R., Faraone, S.V., D’Onofrio, B.M., Dalsgaard, S., Chang, Z. and Larsson, H., 2019. Association of psychiatric comorbidity with the risk of premature death among children and adults with attention-deficit/hyperactivity disorder. </w:t>
      </w:r>
      <w:r w:rsidRPr="002E3ACD">
        <w:rPr>
          <w:rFonts w:ascii="Arial" w:hAnsi="Arial" w:cs="Arial"/>
          <w:i/>
          <w:iCs/>
          <w:sz w:val="24"/>
          <w:szCs w:val="24"/>
        </w:rPr>
        <w:t>JAMA psychiatry</w:t>
      </w:r>
      <w:r w:rsidRPr="002E3ACD">
        <w:rPr>
          <w:rFonts w:ascii="Arial" w:hAnsi="Arial" w:cs="Arial"/>
          <w:sz w:val="24"/>
          <w:szCs w:val="24"/>
        </w:rPr>
        <w:t>, </w:t>
      </w:r>
      <w:r w:rsidRPr="002E3ACD">
        <w:rPr>
          <w:rFonts w:ascii="Arial" w:hAnsi="Arial" w:cs="Arial"/>
          <w:i/>
          <w:iCs/>
          <w:sz w:val="24"/>
          <w:szCs w:val="24"/>
        </w:rPr>
        <w:t>76</w:t>
      </w:r>
      <w:r w:rsidRPr="002E3ACD">
        <w:rPr>
          <w:rFonts w:ascii="Arial" w:hAnsi="Arial" w:cs="Arial"/>
          <w:sz w:val="24"/>
          <w:szCs w:val="24"/>
        </w:rPr>
        <w:t>(11), pp.1141-1149.</w:t>
      </w:r>
    </w:p>
    <w:p w14:paraId="1F1D01F8"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Tadrous, M., Shakeri, A., Chu, C., Watt, J., Mamdani, M.M., Juurlink, D.N. and Gomes, T., 2021. Assessment of stimulant use and cardiovascular event risks among older adults. </w:t>
      </w:r>
      <w:r w:rsidRPr="002E3ACD">
        <w:rPr>
          <w:rFonts w:ascii="Arial" w:hAnsi="Arial" w:cs="Arial"/>
          <w:i/>
          <w:iCs/>
          <w:sz w:val="24"/>
          <w:szCs w:val="24"/>
        </w:rPr>
        <w:t>JAMA Network Open</w:t>
      </w:r>
      <w:r w:rsidRPr="002E3ACD">
        <w:rPr>
          <w:rFonts w:ascii="Arial" w:hAnsi="Arial" w:cs="Arial"/>
          <w:sz w:val="24"/>
          <w:szCs w:val="24"/>
        </w:rPr>
        <w:t>, </w:t>
      </w:r>
      <w:r w:rsidRPr="002E3ACD">
        <w:rPr>
          <w:rFonts w:ascii="Arial" w:hAnsi="Arial" w:cs="Arial"/>
          <w:i/>
          <w:iCs/>
          <w:sz w:val="24"/>
          <w:szCs w:val="24"/>
        </w:rPr>
        <w:t>4</w:t>
      </w:r>
      <w:r w:rsidRPr="002E3ACD">
        <w:rPr>
          <w:rFonts w:ascii="Arial" w:hAnsi="Arial" w:cs="Arial"/>
          <w:sz w:val="24"/>
          <w:szCs w:val="24"/>
        </w:rPr>
        <w:t>(10), p.e2130795.</w:t>
      </w:r>
    </w:p>
    <w:p w14:paraId="36E14044"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Thomas, K., Nilsson, E., Festin, K., Henriksson, P., Lowén, M., Löf, M. and Kristenson, M., 2020. Associations of psychosocial factors with multiple health behaviors: A population-based study of middle-aged men and women. </w:t>
      </w:r>
      <w:r w:rsidRPr="002E3ACD">
        <w:rPr>
          <w:rFonts w:ascii="Arial" w:hAnsi="Arial" w:cs="Arial"/>
          <w:i/>
          <w:iCs/>
          <w:sz w:val="24"/>
          <w:szCs w:val="24"/>
        </w:rPr>
        <w:t>International journal of environmental research and public health</w:t>
      </w:r>
      <w:r w:rsidRPr="002E3ACD">
        <w:rPr>
          <w:rFonts w:ascii="Arial" w:hAnsi="Arial" w:cs="Arial"/>
          <w:sz w:val="24"/>
          <w:szCs w:val="24"/>
        </w:rPr>
        <w:t>, </w:t>
      </w:r>
      <w:r w:rsidRPr="002E3ACD">
        <w:rPr>
          <w:rFonts w:ascii="Arial" w:hAnsi="Arial" w:cs="Arial"/>
          <w:i/>
          <w:iCs/>
          <w:sz w:val="24"/>
          <w:szCs w:val="24"/>
        </w:rPr>
        <w:t>17</w:t>
      </w:r>
      <w:r w:rsidRPr="002E3ACD">
        <w:rPr>
          <w:rFonts w:ascii="Arial" w:hAnsi="Arial" w:cs="Arial"/>
          <w:sz w:val="24"/>
          <w:szCs w:val="24"/>
        </w:rPr>
        <w:t>(4), p.1239.</w:t>
      </w:r>
    </w:p>
    <w:p w14:paraId="7A6B3AE1"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Topriceanu, C.C., Moon, J.C., Captur, G. and Perera, B., 2022. The use of attention-deficit hyperactivity disorder medications in cardiac disease. </w:t>
      </w:r>
      <w:r w:rsidRPr="002E3ACD">
        <w:rPr>
          <w:rFonts w:ascii="Arial" w:hAnsi="Arial" w:cs="Arial"/>
          <w:i/>
          <w:iCs/>
          <w:sz w:val="24"/>
          <w:szCs w:val="24"/>
        </w:rPr>
        <w:t>Frontiers in neuroscience</w:t>
      </w:r>
      <w:r w:rsidRPr="002E3ACD">
        <w:rPr>
          <w:rFonts w:ascii="Arial" w:hAnsi="Arial" w:cs="Arial"/>
          <w:sz w:val="24"/>
          <w:szCs w:val="24"/>
        </w:rPr>
        <w:t>, </w:t>
      </w:r>
      <w:r w:rsidRPr="002E3ACD">
        <w:rPr>
          <w:rFonts w:ascii="Arial" w:hAnsi="Arial" w:cs="Arial"/>
          <w:i/>
          <w:iCs/>
          <w:sz w:val="24"/>
          <w:szCs w:val="24"/>
        </w:rPr>
        <w:t>16</w:t>
      </w:r>
      <w:r w:rsidRPr="002E3ACD">
        <w:rPr>
          <w:rFonts w:ascii="Arial" w:hAnsi="Arial" w:cs="Arial"/>
          <w:sz w:val="24"/>
          <w:szCs w:val="24"/>
        </w:rPr>
        <w:t>, p.1020961.</w:t>
      </w:r>
    </w:p>
    <w:p w14:paraId="7EBEC332"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Torres-Acosta, N., O’Keefe, J.H., O’Keefe, C.L. and Lavie, C.J., 2020. Cardiovascular effects of ADHD therapies: JACC review topic of the week. </w:t>
      </w:r>
      <w:r w:rsidRPr="002E3ACD">
        <w:rPr>
          <w:rFonts w:ascii="Arial" w:hAnsi="Arial" w:cs="Arial"/>
          <w:i/>
          <w:iCs/>
          <w:sz w:val="24"/>
          <w:szCs w:val="24"/>
        </w:rPr>
        <w:t>Journal of the American College of Cardiology</w:t>
      </w:r>
      <w:r w:rsidRPr="002E3ACD">
        <w:rPr>
          <w:rFonts w:ascii="Arial" w:hAnsi="Arial" w:cs="Arial"/>
          <w:sz w:val="24"/>
          <w:szCs w:val="24"/>
        </w:rPr>
        <w:t>, </w:t>
      </w:r>
      <w:r w:rsidRPr="002E3ACD">
        <w:rPr>
          <w:rFonts w:ascii="Arial" w:hAnsi="Arial" w:cs="Arial"/>
          <w:i/>
          <w:iCs/>
          <w:sz w:val="24"/>
          <w:szCs w:val="24"/>
        </w:rPr>
        <w:t>76</w:t>
      </w:r>
      <w:r w:rsidRPr="002E3ACD">
        <w:rPr>
          <w:rFonts w:ascii="Arial" w:hAnsi="Arial" w:cs="Arial"/>
          <w:sz w:val="24"/>
          <w:szCs w:val="24"/>
        </w:rPr>
        <w:t>(7), pp.858-866.</w:t>
      </w:r>
    </w:p>
    <w:p w14:paraId="77533FEF" w14:textId="77777777" w:rsidR="00972164" w:rsidRPr="002E3ACD" w:rsidRDefault="00972164" w:rsidP="0097216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E3ACD">
        <w:rPr>
          <w:rFonts w:ascii="Arial" w:eastAsia="Times New Roman" w:hAnsi="Arial" w:cs="Arial"/>
          <w:kern w:val="0"/>
          <w:sz w:val="24"/>
          <w:szCs w:val="24"/>
          <w:lang w:eastAsia="en-GB"/>
          <w14:ligatures w14:val="none"/>
        </w:rPr>
        <w:t>Vetter, V.L., Elia, J., Erickson, C., Berger, S., Blum, N., Uzark, K. and Webb, C.L., 2008. Cardiovascular monitoring of children and adolescents with heart disease receiving medications for attention deficit/hyperactivity disorder: a scientific statement from the American Heart Association Council on Cardiovascular Disease in the Young Congenital Cardiac Defects Committee and the Council on Cardiovascular Nursing. </w:t>
      </w:r>
      <w:r w:rsidRPr="002E3ACD">
        <w:rPr>
          <w:rFonts w:ascii="Arial" w:eastAsia="Times New Roman" w:hAnsi="Arial" w:cs="Arial"/>
          <w:i/>
          <w:iCs/>
          <w:kern w:val="0"/>
          <w:sz w:val="24"/>
          <w:szCs w:val="24"/>
          <w:lang w:eastAsia="en-GB"/>
          <w14:ligatures w14:val="none"/>
        </w:rPr>
        <w:t>Circulation</w:t>
      </w:r>
      <w:r w:rsidRPr="002E3ACD">
        <w:rPr>
          <w:rFonts w:ascii="Arial" w:eastAsia="Times New Roman" w:hAnsi="Arial" w:cs="Arial"/>
          <w:kern w:val="0"/>
          <w:sz w:val="24"/>
          <w:szCs w:val="24"/>
          <w:lang w:eastAsia="en-GB"/>
          <w14:ligatures w14:val="none"/>
        </w:rPr>
        <w:t>, </w:t>
      </w:r>
      <w:r w:rsidRPr="002E3ACD">
        <w:rPr>
          <w:rFonts w:ascii="Arial" w:eastAsia="Times New Roman" w:hAnsi="Arial" w:cs="Arial"/>
          <w:i/>
          <w:iCs/>
          <w:kern w:val="0"/>
          <w:sz w:val="24"/>
          <w:szCs w:val="24"/>
          <w:lang w:eastAsia="en-GB"/>
          <w14:ligatures w14:val="none"/>
        </w:rPr>
        <w:t>117</w:t>
      </w:r>
      <w:r w:rsidRPr="002E3ACD">
        <w:rPr>
          <w:rFonts w:ascii="Arial" w:eastAsia="Times New Roman" w:hAnsi="Arial" w:cs="Arial"/>
          <w:kern w:val="0"/>
          <w:sz w:val="24"/>
          <w:szCs w:val="24"/>
          <w:lang w:eastAsia="en-GB"/>
          <w14:ligatures w14:val="none"/>
        </w:rPr>
        <w:t>(18), pp.2407-2423.</w:t>
      </w:r>
    </w:p>
    <w:p w14:paraId="4FC8ADE2"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Weissenberger, S., Ptacek, R., Klicperova-Baker, M., Erman, A., Schonova, K., Raboch, J. and Goetz, M., 2017. ADHD, lifestyles and comorbidities: a call for an holistic perspective–from medical to societal intervening factors. </w:t>
      </w:r>
      <w:r w:rsidRPr="002E3ACD">
        <w:rPr>
          <w:rFonts w:ascii="Arial" w:hAnsi="Arial" w:cs="Arial"/>
          <w:i/>
          <w:iCs/>
          <w:sz w:val="24"/>
          <w:szCs w:val="24"/>
        </w:rPr>
        <w:t>Frontiers in psychology</w:t>
      </w:r>
      <w:r w:rsidRPr="002E3ACD">
        <w:rPr>
          <w:rFonts w:ascii="Arial" w:hAnsi="Arial" w:cs="Arial"/>
          <w:sz w:val="24"/>
          <w:szCs w:val="24"/>
        </w:rPr>
        <w:t>, </w:t>
      </w:r>
      <w:r w:rsidRPr="002E3ACD">
        <w:rPr>
          <w:rFonts w:ascii="Arial" w:hAnsi="Arial" w:cs="Arial"/>
          <w:i/>
          <w:iCs/>
          <w:sz w:val="24"/>
          <w:szCs w:val="24"/>
        </w:rPr>
        <w:t>8</w:t>
      </w:r>
      <w:r w:rsidRPr="002E3ACD">
        <w:rPr>
          <w:rFonts w:ascii="Arial" w:hAnsi="Arial" w:cs="Arial"/>
          <w:sz w:val="24"/>
          <w:szCs w:val="24"/>
        </w:rPr>
        <w:t>, p.454.</w:t>
      </w:r>
    </w:p>
    <w:p w14:paraId="60C38CE5"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Włodarczyk, A., Dziegciarczyk, A., Wiater, Z.E., Bajer, J.M., Swoboda, K., Olejnik, M., Borówka, K., Górka, P.A., Brankowska, K., Jakubowska, M. and Wyderka, M., 2026. An evaluation of treatment and management strategies in ADHD: Are stimulants really that effective compared to other available options?. </w:t>
      </w:r>
      <w:r w:rsidRPr="002E3ACD">
        <w:rPr>
          <w:rFonts w:ascii="Arial" w:hAnsi="Arial" w:cs="Arial"/>
          <w:i/>
          <w:iCs/>
          <w:sz w:val="24"/>
          <w:szCs w:val="24"/>
        </w:rPr>
        <w:t>Journal of Education, Health and Sport</w:t>
      </w:r>
      <w:r w:rsidRPr="002E3ACD">
        <w:rPr>
          <w:rFonts w:ascii="Arial" w:hAnsi="Arial" w:cs="Arial"/>
          <w:sz w:val="24"/>
          <w:szCs w:val="24"/>
        </w:rPr>
        <w:t>, </w:t>
      </w:r>
      <w:r w:rsidRPr="002E3ACD">
        <w:rPr>
          <w:rFonts w:ascii="Arial" w:hAnsi="Arial" w:cs="Arial"/>
          <w:i/>
          <w:iCs/>
          <w:sz w:val="24"/>
          <w:szCs w:val="24"/>
        </w:rPr>
        <w:t>88</w:t>
      </w:r>
      <w:r w:rsidRPr="002E3ACD">
        <w:rPr>
          <w:rFonts w:ascii="Arial" w:hAnsi="Arial" w:cs="Arial"/>
          <w:sz w:val="24"/>
          <w:szCs w:val="24"/>
        </w:rPr>
        <w:t>, pp.69502-69502.</w:t>
      </w:r>
    </w:p>
    <w:p w14:paraId="49010635"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Zhang, L., Li, L., Andell, P., Garcia-Argibay, M., Quinn, P.D., D’Onofrio, B.M., Brikell, I., Kuja-Halkola, R., Lichtenstein, P., Johnell, K. and Larsson, H., 2024. Attention-deficit/hyperactivity disorder medications and long-term risk of cardiovascular diseases. </w:t>
      </w:r>
      <w:r w:rsidRPr="002E3ACD">
        <w:rPr>
          <w:rFonts w:ascii="Arial" w:hAnsi="Arial" w:cs="Arial"/>
          <w:i/>
          <w:iCs/>
          <w:sz w:val="24"/>
          <w:szCs w:val="24"/>
        </w:rPr>
        <w:t>JAMA psychiatry</w:t>
      </w:r>
      <w:r w:rsidRPr="002E3ACD">
        <w:rPr>
          <w:rFonts w:ascii="Arial" w:hAnsi="Arial" w:cs="Arial"/>
          <w:sz w:val="24"/>
          <w:szCs w:val="24"/>
        </w:rPr>
        <w:t>, </w:t>
      </w:r>
      <w:r w:rsidRPr="002E3ACD">
        <w:rPr>
          <w:rFonts w:ascii="Arial" w:hAnsi="Arial" w:cs="Arial"/>
          <w:i/>
          <w:iCs/>
          <w:sz w:val="24"/>
          <w:szCs w:val="24"/>
        </w:rPr>
        <w:t>81</w:t>
      </w:r>
      <w:r w:rsidRPr="002E3ACD">
        <w:rPr>
          <w:rFonts w:ascii="Arial" w:hAnsi="Arial" w:cs="Arial"/>
          <w:sz w:val="24"/>
          <w:szCs w:val="24"/>
        </w:rPr>
        <w:t>(2), pp.178-187.</w:t>
      </w:r>
    </w:p>
    <w:p w14:paraId="4757F100"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Zhang, L., Yao, H., Li, L., Du Rietz, E., Andell, P., Garcia-Argibay, M., D’Onofrio, B.M., Cortese, S., Larsson, H. and Chang, Z., 2022. Risk of cardiovascular diseases associated with medications used in attention-deficit/hyperactivity disorder: a systematic review and meta-analysis. </w:t>
      </w:r>
      <w:r w:rsidRPr="002E3ACD">
        <w:rPr>
          <w:rFonts w:ascii="Arial" w:hAnsi="Arial" w:cs="Arial"/>
          <w:i/>
          <w:iCs/>
          <w:sz w:val="24"/>
          <w:szCs w:val="24"/>
        </w:rPr>
        <w:t>JAMA Network Open</w:t>
      </w:r>
      <w:r w:rsidRPr="002E3ACD">
        <w:rPr>
          <w:rFonts w:ascii="Arial" w:hAnsi="Arial" w:cs="Arial"/>
          <w:sz w:val="24"/>
          <w:szCs w:val="24"/>
        </w:rPr>
        <w:t>, </w:t>
      </w:r>
      <w:r w:rsidRPr="002E3ACD">
        <w:rPr>
          <w:rFonts w:ascii="Arial" w:hAnsi="Arial" w:cs="Arial"/>
          <w:i/>
          <w:iCs/>
          <w:sz w:val="24"/>
          <w:szCs w:val="24"/>
        </w:rPr>
        <w:t>5</w:t>
      </w:r>
      <w:r w:rsidRPr="002E3ACD">
        <w:rPr>
          <w:rFonts w:ascii="Arial" w:hAnsi="Arial" w:cs="Arial"/>
          <w:sz w:val="24"/>
          <w:szCs w:val="24"/>
        </w:rPr>
        <w:t>(11), p.e2243597.</w:t>
      </w:r>
    </w:p>
    <w:p w14:paraId="13C56D5C"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Zhou, Z., Yan, Y., Gu, H., Sun, R., Liao, Z., Xue, K. and Tang, C., 2024. Dopamine in the prefrontal cortex plays multiple roles in the executive function of patients with Parkinson’s disease. </w:t>
      </w:r>
      <w:r w:rsidRPr="002E3ACD">
        <w:rPr>
          <w:rFonts w:ascii="Arial" w:hAnsi="Arial" w:cs="Arial"/>
          <w:i/>
          <w:iCs/>
          <w:sz w:val="24"/>
          <w:szCs w:val="24"/>
        </w:rPr>
        <w:t>Neural regeneration research</w:t>
      </w:r>
      <w:r w:rsidRPr="002E3ACD">
        <w:rPr>
          <w:rFonts w:ascii="Arial" w:hAnsi="Arial" w:cs="Arial"/>
          <w:sz w:val="24"/>
          <w:szCs w:val="24"/>
        </w:rPr>
        <w:t>, </w:t>
      </w:r>
      <w:r w:rsidRPr="002E3ACD">
        <w:rPr>
          <w:rFonts w:ascii="Arial" w:hAnsi="Arial" w:cs="Arial"/>
          <w:i/>
          <w:iCs/>
          <w:sz w:val="24"/>
          <w:szCs w:val="24"/>
        </w:rPr>
        <w:t>19</w:t>
      </w:r>
      <w:r w:rsidRPr="002E3ACD">
        <w:rPr>
          <w:rFonts w:ascii="Arial" w:hAnsi="Arial" w:cs="Arial"/>
          <w:sz w:val="24"/>
          <w:szCs w:val="24"/>
        </w:rPr>
        <w:t>(8), pp.1759-1767.</w:t>
      </w:r>
    </w:p>
    <w:p w14:paraId="18012C87"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Zito, J.M. and Burcu, M., 2017. Stimulants and pediatric cardiovascular risk. </w:t>
      </w:r>
      <w:r w:rsidRPr="002E3ACD">
        <w:rPr>
          <w:rFonts w:ascii="Arial" w:hAnsi="Arial" w:cs="Arial"/>
          <w:i/>
          <w:iCs/>
          <w:sz w:val="24"/>
          <w:szCs w:val="24"/>
        </w:rPr>
        <w:t>Journal of child and adolescent psychopharmacology</w:t>
      </w:r>
      <w:r w:rsidRPr="002E3ACD">
        <w:rPr>
          <w:rFonts w:ascii="Arial" w:hAnsi="Arial" w:cs="Arial"/>
          <w:sz w:val="24"/>
          <w:szCs w:val="24"/>
        </w:rPr>
        <w:t>, </w:t>
      </w:r>
      <w:r w:rsidRPr="002E3ACD">
        <w:rPr>
          <w:rFonts w:ascii="Arial" w:hAnsi="Arial" w:cs="Arial"/>
          <w:i/>
          <w:iCs/>
          <w:sz w:val="24"/>
          <w:szCs w:val="24"/>
        </w:rPr>
        <w:t>27</w:t>
      </w:r>
      <w:r w:rsidRPr="002E3ACD">
        <w:rPr>
          <w:rFonts w:ascii="Arial" w:hAnsi="Arial" w:cs="Arial"/>
          <w:sz w:val="24"/>
          <w:szCs w:val="24"/>
        </w:rPr>
        <w:t>(6), pp.538-545.</w:t>
      </w:r>
    </w:p>
    <w:p w14:paraId="0016032D"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Amir-Behghadami, M. and Janati, A., 2020. Population, Intervention, Comparison, Outcomes and Study (PICOS) design as a framework to formulate eligibility criteria in systematic reviews. </w:t>
      </w:r>
      <w:r w:rsidRPr="002E3ACD">
        <w:rPr>
          <w:rFonts w:ascii="Arial" w:hAnsi="Arial" w:cs="Arial"/>
          <w:i/>
          <w:iCs/>
          <w:sz w:val="24"/>
          <w:szCs w:val="24"/>
        </w:rPr>
        <w:t>Emergency Medicine Journal</w:t>
      </w:r>
      <w:r w:rsidRPr="002E3ACD">
        <w:rPr>
          <w:rFonts w:ascii="Arial" w:hAnsi="Arial" w:cs="Arial"/>
          <w:sz w:val="24"/>
          <w:szCs w:val="24"/>
        </w:rPr>
        <w:t>.</w:t>
      </w:r>
    </w:p>
    <w:p w14:paraId="67847770"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Barker, T.H., Stone, J.C., Sears, K., Klugar, M., Tufanaru, C., Leonardi-Bee, J., Aromataris, E. and Munn, Z., 2023. The revised JBI critical appraisal tool for the assessment of risk of bias for randomized controlled trials. </w:t>
      </w:r>
      <w:r w:rsidRPr="002E3ACD">
        <w:rPr>
          <w:rFonts w:ascii="Arial" w:hAnsi="Arial" w:cs="Arial"/>
          <w:i/>
          <w:iCs/>
          <w:sz w:val="24"/>
          <w:szCs w:val="24"/>
        </w:rPr>
        <w:t>JBI evidence synthesis</w:t>
      </w:r>
      <w:r w:rsidRPr="002E3ACD">
        <w:rPr>
          <w:rFonts w:ascii="Arial" w:hAnsi="Arial" w:cs="Arial"/>
          <w:sz w:val="24"/>
          <w:szCs w:val="24"/>
        </w:rPr>
        <w:t>, </w:t>
      </w:r>
      <w:r w:rsidRPr="002E3ACD">
        <w:rPr>
          <w:rFonts w:ascii="Arial" w:hAnsi="Arial" w:cs="Arial"/>
          <w:i/>
          <w:iCs/>
          <w:sz w:val="24"/>
          <w:szCs w:val="24"/>
        </w:rPr>
        <w:t>21</w:t>
      </w:r>
      <w:r w:rsidRPr="002E3ACD">
        <w:rPr>
          <w:rFonts w:ascii="Arial" w:hAnsi="Arial" w:cs="Arial"/>
          <w:sz w:val="24"/>
          <w:szCs w:val="24"/>
        </w:rPr>
        <w:t>(3), pp.494-506.</w:t>
      </w:r>
    </w:p>
    <w:p w14:paraId="5FE6F654"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lang w:val="fr-CA"/>
        </w:rPr>
        <w:t xml:space="preserve">Barnes, A., Denyer, H., Simblett, S., et al. </w:t>
      </w:r>
      <w:r w:rsidRPr="002E3ACD">
        <w:rPr>
          <w:rFonts w:ascii="Arial" w:hAnsi="Arial" w:cs="Arial"/>
          <w:sz w:val="24"/>
          <w:szCs w:val="24"/>
        </w:rPr>
        <w:t xml:space="preserve">(2025) ‘Perceptions of adults with ADHD on pharmacological treatment initiation and subsequent adherence: a thematic analysis’, </w:t>
      </w:r>
      <w:r w:rsidRPr="002E3ACD">
        <w:rPr>
          <w:rFonts w:ascii="Arial" w:hAnsi="Arial" w:cs="Arial"/>
          <w:i/>
          <w:iCs/>
          <w:sz w:val="24"/>
          <w:szCs w:val="24"/>
        </w:rPr>
        <w:t>Psychiatry Research</w:t>
      </w:r>
      <w:r w:rsidRPr="002E3ACD">
        <w:rPr>
          <w:rFonts w:ascii="Arial" w:hAnsi="Arial" w:cs="Arial"/>
          <w:sz w:val="24"/>
          <w:szCs w:val="24"/>
        </w:rPr>
        <w:t>, 356, 116880. https://doi.org/10.1016/j.psychres.2025.116880</w:t>
      </w:r>
    </w:p>
    <w:p w14:paraId="3A84D88C"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Boutouyrie, P., Chowienczyk, P., Humphrey, J.D. and Mitchell, G.F., 2021. Arterial stiffness and cardiovascular risk in hypertension. </w:t>
      </w:r>
      <w:r w:rsidRPr="002E3ACD">
        <w:rPr>
          <w:rFonts w:ascii="Arial" w:hAnsi="Arial" w:cs="Arial"/>
          <w:i/>
          <w:iCs/>
          <w:sz w:val="24"/>
          <w:szCs w:val="24"/>
        </w:rPr>
        <w:t>Circulation research</w:t>
      </w:r>
      <w:r w:rsidRPr="002E3ACD">
        <w:rPr>
          <w:rFonts w:ascii="Arial" w:hAnsi="Arial" w:cs="Arial"/>
          <w:sz w:val="24"/>
          <w:szCs w:val="24"/>
        </w:rPr>
        <w:t>, </w:t>
      </w:r>
      <w:r w:rsidRPr="002E3ACD">
        <w:rPr>
          <w:rFonts w:ascii="Arial" w:hAnsi="Arial" w:cs="Arial"/>
          <w:i/>
          <w:iCs/>
          <w:sz w:val="24"/>
          <w:szCs w:val="24"/>
        </w:rPr>
        <w:t>128</w:t>
      </w:r>
      <w:r w:rsidRPr="002E3ACD">
        <w:rPr>
          <w:rFonts w:ascii="Arial" w:hAnsi="Arial" w:cs="Arial"/>
          <w:sz w:val="24"/>
          <w:szCs w:val="24"/>
        </w:rPr>
        <w:t>(7), pp.864-886.</w:t>
      </w:r>
    </w:p>
    <w:p w14:paraId="15743925"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Campbell, R. and Young, S.P., 2018. Central nervous system stimulants: basic pharmacology and relevance to anaesthesia and critical care. </w:t>
      </w:r>
      <w:r w:rsidRPr="002E3ACD">
        <w:rPr>
          <w:rFonts w:ascii="Arial" w:hAnsi="Arial" w:cs="Arial"/>
          <w:i/>
          <w:iCs/>
          <w:sz w:val="24"/>
          <w:szCs w:val="24"/>
        </w:rPr>
        <w:t>Anaesthesia &amp; Intensive Care Medicine</w:t>
      </w:r>
      <w:r w:rsidRPr="002E3ACD">
        <w:rPr>
          <w:rFonts w:ascii="Arial" w:hAnsi="Arial" w:cs="Arial"/>
          <w:sz w:val="24"/>
          <w:szCs w:val="24"/>
        </w:rPr>
        <w:t>, </w:t>
      </w:r>
      <w:r w:rsidRPr="002E3ACD">
        <w:rPr>
          <w:rFonts w:ascii="Arial" w:hAnsi="Arial" w:cs="Arial"/>
          <w:i/>
          <w:iCs/>
          <w:sz w:val="24"/>
          <w:szCs w:val="24"/>
        </w:rPr>
        <w:t>19</w:t>
      </w:r>
      <w:r w:rsidRPr="002E3ACD">
        <w:rPr>
          <w:rFonts w:ascii="Arial" w:hAnsi="Arial" w:cs="Arial"/>
          <w:sz w:val="24"/>
          <w:szCs w:val="24"/>
        </w:rPr>
        <w:t>(1), pp.20-24.</w:t>
      </w:r>
    </w:p>
    <w:p w14:paraId="26C10275"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Caparrotta, T.M., Dear, J.W., Colhoun, H.M. and Webb, D.J., 2019. Pharmacoepidemiology: Using randomised control trials and observational studies in clinical decision</w:t>
      </w:r>
      <w:r w:rsidRPr="002E3ACD">
        <w:rPr>
          <w:rFonts w:ascii="Cambria Math" w:hAnsi="Cambria Math" w:cs="Cambria Math"/>
          <w:sz w:val="24"/>
          <w:szCs w:val="24"/>
        </w:rPr>
        <w:t>‐</w:t>
      </w:r>
      <w:r w:rsidRPr="002E3ACD">
        <w:rPr>
          <w:rFonts w:ascii="Arial" w:hAnsi="Arial" w:cs="Arial"/>
          <w:sz w:val="24"/>
          <w:szCs w:val="24"/>
        </w:rPr>
        <w:t>making. </w:t>
      </w:r>
      <w:r w:rsidRPr="002E3ACD">
        <w:rPr>
          <w:rFonts w:ascii="Arial" w:hAnsi="Arial" w:cs="Arial"/>
          <w:i/>
          <w:iCs/>
          <w:sz w:val="24"/>
          <w:szCs w:val="24"/>
        </w:rPr>
        <w:t>British journal of clinical pharmacology</w:t>
      </w:r>
      <w:r w:rsidRPr="002E3ACD">
        <w:rPr>
          <w:rFonts w:ascii="Arial" w:hAnsi="Arial" w:cs="Arial"/>
          <w:sz w:val="24"/>
          <w:szCs w:val="24"/>
        </w:rPr>
        <w:t>, </w:t>
      </w:r>
      <w:r w:rsidRPr="002E3ACD">
        <w:rPr>
          <w:rFonts w:ascii="Arial" w:hAnsi="Arial" w:cs="Arial"/>
          <w:i/>
          <w:iCs/>
          <w:sz w:val="24"/>
          <w:szCs w:val="24"/>
        </w:rPr>
        <w:t>85</w:t>
      </w:r>
      <w:r w:rsidRPr="002E3ACD">
        <w:rPr>
          <w:rFonts w:ascii="Arial" w:hAnsi="Arial" w:cs="Arial"/>
          <w:sz w:val="24"/>
          <w:szCs w:val="24"/>
        </w:rPr>
        <w:t>(9), pp.1907-1924.</w:t>
      </w:r>
    </w:p>
    <w:p w14:paraId="5587F6F4"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lang w:val="pt-BR"/>
        </w:rPr>
        <w:t xml:space="preserve">Carnovale, C., Perrotta, C., Baldelli, S., Cattaneo, D., Montrasio, C., Barbieri, S.S., Pompilio, G., Vantaggiato, C., Clementi, E. and Pozzi, M., 2023. </w:t>
      </w:r>
      <w:r w:rsidRPr="002E3ACD">
        <w:rPr>
          <w:rFonts w:ascii="Arial" w:hAnsi="Arial" w:cs="Arial"/>
          <w:sz w:val="24"/>
          <w:szCs w:val="24"/>
        </w:rPr>
        <w:t>Antihypertensive drugs and brain function: mechanisms underlying therapeutically beneficial and harmful neuropsychiatric effects. </w:t>
      </w:r>
      <w:r w:rsidRPr="002E3ACD">
        <w:rPr>
          <w:rFonts w:ascii="Arial" w:hAnsi="Arial" w:cs="Arial"/>
          <w:i/>
          <w:iCs/>
          <w:sz w:val="24"/>
          <w:szCs w:val="24"/>
        </w:rPr>
        <w:t>Cardiovascular research</w:t>
      </w:r>
      <w:r w:rsidRPr="002E3ACD">
        <w:rPr>
          <w:rFonts w:ascii="Arial" w:hAnsi="Arial" w:cs="Arial"/>
          <w:sz w:val="24"/>
          <w:szCs w:val="24"/>
        </w:rPr>
        <w:t>, </w:t>
      </w:r>
      <w:r w:rsidRPr="002E3ACD">
        <w:rPr>
          <w:rFonts w:ascii="Arial" w:hAnsi="Arial" w:cs="Arial"/>
          <w:i/>
          <w:iCs/>
          <w:sz w:val="24"/>
          <w:szCs w:val="24"/>
        </w:rPr>
        <w:t>119</w:t>
      </w:r>
      <w:r w:rsidRPr="002E3ACD">
        <w:rPr>
          <w:rFonts w:ascii="Arial" w:hAnsi="Arial" w:cs="Arial"/>
          <w:sz w:val="24"/>
          <w:szCs w:val="24"/>
        </w:rPr>
        <w:t>(3), pp.647-667.</w:t>
      </w:r>
    </w:p>
    <w:p w14:paraId="5C19CE2C"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Chandler, J., Cumpston, M., Li, T., Page, M.J. and Welch, V.J.H.W., 2019. Cochrane handbook for systematic reviews of interventions. </w:t>
      </w:r>
      <w:r w:rsidRPr="002E3ACD">
        <w:rPr>
          <w:rFonts w:ascii="Arial" w:hAnsi="Arial" w:cs="Arial"/>
          <w:i/>
          <w:iCs/>
          <w:sz w:val="24"/>
          <w:szCs w:val="24"/>
        </w:rPr>
        <w:t>Hoboken: Wiley</w:t>
      </w:r>
      <w:r w:rsidRPr="002E3ACD">
        <w:rPr>
          <w:rFonts w:ascii="Arial" w:hAnsi="Arial" w:cs="Arial"/>
          <w:sz w:val="24"/>
          <w:szCs w:val="24"/>
        </w:rPr>
        <w:t>, </w:t>
      </w:r>
      <w:r w:rsidRPr="002E3ACD">
        <w:rPr>
          <w:rFonts w:ascii="Arial" w:hAnsi="Arial" w:cs="Arial"/>
          <w:i/>
          <w:iCs/>
          <w:sz w:val="24"/>
          <w:szCs w:val="24"/>
        </w:rPr>
        <w:t>4</w:t>
      </w:r>
      <w:r w:rsidRPr="002E3ACD">
        <w:rPr>
          <w:rFonts w:ascii="Arial" w:hAnsi="Arial" w:cs="Arial"/>
          <w:sz w:val="24"/>
          <w:szCs w:val="24"/>
        </w:rPr>
        <w:t>(1002), p.14651858.</w:t>
      </w:r>
    </w:p>
    <w:p w14:paraId="65075E86"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Cheungpasitporn, W., Wathanavasin, W., Thongprayoon, C., Kaewput, W., Tapolyai, M. and Fülöp, T., 2025. Critical appraisal of systematic reviews and meta-analyses: a step-by-step guide for nephrologists. </w:t>
      </w:r>
      <w:r w:rsidRPr="002E3ACD">
        <w:rPr>
          <w:rFonts w:ascii="Arial" w:hAnsi="Arial" w:cs="Arial"/>
          <w:i/>
          <w:iCs/>
          <w:sz w:val="24"/>
          <w:szCs w:val="24"/>
        </w:rPr>
        <w:t>Renal Failure</w:t>
      </w:r>
      <w:r w:rsidRPr="002E3ACD">
        <w:rPr>
          <w:rFonts w:ascii="Arial" w:hAnsi="Arial" w:cs="Arial"/>
          <w:sz w:val="24"/>
          <w:szCs w:val="24"/>
        </w:rPr>
        <w:t>, </w:t>
      </w:r>
      <w:r w:rsidRPr="002E3ACD">
        <w:rPr>
          <w:rFonts w:ascii="Arial" w:hAnsi="Arial" w:cs="Arial"/>
          <w:i/>
          <w:iCs/>
          <w:sz w:val="24"/>
          <w:szCs w:val="24"/>
        </w:rPr>
        <w:t>47</w:t>
      </w:r>
      <w:r w:rsidRPr="002E3ACD">
        <w:rPr>
          <w:rFonts w:ascii="Arial" w:hAnsi="Arial" w:cs="Arial"/>
          <w:sz w:val="24"/>
          <w:szCs w:val="24"/>
        </w:rPr>
        <w:t>(1), p.2476736.</w:t>
      </w:r>
    </w:p>
    <w:p w14:paraId="66C23423"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Cochrane Library (2024). </w:t>
      </w:r>
      <w:r w:rsidRPr="002E3ACD">
        <w:rPr>
          <w:rFonts w:ascii="Arial" w:hAnsi="Arial" w:cs="Arial"/>
          <w:i/>
          <w:iCs/>
          <w:sz w:val="24"/>
          <w:szCs w:val="24"/>
        </w:rPr>
        <w:t>What is PICO?</w:t>
      </w:r>
      <w:r w:rsidRPr="002E3ACD">
        <w:rPr>
          <w:rFonts w:ascii="Arial" w:hAnsi="Arial" w:cs="Arial"/>
          <w:sz w:val="24"/>
          <w:szCs w:val="24"/>
        </w:rPr>
        <w:t xml:space="preserve"> [online] www.cochranelibrary.com. Available at: </w:t>
      </w:r>
      <w:hyperlink r:id="rId36" w:history="1">
        <w:r w:rsidRPr="002E3ACD">
          <w:rPr>
            <w:rFonts w:ascii="Arial" w:hAnsi="Arial" w:cs="Arial"/>
            <w:color w:val="0563C1" w:themeColor="hyperlink"/>
            <w:sz w:val="24"/>
            <w:szCs w:val="24"/>
            <w:u w:val="single"/>
          </w:rPr>
          <w:t>https://www.cochranelibrary.com/about-pico</w:t>
        </w:r>
      </w:hyperlink>
      <w:r w:rsidRPr="002E3ACD">
        <w:rPr>
          <w:rFonts w:ascii="Arial" w:hAnsi="Arial" w:cs="Arial"/>
          <w:sz w:val="24"/>
          <w:szCs w:val="24"/>
        </w:rPr>
        <w:t>, (Accessed: 30 November 2025)</w:t>
      </w:r>
    </w:p>
    <w:p w14:paraId="43570D6A"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Cortese, S. and Fava, C., 2024. Long-term cardiovascular effects of medications for attention-deficit/hyperactivity disorder—balancing benefits and risks of treatment. </w:t>
      </w:r>
      <w:r w:rsidRPr="002E3ACD">
        <w:rPr>
          <w:rFonts w:ascii="Arial" w:hAnsi="Arial" w:cs="Arial"/>
          <w:i/>
          <w:iCs/>
          <w:sz w:val="24"/>
          <w:szCs w:val="24"/>
        </w:rPr>
        <w:t>JAMA psychiatry</w:t>
      </w:r>
      <w:r w:rsidRPr="002E3ACD">
        <w:rPr>
          <w:rFonts w:ascii="Arial" w:hAnsi="Arial" w:cs="Arial"/>
          <w:sz w:val="24"/>
          <w:szCs w:val="24"/>
        </w:rPr>
        <w:t>, </w:t>
      </w:r>
      <w:r w:rsidRPr="002E3ACD">
        <w:rPr>
          <w:rFonts w:ascii="Arial" w:hAnsi="Arial" w:cs="Arial"/>
          <w:i/>
          <w:iCs/>
          <w:sz w:val="24"/>
          <w:szCs w:val="24"/>
        </w:rPr>
        <w:t>81</w:t>
      </w:r>
      <w:r w:rsidRPr="002E3ACD">
        <w:rPr>
          <w:rFonts w:ascii="Arial" w:hAnsi="Arial" w:cs="Arial"/>
          <w:sz w:val="24"/>
          <w:szCs w:val="24"/>
        </w:rPr>
        <w:t>(2), pp.123-124.</w:t>
      </w:r>
    </w:p>
    <w:p w14:paraId="7DAA6828"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Coupland, C., Hill, T., Morriss, R., Moore, M., Arthur, A. and Hippisley-Cox, J., 2016. Antidepressant use and risk of cardiovascular outcomes in people aged 20 to 64: cohort study using primary care database. </w:t>
      </w:r>
      <w:r w:rsidRPr="002E3ACD">
        <w:rPr>
          <w:rFonts w:ascii="Arial" w:hAnsi="Arial" w:cs="Arial"/>
          <w:i/>
          <w:iCs/>
          <w:sz w:val="24"/>
          <w:szCs w:val="24"/>
        </w:rPr>
        <w:t>bmj</w:t>
      </w:r>
      <w:r w:rsidRPr="002E3ACD">
        <w:rPr>
          <w:rFonts w:ascii="Arial" w:hAnsi="Arial" w:cs="Arial"/>
          <w:sz w:val="24"/>
          <w:szCs w:val="24"/>
        </w:rPr>
        <w:t>, </w:t>
      </w:r>
      <w:r w:rsidRPr="002E3ACD">
        <w:rPr>
          <w:rFonts w:ascii="Arial" w:hAnsi="Arial" w:cs="Arial"/>
          <w:i/>
          <w:iCs/>
          <w:sz w:val="24"/>
          <w:szCs w:val="24"/>
        </w:rPr>
        <w:t>352</w:t>
      </w:r>
      <w:r w:rsidRPr="002E3ACD">
        <w:rPr>
          <w:rFonts w:ascii="Arial" w:hAnsi="Arial" w:cs="Arial"/>
          <w:sz w:val="24"/>
          <w:szCs w:val="24"/>
        </w:rPr>
        <w:t>.</w:t>
      </w:r>
    </w:p>
    <w:p w14:paraId="0D6ABFC5"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Creery, A. and Davies, E.L., 2024. Drinking and mental health in middle adulthood: exploring the impact of wellbeing, mental health literacy, and drinking motives on risk of alcohol dependence. </w:t>
      </w:r>
      <w:r w:rsidRPr="002E3ACD">
        <w:rPr>
          <w:rFonts w:ascii="Arial" w:hAnsi="Arial" w:cs="Arial"/>
          <w:i/>
          <w:iCs/>
          <w:sz w:val="24"/>
          <w:szCs w:val="24"/>
        </w:rPr>
        <w:t>Aging &amp; Mental Health</w:t>
      </w:r>
      <w:r w:rsidRPr="002E3ACD">
        <w:rPr>
          <w:rFonts w:ascii="Arial" w:hAnsi="Arial" w:cs="Arial"/>
          <w:sz w:val="24"/>
          <w:szCs w:val="24"/>
        </w:rPr>
        <w:t>, </w:t>
      </w:r>
      <w:r w:rsidRPr="002E3ACD">
        <w:rPr>
          <w:rFonts w:ascii="Arial" w:hAnsi="Arial" w:cs="Arial"/>
          <w:i/>
          <w:iCs/>
          <w:sz w:val="24"/>
          <w:szCs w:val="24"/>
        </w:rPr>
        <w:t>28</w:t>
      </w:r>
      <w:r w:rsidRPr="002E3ACD">
        <w:rPr>
          <w:rFonts w:ascii="Arial" w:hAnsi="Arial" w:cs="Arial"/>
          <w:sz w:val="24"/>
          <w:szCs w:val="24"/>
        </w:rPr>
        <w:t>(9), pp.1286-1293.</w:t>
      </w:r>
    </w:p>
    <w:p w14:paraId="534B9825"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 xml:space="preserve">Critical Appraisal Skills Programme (CASP) (2018) </w:t>
      </w:r>
      <w:r w:rsidRPr="002E3ACD">
        <w:rPr>
          <w:rFonts w:ascii="Arial" w:hAnsi="Arial" w:cs="Arial"/>
          <w:i/>
          <w:iCs/>
          <w:sz w:val="24"/>
          <w:szCs w:val="24"/>
        </w:rPr>
        <w:t>CASP qualitative checklist</w:t>
      </w:r>
      <w:r w:rsidRPr="002E3ACD">
        <w:rPr>
          <w:rFonts w:ascii="Arial" w:hAnsi="Arial" w:cs="Arial"/>
          <w:sz w:val="24"/>
          <w:szCs w:val="24"/>
        </w:rPr>
        <w:t xml:space="preserve">. Available at: </w:t>
      </w:r>
      <w:hyperlink r:id="rId37" w:tgtFrame="_new" w:history="1">
        <w:r w:rsidRPr="002E3ACD">
          <w:rPr>
            <w:rFonts w:ascii="Arial" w:hAnsi="Arial" w:cs="Arial"/>
            <w:color w:val="0563C1" w:themeColor="hyperlink"/>
            <w:sz w:val="24"/>
            <w:szCs w:val="24"/>
            <w:u w:val="single"/>
          </w:rPr>
          <w:t>https://casp-uk.net</w:t>
        </w:r>
      </w:hyperlink>
    </w:p>
    <w:p w14:paraId="1618AA65"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Crombie, I.K., 2022. </w:t>
      </w:r>
      <w:r w:rsidRPr="002E3ACD">
        <w:rPr>
          <w:rFonts w:ascii="Arial" w:hAnsi="Arial" w:cs="Arial"/>
          <w:i/>
          <w:iCs/>
          <w:sz w:val="24"/>
          <w:szCs w:val="24"/>
        </w:rPr>
        <w:t>The pocket guide to critical appraisal</w:t>
      </w:r>
      <w:r w:rsidRPr="002E3ACD">
        <w:rPr>
          <w:rFonts w:ascii="Arial" w:hAnsi="Arial" w:cs="Arial"/>
          <w:sz w:val="24"/>
          <w:szCs w:val="24"/>
        </w:rPr>
        <w:t>. John Wiley &amp; Sons.</w:t>
      </w:r>
    </w:p>
    <w:p w14:paraId="4B4DAE32"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Dixit, A., Gupta, M., Zaidi, A., Chauhan, K.K., Gupta, R.S., Kumar, C.S. and Shukla, N., 2025. ADHD as a System Disorder: A Narrative Review of Genetic, Nutritional, Psychological and Environmental Interactions. </w:t>
      </w:r>
      <w:r w:rsidRPr="002E3ACD">
        <w:rPr>
          <w:rFonts w:ascii="Arial" w:hAnsi="Arial" w:cs="Arial"/>
          <w:i/>
          <w:iCs/>
          <w:sz w:val="24"/>
          <w:szCs w:val="24"/>
        </w:rPr>
        <w:t>Vascular and Endovascular Review</w:t>
      </w:r>
      <w:r w:rsidRPr="002E3ACD">
        <w:rPr>
          <w:rFonts w:ascii="Arial" w:hAnsi="Arial" w:cs="Arial"/>
          <w:sz w:val="24"/>
          <w:szCs w:val="24"/>
        </w:rPr>
        <w:t>, </w:t>
      </w:r>
      <w:r w:rsidRPr="002E3ACD">
        <w:rPr>
          <w:rFonts w:ascii="Arial" w:hAnsi="Arial" w:cs="Arial"/>
          <w:i/>
          <w:iCs/>
          <w:sz w:val="24"/>
          <w:szCs w:val="24"/>
        </w:rPr>
        <w:t>8</w:t>
      </w:r>
      <w:r w:rsidRPr="002E3ACD">
        <w:rPr>
          <w:rFonts w:ascii="Arial" w:hAnsi="Arial" w:cs="Arial"/>
          <w:sz w:val="24"/>
          <w:szCs w:val="24"/>
        </w:rPr>
        <w:t>(1s), pp.145-158.</w:t>
      </w:r>
    </w:p>
    <w:p w14:paraId="7E209545"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Docherty, J.R. and Alsufyani, H.A., 2021. Pharmacology of drugs used as stimulants. </w:t>
      </w:r>
      <w:r w:rsidRPr="002E3ACD">
        <w:rPr>
          <w:rFonts w:ascii="Arial" w:hAnsi="Arial" w:cs="Arial"/>
          <w:i/>
          <w:iCs/>
          <w:sz w:val="24"/>
          <w:szCs w:val="24"/>
        </w:rPr>
        <w:t>The Journal of Clinical Pharmacology</w:t>
      </w:r>
      <w:r w:rsidRPr="002E3ACD">
        <w:rPr>
          <w:rFonts w:ascii="Arial" w:hAnsi="Arial" w:cs="Arial"/>
          <w:sz w:val="24"/>
          <w:szCs w:val="24"/>
        </w:rPr>
        <w:t>, </w:t>
      </w:r>
      <w:r w:rsidRPr="002E3ACD">
        <w:rPr>
          <w:rFonts w:ascii="Arial" w:hAnsi="Arial" w:cs="Arial"/>
          <w:i/>
          <w:iCs/>
          <w:sz w:val="24"/>
          <w:szCs w:val="24"/>
        </w:rPr>
        <w:t>61</w:t>
      </w:r>
      <w:r w:rsidRPr="002E3ACD">
        <w:rPr>
          <w:rFonts w:ascii="Arial" w:hAnsi="Arial" w:cs="Arial"/>
          <w:sz w:val="24"/>
          <w:szCs w:val="24"/>
        </w:rPr>
        <w:t>, pp.S53-S69.</w:t>
      </w:r>
    </w:p>
    <w:p w14:paraId="430B617E"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D'Onofrio, B.M., Sjölander, A., Lahey, B.B., Lichtenstein, P. and Öberg, A.S., 2020. Accounting for confounding in observational studies. </w:t>
      </w:r>
      <w:r w:rsidRPr="002E3ACD">
        <w:rPr>
          <w:rFonts w:ascii="Arial" w:hAnsi="Arial" w:cs="Arial"/>
          <w:i/>
          <w:iCs/>
          <w:sz w:val="24"/>
          <w:szCs w:val="24"/>
        </w:rPr>
        <w:t>Annual review of clinical psychology</w:t>
      </w:r>
      <w:r w:rsidRPr="002E3ACD">
        <w:rPr>
          <w:rFonts w:ascii="Arial" w:hAnsi="Arial" w:cs="Arial"/>
          <w:sz w:val="24"/>
          <w:szCs w:val="24"/>
        </w:rPr>
        <w:t>, </w:t>
      </w:r>
      <w:r w:rsidRPr="002E3ACD">
        <w:rPr>
          <w:rFonts w:ascii="Arial" w:hAnsi="Arial" w:cs="Arial"/>
          <w:i/>
          <w:iCs/>
          <w:sz w:val="24"/>
          <w:szCs w:val="24"/>
        </w:rPr>
        <w:t>16</w:t>
      </w:r>
      <w:r w:rsidRPr="002E3ACD">
        <w:rPr>
          <w:rFonts w:ascii="Arial" w:hAnsi="Arial" w:cs="Arial"/>
          <w:sz w:val="24"/>
          <w:szCs w:val="24"/>
        </w:rPr>
        <w:t>(1), pp.25-48.</w:t>
      </w:r>
    </w:p>
    <w:p w14:paraId="26A7E821"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lang w:val="fr-CA"/>
        </w:rPr>
        <w:t xml:space="preserve">Forns, J., Dudukina, E., Hägg, D., et al. </w:t>
      </w:r>
      <w:r w:rsidRPr="002E3ACD">
        <w:rPr>
          <w:rFonts w:ascii="Arial" w:hAnsi="Arial" w:cs="Arial"/>
          <w:sz w:val="24"/>
          <w:szCs w:val="24"/>
        </w:rPr>
        <w:t xml:space="preserve">(2022) ‘Risk of major cardiovascular and cerebrovascular events in users of lisdexamfetamine and other medications for attention-deficit/hyperactivity disorder in Denmark and Sweden: a population-based cohort study’, </w:t>
      </w:r>
      <w:r w:rsidRPr="002E3ACD">
        <w:rPr>
          <w:rFonts w:ascii="Arial" w:hAnsi="Arial" w:cs="Arial"/>
          <w:i/>
          <w:iCs/>
          <w:sz w:val="24"/>
          <w:szCs w:val="24"/>
        </w:rPr>
        <w:t>Neurology and Therapy</w:t>
      </w:r>
      <w:r w:rsidRPr="002E3ACD">
        <w:rPr>
          <w:rFonts w:ascii="Arial" w:hAnsi="Arial" w:cs="Arial"/>
          <w:sz w:val="24"/>
          <w:szCs w:val="24"/>
        </w:rPr>
        <w:t>, 11(4), pp. 1659–1676. https://doi.org/10.1007/s40120-022-00396-y</w:t>
      </w:r>
    </w:p>
    <w:p w14:paraId="12810D29"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Forouzandeh, F., Alexander, K., Forman, D.E., Kirkpatrick, J.N., Rich, M.W., Zieman, S. and Wenger, N.K., 2024. Cardiovascular disease in the older adult: where are we 4 decades later?. </w:t>
      </w:r>
      <w:r w:rsidRPr="002E3ACD">
        <w:rPr>
          <w:rFonts w:ascii="Arial" w:hAnsi="Arial" w:cs="Arial"/>
          <w:i/>
          <w:iCs/>
          <w:sz w:val="24"/>
          <w:szCs w:val="24"/>
        </w:rPr>
        <w:t>JACC: Advances</w:t>
      </w:r>
      <w:r w:rsidRPr="002E3ACD">
        <w:rPr>
          <w:rFonts w:ascii="Arial" w:hAnsi="Arial" w:cs="Arial"/>
          <w:sz w:val="24"/>
          <w:szCs w:val="24"/>
        </w:rPr>
        <w:t>, </w:t>
      </w:r>
      <w:r w:rsidRPr="002E3ACD">
        <w:rPr>
          <w:rFonts w:ascii="Arial" w:hAnsi="Arial" w:cs="Arial"/>
          <w:i/>
          <w:iCs/>
          <w:sz w:val="24"/>
          <w:szCs w:val="24"/>
        </w:rPr>
        <w:t>3</w:t>
      </w:r>
      <w:r w:rsidRPr="002E3ACD">
        <w:rPr>
          <w:rFonts w:ascii="Arial" w:hAnsi="Arial" w:cs="Arial"/>
          <w:sz w:val="24"/>
          <w:szCs w:val="24"/>
        </w:rPr>
        <w:t>(2), p.100820.</w:t>
      </w:r>
    </w:p>
    <w:p w14:paraId="7BE2A932"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lang w:val="fr-CA"/>
        </w:rPr>
        <w:t xml:space="preserve">Garcia-Argibay, M., Bürkner, P., Lichtenstein, P., et al. </w:t>
      </w:r>
      <w:r w:rsidRPr="002E3ACD">
        <w:rPr>
          <w:rFonts w:ascii="Arial" w:hAnsi="Arial" w:cs="Arial"/>
          <w:sz w:val="24"/>
          <w:szCs w:val="24"/>
        </w:rPr>
        <w:t xml:space="preserve">(2024) ‘Methylphenidate and short-term cardiovascular risk’, </w:t>
      </w:r>
      <w:r w:rsidRPr="002E3ACD">
        <w:rPr>
          <w:rFonts w:ascii="Arial" w:hAnsi="Arial" w:cs="Arial"/>
          <w:i/>
          <w:iCs/>
          <w:sz w:val="24"/>
          <w:szCs w:val="24"/>
        </w:rPr>
        <w:t>JAMA Network Open</w:t>
      </w:r>
      <w:r w:rsidRPr="002E3ACD">
        <w:rPr>
          <w:rFonts w:ascii="Arial" w:hAnsi="Arial" w:cs="Arial"/>
          <w:sz w:val="24"/>
          <w:szCs w:val="24"/>
        </w:rPr>
        <w:t>, 7(3), e241349. https://doi.org/10.1001/jamanetworkopen.2024.1349</w:t>
      </w:r>
    </w:p>
    <w:p w14:paraId="4181D20F"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Gorup, M., 2020. Ethics of observational research. In </w:t>
      </w:r>
      <w:r w:rsidRPr="002E3ACD">
        <w:rPr>
          <w:rFonts w:ascii="Arial" w:hAnsi="Arial" w:cs="Arial"/>
          <w:i/>
          <w:iCs/>
          <w:sz w:val="24"/>
          <w:szCs w:val="24"/>
        </w:rPr>
        <w:t>Handbook of research ethics and scientific integrity</w:t>
      </w:r>
      <w:r w:rsidRPr="002E3ACD">
        <w:rPr>
          <w:rFonts w:ascii="Arial" w:hAnsi="Arial" w:cs="Arial"/>
          <w:sz w:val="24"/>
          <w:szCs w:val="24"/>
        </w:rPr>
        <w:t> (pp. 475-491). Cham: Springer International Publishing.</w:t>
      </w:r>
    </w:p>
    <w:p w14:paraId="2C645CB2"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 xml:space="preserve">Greenhalgh, T. (2019) </w:t>
      </w:r>
      <w:r w:rsidRPr="002E3ACD">
        <w:rPr>
          <w:rFonts w:ascii="Arial" w:hAnsi="Arial" w:cs="Arial"/>
          <w:i/>
          <w:iCs/>
          <w:sz w:val="24"/>
          <w:szCs w:val="24"/>
        </w:rPr>
        <w:t>How to read a paper: The basics of evidence-based medicine and healthcare</w:t>
      </w:r>
      <w:r w:rsidRPr="002E3ACD">
        <w:rPr>
          <w:rFonts w:ascii="Arial" w:hAnsi="Arial" w:cs="Arial"/>
          <w:sz w:val="24"/>
          <w:szCs w:val="24"/>
        </w:rPr>
        <w:t>. 6th edn. Oxford: Wiley-Blackwell.</w:t>
      </w:r>
    </w:p>
    <w:p w14:paraId="2144EAF0"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Gronda, E., Dusi, V., D’Elia, E., Iacoviello, M., Benvenuto, E. and Vanoli, E., 2022. Sympathetic activation in heart failure. </w:t>
      </w:r>
      <w:r w:rsidRPr="002E3ACD">
        <w:rPr>
          <w:rFonts w:ascii="Arial" w:hAnsi="Arial" w:cs="Arial"/>
          <w:i/>
          <w:iCs/>
          <w:sz w:val="24"/>
          <w:szCs w:val="24"/>
        </w:rPr>
        <w:t>European Heart Journal Supplements</w:t>
      </w:r>
      <w:r w:rsidRPr="002E3ACD">
        <w:rPr>
          <w:rFonts w:ascii="Arial" w:hAnsi="Arial" w:cs="Arial"/>
          <w:sz w:val="24"/>
          <w:szCs w:val="24"/>
        </w:rPr>
        <w:t>, </w:t>
      </w:r>
      <w:r w:rsidRPr="002E3ACD">
        <w:rPr>
          <w:rFonts w:ascii="Arial" w:hAnsi="Arial" w:cs="Arial"/>
          <w:i/>
          <w:iCs/>
          <w:sz w:val="24"/>
          <w:szCs w:val="24"/>
        </w:rPr>
        <w:t>24</w:t>
      </w:r>
      <w:r w:rsidRPr="002E3ACD">
        <w:rPr>
          <w:rFonts w:ascii="Arial" w:hAnsi="Arial" w:cs="Arial"/>
          <w:sz w:val="24"/>
          <w:szCs w:val="24"/>
        </w:rPr>
        <w:t>(Supplement_E), pp.E4-E11.</w:t>
      </w:r>
    </w:p>
    <w:p w14:paraId="6BF5BD98"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lang w:val="fr-CA"/>
        </w:rPr>
        <w:t xml:space="preserve">Habel, L.A., Cooper, W.O., Sox, C.M., et al. </w:t>
      </w:r>
      <w:r w:rsidRPr="002E3ACD">
        <w:rPr>
          <w:rFonts w:ascii="Arial" w:hAnsi="Arial" w:cs="Arial"/>
          <w:sz w:val="24"/>
          <w:szCs w:val="24"/>
        </w:rPr>
        <w:t xml:space="preserve">(2011) ‘ADHD medications and risk of serious cardiovascular events in young and middle-aged adults’, </w:t>
      </w:r>
      <w:r w:rsidRPr="002E3ACD">
        <w:rPr>
          <w:rFonts w:ascii="Arial" w:hAnsi="Arial" w:cs="Arial"/>
          <w:i/>
          <w:iCs/>
          <w:sz w:val="24"/>
          <w:szCs w:val="24"/>
        </w:rPr>
        <w:t>JAMA</w:t>
      </w:r>
      <w:r w:rsidRPr="002E3ACD">
        <w:rPr>
          <w:rFonts w:ascii="Arial" w:hAnsi="Arial" w:cs="Arial"/>
          <w:sz w:val="24"/>
          <w:szCs w:val="24"/>
        </w:rPr>
        <w:t>, 306(24), pp. 2673–2683. https://doi.org/10.1001/jama.2011.1830</w:t>
      </w:r>
    </w:p>
    <w:p w14:paraId="4D776A34"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Haidermota, M. (2024). </w:t>
      </w:r>
      <w:r w:rsidRPr="002E3ACD">
        <w:rPr>
          <w:rFonts w:ascii="Arial" w:hAnsi="Arial" w:cs="Arial"/>
          <w:i/>
          <w:iCs/>
          <w:sz w:val="24"/>
          <w:szCs w:val="24"/>
        </w:rPr>
        <w:t>Thematic Analysis in the Age of AI</w:t>
      </w:r>
      <w:r w:rsidRPr="002E3ACD">
        <w:rPr>
          <w:rFonts w:ascii="Arial" w:hAnsi="Arial" w:cs="Arial"/>
          <w:sz w:val="24"/>
          <w:szCs w:val="24"/>
        </w:rPr>
        <w:t xml:space="preserve">. Medium.com. Available at: </w:t>
      </w:r>
      <w:hyperlink r:id="rId38" w:history="1">
        <w:r w:rsidRPr="002E3ACD">
          <w:rPr>
            <w:rFonts w:ascii="Arial" w:hAnsi="Arial" w:cs="Arial"/>
            <w:color w:val="0563C1" w:themeColor="hyperlink"/>
            <w:sz w:val="24"/>
            <w:szCs w:val="24"/>
            <w:u w:val="single"/>
          </w:rPr>
          <w:t>https://medium.com/%40mufaddalH/thematic-analysis-in-the-age-of-ai-a72a995722a3</w:t>
        </w:r>
      </w:hyperlink>
      <w:r w:rsidRPr="002E3ACD">
        <w:rPr>
          <w:rFonts w:ascii="Arial" w:hAnsi="Arial" w:cs="Arial"/>
          <w:sz w:val="24"/>
          <w:szCs w:val="24"/>
        </w:rPr>
        <w:t>, [Accessed: 18 April 2026].</w:t>
      </w:r>
    </w:p>
    <w:p w14:paraId="79321BA3"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Helgeland, J., Kristoffersen, D.T., Skyrud, K.D. and Lindman, A.S., 2016. Variation between hospitals with regard to diagnostic practice, coding accuracy, and case-mix. A retrospective validation study of administrative data versus medical records for estimating 30-day mortality after hip fracture. </w:t>
      </w:r>
      <w:r w:rsidRPr="002E3ACD">
        <w:rPr>
          <w:rFonts w:ascii="Arial" w:hAnsi="Arial" w:cs="Arial"/>
          <w:i/>
          <w:iCs/>
          <w:sz w:val="24"/>
          <w:szCs w:val="24"/>
        </w:rPr>
        <w:t>PLoS One</w:t>
      </w:r>
      <w:r w:rsidRPr="002E3ACD">
        <w:rPr>
          <w:rFonts w:ascii="Arial" w:hAnsi="Arial" w:cs="Arial"/>
          <w:sz w:val="24"/>
          <w:szCs w:val="24"/>
        </w:rPr>
        <w:t>, </w:t>
      </w:r>
      <w:r w:rsidRPr="002E3ACD">
        <w:rPr>
          <w:rFonts w:ascii="Arial" w:hAnsi="Arial" w:cs="Arial"/>
          <w:i/>
          <w:iCs/>
          <w:sz w:val="24"/>
          <w:szCs w:val="24"/>
        </w:rPr>
        <w:t>11</w:t>
      </w:r>
      <w:r w:rsidRPr="002E3ACD">
        <w:rPr>
          <w:rFonts w:ascii="Arial" w:hAnsi="Arial" w:cs="Arial"/>
          <w:sz w:val="24"/>
          <w:szCs w:val="24"/>
        </w:rPr>
        <w:t>(5), p.e0156075.</w:t>
      </w:r>
    </w:p>
    <w:p w14:paraId="125B38C0"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lang w:val="fr-CA"/>
        </w:rPr>
        <w:t xml:space="preserve">Holt, A., Strange, J.E., Rasmussen, P.V., et al. </w:t>
      </w:r>
      <w:r w:rsidRPr="002E3ACD">
        <w:rPr>
          <w:rFonts w:ascii="Arial" w:hAnsi="Arial" w:cs="Arial"/>
          <w:sz w:val="24"/>
          <w:szCs w:val="24"/>
        </w:rPr>
        <w:t xml:space="preserve">(2024) ‘Long-term cardiovascular risk associated with treatment of attention-deficit/hyperactivity disorder in adults’, </w:t>
      </w:r>
      <w:r w:rsidRPr="002E3ACD">
        <w:rPr>
          <w:rFonts w:ascii="Arial" w:hAnsi="Arial" w:cs="Arial"/>
          <w:i/>
          <w:iCs/>
          <w:sz w:val="24"/>
          <w:szCs w:val="24"/>
        </w:rPr>
        <w:t>Journal of the American College of Cardiology</w:t>
      </w:r>
      <w:r w:rsidRPr="002E3ACD">
        <w:rPr>
          <w:rFonts w:ascii="Arial" w:hAnsi="Arial" w:cs="Arial"/>
          <w:sz w:val="24"/>
          <w:szCs w:val="24"/>
        </w:rPr>
        <w:t>, 83(19), pp. 1870–1882. https://doi.org/10.1016/j.jacc.2024.03.375</w:t>
      </w:r>
    </w:p>
    <w:p w14:paraId="509CCD07"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lang w:val="fr-CA"/>
        </w:rPr>
        <w:t xml:space="preserve">Hong, Q.N., Pluye, P., Fàbregues, S., et al. </w:t>
      </w:r>
      <w:r w:rsidRPr="002E3ACD">
        <w:rPr>
          <w:rFonts w:ascii="Arial" w:hAnsi="Arial" w:cs="Arial"/>
          <w:sz w:val="24"/>
          <w:szCs w:val="24"/>
        </w:rPr>
        <w:t xml:space="preserve">(2018) ‘Mixed Methods Appraisal Tool (MMAT), version 2018’, </w:t>
      </w:r>
      <w:r w:rsidRPr="002E3ACD">
        <w:rPr>
          <w:rFonts w:ascii="Arial" w:hAnsi="Arial" w:cs="Arial"/>
          <w:i/>
          <w:iCs/>
          <w:sz w:val="24"/>
          <w:szCs w:val="24"/>
        </w:rPr>
        <w:t>Education for Information</w:t>
      </w:r>
      <w:r w:rsidRPr="002E3ACD">
        <w:rPr>
          <w:rFonts w:ascii="Arial" w:hAnsi="Arial" w:cs="Arial"/>
          <w:sz w:val="24"/>
          <w:szCs w:val="24"/>
        </w:rPr>
        <w:t xml:space="preserve">, 34(4), pp. 285–291. </w:t>
      </w:r>
      <w:hyperlink r:id="rId39" w:tgtFrame="_new" w:history="1">
        <w:r w:rsidRPr="002E3ACD">
          <w:rPr>
            <w:rFonts w:ascii="Arial" w:hAnsi="Arial" w:cs="Arial"/>
            <w:color w:val="0563C1" w:themeColor="hyperlink"/>
            <w:sz w:val="24"/>
            <w:szCs w:val="24"/>
            <w:u w:val="single"/>
          </w:rPr>
          <w:t>https://doi.org/10.3233/EFI-180221</w:t>
        </w:r>
      </w:hyperlink>
    </w:p>
    <w:p w14:paraId="2A7276FC"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Jonnalagadda, S.R., Goyal, P. and Huffman, M.D., 2015. Automating data extraction in systematic reviews: a systematic review. </w:t>
      </w:r>
      <w:r w:rsidRPr="002E3ACD">
        <w:rPr>
          <w:rFonts w:ascii="Arial" w:hAnsi="Arial" w:cs="Arial"/>
          <w:i/>
          <w:iCs/>
          <w:sz w:val="24"/>
          <w:szCs w:val="24"/>
        </w:rPr>
        <w:t>Systematic reviews</w:t>
      </w:r>
      <w:r w:rsidRPr="002E3ACD">
        <w:rPr>
          <w:rFonts w:ascii="Arial" w:hAnsi="Arial" w:cs="Arial"/>
          <w:sz w:val="24"/>
          <w:szCs w:val="24"/>
        </w:rPr>
        <w:t>, </w:t>
      </w:r>
      <w:r w:rsidRPr="002E3ACD">
        <w:rPr>
          <w:rFonts w:ascii="Arial" w:hAnsi="Arial" w:cs="Arial"/>
          <w:i/>
          <w:iCs/>
          <w:sz w:val="24"/>
          <w:szCs w:val="24"/>
        </w:rPr>
        <w:t>4</w:t>
      </w:r>
      <w:r w:rsidRPr="002E3ACD">
        <w:rPr>
          <w:rFonts w:ascii="Arial" w:hAnsi="Arial" w:cs="Arial"/>
          <w:sz w:val="24"/>
          <w:szCs w:val="24"/>
        </w:rPr>
        <w:t>(1), p.78.</w:t>
      </w:r>
    </w:p>
    <w:p w14:paraId="044B7B8A"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Long, H.A., French, D.P. and Brooks, J.M., 2020. Optimising the value of the critical appraisal skills programme (CASP) tool for quality appraisal in qualitative evidence synthesis. </w:t>
      </w:r>
      <w:r w:rsidRPr="002E3ACD">
        <w:rPr>
          <w:rFonts w:ascii="Arial" w:hAnsi="Arial" w:cs="Arial"/>
          <w:i/>
          <w:iCs/>
          <w:sz w:val="24"/>
          <w:szCs w:val="24"/>
        </w:rPr>
        <w:t>Research Methods in Medicine &amp; Health Sciences</w:t>
      </w:r>
      <w:r w:rsidRPr="002E3ACD">
        <w:rPr>
          <w:rFonts w:ascii="Arial" w:hAnsi="Arial" w:cs="Arial"/>
          <w:sz w:val="24"/>
          <w:szCs w:val="24"/>
        </w:rPr>
        <w:t>, </w:t>
      </w:r>
      <w:r w:rsidRPr="002E3ACD">
        <w:rPr>
          <w:rFonts w:ascii="Arial" w:hAnsi="Arial" w:cs="Arial"/>
          <w:i/>
          <w:iCs/>
          <w:sz w:val="24"/>
          <w:szCs w:val="24"/>
        </w:rPr>
        <w:t>1</w:t>
      </w:r>
      <w:r w:rsidRPr="002E3ACD">
        <w:rPr>
          <w:rFonts w:ascii="Arial" w:hAnsi="Arial" w:cs="Arial"/>
          <w:sz w:val="24"/>
          <w:szCs w:val="24"/>
        </w:rPr>
        <w:t>(1), pp.31-42.</w:t>
      </w:r>
    </w:p>
    <w:p w14:paraId="5ECF1660"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Luchini, C., Veronese, N., Nottegar, A., Shin, J.I., Gentile, G., Granziol, U., Soysal, P., Alexinschi, O., Smith, L. and Solmi, M., 2021. Assessing the quality of studies in meta</w:t>
      </w:r>
      <w:r w:rsidRPr="002E3ACD">
        <w:rPr>
          <w:rFonts w:ascii="Cambria Math" w:hAnsi="Cambria Math" w:cs="Cambria Math"/>
          <w:sz w:val="24"/>
          <w:szCs w:val="24"/>
        </w:rPr>
        <w:t>‐</w:t>
      </w:r>
      <w:r w:rsidRPr="002E3ACD">
        <w:rPr>
          <w:rFonts w:ascii="Arial" w:hAnsi="Arial" w:cs="Arial"/>
          <w:sz w:val="24"/>
          <w:szCs w:val="24"/>
        </w:rPr>
        <w:t>research: Review/guidelines on the most important quality assessment tools. </w:t>
      </w:r>
      <w:r w:rsidRPr="002E3ACD">
        <w:rPr>
          <w:rFonts w:ascii="Arial" w:hAnsi="Arial" w:cs="Arial"/>
          <w:i/>
          <w:iCs/>
          <w:sz w:val="24"/>
          <w:szCs w:val="24"/>
        </w:rPr>
        <w:t>Pharmaceutical statistics</w:t>
      </w:r>
      <w:r w:rsidRPr="002E3ACD">
        <w:rPr>
          <w:rFonts w:ascii="Arial" w:hAnsi="Arial" w:cs="Arial"/>
          <w:sz w:val="24"/>
          <w:szCs w:val="24"/>
        </w:rPr>
        <w:t>, </w:t>
      </w:r>
      <w:r w:rsidRPr="002E3ACD">
        <w:rPr>
          <w:rFonts w:ascii="Arial" w:hAnsi="Arial" w:cs="Arial"/>
          <w:i/>
          <w:iCs/>
          <w:sz w:val="24"/>
          <w:szCs w:val="24"/>
        </w:rPr>
        <w:t>20</w:t>
      </w:r>
      <w:r w:rsidRPr="002E3ACD">
        <w:rPr>
          <w:rFonts w:ascii="Arial" w:hAnsi="Arial" w:cs="Arial"/>
          <w:sz w:val="24"/>
          <w:szCs w:val="24"/>
        </w:rPr>
        <w:t>(1), pp.185-195.</w:t>
      </w:r>
    </w:p>
    <w:p w14:paraId="499A5863"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Ma, L.L., Wang, Y.Y., Yang, Z.H., Huang, D., Weng, H. and Zeng, X.T., 2020. Methodological quality (risk of bias) assessment tools for primary and secondary medical studies: what are they and which is better?. </w:t>
      </w:r>
      <w:r w:rsidRPr="002E3ACD">
        <w:rPr>
          <w:rFonts w:ascii="Arial" w:hAnsi="Arial" w:cs="Arial"/>
          <w:i/>
          <w:iCs/>
          <w:sz w:val="24"/>
          <w:szCs w:val="24"/>
        </w:rPr>
        <w:t>Military medical research</w:t>
      </w:r>
      <w:r w:rsidRPr="002E3ACD">
        <w:rPr>
          <w:rFonts w:ascii="Arial" w:hAnsi="Arial" w:cs="Arial"/>
          <w:sz w:val="24"/>
          <w:szCs w:val="24"/>
        </w:rPr>
        <w:t>, </w:t>
      </w:r>
      <w:r w:rsidRPr="002E3ACD">
        <w:rPr>
          <w:rFonts w:ascii="Arial" w:hAnsi="Arial" w:cs="Arial"/>
          <w:i/>
          <w:iCs/>
          <w:sz w:val="24"/>
          <w:szCs w:val="24"/>
        </w:rPr>
        <w:t>7</w:t>
      </w:r>
      <w:r w:rsidRPr="002E3ACD">
        <w:rPr>
          <w:rFonts w:ascii="Arial" w:hAnsi="Arial" w:cs="Arial"/>
          <w:sz w:val="24"/>
          <w:szCs w:val="24"/>
        </w:rPr>
        <w:t>(1), p.7.</w:t>
      </w:r>
    </w:p>
    <w:p w14:paraId="413D9CF1"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Majid, U. and Vanstone, M., 2018. Appraising qualitative research for evidence syntheses: a compendium of quality appraisal tools. </w:t>
      </w:r>
      <w:r w:rsidRPr="002E3ACD">
        <w:rPr>
          <w:rFonts w:ascii="Arial" w:hAnsi="Arial" w:cs="Arial"/>
          <w:i/>
          <w:iCs/>
          <w:sz w:val="24"/>
          <w:szCs w:val="24"/>
        </w:rPr>
        <w:t>Qualitative health research</w:t>
      </w:r>
      <w:r w:rsidRPr="002E3ACD">
        <w:rPr>
          <w:rFonts w:ascii="Arial" w:hAnsi="Arial" w:cs="Arial"/>
          <w:sz w:val="24"/>
          <w:szCs w:val="24"/>
        </w:rPr>
        <w:t>, </w:t>
      </w:r>
      <w:r w:rsidRPr="002E3ACD">
        <w:rPr>
          <w:rFonts w:ascii="Arial" w:hAnsi="Arial" w:cs="Arial"/>
          <w:i/>
          <w:iCs/>
          <w:sz w:val="24"/>
          <w:szCs w:val="24"/>
        </w:rPr>
        <w:t>28</w:t>
      </w:r>
      <w:r w:rsidRPr="002E3ACD">
        <w:rPr>
          <w:rFonts w:ascii="Arial" w:hAnsi="Arial" w:cs="Arial"/>
          <w:sz w:val="24"/>
          <w:szCs w:val="24"/>
        </w:rPr>
        <w:t>(13), pp.2115-2131.</w:t>
      </w:r>
    </w:p>
    <w:p w14:paraId="73BA8E42"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Mandrik, O.L., Severens, J.H., Bardach, A., Ghabri, S., Hamel, C., Mathes, T., Vale, L., Wisløff, T. and Goldhaber-Fiebert, J.D., 2021. Critical appraisal of systematic reviews with costs and cost-effectiveness outcomes: an ISPOR good practices task force report. </w:t>
      </w:r>
      <w:r w:rsidRPr="002E3ACD">
        <w:rPr>
          <w:rFonts w:ascii="Arial" w:hAnsi="Arial" w:cs="Arial"/>
          <w:i/>
          <w:iCs/>
          <w:sz w:val="24"/>
          <w:szCs w:val="24"/>
        </w:rPr>
        <w:t>Value in Health</w:t>
      </w:r>
      <w:r w:rsidRPr="002E3ACD">
        <w:rPr>
          <w:rFonts w:ascii="Arial" w:hAnsi="Arial" w:cs="Arial"/>
          <w:sz w:val="24"/>
          <w:szCs w:val="24"/>
        </w:rPr>
        <w:t>, </w:t>
      </w:r>
      <w:r w:rsidRPr="002E3ACD">
        <w:rPr>
          <w:rFonts w:ascii="Arial" w:hAnsi="Arial" w:cs="Arial"/>
          <w:i/>
          <w:iCs/>
          <w:sz w:val="24"/>
          <w:szCs w:val="24"/>
        </w:rPr>
        <w:t>24</w:t>
      </w:r>
      <w:r w:rsidRPr="002E3ACD">
        <w:rPr>
          <w:rFonts w:ascii="Arial" w:hAnsi="Arial" w:cs="Arial"/>
          <w:sz w:val="24"/>
          <w:szCs w:val="24"/>
        </w:rPr>
        <w:t>(4), pp.463-472.</w:t>
      </w:r>
    </w:p>
    <w:p w14:paraId="56F06978"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Munn, Z., Tufanaru, C. and Aromataris, E., 2014. JBI's systematic reviews: data extraction and synthesis. </w:t>
      </w:r>
      <w:r w:rsidRPr="002E3ACD">
        <w:rPr>
          <w:rFonts w:ascii="Arial" w:hAnsi="Arial" w:cs="Arial"/>
          <w:i/>
          <w:iCs/>
          <w:sz w:val="24"/>
          <w:szCs w:val="24"/>
        </w:rPr>
        <w:t>AJN The American Journal of Nursing</w:t>
      </w:r>
      <w:r w:rsidRPr="002E3ACD">
        <w:rPr>
          <w:rFonts w:ascii="Arial" w:hAnsi="Arial" w:cs="Arial"/>
          <w:sz w:val="24"/>
          <w:szCs w:val="24"/>
        </w:rPr>
        <w:t>, </w:t>
      </w:r>
      <w:r w:rsidRPr="002E3ACD">
        <w:rPr>
          <w:rFonts w:ascii="Arial" w:hAnsi="Arial" w:cs="Arial"/>
          <w:i/>
          <w:iCs/>
          <w:sz w:val="24"/>
          <w:szCs w:val="24"/>
        </w:rPr>
        <w:t>114</w:t>
      </w:r>
      <w:r w:rsidRPr="002E3ACD">
        <w:rPr>
          <w:rFonts w:ascii="Arial" w:hAnsi="Arial" w:cs="Arial"/>
          <w:sz w:val="24"/>
          <w:szCs w:val="24"/>
        </w:rPr>
        <w:t>(7), pp.49-54.</w:t>
      </w:r>
    </w:p>
    <w:p w14:paraId="600B0539"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Nardone, M., Floras, J.S. and Millar, P.J., 2020. Sympathetic neural modulation of arterial stiffness in humans. </w:t>
      </w:r>
      <w:r w:rsidRPr="002E3ACD">
        <w:rPr>
          <w:rFonts w:ascii="Arial" w:hAnsi="Arial" w:cs="Arial"/>
          <w:i/>
          <w:iCs/>
          <w:sz w:val="24"/>
          <w:szCs w:val="24"/>
        </w:rPr>
        <w:t>American Journal of Physiology-Heart and Circulatory Physiology</w:t>
      </w:r>
      <w:r w:rsidRPr="002E3ACD">
        <w:rPr>
          <w:rFonts w:ascii="Arial" w:hAnsi="Arial" w:cs="Arial"/>
          <w:sz w:val="24"/>
          <w:szCs w:val="24"/>
        </w:rPr>
        <w:t>.</w:t>
      </w:r>
    </w:p>
    <w:p w14:paraId="21D43360"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 xml:space="preserve">National Heart, Lung, and Blood Institute (NIH) (2014) </w:t>
      </w:r>
      <w:r w:rsidRPr="002E3ACD">
        <w:rPr>
          <w:rFonts w:ascii="Arial" w:hAnsi="Arial" w:cs="Arial"/>
          <w:i/>
          <w:iCs/>
          <w:sz w:val="24"/>
          <w:szCs w:val="24"/>
        </w:rPr>
        <w:t>Quality assessment tool for observational cohort and cross-sectional studies</w:t>
      </w:r>
      <w:r w:rsidRPr="002E3ACD">
        <w:rPr>
          <w:rFonts w:ascii="Arial" w:hAnsi="Arial" w:cs="Arial"/>
          <w:sz w:val="24"/>
          <w:szCs w:val="24"/>
        </w:rPr>
        <w:t xml:space="preserve">. Available at: </w:t>
      </w:r>
      <w:hyperlink r:id="rId40" w:history="1">
        <w:r w:rsidRPr="002E3ACD">
          <w:rPr>
            <w:rFonts w:ascii="Arial" w:hAnsi="Arial" w:cs="Arial"/>
            <w:color w:val="0563C1" w:themeColor="hyperlink"/>
            <w:sz w:val="24"/>
            <w:szCs w:val="24"/>
            <w:u w:val="single"/>
          </w:rPr>
          <w:t>https://www.nhlbi.nih.gov/health-topics/study-quality-assessment-tools</w:t>
        </w:r>
      </w:hyperlink>
      <w:r w:rsidRPr="002E3ACD">
        <w:rPr>
          <w:rFonts w:ascii="Arial" w:hAnsi="Arial" w:cs="Arial"/>
          <w:sz w:val="24"/>
          <w:szCs w:val="24"/>
        </w:rPr>
        <w:t>, (Accessed: 28 January 2026)</w:t>
      </w:r>
    </w:p>
    <w:p w14:paraId="64C3B148" w14:textId="77777777" w:rsidR="00972164" w:rsidRPr="002E3ACD" w:rsidRDefault="00972164" w:rsidP="00972164">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E3ACD">
        <w:rPr>
          <w:rFonts w:ascii="Arial" w:eastAsia="Times New Roman" w:hAnsi="Arial" w:cs="Arial"/>
          <w:kern w:val="0"/>
          <w:sz w:val="24"/>
          <w:szCs w:val="24"/>
          <w:lang w:eastAsia="en-GB"/>
          <w14:ligatures w14:val="none"/>
        </w:rPr>
        <w:t xml:space="preserve">Page, M.J., McKenzie, J.E., Bossuyt, P.M., Boutron, I., Hoffmann, T.C., Mulrow, C.D., Shamseer, L., Tetzlaff, J.M., Akl, E.A., Brennan, S.E., Chou, R., Glanville, J., Grimshaw, J.M., Hróbjartsson, A., Lalu, M.M., Li, T., Loder, E.W., Mayo-Wilson, E., McDonald, S. &amp; McGuinness, L.A. (2021). The PRISMA 2020 statement: An updated guideline for reporting systematic reviews. </w:t>
      </w:r>
      <w:r w:rsidRPr="002E3ACD">
        <w:rPr>
          <w:rFonts w:ascii="Arial" w:eastAsia="Times New Roman" w:hAnsi="Arial" w:cs="Arial"/>
          <w:i/>
          <w:iCs/>
          <w:kern w:val="0"/>
          <w:sz w:val="24"/>
          <w:szCs w:val="24"/>
          <w:lang w:eastAsia="en-GB"/>
          <w14:ligatures w14:val="none"/>
        </w:rPr>
        <w:t>PLOS Medicine</w:t>
      </w:r>
      <w:r w:rsidRPr="002E3ACD">
        <w:rPr>
          <w:rFonts w:ascii="Arial" w:eastAsia="Times New Roman" w:hAnsi="Arial" w:cs="Arial"/>
          <w:kern w:val="0"/>
          <w:sz w:val="24"/>
          <w:szCs w:val="24"/>
          <w:lang w:eastAsia="en-GB"/>
          <w14:ligatures w14:val="none"/>
        </w:rPr>
        <w:t xml:space="preserve">, 18(3), p.e1003583. </w:t>
      </w:r>
      <w:hyperlink r:id="rId41" w:tgtFrame="_new" w:history="1">
        <w:r w:rsidRPr="002E3ACD">
          <w:rPr>
            <w:rFonts w:ascii="Arial" w:eastAsia="Times New Roman" w:hAnsi="Arial" w:cs="Arial"/>
            <w:color w:val="0000FF"/>
            <w:kern w:val="0"/>
            <w:sz w:val="24"/>
            <w:szCs w:val="24"/>
            <w:u w:val="single"/>
            <w:lang w:eastAsia="en-GB"/>
            <w14:ligatures w14:val="none"/>
          </w:rPr>
          <w:t>https://doi.org/10.1371/journal.pmed.1003583</w:t>
        </w:r>
      </w:hyperlink>
      <w:r w:rsidRPr="002E3ACD">
        <w:rPr>
          <w:rFonts w:ascii="Arial" w:eastAsia="Times New Roman" w:hAnsi="Arial" w:cs="Arial"/>
          <w:kern w:val="0"/>
          <w:sz w:val="24"/>
          <w:szCs w:val="24"/>
          <w:lang w:eastAsia="en-GB"/>
          <w14:ligatures w14:val="none"/>
        </w:rPr>
        <w:t>.</w:t>
      </w:r>
    </w:p>
    <w:p w14:paraId="4274F4F7"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Patel, J.J., Hill, A., Lee, Z.Y., Heyland, D.K. and Stoppe, C., 2022. Critical appraisal of a systematic review: a concise review. </w:t>
      </w:r>
      <w:r w:rsidRPr="002E3ACD">
        <w:rPr>
          <w:rFonts w:ascii="Arial" w:hAnsi="Arial" w:cs="Arial"/>
          <w:i/>
          <w:iCs/>
          <w:sz w:val="24"/>
          <w:szCs w:val="24"/>
        </w:rPr>
        <w:t>Critical care medicine</w:t>
      </w:r>
      <w:r w:rsidRPr="002E3ACD">
        <w:rPr>
          <w:rFonts w:ascii="Arial" w:hAnsi="Arial" w:cs="Arial"/>
          <w:sz w:val="24"/>
          <w:szCs w:val="24"/>
        </w:rPr>
        <w:t>, </w:t>
      </w:r>
      <w:r w:rsidRPr="002E3ACD">
        <w:rPr>
          <w:rFonts w:ascii="Arial" w:hAnsi="Arial" w:cs="Arial"/>
          <w:i/>
          <w:iCs/>
          <w:sz w:val="24"/>
          <w:szCs w:val="24"/>
        </w:rPr>
        <w:t>50</w:t>
      </w:r>
      <w:r w:rsidRPr="002E3ACD">
        <w:rPr>
          <w:rFonts w:ascii="Arial" w:hAnsi="Arial" w:cs="Arial"/>
          <w:sz w:val="24"/>
          <w:szCs w:val="24"/>
        </w:rPr>
        <w:t>(9), pp.1371-1379.</w:t>
      </w:r>
    </w:p>
    <w:p w14:paraId="1BE69175"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Pierce, G.L., Coutinho, T.A., DuBose, L.E. and Donato, A.J., 2022. Is it good to have a stiff aorta with aging? Causes and consequences. </w:t>
      </w:r>
      <w:r w:rsidRPr="002E3ACD">
        <w:rPr>
          <w:rFonts w:ascii="Arial" w:hAnsi="Arial" w:cs="Arial"/>
          <w:i/>
          <w:iCs/>
          <w:sz w:val="24"/>
          <w:szCs w:val="24"/>
        </w:rPr>
        <w:t>Physiology</w:t>
      </w:r>
      <w:r w:rsidRPr="002E3ACD">
        <w:rPr>
          <w:rFonts w:ascii="Arial" w:hAnsi="Arial" w:cs="Arial"/>
          <w:sz w:val="24"/>
          <w:szCs w:val="24"/>
        </w:rPr>
        <w:t>, </w:t>
      </w:r>
      <w:r w:rsidRPr="002E3ACD">
        <w:rPr>
          <w:rFonts w:ascii="Arial" w:hAnsi="Arial" w:cs="Arial"/>
          <w:i/>
          <w:iCs/>
          <w:sz w:val="24"/>
          <w:szCs w:val="24"/>
        </w:rPr>
        <w:t>37</w:t>
      </w:r>
      <w:r w:rsidRPr="002E3ACD">
        <w:rPr>
          <w:rFonts w:ascii="Arial" w:hAnsi="Arial" w:cs="Arial"/>
          <w:sz w:val="24"/>
          <w:szCs w:val="24"/>
        </w:rPr>
        <w:t>(3), pp.154-173.</w:t>
      </w:r>
    </w:p>
    <w:p w14:paraId="7766F44A"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 xml:space="preserve">Reeves, L., et al. (2025) ‘What are the experiences of adults with ADHD of engaging in ADHD medication treatment? A systematic review and meta-ethnography’, </w:t>
      </w:r>
      <w:r w:rsidRPr="002E3ACD">
        <w:rPr>
          <w:rFonts w:ascii="Arial" w:hAnsi="Arial" w:cs="Arial"/>
          <w:i/>
          <w:iCs/>
          <w:sz w:val="24"/>
          <w:szCs w:val="24"/>
        </w:rPr>
        <w:t>Journal of Attention Disorders</w:t>
      </w:r>
      <w:r w:rsidRPr="002E3ACD">
        <w:rPr>
          <w:rFonts w:ascii="Arial" w:hAnsi="Arial" w:cs="Arial"/>
          <w:sz w:val="24"/>
          <w:szCs w:val="24"/>
        </w:rPr>
        <w:t>. Advance online publication. https://doi.org/10.1177/10870547251349952</w:t>
      </w:r>
    </w:p>
    <w:p w14:paraId="43B6C354"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Shaheen, N., Shaheen, A., Ramadan, A., Hefnawy, M.T., Ramadan, A., Ibrahim, I.A., Hassanein, M.E., Ashour, M.E. and Flouty, O., 2023. Appraising systematic reviews: a comprehensive guide to ensuring validity and reliability. </w:t>
      </w:r>
      <w:r w:rsidRPr="002E3ACD">
        <w:rPr>
          <w:rFonts w:ascii="Arial" w:hAnsi="Arial" w:cs="Arial"/>
          <w:i/>
          <w:iCs/>
          <w:sz w:val="24"/>
          <w:szCs w:val="24"/>
        </w:rPr>
        <w:t>Frontiers in research metrics and analytics</w:t>
      </w:r>
      <w:r w:rsidRPr="002E3ACD">
        <w:rPr>
          <w:rFonts w:ascii="Arial" w:hAnsi="Arial" w:cs="Arial"/>
          <w:sz w:val="24"/>
          <w:szCs w:val="24"/>
        </w:rPr>
        <w:t>, </w:t>
      </w:r>
      <w:r w:rsidRPr="002E3ACD">
        <w:rPr>
          <w:rFonts w:ascii="Arial" w:hAnsi="Arial" w:cs="Arial"/>
          <w:i/>
          <w:iCs/>
          <w:sz w:val="24"/>
          <w:szCs w:val="24"/>
        </w:rPr>
        <w:t>8</w:t>
      </w:r>
      <w:r w:rsidRPr="002E3ACD">
        <w:rPr>
          <w:rFonts w:ascii="Arial" w:hAnsi="Arial" w:cs="Arial"/>
          <w:sz w:val="24"/>
          <w:szCs w:val="24"/>
        </w:rPr>
        <w:t>, p.1268045.</w:t>
      </w:r>
    </w:p>
    <w:p w14:paraId="55703E83"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Shokraneh, F. and Adams, C.E., 2017. Study-based registers of randomized controlled trials: starting a systematic review with data extraction or meta-analysis. </w:t>
      </w:r>
      <w:r w:rsidRPr="002E3ACD">
        <w:rPr>
          <w:rFonts w:ascii="Arial" w:hAnsi="Arial" w:cs="Arial"/>
          <w:i/>
          <w:iCs/>
          <w:sz w:val="24"/>
          <w:szCs w:val="24"/>
        </w:rPr>
        <w:t>BioImpacts: BI</w:t>
      </w:r>
      <w:r w:rsidRPr="002E3ACD">
        <w:rPr>
          <w:rFonts w:ascii="Arial" w:hAnsi="Arial" w:cs="Arial"/>
          <w:sz w:val="24"/>
          <w:szCs w:val="24"/>
        </w:rPr>
        <w:t>, </w:t>
      </w:r>
      <w:r w:rsidRPr="002E3ACD">
        <w:rPr>
          <w:rFonts w:ascii="Arial" w:hAnsi="Arial" w:cs="Arial"/>
          <w:i/>
          <w:iCs/>
          <w:sz w:val="24"/>
          <w:szCs w:val="24"/>
        </w:rPr>
        <w:t>7</w:t>
      </w:r>
      <w:r w:rsidRPr="002E3ACD">
        <w:rPr>
          <w:rFonts w:ascii="Arial" w:hAnsi="Arial" w:cs="Arial"/>
          <w:sz w:val="24"/>
          <w:szCs w:val="24"/>
        </w:rPr>
        <w:t>(4), p.209.</w:t>
      </w:r>
    </w:p>
    <w:p w14:paraId="4E1B0EFE"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Stone, J.C., Barker, T.H., Aromataris, E., Ritskes-Hoitinga, M., Sears, K., Klugar, M., Leonardi-Bee, J. and Munn, Z., 2023. From critical appraisal to risk of bias assessment: clarifying the terminology for study evaluation in JBI systematic reviews. </w:t>
      </w:r>
      <w:r w:rsidRPr="002E3ACD">
        <w:rPr>
          <w:rFonts w:ascii="Arial" w:hAnsi="Arial" w:cs="Arial"/>
          <w:i/>
          <w:iCs/>
          <w:sz w:val="24"/>
          <w:szCs w:val="24"/>
        </w:rPr>
        <w:t>JBI Evidence Synthesis</w:t>
      </w:r>
      <w:r w:rsidRPr="002E3ACD">
        <w:rPr>
          <w:rFonts w:ascii="Arial" w:hAnsi="Arial" w:cs="Arial"/>
          <w:sz w:val="24"/>
          <w:szCs w:val="24"/>
        </w:rPr>
        <w:t>, </w:t>
      </w:r>
      <w:r w:rsidRPr="002E3ACD">
        <w:rPr>
          <w:rFonts w:ascii="Arial" w:hAnsi="Arial" w:cs="Arial"/>
          <w:i/>
          <w:iCs/>
          <w:sz w:val="24"/>
          <w:szCs w:val="24"/>
        </w:rPr>
        <w:t>21</w:t>
      </w:r>
      <w:r w:rsidRPr="002E3ACD">
        <w:rPr>
          <w:rFonts w:ascii="Arial" w:hAnsi="Arial" w:cs="Arial"/>
          <w:sz w:val="24"/>
          <w:szCs w:val="24"/>
        </w:rPr>
        <w:t>(3), pp.472-477.</w:t>
      </w:r>
    </w:p>
    <w:p w14:paraId="7F1AF339"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Tod, D., Booth, A. and Smith, B., 2022. Critical appraisal. </w:t>
      </w:r>
      <w:r w:rsidRPr="002E3ACD">
        <w:rPr>
          <w:rFonts w:ascii="Arial" w:hAnsi="Arial" w:cs="Arial"/>
          <w:i/>
          <w:iCs/>
          <w:sz w:val="24"/>
          <w:szCs w:val="24"/>
        </w:rPr>
        <w:t>International Review of Sport and Exercise Psychology</w:t>
      </w:r>
      <w:r w:rsidRPr="002E3ACD">
        <w:rPr>
          <w:rFonts w:ascii="Arial" w:hAnsi="Arial" w:cs="Arial"/>
          <w:sz w:val="24"/>
          <w:szCs w:val="24"/>
        </w:rPr>
        <w:t>, </w:t>
      </w:r>
      <w:r w:rsidRPr="002E3ACD">
        <w:rPr>
          <w:rFonts w:ascii="Arial" w:hAnsi="Arial" w:cs="Arial"/>
          <w:i/>
          <w:iCs/>
          <w:sz w:val="24"/>
          <w:szCs w:val="24"/>
        </w:rPr>
        <w:t>15</w:t>
      </w:r>
      <w:r w:rsidRPr="002E3ACD">
        <w:rPr>
          <w:rFonts w:ascii="Arial" w:hAnsi="Arial" w:cs="Arial"/>
          <w:sz w:val="24"/>
          <w:szCs w:val="24"/>
        </w:rPr>
        <w:t>(1), pp.52-72.</w:t>
      </w:r>
    </w:p>
    <w:p w14:paraId="47F1C073"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 xml:space="preserve">UK Research and Innovation (2026). Ethical approval. UKRI.org. Available at: </w:t>
      </w:r>
      <w:hyperlink r:id="rId42" w:history="1">
        <w:r w:rsidRPr="002E3ACD">
          <w:rPr>
            <w:rFonts w:ascii="Arial" w:hAnsi="Arial" w:cs="Arial"/>
            <w:color w:val="0563C1" w:themeColor="hyperlink"/>
            <w:sz w:val="24"/>
            <w:szCs w:val="24"/>
            <w:u w:val="single"/>
          </w:rPr>
          <w:t>https://www.ukri.org/councils/mrc/facilities-and-resources/find-an-mrc-facility-or-resource/mrc-regulatory-support-centre/understanding-health-research/ethical-approval/</w:t>
        </w:r>
      </w:hyperlink>
      <w:r w:rsidRPr="002E3ACD">
        <w:rPr>
          <w:rFonts w:ascii="Arial" w:hAnsi="Arial" w:cs="Arial"/>
          <w:sz w:val="24"/>
          <w:szCs w:val="24"/>
        </w:rPr>
        <w:t xml:space="preserve"> (Accessed: 30 November 2025)</w:t>
      </w:r>
    </w:p>
    <w:p w14:paraId="2070E79A"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Wang, X. and Kattan, M.W., 2020. Cohort studies: design, analysis, and reporting. </w:t>
      </w:r>
      <w:r w:rsidRPr="002E3ACD">
        <w:rPr>
          <w:rFonts w:ascii="Arial" w:hAnsi="Arial" w:cs="Arial"/>
          <w:i/>
          <w:iCs/>
          <w:sz w:val="24"/>
          <w:szCs w:val="24"/>
        </w:rPr>
        <w:t>Chest</w:t>
      </w:r>
      <w:r w:rsidRPr="002E3ACD">
        <w:rPr>
          <w:rFonts w:ascii="Arial" w:hAnsi="Arial" w:cs="Arial"/>
          <w:sz w:val="24"/>
          <w:szCs w:val="24"/>
        </w:rPr>
        <w:t>, </w:t>
      </w:r>
      <w:r w:rsidRPr="002E3ACD">
        <w:rPr>
          <w:rFonts w:ascii="Arial" w:hAnsi="Arial" w:cs="Arial"/>
          <w:i/>
          <w:iCs/>
          <w:sz w:val="24"/>
          <w:szCs w:val="24"/>
        </w:rPr>
        <w:t>158</w:t>
      </w:r>
      <w:r w:rsidRPr="002E3ACD">
        <w:rPr>
          <w:rFonts w:ascii="Arial" w:hAnsi="Arial" w:cs="Arial"/>
          <w:sz w:val="24"/>
          <w:szCs w:val="24"/>
        </w:rPr>
        <w:t>(1), pp.S72-S78.</w:t>
      </w:r>
    </w:p>
    <w:p w14:paraId="2671C109"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Wang, Y., Wang, J., Zheng, X.W., Du, M.F., Zhang, X., Chu, C., Wang, D., Liao, Y.Y., Ma, Q., Jia, H. and Hu, G.L., 2023. Early-life cardiovascular risk factor trajectories and vascular aging in midlife: a 30-year prospective cohort study. </w:t>
      </w:r>
      <w:r w:rsidRPr="002E3ACD">
        <w:rPr>
          <w:rFonts w:ascii="Arial" w:hAnsi="Arial" w:cs="Arial"/>
          <w:i/>
          <w:iCs/>
          <w:sz w:val="24"/>
          <w:szCs w:val="24"/>
        </w:rPr>
        <w:t>Hypertension</w:t>
      </w:r>
      <w:r w:rsidRPr="002E3ACD">
        <w:rPr>
          <w:rFonts w:ascii="Arial" w:hAnsi="Arial" w:cs="Arial"/>
          <w:sz w:val="24"/>
          <w:szCs w:val="24"/>
        </w:rPr>
        <w:t>, </w:t>
      </w:r>
      <w:r w:rsidRPr="002E3ACD">
        <w:rPr>
          <w:rFonts w:ascii="Arial" w:hAnsi="Arial" w:cs="Arial"/>
          <w:i/>
          <w:iCs/>
          <w:sz w:val="24"/>
          <w:szCs w:val="24"/>
        </w:rPr>
        <w:t>80</w:t>
      </w:r>
      <w:r w:rsidRPr="002E3ACD">
        <w:rPr>
          <w:rFonts w:ascii="Arial" w:hAnsi="Arial" w:cs="Arial"/>
          <w:sz w:val="24"/>
          <w:szCs w:val="24"/>
        </w:rPr>
        <w:t>(5), pp.1057-1066.</w:t>
      </w:r>
    </w:p>
    <w:p w14:paraId="750731AF"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Zanoli, L., Lentini, P., Briet, M., Castellino, P., House, A.A., London, G.M., Malatino, L., McCullough, P.A., Mikhailidis, D.P. and Boutouyrie, P., 2019. Arterial stiffness in the heart disease of CKD. </w:t>
      </w:r>
      <w:r w:rsidRPr="002E3ACD">
        <w:rPr>
          <w:rFonts w:ascii="Arial" w:hAnsi="Arial" w:cs="Arial"/>
          <w:i/>
          <w:iCs/>
          <w:sz w:val="24"/>
          <w:szCs w:val="24"/>
        </w:rPr>
        <w:t>Journal of the American Society of Nephrology</w:t>
      </w:r>
      <w:r w:rsidRPr="002E3ACD">
        <w:rPr>
          <w:rFonts w:ascii="Arial" w:hAnsi="Arial" w:cs="Arial"/>
          <w:sz w:val="24"/>
          <w:szCs w:val="24"/>
        </w:rPr>
        <w:t>, </w:t>
      </w:r>
      <w:r w:rsidRPr="002E3ACD">
        <w:rPr>
          <w:rFonts w:ascii="Arial" w:hAnsi="Arial" w:cs="Arial"/>
          <w:i/>
          <w:iCs/>
          <w:sz w:val="24"/>
          <w:szCs w:val="24"/>
        </w:rPr>
        <w:t>30</w:t>
      </w:r>
      <w:r w:rsidRPr="002E3ACD">
        <w:rPr>
          <w:rFonts w:ascii="Arial" w:hAnsi="Arial" w:cs="Arial"/>
          <w:sz w:val="24"/>
          <w:szCs w:val="24"/>
        </w:rPr>
        <w:t>(6), pp.918-928.</w:t>
      </w:r>
    </w:p>
    <w:p w14:paraId="300A085A" w14:textId="77777777" w:rsidR="00972164" w:rsidRPr="002E3ACD" w:rsidRDefault="00972164" w:rsidP="00972164">
      <w:pPr>
        <w:spacing w:before="100" w:beforeAutospacing="1" w:after="100" w:afterAutospacing="1" w:line="360" w:lineRule="auto"/>
        <w:jc w:val="both"/>
        <w:rPr>
          <w:rFonts w:ascii="Arial" w:hAnsi="Arial" w:cs="Arial"/>
          <w:sz w:val="24"/>
          <w:szCs w:val="24"/>
        </w:rPr>
      </w:pPr>
      <w:r w:rsidRPr="002E3ACD">
        <w:rPr>
          <w:rFonts w:ascii="Arial" w:hAnsi="Arial" w:cs="Arial"/>
          <w:sz w:val="24"/>
          <w:szCs w:val="24"/>
        </w:rPr>
        <w:t xml:space="preserve">Zhang, L., Andell, P., Li, L., et al. (2023) ‘Attention-deficit/hyperactivity disorder medications and long-term risk of cardiovascular diseases’, </w:t>
      </w:r>
      <w:r w:rsidRPr="002E3ACD">
        <w:rPr>
          <w:rFonts w:ascii="Arial" w:hAnsi="Arial" w:cs="Arial"/>
          <w:i/>
          <w:iCs/>
          <w:sz w:val="24"/>
          <w:szCs w:val="24"/>
        </w:rPr>
        <w:t>JAMA Psychiatry</w:t>
      </w:r>
      <w:r w:rsidRPr="002E3ACD">
        <w:rPr>
          <w:rFonts w:ascii="Arial" w:hAnsi="Arial" w:cs="Arial"/>
          <w:sz w:val="24"/>
          <w:szCs w:val="24"/>
        </w:rPr>
        <w:t xml:space="preserve">. </w:t>
      </w:r>
      <w:hyperlink r:id="rId43" w:tgtFrame="_new" w:history="1">
        <w:r w:rsidRPr="002E3ACD">
          <w:rPr>
            <w:rFonts w:ascii="Arial" w:hAnsi="Arial" w:cs="Arial"/>
            <w:color w:val="0563C1" w:themeColor="hyperlink"/>
            <w:sz w:val="24"/>
            <w:szCs w:val="24"/>
            <w:u w:val="single"/>
          </w:rPr>
          <w:t>https://doi.org/10.1001/jamapsychiatry.2023.4294</w:t>
        </w:r>
      </w:hyperlink>
    </w:p>
    <w:p w14:paraId="0BEF2F41" w14:textId="77777777" w:rsidR="00972164" w:rsidRPr="002E3ACD" w:rsidRDefault="00972164" w:rsidP="00972164">
      <w:pPr>
        <w:spacing w:before="100" w:beforeAutospacing="1" w:after="100" w:afterAutospacing="1" w:line="360" w:lineRule="auto"/>
        <w:jc w:val="both"/>
        <w:rPr>
          <w:rFonts w:ascii="Arial" w:hAnsi="Arial" w:cs="Arial"/>
          <w:sz w:val="24"/>
          <w:szCs w:val="24"/>
        </w:rPr>
        <w:sectPr w:rsidR="00972164" w:rsidRPr="002E3ACD" w:rsidSect="00972164">
          <w:pgSz w:w="11906" w:h="16838"/>
          <w:pgMar w:top="1440" w:right="1440" w:bottom="1440" w:left="1440" w:header="708" w:footer="708" w:gutter="0"/>
          <w:cols w:space="708"/>
          <w:docGrid w:linePitch="360"/>
        </w:sectPr>
      </w:pPr>
      <w:r w:rsidRPr="002E3ACD">
        <w:rPr>
          <w:rFonts w:ascii="Arial" w:hAnsi="Arial" w:cs="Arial"/>
          <w:sz w:val="24"/>
          <w:szCs w:val="24"/>
          <w:lang w:val="fr-CA"/>
        </w:rPr>
        <w:t xml:space="preserve">Zhang, L., Yao, H., Li, L., et al. </w:t>
      </w:r>
      <w:r w:rsidRPr="002E3ACD">
        <w:rPr>
          <w:rFonts w:ascii="Arial" w:hAnsi="Arial" w:cs="Arial"/>
          <w:sz w:val="24"/>
          <w:szCs w:val="24"/>
        </w:rPr>
        <w:t xml:space="preserve">(2022) ‘Risk of cardiovascular diseases associated with medications used in attention-deficit/hyperactivity disorder: a systematic review and meta-analysis’, </w:t>
      </w:r>
      <w:r w:rsidRPr="002E3ACD">
        <w:rPr>
          <w:rFonts w:ascii="Arial" w:hAnsi="Arial" w:cs="Arial"/>
          <w:i/>
          <w:iCs/>
          <w:sz w:val="24"/>
          <w:szCs w:val="24"/>
        </w:rPr>
        <w:t>JAMA Network Open</w:t>
      </w:r>
      <w:r w:rsidRPr="002E3ACD">
        <w:rPr>
          <w:rFonts w:ascii="Arial" w:hAnsi="Arial" w:cs="Arial"/>
          <w:sz w:val="24"/>
          <w:szCs w:val="24"/>
        </w:rPr>
        <w:t>, 5(11), e2243597. https://doi.org/10.1001/jamanetworkopen.2022.43597</w:t>
      </w:r>
    </w:p>
    <w:p w14:paraId="71F479D2" w14:textId="77777777" w:rsidR="00972164" w:rsidRPr="002E3ACD" w:rsidRDefault="00972164" w:rsidP="00972164">
      <w:pPr>
        <w:rPr>
          <w:rFonts w:ascii="Arial" w:hAnsi="Arial" w:cs="Arial"/>
          <w:b/>
          <w:sz w:val="24"/>
          <w:szCs w:val="24"/>
        </w:rPr>
      </w:pPr>
    </w:p>
    <w:p w14:paraId="4AF269BF" w14:textId="77777777" w:rsidR="00972164" w:rsidRPr="002E3ACD" w:rsidRDefault="00972164" w:rsidP="00972164">
      <w:pPr>
        <w:spacing w:before="100" w:beforeAutospacing="1" w:after="100" w:afterAutospacing="1" w:line="360" w:lineRule="auto"/>
        <w:contextualSpacing/>
        <w:jc w:val="center"/>
        <w:rPr>
          <w:rFonts w:ascii="Arial" w:hAnsi="Arial" w:cs="Arial"/>
          <w:sz w:val="24"/>
          <w:szCs w:val="24"/>
        </w:rPr>
      </w:pPr>
      <w:r w:rsidRPr="002E3ACD">
        <w:rPr>
          <w:rFonts w:ascii="Arial" w:hAnsi="Arial" w:cs="Arial"/>
          <w:b/>
          <w:sz w:val="24"/>
          <w:szCs w:val="24"/>
        </w:rPr>
        <w:t xml:space="preserve">APPENDICES: CRITICAL APPRAISAL TABLES </w:t>
      </w:r>
    </w:p>
    <w:p w14:paraId="50CF92FC" w14:textId="77777777" w:rsidR="00972164" w:rsidRPr="002E3ACD" w:rsidRDefault="00972164" w:rsidP="00972164">
      <w:pPr>
        <w:keepNext/>
        <w:keepLines/>
        <w:spacing w:before="100" w:beforeAutospacing="1" w:after="100" w:afterAutospacing="1" w:line="360" w:lineRule="auto"/>
        <w:contextualSpacing/>
        <w:outlineLvl w:val="0"/>
        <w:rPr>
          <w:rFonts w:ascii="Arial" w:eastAsiaTheme="majorEastAsia" w:hAnsi="Arial" w:cs="Arial"/>
          <w:b/>
          <w:bCs/>
          <w:sz w:val="24"/>
          <w:szCs w:val="24"/>
        </w:rPr>
      </w:pPr>
      <w:r w:rsidRPr="002E3ACD">
        <w:rPr>
          <w:rFonts w:ascii="Arial" w:eastAsiaTheme="majorEastAsia" w:hAnsi="Arial" w:cs="Arial"/>
          <w:b/>
          <w:bCs/>
          <w:sz w:val="24"/>
          <w:szCs w:val="24"/>
        </w:rPr>
        <w:t>Appendix A: CASP Qualitative Appraisal</w:t>
      </w:r>
    </w:p>
    <w:p w14:paraId="4646BC24" w14:textId="77777777" w:rsidR="00972164" w:rsidRPr="002E3ACD" w:rsidRDefault="00972164" w:rsidP="00972164">
      <w:pPr>
        <w:spacing w:before="100" w:beforeAutospacing="1" w:after="100" w:afterAutospacing="1" w:line="360" w:lineRule="auto"/>
        <w:contextualSpacing/>
        <w:rPr>
          <w:rFonts w:ascii="Arial" w:hAnsi="Arial" w:cs="Arial"/>
          <w:sz w:val="24"/>
          <w:szCs w:val="24"/>
        </w:rPr>
      </w:pPr>
    </w:p>
    <w:tbl>
      <w:tblPr>
        <w:tblStyle w:val="TableGrid3"/>
        <w:tblpPr w:leftFromText="180" w:rightFromText="180" w:horzAnchor="page" w:tblpX="1" w:tblpY="676"/>
        <w:tblW w:w="14363" w:type="dxa"/>
        <w:tblLook w:val="04A0" w:firstRow="1" w:lastRow="0" w:firstColumn="1" w:lastColumn="0" w:noHBand="0" w:noVBand="1"/>
      </w:tblPr>
      <w:tblGrid>
        <w:gridCol w:w="1030"/>
        <w:gridCol w:w="1511"/>
        <w:gridCol w:w="1710"/>
        <w:gridCol w:w="1377"/>
        <w:gridCol w:w="1502"/>
        <w:gridCol w:w="1417"/>
        <w:gridCol w:w="1244"/>
        <w:gridCol w:w="1871"/>
        <w:gridCol w:w="1671"/>
        <w:gridCol w:w="1030"/>
      </w:tblGrid>
      <w:tr w:rsidR="00972164" w:rsidRPr="002E3ACD" w14:paraId="1B3A4DDB" w14:textId="77777777" w:rsidTr="00CD232E">
        <w:trPr>
          <w:trHeight w:val="507"/>
        </w:trPr>
        <w:tc>
          <w:tcPr>
            <w:tcW w:w="1030" w:type="dxa"/>
          </w:tcPr>
          <w:p w14:paraId="22AC8ED1"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Study</w:t>
            </w:r>
          </w:p>
        </w:tc>
        <w:tc>
          <w:tcPr>
            <w:tcW w:w="1511" w:type="dxa"/>
          </w:tcPr>
          <w:p w14:paraId="50EFA451"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Aim</w:t>
            </w:r>
          </w:p>
        </w:tc>
        <w:tc>
          <w:tcPr>
            <w:tcW w:w="1710" w:type="dxa"/>
          </w:tcPr>
          <w:p w14:paraId="147FA0B4"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Methodology</w:t>
            </w:r>
          </w:p>
        </w:tc>
        <w:tc>
          <w:tcPr>
            <w:tcW w:w="1377" w:type="dxa"/>
          </w:tcPr>
          <w:p w14:paraId="7F44D4BB"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Data Collection</w:t>
            </w:r>
          </w:p>
        </w:tc>
        <w:tc>
          <w:tcPr>
            <w:tcW w:w="1502" w:type="dxa"/>
          </w:tcPr>
          <w:p w14:paraId="0EA204BF"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Analysis</w:t>
            </w:r>
          </w:p>
        </w:tc>
        <w:tc>
          <w:tcPr>
            <w:tcW w:w="1417" w:type="dxa"/>
          </w:tcPr>
          <w:p w14:paraId="789CBBC5"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Reflexivity</w:t>
            </w:r>
          </w:p>
        </w:tc>
        <w:tc>
          <w:tcPr>
            <w:tcW w:w="1244" w:type="dxa"/>
          </w:tcPr>
          <w:p w14:paraId="2FDC7119"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Ethics</w:t>
            </w:r>
          </w:p>
        </w:tc>
        <w:tc>
          <w:tcPr>
            <w:tcW w:w="1871" w:type="dxa"/>
          </w:tcPr>
          <w:p w14:paraId="36EBA1BA"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Key Strengths</w:t>
            </w:r>
          </w:p>
        </w:tc>
        <w:tc>
          <w:tcPr>
            <w:tcW w:w="1671" w:type="dxa"/>
          </w:tcPr>
          <w:p w14:paraId="08A827A7"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Key Limitations</w:t>
            </w:r>
          </w:p>
        </w:tc>
        <w:tc>
          <w:tcPr>
            <w:tcW w:w="1030" w:type="dxa"/>
          </w:tcPr>
          <w:p w14:paraId="3605E54B"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Quality</w:t>
            </w:r>
          </w:p>
        </w:tc>
      </w:tr>
      <w:tr w:rsidR="00972164" w:rsidRPr="002E3ACD" w14:paraId="6FB0361B" w14:textId="77777777" w:rsidTr="00CD232E">
        <w:trPr>
          <w:trHeight w:val="2029"/>
        </w:trPr>
        <w:tc>
          <w:tcPr>
            <w:tcW w:w="1030" w:type="dxa"/>
          </w:tcPr>
          <w:p w14:paraId="26C99BB5"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Barnes et al. (2025)</w:t>
            </w:r>
          </w:p>
        </w:tc>
        <w:tc>
          <w:tcPr>
            <w:tcW w:w="1511" w:type="dxa"/>
          </w:tcPr>
          <w:p w14:paraId="1F673DBB"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Adult ADHD medication initiation and adherence</w:t>
            </w:r>
          </w:p>
        </w:tc>
        <w:tc>
          <w:tcPr>
            <w:tcW w:w="1710" w:type="dxa"/>
          </w:tcPr>
          <w:p w14:paraId="56B7F3A4"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Appropriate qualitative design</w:t>
            </w:r>
          </w:p>
        </w:tc>
        <w:tc>
          <w:tcPr>
            <w:tcW w:w="1377" w:type="dxa"/>
          </w:tcPr>
          <w:p w14:paraId="6A0ACA12"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Semi-structured interviews</w:t>
            </w:r>
          </w:p>
        </w:tc>
        <w:tc>
          <w:tcPr>
            <w:tcW w:w="1502" w:type="dxa"/>
          </w:tcPr>
          <w:p w14:paraId="3AF6F92B"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Rigorous thematic analysis</w:t>
            </w:r>
          </w:p>
        </w:tc>
        <w:tc>
          <w:tcPr>
            <w:tcW w:w="1417" w:type="dxa"/>
          </w:tcPr>
          <w:p w14:paraId="2FC1BE4A"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Not explicitly addressed</w:t>
            </w:r>
          </w:p>
        </w:tc>
        <w:tc>
          <w:tcPr>
            <w:tcW w:w="1244" w:type="dxa"/>
          </w:tcPr>
          <w:p w14:paraId="36ADE44A"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Ethics approved</w:t>
            </w:r>
          </w:p>
        </w:tc>
        <w:tc>
          <w:tcPr>
            <w:tcW w:w="1871" w:type="dxa"/>
          </w:tcPr>
          <w:p w14:paraId="481BC8B1"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Strong alignment between aim and design; rich participant data; clear analytical process</w:t>
            </w:r>
          </w:p>
        </w:tc>
        <w:tc>
          <w:tcPr>
            <w:tcW w:w="1671" w:type="dxa"/>
          </w:tcPr>
          <w:p w14:paraId="6CEF1806"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Limited reflexivity; early-treatment sample limits transferability</w:t>
            </w:r>
          </w:p>
        </w:tc>
        <w:tc>
          <w:tcPr>
            <w:tcW w:w="1030" w:type="dxa"/>
          </w:tcPr>
          <w:p w14:paraId="2B798356"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High</w:t>
            </w:r>
          </w:p>
        </w:tc>
      </w:tr>
      <w:tr w:rsidR="00972164" w:rsidRPr="002E3ACD" w14:paraId="6BE12E6F" w14:textId="77777777" w:rsidTr="00CD232E">
        <w:trPr>
          <w:trHeight w:val="1770"/>
        </w:trPr>
        <w:tc>
          <w:tcPr>
            <w:tcW w:w="1030" w:type="dxa"/>
          </w:tcPr>
          <w:p w14:paraId="5618AF08"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Reeves et al. (2025)</w:t>
            </w:r>
          </w:p>
        </w:tc>
        <w:tc>
          <w:tcPr>
            <w:tcW w:w="1511" w:type="dxa"/>
          </w:tcPr>
          <w:p w14:paraId="0BFF9E40"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Synthesis of adult ADHD medication experiences</w:t>
            </w:r>
          </w:p>
        </w:tc>
        <w:tc>
          <w:tcPr>
            <w:tcW w:w="1710" w:type="dxa"/>
          </w:tcPr>
          <w:p w14:paraId="6866B6A5"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Meta-ethnography</w:t>
            </w:r>
          </w:p>
        </w:tc>
        <w:tc>
          <w:tcPr>
            <w:tcW w:w="1377" w:type="dxa"/>
          </w:tcPr>
          <w:p w14:paraId="4779B706"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Secondary qualitative studies</w:t>
            </w:r>
          </w:p>
        </w:tc>
        <w:tc>
          <w:tcPr>
            <w:tcW w:w="1502" w:type="dxa"/>
          </w:tcPr>
          <w:p w14:paraId="236F4E47"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Transparent synthesis approach</w:t>
            </w:r>
          </w:p>
        </w:tc>
        <w:tc>
          <w:tcPr>
            <w:tcW w:w="1417" w:type="dxa"/>
          </w:tcPr>
          <w:p w14:paraId="001ABF41"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Partially addressed</w:t>
            </w:r>
          </w:p>
        </w:tc>
        <w:tc>
          <w:tcPr>
            <w:tcW w:w="1244" w:type="dxa"/>
          </w:tcPr>
          <w:p w14:paraId="1D27E2B4"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Ethically compliant synthesis</w:t>
            </w:r>
          </w:p>
        </w:tc>
        <w:tc>
          <w:tcPr>
            <w:tcW w:w="1871" w:type="dxa"/>
          </w:tcPr>
          <w:p w14:paraId="1E30CED0"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Strong conceptual synthesis; enhances generalisability; robust integration</w:t>
            </w:r>
          </w:p>
        </w:tc>
        <w:tc>
          <w:tcPr>
            <w:tcW w:w="1671" w:type="dxa"/>
          </w:tcPr>
          <w:p w14:paraId="517AC4FF"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Dependent on quality of included studies; heterogeneity across sources</w:t>
            </w:r>
          </w:p>
        </w:tc>
        <w:tc>
          <w:tcPr>
            <w:tcW w:w="1030" w:type="dxa"/>
          </w:tcPr>
          <w:p w14:paraId="6DE456C1"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High</w:t>
            </w:r>
          </w:p>
        </w:tc>
      </w:tr>
    </w:tbl>
    <w:p w14:paraId="38BF5023" w14:textId="77777777" w:rsidR="00972164" w:rsidRPr="002E3ACD" w:rsidRDefault="00972164" w:rsidP="00972164">
      <w:pPr>
        <w:spacing w:before="100" w:beforeAutospacing="1" w:after="100" w:afterAutospacing="1" w:line="360" w:lineRule="auto"/>
        <w:contextualSpacing/>
        <w:rPr>
          <w:rFonts w:ascii="Arial" w:hAnsi="Arial" w:cs="Arial"/>
          <w:sz w:val="24"/>
          <w:szCs w:val="24"/>
        </w:rPr>
      </w:pPr>
      <w:r w:rsidRPr="002E3ACD">
        <w:rPr>
          <w:rFonts w:ascii="Arial" w:hAnsi="Arial" w:cs="Arial"/>
          <w:sz w:val="24"/>
          <w:szCs w:val="24"/>
        </w:rPr>
        <w:t>Table Note: CASP appraisal reflects credibility, methodological coherence, and relevance to the research question. Quality ratings are interpretive and justified rather than numerical.</w:t>
      </w:r>
    </w:p>
    <w:p w14:paraId="1E721347" w14:textId="77777777" w:rsidR="00972164" w:rsidRPr="002E3ACD" w:rsidRDefault="00972164" w:rsidP="00972164">
      <w:pPr>
        <w:spacing w:before="100" w:beforeAutospacing="1" w:after="100" w:afterAutospacing="1" w:line="360" w:lineRule="auto"/>
        <w:contextualSpacing/>
        <w:rPr>
          <w:rFonts w:ascii="Arial" w:hAnsi="Arial" w:cs="Arial"/>
          <w:sz w:val="24"/>
          <w:szCs w:val="24"/>
        </w:rPr>
      </w:pPr>
      <w:r w:rsidRPr="002E3ACD">
        <w:rPr>
          <w:rFonts w:ascii="Arial" w:hAnsi="Arial" w:cs="Arial"/>
          <w:sz w:val="24"/>
          <w:szCs w:val="24"/>
        </w:rPr>
        <w:br w:type="page"/>
      </w:r>
    </w:p>
    <w:p w14:paraId="195A45FD" w14:textId="77777777" w:rsidR="00972164" w:rsidRPr="002E3ACD" w:rsidRDefault="00972164" w:rsidP="00972164">
      <w:pPr>
        <w:keepNext/>
        <w:keepLines/>
        <w:spacing w:before="100" w:beforeAutospacing="1" w:after="100" w:afterAutospacing="1" w:line="360" w:lineRule="auto"/>
        <w:contextualSpacing/>
        <w:outlineLvl w:val="0"/>
        <w:rPr>
          <w:rFonts w:ascii="Arial" w:eastAsiaTheme="majorEastAsia" w:hAnsi="Arial" w:cs="Arial"/>
          <w:b/>
          <w:bCs/>
          <w:sz w:val="24"/>
          <w:szCs w:val="24"/>
        </w:rPr>
      </w:pPr>
      <w:r w:rsidRPr="002E3ACD">
        <w:rPr>
          <w:rFonts w:ascii="Arial" w:eastAsiaTheme="majorEastAsia" w:hAnsi="Arial" w:cs="Arial"/>
          <w:b/>
          <w:bCs/>
          <w:sz w:val="24"/>
          <w:szCs w:val="24"/>
        </w:rPr>
        <w:t>Appendix B: NIH Quantitative Appraisal</w:t>
      </w:r>
    </w:p>
    <w:p w14:paraId="373BC16B" w14:textId="77777777" w:rsidR="00972164" w:rsidRPr="002E3ACD" w:rsidRDefault="00972164" w:rsidP="00972164">
      <w:pPr>
        <w:spacing w:before="100" w:beforeAutospacing="1" w:after="100" w:afterAutospacing="1" w:line="360" w:lineRule="auto"/>
        <w:contextualSpacing/>
        <w:rPr>
          <w:rFonts w:ascii="Arial" w:hAnsi="Arial" w:cs="Arial"/>
          <w:sz w:val="24"/>
          <w:szCs w:val="24"/>
        </w:rPr>
      </w:pPr>
    </w:p>
    <w:tbl>
      <w:tblPr>
        <w:tblStyle w:val="TableGrid3"/>
        <w:tblW w:w="0" w:type="auto"/>
        <w:tblLook w:val="04A0" w:firstRow="1" w:lastRow="0" w:firstColumn="1" w:lastColumn="0" w:noHBand="0" w:noVBand="1"/>
      </w:tblPr>
      <w:tblGrid>
        <w:gridCol w:w="663"/>
        <w:gridCol w:w="1021"/>
        <w:gridCol w:w="838"/>
        <w:gridCol w:w="911"/>
        <w:gridCol w:w="1094"/>
        <w:gridCol w:w="1035"/>
        <w:gridCol w:w="677"/>
        <w:gridCol w:w="882"/>
        <w:gridCol w:w="1050"/>
        <w:gridCol w:w="845"/>
      </w:tblGrid>
      <w:tr w:rsidR="00972164" w:rsidRPr="002E3ACD" w14:paraId="04D25F53" w14:textId="77777777" w:rsidTr="00CD232E">
        <w:tc>
          <w:tcPr>
            <w:tcW w:w="940" w:type="dxa"/>
          </w:tcPr>
          <w:p w14:paraId="0A77FCCB"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Study</w:t>
            </w:r>
          </w:p>
        </w:tc>
        <w:tc>
          <w:tcPr>
            <w:tcW w:w="1494" w:type="dxa"/>
          </w:tcPr>
          <w:p w14:paraId="38299FD5"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Design</w:t>
            </w:r>
          </w:p>
        </w:tc>
        <w:tc>
          <w:tcPr>
            <w:tcW w:w="1225" w:type="dxa"/>
          </w:tcPr>
          <w:p w14:paraId="2FE58F0A"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Sample</w:t>
            </w:r>
          </w:p>
        </w:tc>
        <w:tc>
          <w:tcPr>
            <w:tcW w:w="1360" w:type="dxa"/>
          </w:tcPr>
          <w:p w14:paraId="14AD3240"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Exposure</w:t>
            </w:r>
          </w:p>
        </w:tc>
        <w:tc>
          <w:tcPr>
            <w:tcW w:w="1602" w:type="dxa"/>
          </w:tcPr>
          <w:p w14:paraId="536D7CE4"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Outcome</w:t>
            </w:r>
          </w:p>
        </w:tc>
        <w:tc>
          <w:tcPr>
            <w:tcW w:w="1488" w:type="dxa"/>
          </w:tcPr>
          <w:p w14:paraId="2A5D2726"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Confounders</w:t>
            </w:r>
          </w:p>
        </w:tc>
        <w:tc>
          <w:tcPr>
            <w:tcW w:w="960" w:type="dxa"/>
          </w:tcPr>
          <w:p w14:paraId="52B39AFF"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Follow-up</w:t>
            </w:r>
          </w:p>
        </w:tc>
        <w:tc>
          <w:tcPr>
            <w:tcW w:w="1334" w:type="dxa"/>
          </w:tcPr>
          <w:p w14:paraId="4F4DF955"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Key Strengths</w:t>
            </w:r>
          </w:p>
        </w:tc>
        <w:tc>
          <w:tcPr>
            <w:tcW w:w="1560" w:type="dxa"/>
          </w:tcPr>
          <w:p w14:paraId="7D6323C4"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Key Limitations</w:t>
            </w:r>
          </w:p>
        </w:tc>
        <w:tc>
          <w:tcPr>
            <w:tcW w:w="1213" w:type="dxa"/>
          </w:tcPr>
          <w:p w14:paraId="5F601A00"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b/>
              </w:rPr>
              <w:t>Quality</w:t>
            </w:r>
          </w:p>
        </w:tc>
      </w:tr>
      <w:tr w:rsidR="00972164" w:rsidRPr="002E3ACD" w14:paraId="76B64218" w14:textId="77777777" w:rsidTr="00CD232E">
        <w:tc>
          <w:tcPr>
            <w:tcW w:w="940" w:type="dxa"/>
          </w:tcPr>
          <w:p w14:paraId="159FA728"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Habel et al. (2011)</w:t>
            </w:r>
          </w:p>
        </w:tc>
        <w:tc>
          <w:tcPr>
            <w:tcW w:w="1494" w:type="dxa"/>
          </w:tcPr>
          <w:p w14:paraId="28DC5F42"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Retrospective cohort</w:t>
            </w:r>
          </w:p>
        </w:tc>
        <w:tc>
          <w:tcPr>
            <w:tcW w:w="1225" w:type="dxa"/>
          </w:tcPr>
          <w:p w14:paraId="293F2385"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150,000+ adults</w:t>
            </w:r>
          </w:p>
        </w:tc>
        <w:tc>
          <w:tcPr>
            <w:tcW w:w="1360" w:type="dxa"/>
          </w:tcPr>
          <w:p w14:paraId="76427629"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Prescription records</w:t>
            </w:r>
          </w:p>
        </w:tc>
        <w:tc>
          <w:tcPr>
            <w:tcW w:w="1602" w:type="dxa"/>
          </w:tcPr>
          <w:p w14:paraId="6EBC02B8"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MI, stroke, sudden death</w:t>
            </w:r>
          </w:p>
        </w:tc>
        <w:tc>
          <w:tcPr>
            <w:tcW w:w="1488" w:type="dxa"/>
          </w:tcPr>
          <w:p w14:paraId="3DC1488D"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Adjusted for major clinical variables</w:t>
            </w:r>
          </w:p>
        </w:tc>
        <w:tc>
          <w:tcPr>
            <w:tcW w:w="960" w:type="dxa"/>
          </w:tcPr>
          <w:p w14:paraId="3B091EDE"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~1–2 years</w:t>
            </w:r>
          </w:p>
        </w:tc>
        <w:tc>
          <w:tcPr>
            <w:tcW w:w="1334" w:type="dxa"/>
          </w:tcPr>
          <w:p w14:paraId="67F1F5B9"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Large-scale real-world dataset; validated outcomes; strong internal validity</w:t>
            </w:r>
          </w:p>
        </w:tc>
        <w:tc>
          <w:tcPr>
            <w:tcW w:w="1560" w:type="dxa"/>
          </w:tcPr>
          <w:p w14:paraId="486CBA8F"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Short follow-up; lifestyle confounders not fully captured</w:t>
            </w:r>
          </w:p>
        </w:tc>
        <w:tc>
          <w:tcPr>
            <w:tcW w:w="1213" w:type="dxa"/>
          </w:tcPr>
          <w:p w14:paraId="0E3DDF90"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High</w:t>
            </w:r>
          </w:p>
        </w:tc>
      </w:tr>
      <w:tr w:rsidR="00972164" w:rsidRPr="002E3ACD" w14:paraId="0466E858" w14:textId="77777777" w:rsidTr="00CD232E">
        <w:tc>
          <w:tcPr>
            <w:tcW w:w="940" w:type="dxa"/>
          </w:tcPr>
          <w:p w14:paraId="4912880E"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Zhang et al. (2022)</w:t>
            </w:r>
          </w:p>
        </w:tc>
        <w:tc>
          <w:tcPr>
            <w:tcW w:w="1494" w:type="dxa"/>
          </w:tcPr>
          <w:p w14:paraId="66FA6C4E"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Meta-analysis</w:t>
            </w:r>
          </w:p>
        </w:tc>
        <w:tc>
          <w:tcPr>
            <w:tcW w:w="1225" w:type="dxa"/>
          </w:tcPr>
          <w:p w14:paraId="3019E9C4"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Multiple cohorts</w:t>
            </w:r>
          </w:p>
        </w:tc>
        <w:tc>
          <w:tcPr>
            <w:tcW w:w="1360" w:type="dxa"/>
          </w:tcPr>
          <w:p w14:paraId="6D29E096"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Medication exposure</w:t>
            </w:r>
          </w:p>
        </w:tc>
        <w:tc>
          <w:tcPr>
            <w:tcW w:w="1602" w:type="dxa"/>
          </w:tcPr>
          <w:p w14:paraId="7A99D945"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Cardiovascular disease outcomes</w:t>
            </w:r>
          </w:p>
        </w:tc>
        <w:tc>
          <w:tcPr>
            <w:tcW w:w="1488" w:type="dxa"/>
          </w:tcPr>
          <w:p w14:paraId="7B3112CA"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Varies across studies</w:t>
            </w:r>
          </w:p>
        </w:tc>
        <w:tc>
          <w:tcPr>
            <w:tcW w:w="960" w:type="dxa"/>
          </w:tcPr>
          <w:p w14:paraId="24AAD0C9"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Long-term</w:t>
            </w:r>
          </w:p>
        </w:tc>
        <w:tc>
          <w:tcPr>
            <w:tcW w:w="1334" w:type="dxa"/>
          </w:tcPr>
          <w:p w14:paraId="48187D2B"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High statistical power; broad evidence synthesis</w:t>
            </w:r>
          </w:p>
        </w:tc>
        <w:tc>
          <w:tcPr>
            <w:tcW w:w="1560" w:type="dxa"/>
          </w:tcPr>
          <w:p w14:paraId="6E86C5C4"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Study heterogeneity; dependent on underlying study quality</w:t>
            </w:r>
          </w:p>
        </w:tc>
        <w:tc>
          <w:tcPr>
            <w:tcW w:w="1213" w:type="dxa"/>
          </w:tcPr>
          <w:p w14:paraId="435DE6AA"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High</w:t>
            </w:r>
          </w:p>
        </w:tc>
      </w:tr>
      <w:tr w:rsidR="00972164" w:rsidRPr="002E3ACD" w14:paraId="67A235D0" w14:textId="77777777" w:rsidTr="00CD232E">
        <w:tc>
          <w:tcPr>
            <w:tcW w:w="940" w:type="dxa"/>
          </w:tcPr>
          <w:p w14:paraId="7AEC309C"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Zhang et al. (2023)</w:t>
            </w:r>
          </w:p>
        </w:tc>
        <w:tc>
          <w:tcPr>
            <w:tcW w:w="1494" w:type="dxa"/>
          </w:tcPr>
          <w:p w14:paraId="5211DD29"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Population cohort</w:t>
            </w:r>
          </w:p>
        </w:tc>
        <w:tc>
          <w:tcPr>
            <w:tcW w:w="1225" w:type="dxa"/>
          </w:tcPr>
          <w:p w14:paraId="125E5DEA"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National registry (millions)</w:t>
            </w:r>
          </w:p>
        </w:tc>
        <w:tc>
          <w:tcPr>
            <w:tcW w:w="1360" w:type="dxa"/>
          </w:tcPr>
          <w:p w14:paraId="4945A2B0"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Cumulative exposure</w:t>
            </w:r>
          </w:p>
        </w:tc>
        <w:tc>
          <w:tcPr>
            <w:tcW w:w="1602" w:type="dxa"/>
          </w:tcPr>
          <w:p w14:paraId="0F7F1B1F"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CVD incidence</w:t>
            </w:r>
          </w:p>
        </w:tc>
        <w:tc>
          <w:tcPr>
            <w:tcW w:w="1488" w:type="dxa"/>
          </w:tcPr>
          <w:p w14:paraId="1A403E4B"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Extensively adjusted</w:t>
            </w:r>
          </w:p>
        </w:tc>
        <w:tc>
          <w:tcPr>
            <w:tcW w:w="960" w:type="dxa"/>
          </w:tcPr>
          <w:p w14:paraId="2DA28868"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Long-term</w:t>
            </w:r>
          </w:p>
        </w:tc>
        <w:tc>
          <w:tcPr>
            <w:tcW w:w="1334" w:type="dxa"/>
          </w:tcPr>
          <w:p w14:paraId="4F57CA5B"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Flagship longitudinal design; strong exposure modelling; high external validity</w:t>
            </w:r>
          </w:p>
        </w:tc>
        <w:tc>
          <w:tcPr>
            <w:tcW w:w="1560" w:type="dxa"/>
          </w:tcPr>
          <w:p w14:paraId="75FAF752"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Residual confounding; observational limits causal inference</w:t>
            </w:r>
          </w:p>
        </w:tc>
        <w:tc>
          <w:tcPr>
            <w:tcW w:w="1213" w:type="dxa"/>
          </w:tcPr>
          <w:p w14:paraId="37EF0511"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High</w:t>
            </w:r>
          </w:p>
        </w:tc>
      </w:tr>
      <w:tr w:rsidR="00972164" w:rsidRPr="002E3ACD" w14:paraId="66957E01" w14:textId="77777777" w:rsidTr="00CD232E">
        <w:tc>
          <w:tcPr>
            <w:tcW w:w="940" w:type="dxa"/>
          </w:tcPr>
          <w:p w14:paraId="54F76831"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Garcia-Argibay et al. (2024)</w:t>
            </w:r>
          </w:p>
        </w:tc>
        <w:tc>
          <w:tcPr>
            <w:tcW w:w="1494" w:type="dxa"/>
          </w:tcPr>
          <w:p w14:paraId="326514C4"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Matched cohort</w:t>
            </w:r>
          </w:p>
        </w:tc>
        <w:tc>
          <w:tcPr>
            <w:tcW w:w="1225" w:type="dxa"/>
          </w:tcPr>
          <w:p w14:paraId="6ADA6B6F"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Population registry</w:t>
            </w:r>
          </w:p>
        </w:tc>
        <w:tc>
          <w:tcPr>
            <w:tcW w:w="1360" w:type="dxa"/>
          </w:tcPr>
          <w:p w14:paraId="58585F0F"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Medication initiation</w:t>
            </w:r>
          </w:p>
        </w:tc>
        <w:tc>
          <w:tcPr>
            <w:tcW w:w="1602" w:type="dxa"/>
          </w:tcPr>
          <w:p w14:paraId="5143A547"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Short-term CVD risk</w:t>
            </w:r>
          </w:p>
        </w:tc>
        <w:tc>
          <w:tcPr>
            <w:tcW w:w="1488" w:type="dxa"/>
          </w:tcPr>
          <w:p w14:paraId="2B28850A"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Matching + adjustment</w:t>
            </w:r>
          </w:p>
        </w:tc>
        <w:tc>
          <w:tcPr>
            <w:tcW w:w="960" w:type="dxa"/>
          </w:tcPr>
          <w:p w14:paraId="4C8487DB"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6 months</w:t>
            </w:r>
          </w:p>
        </w:tc>
        <w:tc>
          <w:tcPr>
            <w:tcW w:w="1334" w:type="dxa"/>
          </w:tcPr>
          <w:p w14:paraId="135CB161"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Precise temporal risk window; strong design control</w:t>
            </w:r>
          </w:p>
        </w:tc>
        <w:tc>
          <w:tcPr>
            <w:tcW w:w="1560" w:type="dxa"/>
          </w:tcPr>
          <w:p w14:paraId="660DA164"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Short follow-up limits long-term conclusions</w:t>
            </w:r>
          </w:p>
        </w:tc>
        <w:tc>
          <w:tcPr>
            <w:tcW w:w="1213" w:type="dxa"/>
          </w:tcPr>
          <w:p w14:paraId="33F55A49"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Moderate–High</w:t>
            </w:r>
          </w:p>
        </w:tc>
      </w:tr>
      <w:tr w:rsidR="00972164" w:rsidRPr="002E3ACD" w14:paraId="2E8D5DA1" w14:textId="77777777" w:rsidTr="00CD232E">
        <w:tc>
          <w:tcPr>
            <w:tcW w:w="940" w:type="dxa"/>
          </w:tcPr>
          <w:p w14:paraId="100FE440"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Forns et al. (2022)</w:t>
            </w:r>
          </w:p>
        </w:tc>
        <w:tc>
          <w:tcPr>
            <w:tcW w:w="1494" w:type="dxa"/>
          </w:tcPr>
          <w:p w14:paraId="4CB436B4"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Population cohort</w:t>
            </w:r>
          </w:p>
        </w:tc>
        <w:tc>
          <w:tcPr>
            <w:tcW w:w="1225" w:type="dxa"/>
          </w:tcPr>
          <w:p w14:paraId="38A36DDC"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Denmark &amp; Sweden</w:t>
            </w:r>
          </w:p>
        </w:tc>
        <w:tc>
          <w:tcPr>
            <w:tcW w:w="1360" w:type="dxa"/>
          </w:tcPr>
          <w:p w14:paraId="70BA5BEC"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Medication use</w:t>
            </w:r>
          </w:p>
        </w:tc>
        <w:tc>
          <w:tcPr>
            <w:tcW w:w="1602" w:type="dxa"/>
          </w:tcPr>
          <w:p w14:paraId="3865661E"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Major CVD events</w:t>
            </w:r>
          </w:p>
        </w:tc>
        <w:tc>
          <w:tcPr>
            <w:tcW w:w="1488" w:type="dxa"/>
          </w:tcPr>
          <w:p w14:paraId="250B70A1"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Adjusted</w:t>
            </w:r>
          </w:p>
        </w:tc>
        <w:tc>
          <w:tcPr>
            <w:tcW w:w="960" w:type="dxa"/>
          </w:tcPr>
          <w:p w14:paraId="42ECA143"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Multi-year</w:t>
            </w:r>
          </w:p>
        </w:tc>
        <w:tc>
          <w:tcPr>
            <w:tcW w:w="1334" w:type="dxa"/>
          </w:tcPr>
          <w:p w14:paraId="0AF359D7"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Cross-national dataset; strong external validity</w:t>
            </w:r>
          </w:p>
        </w:tc>
        <w:tc>
          <w:tcPr>
            <w:tcW w:w="1560" w:type="dxa"/>
          </w:tcPr>
          <w:p w14:paraId="34CA400F"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Adherence not directly measured; residual confounding</w:t>
            </w:r>
          </w:p>
        </w:tc>
        <w:tc>
          <w:tcPr>
            <w:tcW w:w="1213" w:type="dxa"/>
          </w:tcPr>
          <w:p w14:paraId="4E0846B5"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High</w:t>
            </w:r>
          </w:p>
        </w:tc>
      </w:tr>
      <w:tr w:rsidR="00972164" w:rsidRPr="002E3ACD" w14:paraId="63039A23" w14:textId="77777777" w:rsidTr="00CD232E">
        <w:tc>
          <w:tcPr>
            <w:tcW w:w="940" w:type="dxa"/>
          </w:tcPr>
          <w:p w14:paraId="004DB518"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Holt et al. (2024)</w:t>
            </w:r>
          </w:p>
        </w:tc>
        <w:tc>
          <w:tcPr>
            <w:tcW w:w="1494" w:type="dxa"/>
          </w:tcPr>
          <w:p w14:paraId="402917C2"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Longitudinal cohort</w:t>
            </w:r>
          </w:p>
        </w:tc>
        <w:tc>
          <w:tcPr>
            <w:tcW w:w="1225" w:type="dxa"/>
          </w:tcPr>
          <w:p w14:paraId="0381569B"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Adult clinical cohort</w:t>
            </w:r>
          </w:p>
        </w:tc>
        <w:tc>
          <w:tcPr>
            <w:tcW w:w="1360" w:type="dxa"/>
          </w:tcPr>
          <w:p w14:paraId="13E4341B"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Treatment exposure</w:t>
            </w:r>
          </w:p>
        </w:tc>
        <w:tc>
          <w:tcPr>
            <w:tcW w:w="1602" w:type="dxa"/>
          </w:tcPr>
          <w:p w14:paraId="34AFA156"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Cardiovascular outcomes</w:t>
            </w:r>
          </w:p>
        </w:tc>
        <w:tc>
          <w:tcPr>
            <w:tcW w:w="1488" w:type="dxa"/>
          </w:tcPr>
          <w:p w14:paraId="50CD3C8E"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Extensive adjustment</w:t>
            </w:r>
          </w:p>
        </w:tc>
        <w:tc>
          <w:tcPr>
            <w:tcW w:w="960" w:type="dxa"/>
          </w:tcPr>
          <w:p w14:paraId="6C98E508"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Long-term</w:t>
            </w:r>
          </w:p>
        </w:tc>
        <w:tc>
          <w:tcPr>
            <w:tcW w:w="1334" w:type="dxa"/>
          </w:tcPr>
          <w:p w14:paraId="40974EC1"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Adult-specific focus; clinically relevant outcomes; strong confounder control</w:t>
            </w:r>
          </w:p>
        </w:tc>
        <w:tc>
          <w:tcPr>
            <w:tcW w:w="1560" w:type="dxa"/>
          </w:tcPr>
          <w:p w14:paraId="07B51CDB"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Potential selection bias; observational design</w:t>
            </w:r>
          </w:p>
        </w:tc>
        <w:tc>
          <w:tcPr>
            <w:tcW w:w="1213" w:type="dxa"/>
          </w:tcPr>
          <w:p w14:paraId="4A20AFC3" w14:textId="77777777" w:rsidR="00972164" w:rsidRPr="002E3ACD" w:rsidRDefault="00972164" w:rsidP="00CD232E">
            <w:pPr>
              <w:spacing w:before="100" w:beforeAutospacing="1" w:after="100" w:afterAutospacing="1" w:line="360" w:lineRule="auto"/>
              <w:contextualSpacing/>
              <w:rPr>
                <w:rFonts w:ascii="Arial" w:hAnsi="Arial" w:cs="Arial"/>
              </w:rPr>
            </w:pPr>
            <w:r w:rsidRPr="002E3ACD">
              <w:rPr>
                <w:rFonts w:ascii="Arial" w:hAnsi="Arial" w:cs="Arial"/>
              </w:rPr>
              <w:t>High</w:t>
            </w:r>
          </w:p>
        </w:tc>
      </w:tr>
    </w:tbl>
    <w:p w14:paraId="1C3D29CD" w14:textId="77777777" w:rsidR="00972164" w:rsidRPr="002E3ACD" w:rsidRDefault="00972164" w:rsidP="00972164">
      <w:pPr>
        <w:spacing w:before="100" w:beforeAutospacing="1" w:after="100" w:afterAutospacing="1" w:line="360" w:lineRule="auto"/>
        <w:contextualSpacing/>
        <w:rPr>
          <w:rFonts w:ascii="Arial" w:hAnsi="Arial" w:cs="Arial"/>
          <w:sz w:val="24"/>
          <w:szCs w:val="24"/>
        </w:rPr>
      </w:pPr>
      <w:r w:rsidRPr="002E3ACD">
        <w:rPr>
          <w:rFonts w:ascii="Arial" w:hAnsi="Arial" w:cs="Arial"/>
          <w:sz w:val="24"/>
          <w:szCs w:val="24"/>
        </w:rPr>
        <w:t>Table Note: NIH appraisal focuses on internal validity, including confounding control, exposure measurement, and outcome reliability. Quality ratings reflect overall methodological robustness and risk of bias.</w:t>
      </w:r>
    </w:p>
    <w:p w14:paraId="71796554" w14:textId="77777777" w:rsidR="00972164" w:rsidRPr="00B40BFB" w:rsidRDefault="00972164" w:rsidP="00972164">
      <w:pPr>
        <w:spacing w:before="100" w:beforeAutospacing="1" w:after="100" w:afterAutospacing="1" w:line="360" w:lineRule="auto"/>
        <w:contextualSpacing/>
        <w:jc w:val="both"/>
        <w:rPr>
          <w:rFonts w:ascii="Times New Roman" w:hAnsi="Times New Roman" w:cs="Times New Roman"/>
          <w:sz w:val="24"/>
          <w:szCs w:val="24"/>
        </w:rPr>
      </w:pPr>
    </w:p>
    <w:p w14:paraId="6F20E64F" w14:textId="77777777" w:rsidR="006343BA" w:rsidRDefault="006343BA" w:rsidP="006343BA">
      <w:pPr>
        <w:pStyle w:val="ListParagraph"/>
        <w:spacing w:line="360" w:lineRule="auto"/>
        <w:rPr>
          <w:rFonts w:ascii="Arial" w:hAnsi="Arial" w:cs="Arial"/>
          <w:sz w:val="24"/>
          <w:szCs w:val="24"/>
        </w:rPr>
      </w:pPr>
    </w:p>
    <w:p w14:paraId="28119A3B" w14:textId="3F7A1843" w:rsidR="006343BA" w:rsidRPr="006343BA" w:rsidRDefault="006343BA" w:rsidP="006343BA">
      <w:pPr>
        <w:pStyle w:val="ListParagraph"/>
        <w:spacing w:line="360" w:lineRule="auto"/>
        <w:rPr>
          <w:rStyle w:val="Strong"/>
          <w:rFonts w:ascii="Arial" w:hAnsi="Arial" w:cs="Arial"/>
          <w:b w:val="0"/>
          <w:bCs w:val="0"/>
        </w:rPr>
      </w:pPr>
    </w:p>
    <w:p w14:paraId="1BE4422A" w14:textId="77777777" w:rsidR="00D1502C" w:rsidRPr="00D1502C" w:rsidRDefault="00D1502C" w:rsidP="00D1502C">
      <w:pPr>
        <w:pStyle w:val="ListParagraph"/>
        <w:spacing w:line="360" w:lineRule="auto"/>
        <w:rPr>
          <w:rFonts w:ascii="Arial" w:hAnsi="Arial" w:cs="Arial"/>
          <w:sz w:val="24"/>
          <w:szCs w:val="24"/>
        </w:rPr>
      </w:pPr>
    </w:p>
    <w:sectPr w:rsidR="00D1502C" w:rsidRPr="00D1502C" w:rsidSect="00616FA2">
      <w:head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551723" w14:textId="77777777" w:rsidR="00D038BD" w:rsidRDefault="00D038BD" w:rsidP="00017062">
      <w:pPr>
        <w:spacing w:after="0" w:line="240" w:lineRule="auto"/>
      </w:pPr>
      <w:r>
        <w:separator/>
      </w:r>
    </w:p>
  </w:endnote>
  <w:endnote w:type="continuationSeparator" w:id="0">
    <w:p w14:paraId="548695D7" w14:textId="77777777" w:rsidR="00D038BD" w:rsidRDefault="00D038BD" w:rsidP="000170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86782F" w14:textId="77777777" w:rsidR="00D038BD" w:rsidRDefault="00D038BD" w:rsidP="00017062">
      <w:pPr>
        <w:spacing w:after="0" w:line="240" w:lineRule="auto"/>
      </w:pPr>
      <w:r>
        <w:separator/>
      </w:r>
    </w:p>
  </w:footnote>
  <w:footnote w:type="continuationSeparator" w:id="0">
    <w:p w14:paraId="6B929EF5" w14:textId="77777777" w:rsidR="00D038BD" w:rsidRDefault="00D038BD" w:rsidP="000170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6777837"/>
      <w:docPartObj>
        <w:docPartGallery w:val="Page Numbers (Top of Page)"/>
        <w:docPartUnique/>
      </w:docPartObj>
    </w:sdtPr>
    <w:sdtEndPr>
      <w:rPr>
        <w:noProof/>
      </w:rPr>
    </w:sdtEndPr>
    <w:sdtContent>
      <w:p w14:paraId="1055E3BB" w14:textId="17FB4DD8" w:rsidR="00017062" w:rsidRDefault="00017062">
        <w:pPr>
          <w:pStyle w:val="Header"/>
        </w:pPr>
        <w:r>
          <w:fldChar w:fldCharType="begin"/>
        </w:r>
        <w:r>
          <w:instrText xml:space="preserve"> PAGE   \* MERGEFORMAT </w:instrText>
        </w:r>
        <w:r>
          <w:fldChar w:fldCharType="separate"/>
        </w:r>
        <w:r>
          <w:rPr>
            <w:noProof/>
          </w:rPr>
          <w:t>2</w:t>
        </w:r>
        <w:r>
          <w:rPr>
            <w:noProof/>
          </w:rPr>
          <w:fldChar w:fldCharType="end"/>
        </w:r>
      </w:p>
    </w:sdtContent>
  </w:sdt>
  <w:p w14:paraId="318B9290" w14:textId="77777777" w:rsidR="00017062" w:rsidRDefault="000170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55533"/>
    <w:multiLevelType w:val="hybridMultilevel"/>
    <w:tmpl w:val="A6885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B3E81"/>
    <w:multiLevelType w:val="multilevel"/>
    <w:tmpl w:val="40B6D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76343E"/>
    <w:multiLevelType w:val="hybridMultilevel"/>
    <w:tmpl w:val="0966E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33673F"/>
    <w:multiLevelType w:val="multilevel"/>
    <w:tmpl w:val="31EC8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7039F8"/>
    <w:multiLevelType w:val="hybridMultilevel"/>
    <w:tmpl w:val="0D86513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21434F7"/>
    <w:multiLevelType w:val="multilevel"/>
    <w:tmpl w:val="525CFEB2"/>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6" w15:restartNumberingAfterBreak="0">
    <w:nsid w:val="19BD30AC"/>
    <w:multiLevelType w:val="hybridMultilevel"/>
    <w:tmpl w:val="5F084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234862"/>
    <w:multiLevelType w:val="hybridMultilevel"/>
    <w:tmpl w:val="09241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E05A88"/>
    <w:multiLevelType w:val="multilevel"/>
    <w:tmpl w:val="C0041092"/>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25102108"/>
    <w:multiLevelType w:val="hybridMultilevel"/>
    <w:tmpl w:val="76DA2230"/>
    <w:lvl w:ilvl="0" w:tplc="0809000F">
      <w:start w:val="5"/>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067BFA"/>
    <w:multiLevelType w:val="hybridMultilevel"/>
    <w:tmpl w:val="DD1AD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C357CB"/>
    <w:multiLevelType w:val="multilevel"/>
    <w:tmpl w:val="8528E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E00C32"/>
    <w:multiLevelType w:val="multilevel"/>
    <w:tmpl w:val="12A47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592ADF"/>
    <w:multiLevelType w:val="multilevel"/>
    <w:tmpl w:val="CE52C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441679"/>
    <w:multiLevelType w:val="multilevel"/>
    <w:tmpl w:val="ABAA0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357941"/>
    <w:multiLevelType w:val="multilevel"/>
    <w:tmpl w:val="226292B4"/>
    <w:lvl w:ilvl="0">
      <w:start w:val="4"/>
      <w:numFmt w:val="decimal"/>
      <w:lvlText w:val="%1"/>
      <w:lvlJc w:val="left"/>
      <w:pPr>
        <w:ind w:left="525" w:hanging="525"/>
      </w:pPr>
      <w:rPr>
        <w:rFonts w:hint="default"/>
      </w:rPr>
    </w:lvl>
    <w:lvl w:ilvl="1">
      <w:start w:val="6"/>
      <w:numFmt w:val="decimal"/>
      <w:lvlText w:val="%1.%2"/>
      <w:lvlJc w:val="left"/>
      <w:pPr>
        <w:ind w:left="525" w:hanging="52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7A00E02"/>
    <w:multiLevelType w:val="multilevel"/>
    <w:tmpl w:val="119A8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89D6FC2"/>
    <w:multiLevelType w:val="multilevel"/>
    <w:tmpl w:val="48AAFE72"/>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8" w15:restartNumberingAfterBreak="0">
    <w:nsid w:val="48A805E0"/>
    <w:multiLevelType w:val="multilevel"/>
    <w:tmpl w:val="0B8A1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B9543B"/>
    <w:multiLevelType w:val="multilevel"/>
    <w:tmpl w:val="38AC7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025517"/>
    <w:multiLevelType w:val="hybridMultilevel"/>
    <w:tmpl w:val="05805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140B54"/>
    <w:multiLevelType w:val="multilevel"/>
    <w:tmpl w:val="B2ACD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49724D"/>
    <w:multiLevelType w:val="multilevel"/>
    <w:tmpl w:val="ABE86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3F372A"/>
    <w:multiLevelType w:val="multilevel"/>
    <w:tmpl w:val="EFB82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B16D06"/>
    <w:multiLevelType w:val="multilevel"/>
    <w:tmpl w:val="9F7E1884"/>
    <w:lvl w:ilvl="0">
      <w:start w:val="4"/>
      <w:numFmt w:val="decimal"/>
      <w:lvlText w:val="%1"/>
      <w:lvlJc w:val="left"/>
      <w:pPr>
        <w:ind w:left="525" w:hanging="525"/>
      </w:pPr>
      <w:rPr>
        <w:rFonts w:hint="default"/>
      </w:rPr>
    </w:lvl>
    <w:lvl w:ilvl="1">
      <w:start w:val="6"/>
      <w:numFmt w:val="decimal"/>
      <w:lvlText w:val="%1.%2"/>
      <w:lvlJc w:val="left"/>
      <w:pPr>
        <w:ind w:left="525" w:hanging="52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8F339FF"/>
    <w:multiLevelType w:val="hybridMultilevel"/>
    <w:tmpl w:val="D65E8FB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D181A06"/>
    <w:multiLevelType w:val="multilevel"/>
    <w:tmpl w:val="0F64B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8C221C"/>
    <w:multiLevelType w:val="multilevel"/>
    <w:tmpl w:val="AD284E7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61C191E"/>
    <w:multiLevelType w:val="hybridMultilevel"/>
    <w:tmpl w:val="E2A67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273B2F"/>
    <w:multiLevelType w:val="multilevel"/>
    <w:tmpl w:val="E326EC14"/>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6A9F2E6F"/>
    <w:multiLevelType w:val="hybridMultilevel"/>
    <w:tmpl w:val="9558BC1C"/>
    <w:lvl w:ilvl="0" w:tplc="134805A8">
      <w:start w:val="1"/>
      <w:numFmt w:val="decimal"/>
      <w:lvlText w:val="%1."/>
      <w:lvlJc w:val="left"/>
      <w:pPr>
        <w:ind w:left="36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715C73"/>
    <w:multiLevelType w:val="multilevel"/>
    <w:tmpl w:val="DBCA5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D97339"/>
    <w:multiLevelType w:val="multilevel"/>
    <w:tmpl w:val="61661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F1042A"/>
    <w:multiLevelType w:val="hybridMultilevel"/>
    <w:tmpl w:val="B91CE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250856"/>
    <w:multiLevelType w:val="hybridMultilevel"/>
    <w:tmpl w:val="5AD886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482D17"/>
    <w:multiLevelType w:val="hybridMultilevel"/>
    <w:tmpl w:val="18AC0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986D43"/>
    <w:multiLevelType w:val="hybridMultilevel"/>
    <w:tmpl w:val="D9368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5705909">
    <w:abstractNumId w:val="36"/>
  </w:num>
  <w:num w:numId="2" w16cid:durableId="679621074">
    <w:abstractNumId w:val="33"/>
  </w:num>
  <w:num w:numId="3" w16cid:durableId="294212987">
    <w:abstractNumId w:val="17"/>
  </w:num>
  <w:num w:numId="4" w16cid:durableId="1005209040">
    <w:abstractNumId w:val="20"/>
  </w:num>
  <w:num w:numId="5" w16cid:durableId="355350715">
    <w:abstractNumId w:val="28"/>
  </w:num>
  <w:num w:numId="6" w16cid:durableId="1040472399">
    <w:abstractNumId w:val="25"/>
  </w:num>
  <w:num w:numId="7" w16cid:durableId="430397120">
    <w:abstractNumId w:val="26"/>
  </w:num>
  <w:num w:numId="8" w16cid:durableId="2032684296">
    <w:abstractNumId w:val="18"/>
  </w:num>
  <w:num w:numId="9" w16cid:durableId="1312245620">
    <w:abstractNumId w:val="5"/>
  </w:num>
  <w:num w:numId="10" w16cid:durableId="799613009">
    <w:abstractNumId w:val="30"/>
  </w:num>
  <w:num w:numId="11" w16cid:durableId="1763649655">
    <w:abstractNumId w:val="16"/>
  </w:num>
  <w:num w:numId="12" w16cid:durableId="199362810">
    <w:abstractNumId w:val="0"/>
  </w:num>
  <w:num w:numId="13" w16cid:durableId="248387234">
    <w:abstractNumId w:val="8"/>
  </w:num>
  <w:num w:numId="14" w16cid:durableId="886599321">
    <w:abstractNumId w:val="23"/>
  </w:num>
  <w:num w:numId="15" w16cid:durableId="991913163">
    <w:abstractNumId w:val="21"/>
  </w:num>
  <w:num w:numId="16" w16cid:durableId="1150247332">
    <w:abstractNumId w:val="11"/>
  </w:num>
  <w:num w:numId="17" w16cid:durableId="821971119">
    <w:abstractNumId w:val="4"/>
  </w:num>
  <w:num w:numId="18" w16cid:durableId="1426341582">
    <w:abstractNumId w:val="6"/>
  </w:num>
  <w:num w:numId="19" w16cid:durableId="77144483">
    <w:abstractNumId w:val="34"/>
  </w:num>
  <w:num w:numId="20" w16cid:durableId="1718508218">
    <w:abstractNumId w:val="31"/>
  </w:num>
  <w:num w:numId="21" w16cid:durableId="1759059634">
    <w:abstractNumId w:val="19"/>
  </w:num>
  <w:num w:numId="22" w16cid:durableId="1903053171">
    <w:abstractNumId w:val="14"/>
  </w:num>
  <w:num w:numId="23" w16cid:durableId="1015617969">
    <w:abstractNumId w:val="1"/>
  </w:num>
  <w:num w:numId="24" w16cid:durableId="1158426741">
    <w:abstractNumId w:val="22"/>
  </w:num>
  <w:num w:numId="25" w16cid:durableId="1109853835">
    <w:abstractNumId w:val="13"/>
  </w:num>
  <w:num w:numId="26" w16cid:durableId="1725566517">
    <w:abstractNumId w:val="9"/>
  </w:num>
  <w:num w:numId="27" w16cid:durableId="1976328377">
    <w:abstractNumId w:val="3"/>
  </w:num>
  <w:num w:numId="28" w16cid:durableId="952512768">
    <w:abstractNumId w:val="35"/>
  </w:num>
  <w:num w:numId="29" w16cid:durableId="1907106138">
    <w:abstractNumId w:val="7"/>
  </w:num>
  <w:num w:numId="30" w16cid:durableId="1320816034">
    <w:abstractNumId w:val="10"/>
  </w:num>
  <w:num w:numId="31" w16cid:durableId="1424960935">
    <w:abstractNumId w:val="15"/>
  </w:num>
  <w:num w:numId="32" w16cid:durableId="1666126943">
    <w:abstractNumId w:val="24"/>
  </w:num>
  <w:num w:numId="33" w16cid:durableId="576863191">
    <w:abstractNumId w:val="12"/>
  </w:num>
  <w:num w:numId="34" w16cid:durableId="466242642">
    <w:abstractNumId w:val="32"/>
  </w:num>
  <w:num w:numId="35" w16cid:durableId="521551055">
    <w:abstractNumId w:val="2"/>
  </w:num>
  <w:num w:numId="36" w16cid:durableId="2128042329">
    <w:abstractNumId w:val="27"/>
  </w:num>
  <w:num w:numId="37" w16cid:durableId="44716138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FA2"/>
    <w:rsid w:val="0001103D"/>
    <w:rsid w:val="00017062"/>
    <w:rsid w:val="00021C36"/>
    <w:rsid w:val="00021C39"/>
    <w:rsid w:val="0003017E"/>
    <w:rsid w:val="00031059"/>
    <w:rsid w:val="000311A8"/>
    <w:rsid w:val="00034524"/>
    <w:rsid w:val="00043947"/>
    <w:rsid w:val="0004396A"/>
    <w:rsid w:val="00052527"/>
    <w:rsid w:val="00053E94"/>
    <w:rsid w:val="00054AB7"/>
    <w:rsid w:val="00055DFC"/>
    <w:rsid w:val="00057C51"/>
    <w:rsid w:val="0006220D"/>
    <w:rsid w:val="000733C3"/>
    <w:rsid w:val="000758F1"/>
    <w:rsid w:val="00075D93"/>
    <w:rsid w:val="000764FB"/>
    <w:rsid w:val="000768A2"/>
    <w:rsid w:val="00077520"/>
    <w:rsid w:val="00080CB5"/>
    <w:rsid w:val="000832F0"/>
    <w:rsid w:val="0008542C"/>
    <w:rsid w:val="00085F5A"/>
    <w:rsid w:val="00086BC6"/>
    <w:rsid w:val="000874FA"/>
    <w:rsid w:val="00090CF6"/>
    <w:rsid w:val="000952C4"/>
    <w:rsid w:val="0009739B"/>
    <w:rsid w:val="000A0B31"/>
    <w:rsid w:val="000A0CEE"/>
    <w:rsid w:val="000A355B"/>
    <w:rsid w:val="000A539C"/>
    <w:rsid w:val="000A790B"/>
    <w:rsid w:val="000B3DE7"/>
    <w:rsid w:val="000B7230"/>
    <w:rsid w:val="000C2C80"/>
    <w:rsid w:val="000C5B2A"/>
    <w:rsid w:val="000C7957"/>
    <w:rsid w:val="000D1CDA"/>
    <w:rsid w:val="000D20BC"/>
    <w:rsid w:val="000D44A7"/>
    <w:rsid w:val="000D4FFA"/>
    <w:rsid w:val="000D64CF"/>
    <w:rsid w:val="000E220B"/>
    <w:rsid w:val="000E2897"/>
    <w:rsid w:val="000E47F9"/>
    <w:rsid w:val="000F34B5"/>
    <w:rsid w:val="000F41EF"/>
    <w:rsid w:val="000F46F8"/>
    <w:rsid w:val="000F786D"/>
    <w:rsid w:val="001001FA"/>
    <w:rsid w:val="00101111"/>
    <w:rsid w:val="00101615"/>
    <w:rsid w:val="00103403"/>
    <w:rsid w:val="00106745"/>
    <w:rsid w:val="00111959"/>
    <w:rsid w:val="00114D3A"/>
    <w:rsid w:val="0011568F"/>
    <w:rsid w:val="001174B2"/>
    <w:rsid w:val="00120A10"/>
    <w:rsid w:val="00122B12"/>
    <w:rsid w:val="001257B7"/>
    <w:rsid w:val="00125B90"/>
    <w:rsid w:val="00125DD2"/>
    <w:rsid w:val="00125E26"/>
    <w:rsid w:val="00130267"/>
    <w:rsid w:val="0013194D"/>
    <w:rsid w:val="00136BAD"/>
    <w:rsid w:val="00137059"/>
    <w:rsid w:val="00140892"/>
    <w:rsid w:val="001432F7"/>
    <w:rsid w:val="00147516"/>
    <w:rsid w:val="00147CD7"/>
    <w:rsid w:val="0015214B"/>
    <w:rsid w:val="00152B24"/>
    <w:rsid w:val="00152B71"/>
    <w:rsid w:val="00154219"/>
    <w:rsid w:val="0015425D"/>
    <w:rsid w:val="001545A1"/>
    <w:rsid w:val="0015538C"/>
    <w:rsid w:val="00156AC8"/>
    <w:rsid w:val="00157972"/>
    <w:rsid w:val="00160A39"/>
    <w:rsid w:val="00161025"/>
    <w:rsid w:val="00161A44"/>
    <w:rsid w:val="00162971"/>
    <w:rsid w:val="00163156"/>
    <w:rsid w:val="00167653"/>
    <w:rsid w:val="0017215E"/>
    <w:rsid w:val="00174D07"/>
    <w:rsid w:val="001763A2"/>
    <w:rsid w:val="00177CAD"/>
    <w:rsid w:val="001870F3"/>
    <w:rsid w:val="00190EC9"/>
    <w:rsid w:val="00192192"/>
    <w:rsid w:val="0019460C"/>
    <w:rsid w:val="001964F9"/>
    <w:rsid w:val="001A0411"/>
    <w:rsid w:val="001A0EEE"/>
    <w:rsid w:val="001A2969"/>
    <w:rsid w:val="001A3265"/>
    <w:rsid w:val="001A77D6"/>
    <w:rsid w:val="001B4AC0"/>
    <w:rsid w:val="001C1CF9"/>
    <w:rsid w:val="001C6B71"/>
    <w:rsid w:val="001C6E3B"/>
    <w:rsid w:val="001C73DE"/>
    <w:rsid w:val="001C7A93"/>
    <w:rsid w:val="001C7BE6"/>
    <w:rsid w:val="001C7D89"/>
    <w:rsid w:val="001D062D"/>
    <w:rsid w:val="001D5A9A"/>
    <w:rsid w:val="001D6F13"/>
    <w:rsid w:val="001E1ABE"/>
    <w:rsid w:val="001E3F68"/>
    <w:rsid w:val="001E4D4B"/>
    <w:rsid w:val="001E67A6"/>
    <w:rsid w:val="001F1A73"/>
    <w:rsid w:val="001F451B"/>
    <w:rsid w:val="00202759"/>
    <w:rsid w:val="00205DA7"/>
    <w:rsid w:val="00211EBC"/>
    <w:rsid w:val="00213545"/>
    <w:rsid w:val="00214179"/>
    <w:rsid w:val="00215644"/>
    <w:rsid w:val="00224452"/>
    <w:rsid w:val="002323B9"/>
    <w:rsid w:val="0023240B"/>
    <w:rsid w:val="00235C53"/>
    <w:rsid w:val="00241877"/>
    <w:rsid w:val="0024284C"/>
    <w:rsid w:val="00243C5A"/>
    <w:rsid w:val="002470C8"/>
    <w:rsid w:val="0025227A"/>
    <w:rsid w:val="002547F0"/>
    <w:rsid w:val="002553E2"/>
    <w:rsid w:val="00255A7E"/>
    <w:rsid w:val="00257A7B"/>
    <w:rsid w:val="00264E92"/>
    <w:rsid w:val="00270361"/>
    <w:rsid w:val="00272B0B"/>
    <w:rsid w:val="00272FB0"/>
    <w:rsid w:val="002732E8"/>
    <w:rsid w:val="0027741F"/>
    <w:rsid w:val="002838D2"/>
    <w:rsid w:val="00283DF2"/>
    <w:rsid w:val="002853E3"/>
    <w:rsid w:val="00285F71"/>
    <w:rsid w:val="0029237B"/>
    <w:rsid w:val="00292BA6"/>
    <w:rsid w:val="00292DAB"/>
    <w:rsid w:val="0029376E"/>
    <w:rsid w:val="002957EC"/>
    <w:rsid w:val="0029720A"/>
    <w:rsid w:val="00297F9C"/>
    <w:rsid w:val="002A5F4A"/>
    <w:rsid w:val="002B0FC8"/>
    <w:rsid w:val="002B51A7"/>
    <w:rsid w:val="002B59A1"/>
    <w:rsid w:val="002B6A8A"/>
    <w:rsid w:val="002C366A"/>
    <w:rsid w:val="002C3679"/>
    <w:rsid w:val="002C6D66"/>
    <w:rsid w:val="002C7BA7"/>
    <w:rsid w:val="002D350A"/>
    <w:rsid w:val="002D4F19"/>
    <w:rsid w:val="002D66EB"/>
    <w:rsid w:val="002D6B8E"/>
    <w:rsid w:val="002D6F69"/>
    <w:rsid w:val="002E0D02"/>
    <w:rsid w:val="002E1158"/>
    <w:rsid w:val="002E23D3"/>
    <w:rsid w:val="002E2F7B"/>
    <w:rsid w:val="002E3628"/>
    <w:rsid w:val="002E7988"/>
    <w:rsid w:val="002F1BBE"/>
    <w:rsid w:val="002F5BE5"/>
    <w:rsid w:val="002F5EE0"/>
    <w:rsid w:val="003017CC"/>
    <w:rsid w:val="003169A8"/>
    <w:rsid w:val="00317DEF"/>
    <w:rsid w:val="00321F21"/>
    <w:rsid w:val="00325088"/>
    <w:rsid w:val="003267E3"/>
    <w:rsid w:val="00326FFD"/>
    <w:rsid w:val="00327F78"/>
    <w:rsid w:val="00330FCF"/>
    <w:rsid w:val="003337C8"/>
    <w:rsid w:val="00333B1E"/>
    <w:rsid w:val="003413F5"/>
    <w:rsid w:val="00341D75"/>
    <w:rsid w:val="003429AF"/>
    <w:rsid w:val="003444BF"/>
    <w:rsid w:val="00346591"/>
    <w:rsid w:val="00346BBC"/>
    <w:rsid w:val="003510A0"/>
    <w:rsid w:val="00352273"/>
    <w:rsid w:val="003522E5"/>
    <w:rsid w:val="00354A80"/>
    <w:rsid w:val="00364F5E"/>
    <w:rsid w:val="0037137B"/>
    <w:rsid w:val="0037317C"/>
    <w:rsid w:val="00376103"/>
    <w:rsid w:val="003777F2"/>
    <w:rsid w:val="00377A83"/>
    <w:rsid w:val="00377CBD"/>
    <w:rsid w:val="00382B0D"/>
    <w:rsid w:val="003836BC"/>
    <w:rsid w:val="00385521"/>
    <w:rsid w:val="00386D4A"/>
    <w:rsid w:val="0039303E"/>
    <w:rsid w:val="003931EC"/>
    <w:rsid w:val="00395456"/>
    <w:rsid w:val="003A1410"/>
    <w:rsid w:val="003A3CB5"/>
    <w:rsid w:val="003A565C"/>
    <w:rsid w:val="003B2050"/>
    <w:rsid w:val="003B22C7"/>
    <w:rsid w:val="003B2B50"/>
    <w:rsid w:val="003B633C"/>
    <w:rsid w:val="003C4E31"/>
    <w:rsid w:val="003C7271"/>
    <w:rsid w:val="003C73EC"/>
    <w:rsid w:val="003C7892"/>
    <w:rsid w:val="003D078A"/>
    <w:rsid w:val="003D1AEB"/>
    <w:rsid w:val="003D2249"/>
    <w:rsid w:val="003D247F"/>
    <w:rsid w:val="003D355D"/>
    <w:rsid w:val="003D6980"/>
    <w:rsid w:val="003E0D27"/>
    <w:rsid w:val="003E6464"/>
    <w:rsid w:val="003E69E1"/>
    <w:rsid w:val="003F1961"/>
    <w:rsid w:val="003F313F"/>
    <w:rsid w:val="003F4DBC"/>
    <w:rsid w:val="00401F23"/>
    <w:rsid w:val="0040463E"/>
    <w:rsid w:val="00407519"/>
    <w:rsid w:val="0040754D"/>
    <w:rsid w:val="0040772E"/>
    <w:rsid w:val="00407D41"/>
    <w:rsid w:val="004115F8"/>
    <w:rsid w:val="004129CD"/>
    <w:rsid w:val="004129D4"/>
    <w:rsid w:val="004134B2"/>
    <w:rsid w:val="00421C5E"/>
    <w:rsid w:val="00424B9C"/>
    <w:rsid w:val="00427BE6"/>
    <w:rsid w:val="0043037E"/>
    <w:rsid w:val="00431FB9"/>
    <w:rsid w:val="00433A1D"/>
    <w:rsid w:val="004366EC"/>
    <w:rsid w:val="0043729F"/>
    <w:rsid w:val="00441B1F"/>
    <w:rsid w:val="004442EF"/>
    <w:rsid w:val="004519A5"/>
    <w:rsid w:val="00454877"/>
    <w:rsid w:val="00457FE5"/>
    <w:rsid w:val="004610F1"/>
    <w:rsid w:val="00462DE9"/>
    <w:rsid w:val="004631FD"/>
    <w:rsid w:val="00463662"/>
    <w:rsid w:val="00465D76"/>
    <w:rsid w:val="00467617"/>
    <w:rsid w:val="00470FA0"/>
    <w:rsid w:val="00472AB9"/>
    <w:rsid w:val="00475350"/>
    <w:rsid w:val="0047592C"/>
    <w:rsid w:val="0047597E"/>
    <w:rsid w:val="00476C48"/>
    <w:rsid w:val="00482513"/>
    <w:rsid w:val="00487905"/>
    <w:rsid w:val="00487A13"/>
    <w:rsid w:val="0049232D"/>
    <w:rsid w:val="00493C03"/>
    <w:rsid w:val="00494ED5"/>
    <w:rsid w:val="004A12BD"/>
    <w:rsid w:val="004A4217"/>
    <w:rsid w:val="004A47DB"/>
    <w:rsid w:val="004A7C4D"/>
    <w:rsid w:val="004B480D"/>
    <w:rsid w:val="004B6BDA"/>
    <w:rsid w:val="004B7B12"/>
    <w:rsid w:val="004C4D0D"/>
    <w:rsid w:val="004C4D17"/>
    <w:rsid w:val="004C71A5"/>
    <w:rsid w:val="004C765B"/>
    <w:rsid w:val="004D132C"/>
    <w:rsid w:val="004D5574"/>
    <w:rsid w:val="004D658D"/>
    <w:rsid w:val="004E088F"/>
    <w:rsid w:val="004E204A"/>
    <w:rsid w:val="004E25FA"/>
    <w:rsid w:val="004E2842"/>
    <w:rsid w:val="004E2DCC"/>
    <w:rsid w:val="004E6744"/>
    <w:rsid w:val="004E6A98"/>
    <w:rsid w:val="004F24BC"/>
    <w:rsid w:val="004F2F5C"/>
    <w:rsid w:val="004F6810"/>
    <w:rsid w:val="00505AB9"/>
    <w:rsid w:val="00507703"/>
    <w:rsid w:val="00514EAE"/>
    <w:rsid w:val="00517A7C"/>
    <w:rsid w:val="0052110F"/>
    <w:rsid w:val="00530F31"/>
    <w:rsid w:val="0053277A"/>
    <w:rsid w:val="005374E8"/>
    <w:rsid w:val="0054017F"/>
    <w:rsid w:val="005411E6"/>
    <w:rsid w:val="00542479"/>
    <w:rsid w:val="00547307"/>
    <w:rsid w:val="0054781E"/>
    <w:rsid w:val="00547E3D"/>
    <w:rsid w:val="00547E5E"/>
    <w:rsid w:val="00552568"/>
    <w:rsid w:val="00553713"/>
    <w:rsid w:val="00560AB8"/>
    <w:rsid w:val="00563051"/>
    <w:rsid w:val="00565D99"/>
    <w:rsid w:val="00566151"/>
    <w:rsid w:val="00570053"/>
    <w:rsid w:val="00570581"/>
    <w:rsid w:val="0057151C"/>
    <w:rsid w:val="00571CF6"/>
    <w:rsid w:val="00572DB4"/>
    <w:rsid w:val="00574714"/>
    <w:rsid w:val="00574C45"/>
    <w:rsid w:val="00581669"/>
    <w:rsid w:val="00584188"/>
    <w:rsid w:val="005925F4"/>
    <w:rsid w:val="005A2983"/>
    <w:rsid w:val="005A595B"/>
    <w:rsid w:val="005A63E9"/>
    <w:rsid w:val="005A7537"/>
    <w:rsid w:val="005B36D3"/>
    <w:rsid w:val="005B3E1E"/>
    <w:rsid w:val="005B4B7A"/>
    <w:rsid w:val="005B53D9"/>
    <w:rsid w:val="005B59EC"/>
    <w:rsid w:val="005B747F"/>
    <w:rsid w:val="005C2054"/>
    <w:rsid w:val="005C303E"/>
    <w:rsid w:val="005C3DB6"/>
    <w:rsid w:val="005C4301"/>
    <w:rsid w:val="005C4827"/>
    <w:rsid w:val="005C5B2A"/>
    <w:rsid w:val="005C6CF9"/>
    <w:rsid w:val="005D152A"/>
    <w:rsid w:val="005D3DA8"/>
    <w:rsid w:val="005E1590"/>
    <w:rsid w:val="005E2B93"/>
    <w:rsid w:val="005F1322"/>
    <w:rsid w:val="005F3587"/>
    <w:rsid w:val="005F366C"/>
    <w:rsid w:val="005F44F3"/>
    <w:rsid w:val="005F58C5"/>
    <w:rsid w:val="005F594A"/>
    <w:rsid w:val="005F7A1E"/>
    <w:rsid w:val="00601628"/>
    <w:rsid w:val="00610CB4"/>
    <w:rsid w:val="00616C2D"/>
    <w:rsid w:val="00616FA2"/>
    <w:rsid w:val="006177BA"/>
    <w:rsid w:val="006200E0"/>
    <w:rsid w:val="00624184"/>
    <w:rsid w:val="006308F9"/>
    <w:rsid w:val="00632CB1"/>
    <w:rsid w:val="006343BA"/>
    <w:rsid w:val="006348A3"/>
    <w:rsid w:val="0063708E"/>
    <w:rsid w:val="00637689"/>
    <w:rsid w:val="0064013E"/>
    <w:rsid w:val="00640586"/>
    <w:rsid w:val="00641AB0"/>
    <w:rsid w:val="00646DD1"/>
    <w:rsid w:val="00647523"/>
    <w:rsid w:val="006541C1"/>
    <w:rsid w:val="006550E3"/>
    <w:rsid w:val="00656A38"/>
    <w:rsid w:val="0066082D"/>
    <w:rsid w:val="00662B09"/>
    <w:rsid w:val="006630AB"/>
    <w:rsid w:val="00663269"/>
    <w:rsid w:val="006747FE"/>
    <w:rsid w:val="0067729D"/>
    <w:rsid w:val="00681F8B"/>
    <w:rsid w:val="0068704C"/>
    <w:rsid w:val="006931E1"/>
    <w:rsid w:val="00695920"/>
    <w:rsid w:val="00697DD5"/>
    <w:rsid w:val="006A084A"/>
    <w:rsid w:val="006A2A90"/>
    <w:rsid w:val="006A40DE"/>
    <w:rsid w:val="006A55EB"/>
    <w:rsid w:val="006B4AC7"/>
    <w:rsid w:val="006C0AEC"/>
    <w:rsid w:val="006C1A7B"/>
    <w:rsid w:val="006C2B15"/>
    <w:rsid w:val="006C3167"/>
    <w:rsid w:val="006C6999"/>
    <w:rsid w:val="006D0469"/>
    <w:rsid w:val="006D0AF4"/>
    <w:rsid w:val="006D531D"/>
    <w:rsid w:val="006D70A8"/>
    <w:rsid w:val="006D79AC"/>
    <w:rsid w:val="006E4F27"/>
    <w:rsid w:val="006E597C"/>
    <w:rsid w:val="006F0D34"/>
    <w:rsid w:val="006F39F9"/>
    <w:rsid w:val="006F46ED"/>
    <w:rsid w:val="006F5C1B"/>
    <w:rsid w:val="006F5C97"/>
    <w:rsid w:val="006F761B"/>
    <w:rsid w:val="00705E9E"/>
    <w:rsid w:val="007112E7"/>
    <w:rsid w:val="00713196"/>
    <w:rsid w:val="0071643B"/>
    <w:rsid w:val="007165C9"/>
    <w:rsid w:val="007200AE"/>
    <w:rsid w:val="00725E4C"/>
    <w:rsid w:val="00726AAD"/>
    <w:rsid w:val="007320ED"/>
    <w:rsid w:val="00734891"/>
    <w:rsid w:val="0073694D"/>
    <w:rsid w:val="00742C3F"/>
    <w:rsid w:val="00745C9C"/>
    <w:rsid w:val="00745D1B"/>
    <w:rsid w:val="00756B9D"/>
    <w:rsid w:val="00761910"/>
    <w:rsid w:val="0077495C"/>
    <w:rsid w:val="007751F4"/>
    <w:rsid w:val="00776777"/>
    <w:rsid w:val="007812EF"/>
    <w:rsid w:val="00782ED1"/>
    <w:rsid w:val="00783C54"/>
    <w:rsid w:val="00784B17"/>
    <w:rsid w:val="00784BF9"/>
    <w:rsid w:val="00786FD2"/>
    <w:rsid w:val="00787424"/>
    <w:rsid w:val="0078783C"/>
    <w:rsid w:val="00787966"/>
    <w:rsid w:val="007961E1"/>
    <w:rsid w:val="00796381"/>
    <w:rsid w:val="00796A7D"/>
    <w:rsid w:val="00797179"/>
    <w:rsid w:val="007A1E1F"/>
    <w:rsid w:val="007A1FBB"/>
    <w:rsid w:val="007A2295"/>
    <w:rsid w:val="007A2500"/>
    <w:rsid w:val="007A2B53"/>
    <w:rsid w:val="007B1E60"/>
    <w:rsid w:val="007B4551"/>
    <w:rsid w:val="007C3FCF"/>
    <w:rsid w:val="007C5F28"/>
    <w:rsid w:val="007E2EB4"/>
    <w:rsid w:val="007E368B"/>
    <w:rsid w:val="007E568E"/>
    <w:rsid w:val="007E5F96"/>
    <w:rsid w:val="007E6123"/>
    <w:rsid w:val="007F6539"/>
    <w:rsid w:val="007F7186"/>
    <w:rsid w:val="00800DE0"/>
    <w:rsid w:val="00802662"/>
    <w:rsid w:val="00803885"/>
    <w:rsid w:val="008055D7"/>
    <w:rsid w:val="00806B75"/>
    <w:rsid w:val="008107DC"/>
    <w:rsid w:val="008142F6"/>
    <w:rsid w:val="00814BB8"/>
    <w:rsid w:val="00814FD2"/>
    <w:rsid w:val="008205A7"/>
    <w:rsid w:val="008218B1"/>
    <w:rsid w:val="008227A7"/>
    <w:rsid w:val="008277D4"/>
    <w:rsid w:val="00835178"/>
    <w:rsid w:val="00836969"/>
    <w:rsid w:val="00845E2B"/>
    <w:rsid w:val="008462CE"/>
    <w:rsid w:val="00846624"/>
    <w:rsid w:val="008475B8"/>
    <w:rsid w:val="00847B1A"/>
    <w:rsid w:val="008524B3"/>
    <w:rsid w:val="00853D8B"/>
    <w:rsid w:val="00854876"/>
    <w:rsid w:val="00855D75"/>
    <w:rsid w:val="00856322"/>
    <w:rsid w:val="00857213"/>
    <w:rsid w:val="00863AEC"/>
    <w:rsid w:val="008653AF"/>
    <w:rsid w:val="00865424"/>
    <w:rsid w:val="00865BB2"/>
    <w:rsid w:val="00865C65"/>
    <w:rsid w:val="008735F8"/>
    <w:rsid w:val="008742BC"/>
    <w:rsid w:val="0088676E"/>
    <w:rsid w:val="00887A30"/>
    <w:rsid w:val="008944F0"/>
    <w:rsid w:val="00894DE6"/>
    <w:rsid w:val="008958A2"/>
    <w:rsid w:val="008A2F90"/>
    <w:rsid w:val="008A3D92"/>
    <w:rsid w:val="008B2380"/>
    <w:rsid w:val="008B256C"/>
    <w:rsid w:val="008B25D0"/>
    <w:rsid w:val="008B3A94"/>
    <w:rsid w:val="008B4BC7"/>
    <w:rsid w:val="008B527E"/>
    <w:rsid w:val="008C04B0"/>
    <w:rsid w:val="008C05DA"/>
    <w:rsid w:val="008C2DB9"/>
    <w:rsid w:val="008C32E2"/>
    <w:rsid w:val="008C5CC8"/>
    <w:rsid w:val="008C5DE8"/>
    <w:rsid w:val="008C5E34"/>
    <w:rsid w:val="008C76EB"/>
    <w:rsid w:val="008D0814"/>
    <w:rsid w:val="008D1018"/>
    <w:rsid w:val="008D2524"/>
    <w:rsid w:val="008D30BD"/>
    <w:rsid w:val="008D5BD8"/>
    <w:rsid w:val="008E490A"/>
    <w:rsid w:val="008F0191"/>
    <w:rsid w:val="008F25AE"/>
    <w:rsid w:val="008F3AB3"/>
    <w:rsid w:val="008F4D32"/>
    <w:rsid w:val="008F7DC8"/>
    <w:rsid w:val="009035F4"/>
    <w:rsid w:val="00907E9F"/>
    <w:rsid w:val="00912D46"/>
    <w:rsid w:val="00913CCE"/>
    <w:rsid w:val="009144E8"/>
    <w:rsid w:val="009147EC"/>
    <w:rsid w:val="00917BF6"/>
    <w:rsid w:val="00930AAA"/>
    <w:rsid w:val="00932E35"/>
    <w:rsid w:val="009338B9"/>
    <w:rsid w:val="009371DF"/>
    <w:rsid w:val="00937383"/>
    <w:rsid w:val="00946FAC"/>
    <w:rsid w:val="00951EAE"/>
    <w:rsid w:val="00951EBF"/>
    <w:rsid w:val="009531E4"/>
    <w:rsid w:val="00953E30"/>
    <w:rsid w:val="0095665C"/>
    <w:rsid w:val="0095693D"/>
    <w:rsid w:val="009603B1"/>
    <w:rsid w:val="00964078"/>
    <w:rsid w:val="00964735"/>
    <w:rsid w:val="009656BD"/>
    <w:rsid w:val="00966529"/>
    <w:rsid w:val="00971947"/>
    <w:rsid w:val="00972164"/>
    <w:rsid w:val="00973569"/>
    <w:rsid w:val="00981922"/>
    <w:rsid w:val="009842F4"/>
    <w:rsid w:val="00984C2B"/>
    <w:rsid w:val="00985A82"/>
    <w:rsid w:val="00986554"/>
    <w:rsid w:val="00986FF7"/>
    <w:rsid w:val="00987056"/>
    <w:rsid w:val="00991487"/>
    <w:rsid w:val="00991AE3"/>
    <w:rsid w:val="009943EC"/>
    <w:rsid w:val="0099509C"/>
    <w:rsid w:val="00995B9E"/>
    <w:rsid w:val="009964BC"/>
    <w:rsid w:val="00996F63"/>
    <w:rsid w:val="00997F25"/>
    <w:rsid w:val="009A134E"/>
    <w:rsid w:val="009A44E4"/>
    <w:rsid w:val="009A74B4"/>
    <w:rsid w:val="009B4544"/>
    <w:rsid w:val="009B5382"/>
    <w:rsid w:val="009B59CC"/>
    <w:rsid w:val="009B60FF"/>
    <w:rsid w:val="009C6304"/>
    <w:rsid w:val="009C6D84"/>
    <w:rsid w:val="009C6F05"/>
    <w:rsid w:val="009D056D"/>
    <w:rsid w:val="009D51CE"/>
    <w:rsid w:val="009D7D92"/>
    <w:rsid w:val="009E11AD"/>
    <w:rsid w:val="009E30AF"/>
    <w:rsid w:val="009E3EAB"/>
    <w:rsid w:val="009E4B47"/>
    <w:rsid w:val="009E4B73"/>
    <w:rsid w:val="009F06A0"/>
    <w:rsid w:val="009F5464"/>
    <w:rsid w:val="009F746A"/>
    <w:rsid w:val="00A053EF"/>
    <w:rsid w:val="00A100E1"/>
    <w:rsid w:val="00A114B9"/>
    <w:rsid w:val="00A13D74"/>
    <w:rsid w:val="00A152A7"/>
    <w:rsid w:val="00A16F4D"/>
    <w:rsid w:val="00A21A16"/>
    <w:rsid w:val="00A22CF8"/>
    <w:rsid w:val="00A23EDE"/>
    <w:rsid w:val="00A305A0"/>
    <w:rsid w:val="00A33A95"/>
    <w:rsid w:val="00A33BD8"/>
    <w:rsid w:val="00A34C9E"/>
    <w:rsid w:val="00A403CE"/>
    <w:rsid w:val="00A4299E"/>
    <w:rsid w:val="00A45FEA"/>
    <w:rsid w:val="00A4724E"/>
    <w:rsid w:val="00A55C69"/>
    <w:rsid w:val="00A57966"/>
    <w:rsid w:val="00A57A9F"/>
    <w:rsid w:val="00A60243"/>
    <w:rsid w:val="00A60619"/>
    <w:rsid w:val="00A61BBA"/>
    <w:rsid w:val="00A6226F"/>
    <w:rsid w:val="00A6242A"/>
    <w:rsid w:val="00A7057B"/>
    <w:rsid w:val="00A70CE6"/>
    <w:rsid w:val="00A7767B"/>
    <w:rsid w:val="00A77850"/>
    <w:rsid w:val="00A8063D"/>
    <w:rsid w:val="00A81634"/>
    <w:rsid w:val="00A835EA"/>
    <w:rsid w:val="00A83EE2"/>
    <w:rsid w:val="00A84393"/>
    <w:rsid w:val="00A85415"/>
    <w:rsid w:val="00A8612D"/>
    <w:rsid w:val="00A862EA"/>
    <w:rsid w:val="00A8704F"/>
    <w:rsid w:val="00A911D1"/>
    <w:rsid w:val="00A94222"/>
    <w:rsid w:val="00A96828"/>
    <w:rsid w:val="00AA12E5"/>
    <w:rsid w:val="00AA1975"/>
    <w:rsid w:val="00AA3BF3"/>
    <w:rsid w:val="00AA50F4"/>
    <w:rsid w:val="00AB02FA"/>
    <w:rsid w:val="00AC179A"/>
    <w:rsid w:val="00AC457D"/>
    <w:rsid w:val="00AC51BE"/>
    <w:rsid w:val="00AC5CD2"/>
    <w:rsid w:val="00AC7AA2"/>
    <w:rsid w:val="00AD23DC"/>
    <w:rsid w:val="00AD4788"/>
    <w:rsid w:val="00AD536E"/>
    <w:rsid w:val="00AD5A0F"/>
    <w:rsid w:val="00AE2876"/>
    <w:rsid w:val="00AE37D5"/>
    <w:rsid w:val="00AE45C4"/>
    <w:rsid w:val="00AE4B45"/>
    <w:rsid w:val="00AE5AA5"/>
    <w:rsid w:val="00AE776B"/>
    <w:rsid w:val="00AF14FB"/>
    <w:rsid w:val="00AF1A31"/>
    <w:rsid w:val="00AF2E4F"/>
    <w:rsid w:val="00AF348F"/>
    <w:rsid w:val="00AF3CC9"/>
    <w:rsid w:val="00AF486F"/>
    <w:rsid w:val="00AF68D5"/>
    <w:rsid w:val="00B01895"/>
    <w:rsid w:val="00B025F3"/>
    <w:rsid w:val="00B0698D"/>
    <w:rsid w:val="00B1109E"/>
    <w:rsid w:val="00B120D4"/>
    <w:rsid w:val="00B13A03"/>
    <w:rsid w:val="00B13B9A"/>
    <w:rsid w:val="00B1584B"/>
    <w:rsid w:val="00B17478"/>
    <w:rsid w:val="00B22B82"/>
    <w:rsid w:val="00B26B64"/>
    <w:rsid w:val="00B27A86"/>
    <w:rsid w:val="00B3060E"/>
    <w:rsid w:val="00B31A7C"/>
    <w:rsid w:val="00B346FA"/>
    <w:rsid w:val="00B37EC8"/>
    <w:rsid w:val="00B467EF"/>
    <w:rsid w:val="00B520E6"/>
    <w:rsid w:val="00B53495"/>
    <w:rsid w:val="00B56B95"/>
    <w:rsid w:val="00B715E9"/>
    <w:rsid w:val="00B74531"/>
    <w:rsid w:val="00B76288"/>
    <w:rsid w:val="00B8045A"/>
    <w:rsid w:val="00B83FCA"/>
    <w:rsid w:val="00B84760"/>
    <w:rsid w:val="00B86BD2"/>
    <w:rsid w:val="00B9017A"/>
    <w:rsid w:val="00B9211E"/>
    <w:rsid w:val="00B92247"/>
    <w:rsid w:val="00B96B3F"/>
    <w:rsid w:val="00B9785D"/>
    <w:rsid w:val="00B97CF8"/>
    <w:rsid w:val="00BA128E"/>
    <w:rsid w:val="00BA24E3"/>
    <w:rsid w:val="00BA2A82"/>
    <w:rsid w:val="00BA326A"/>
    <w:rsid w:val="00BA366C"/>
    <w:rsid w:val="00BA3C14"/>
    <w:rsid w:val="00BA7E82"/>
    <w:rsid w:val="00BB08A8"/>
    <w:rsid w:val="00BB19FC"/>
    <w:rsid w:val="00BC0AE6"/>
    <w:rsid w:val="00BC6642"/>
    <w:rsid w:val="00BD26D5"/>
    <w:rsid w:val="00BD5C06"/>
    <w:rsid w:val="00BE2A67"/>
    <w:rsid w:val="00BF12CA"/>
    <w:rsid w:val="00BF25E7"/>
    <w:rsid w:val="00BF2A0E"/>
    <w:rsid w:val="00BF6458"/>
    <w:rsid w:val="00BF6BB1"/>
    <w:rsid w:val="00BF78B9"/>
    <w:rsid w:val="00C00D77"/>
    <w:rsid w:val="00C02956"/>
    <w:rsid w:val="00C04AB7"/>
    <w:rsid w:val="00C05CCD"/>
    <w:rsid w:val="00C06AD2"/>
    <w:rsid w:val="00C0761F"/>
    <w:rsid w:val="00C122DF"/>
    <w:rsid w:val="00C13041"/>
    <w:rsid w:val="00C1716A"/>
    <w:rsid w:val="00C2107B"/>
    <w:rsid w:val="00C30677"/>
    <w:rsid w:val="00C35AFA"/>
    <w:rsid w:val="00C35B41"/>
    <w:rsid w:val="00C365AD"/>
    <w:rsid w:val="00C42ACE"/>
    <w:rsid w:val="00C435E5"/>
    <w:rsid w:val="00C5075E"/>
    <w:rsid w:val="00C57053"/>
    <w:rsid w:val="00C5753C"/>
    <w:rsid w:val="00C575D3"/>
    <w:rsid w:val="00C61FD7"/>
    <w:rsid w:val="00C629E1"/>
    <w:rsid w:val="00C6446D"/>
    <w:rsid w:val="00C6671E"/>
    <w:rsid w:val="00C70AFC"/>
    <w:rsid w:val="00C72569"/>
    <w:rsid w:val="00C73104"/>
    <w:rsid w:val="00C82DEC"/>
    <w:rsid w:val="00C849B7"/>
    <w:rsid w:val="00C85635"/>
    <w:rsid w:val="00C86EC1"/>
    <w:rsid w:val="00C870D1"/>
    <w:rsid w:val="00C87F5A"/>
    <w:rsid w:val="00C906AD"/>
    <w:rsid w:val="00C91B9B"/>
    <w:rsid w:val="00C95235"/>
    <w:rsid w:val="00C96320"/>
    <w:rsid w:val="00C974E2"/>
    <w:rsid w:val="00CA0217"/>
    <w:rsid w:val="00CA26AC"/>
    <w:rsid w:val="00CA3C4F"/>
    <w:rsid w:val="00CB2A48"/>
    <w:rsid w:val="00CB5555"/>
    <w:rsid w:val="00CB698F"/>
    <w:rsid w:val="00CB74F5"/>
    <w:rsid w:val="00CC3A8F"/>
    <w:rsid w:val="00CC5469"/>
    <w:rsid w:val="00CD2953"/>
    <w:rsid w:val="00CD3D42"/>
    <w:rsid w:val="00CD6E06"/>
    <w:rsid w:val="00CD71DE"/>
    <w:rsid w:val="00CE0F67"/>
    <w:rsid w:val="00CE19AA"/>
    <w:rsid w:val="00CE2A6C"/>
    <w:rsid w:val="00CE4413"/>
    <w:rsid w:val="00CF16A8"/>
    <w:rsid w:val="00CF2704"/>
    <w:rsid w:val="00CF2CB1"/>
    <w:rsid w:val="00CF46B6"/>
    <w:rsid w:val="00CF5734"/>
    <w:rsid w:val="00CF5A42"/>
    <w:rsid w:val="00D03893"/>
    <w:rsid w:val="00D038BD"/>
    <w:rsid w:val="00D04EA9"/>
    <w:rsid w:val="00D0798A"/>
    <w:rsid w:val="00D10A75"/>
    <w:rsid w:val="00D10C6E"/>
    <w:rsid w:val="00D1182D"/>
    <w:rsid w:val="00D1345E"/>
    <w:rsid w:val="00D1502C"/>
    <w:rsid w:val="00D162B5"/>
    <w:rsid w:val="00D16320"/>
    <w:rsid w:val="00D16C4D"/>
    <w:rsid w:val="00D2015F"/>
    <w:rsid w:val="00D21328"/>
    <w:rsid w:val="00D22148"/>
    <w:rsid w:val="00D27D1C"/>
    <w:rsid w:val="00D32A8D"/>
    <w:rsid w:val="00D32D04"/>
    <w:rsid w:val="00D33338"/>
    <w:rsid w:val="00D36F97"/>
    <w:rsid w:val="00D37150"/>
    <w:rsid w:val="00D37921"/>
    <w:rsid w:val="00D41458"/>
    <w:rsid w:val="00D415D0"/>
    <w:rsid w:val="00D42108"/>
    <w:rsid w:val="00D44A99"/>
    <w:rsid w:val="00D46432"/>
    <w:rsid w:val="00D50698"/>
    <w:rsid w:val="00D53365"/>
    <w:rsid w:val="00D56985"/>
    <w:rsid w:val="00D56AE5"/>
    <w:rsid w:val="00D57979"/>
    <w:rsid w:val="00D579B6"/>
    <w:rsid w:val="00D60FBA"/>
    <w:rsid w:val="00D62525"/>
    <w:rsid w:val="00D63797"/>
    <w:rsid w:val="00D659A2"/>
    <w:rsid w:val="00D70884"/>
    <w:rsid w:val="00D71585"/>
    <w:rsid w:val="00D802C7"/>
    <w:rsid w:val="00D8164F"/>
    <w:rsid w:val="00D81AC8"/>
    <w:rsid w:val="00D82B65"/>
    <w:rsid w:val="00D873E7"/>
    <w:rsid w:val="00D96B93"/>
    <w:rsid w:val="00DA17B7"/>
    <w:rsid w:val="00DA744B"/>
    <w:rsid w:val="00DB081F"/>
    <w:rsid w:val="00DB15BB"/>
    <w:rsid w:val="00DB2B35"/>
    <w:rsid w:val="00DB2FB5"/>
    <w:rsid w:val="00DB7B84"/>
    <w:rsid w:val="00DC10C8"/>
    <w:rsid w:val="00DC4E3C"/>
    <w:rsid w:val="00DC5F88"/>
    <w:rsid w:val="00DC657D"/>
    <w:rsid w:val="00DC741D"/>
    <w:rsid w:val="00DD1582"/>
    <w:rsid w:val="00DD174A"/>
    <w:rsid w:val="00DD69AC"/>
    <w:rsid w:val="00DD69B4"/>
    <w:rsid w:val="00DD7397"/>
    <w:rsid w:val="00DE3256"/>
    <w:rsid w:val="00DF06FA"/>
    <w:rsid w:val="00DF2227"/>
    <w:rsid w:val="00DF4BAE"/>
    <w:rsid w:val="00DF5507"/>
    <w:rsid w:val="00DF65D0"/>
    <w:rsid w:val="00E001FF"/>
    <w:rsid w:val="00E02075"/>
    <w:rsid w:val="00E02F2F"/>
    <w:rsid w:val="00E03093"/>
    <w:rsid w:val="00E0414A"/>
    <w:rsid w:val="00E061B8"/>
    <w:rsid w:val="00E066A8"/>
    <w:rsid w:val="00E0722E"/>
    <w:rsid w:val="00E110F3"/>
    <w:rsid w:val="00E12039"/>
    <w:rsid w:val="00E1449A"/>
    <w:rsid w:val="00E159B3"/>
    <w:rsid w:val="00E20662"/>
    <w:rsid w:val="00E262F9"/>
    <w:rsid w:val="00E26C42"/>
    <w:rsid w:val="00E275F0"/>
    <w:rsid w:val="00E27C68"/>
    <w:rsid w:val="00E31245"/>
    <w:rsid w:val="00E334F5"/>
    <w:rsid w:val="00E3447A"/>
    <w:rsid w:val="00E36CD5"/>
    <w:rsid w:val="00E374D5"/>
    <w:rsid w:val="00E4115B"/>
    <w:rsid w:val="00E43A2C"/>
    <w:rsid w:val="00E43CC2"/>
    <w:rsid w:val="00E440EE"/>
    <w:rsid w:val="00E45743"/>
    <w:rsid w:val="00E47560"/>
    <w:rsid w:val="00E51986"/>
    <w:rsid w:val="00E51A2F"/>
    <w:rsid w:val="00E51D07"/>
    <w:rsid w:val="00E53D38"/>
    <w:rsid w:val="00E557F8"/>
    <w:rsid w:val="00E56E9D"/>
    <w:rsid w:val="00E57797"/>
    <w:rsid w:val="00E61C1E"/>
    <w:rsid w:val="00E66C4E"/>
    <w:rsid w:val="00E714EB"/>
    <w:rsid w:val="00E723A5"/>
    <w:rsid w:val="00E72B67"/>
    <w:rsid w:val="00E7426C"/>
    <w:rsid w:val="00E749EA"/>
    <w:rsid w:val="00E75653"/>
    <w:rsid w:val="00E75F09"/>
    <w:rsid w:val="00E76D84"/>
    <w:rsid w:val="00E76E0B"/>
    <w:rsid w:val="00E82245"/>
    <w:rsid w:val="00E83565"/>
    <w:rsid w:val="00E848F8"/>
    <w:rsid w:val="00E85274"/>
    <w:rsid w:val="00E8596F"/>
    <w:rsid w:val="00E91054"/>
    <w:rsid w:val="00E9358B"/>
    <w:rsid w:val="00E96C08"/>
    <w:rsid w:val="00E97493"/>
    <w:rsid w:val="00EA63DC"/>
    <w:rsid w:val="00EA69D1"/>
    <w:rsid w:val="00EA6CB2"/>
    <w:rsid w:val="00EB289E"/>
    <w:rsid w:val="00EB35F9"/>
    <w:rsid w:val="00EB5022"/>
    <w:rsid w:val="00EB5279"/>
    <w:rsid w:val="00EB599F"/>
    <w:rsid w:val="00EB7B8E"/>
    <w:rsid w:val="00EC1962"/>
    <w:rsid w:val="00EC55CC"/>
    <w:rsid w:val="00EC7089"/>
    <w:rsid w:val="00ED20D8"/>
    <w:rsid w:val="00ED5273"/>
    <w:rsid w:val="00ED6B14"/>
    <w:rsid w:val="00EE240F"/>
    <w:rsid w:val="00EE4623"/>
    <w:rsid w:val="00EE5BD8"/>
    <w:rsid w:val="00EE6D31"/>
    <w:rsid w:val="00EE79C6"/>
    <w:rsid w:val="00EF2438"/>
    <w:rsid w:val="00EF44EE"/>
    <w:rsid w:val="00EF4F20"/>
    <w:rsid w:val="00EF778F"/>
    <w:rsid w:val="00F043B3"/>
    <w:rsid w:val="00F06F2C"/>
    <w:rsid w:val="00F1157D"/>
    <w:rsid w:val="00F1574F"/>
    <w:rsid w:val="00F164D4"/>
    <w:rsid w:val="00F20403"/>
    <w:rsid w:val="00F20FEE"/>
    <w:rsid w:val="00F21B3B"/>
    <w:rsid w:val="00F239D9"/>
    <w:rsid w:val="00F2643E"/>
    <w:rsid w:val="00F266F0"/>
    <w:rsid w:val="00F26771"/>
    <w:rsid w:val="00F303B4"/>
    <w:rsid w:val="00F30FAE"/>
    <w:rsid w:val="00F340C3"/>
    <w:rsid w:val="00F34828"/>
    <w:rsid w:val="00F352A1"/>
    <w:rsid w:val="00F35D23"/>
    <w:rsid w:val="00F43843"/>
    <w:rsid w:val="00F4517B"/>
    <w:rsid w:val="00F452E5"/>
    <w:rsid w:val="00F45E42"/>
    <w:rsid w:val="00F54212"/>
    <w:rsid w:val="00F54DF3"/>
    <w:rsid w:val="00F55CAB"/>
    <w:rsid w:val="00F5649D"/>
    <w:rsid w:val="00F621CD"/>
    <w:rsid w:val="00F74CB2"/>
    <w:rsid w:val="00F75B06"/>
    <w:rsid w:val="00F76469"/>
    <w:rsid w:val="00F77765"/>
    <w:rsid w:val="00F904A4"/>
    <w:rsid w:val="00F92617"/>
    <w:rsid w:val="00F9325C"/>
    <w:rsid w:val="00F9555A"/>
    <w:rsid w:val="00F96566"/>
    <w:rsid w:val="00F97085"/>
    <w:rsid w:val="00FA0C1A"/>
    <w:rsid w:val="00FA233B"/>
    <w:rsid w:val="00FA24D0"/>
    <w:rsid w:val="00FA4507"/>
    <w:rsid w:val="00FA72B3"/>
    <w:rsid w:val="00FB196F"/>
    <w:rsid w:val="00FB25BA"/>
    <w:rsid w:val="00FB4975"/>
    <w:rsid w:val="00FB7543"/>
    <w:rsid w:val="00FC199A"/>
    <w:rsid w:val="00FC729A"/>
    <w:rsid w:val="00FC7DF4"/>
    <w:rsid w:val="00FD0B15"/>
    <w:rsid w:val="00FE2F43"/>
    <w:rsid w:val="00FE7934"/>
    <w:rsid w:val="00FF1AB6"/>
    <w:rsid w:val="00FF228F"/>
    <w:rsid w:val="00FF272A"/>
    <w:rsid w:val="00FF4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2087F"/>
  <w15:chartTrackingRefBased/>
  <w15:docId w15:val="{A06D979C-1643-4A4F-9350-549177FD9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FA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16FA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16FA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616F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6F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6F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F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F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F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FA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16FA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16FA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616FA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16FA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6F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F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F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FA2"/>
    <w:rPr>
      <w:rFonts w:eastAsiaTheme="majorEastAsia" w:cstheme="majorBidi"/>
      <w:color w:val="272727" w:themeColor="text1" w:themeTint="D8"/>
    </w:rPr>
  </w:style>
  <w:style w:type="paragraph" w:styleId="Title">
    <w:name w:val="Title"/>
    <w:basedOn w:val="Normal"/>
    <w:next w:val="Normal"/>
    <w:link w:val="TitleChar"/>
    <w:uiPriority w:val="10"/>
    <w:qFormat/>
    <w:rsid w:val="00616F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F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F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F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FA2"/>
    <w:pPr>
      <w:spacing w:before="160"/>
      <w:jc w:val="center"/>
    </w:pPr>
    <w:rPr>
      <w:i/>
      <w:iCs/>
      <w:color w:val="404040" w:themeColor="text1" w:themeTint="BF"/>
    </w:rPr>
  </w:style>
  <w:style w:type="character" w:customStyle="1" w:styleId="QuoteChar">
    <w:name w:val="Quote Char"/>
    <w:basedOn w:val="DefaultParagraphFont"/>
    <w:link w:val="Quote"/>
    <w:uiPriority w:val="29"/>
    <w:rsid w:val="00616FA2"/>
    <w:rPr>
      <w:i/>
      <w:iCs/>
      <w:color w:val="404040" w:themeColor="text1" w:themeTint="BF"/>
    </w:rPr>
  </w:style>
  <w:style w:type="paragraph" w:styleId="ListParagraph">
    <w:name w:val="List Paragraph"/>
    <w:basedOn w:val="Normal"/>
    <w:uiPriority w:val="34"/>
    <w:qFormat/>
    <w:rsid w:val="00616FA2"/>
    <w:pPr>
      <w:ind w:left="720"/>
      <w:contextualSpacing/>
    </w:pPr>
  </w:style>
  <w:style w:type="character" w:styleId="IntenseEmphasis">
    <w:name w:val="Intense Emphasis"/>
    <w:basedOn w:val="DefaultParagraphFont"/>
    <w:uiPriority w:val="21"/>
    <w:qFormat/>
    <w:rsid w:val="00616FA2"/>
    <w:rPr>
      <w:i/>
      <w:iCs/>
      <w:color w:val="2F5496" w:themeColor="accent1" w:themeShade="BF"/>
    </w:rPr>
  </w:style>
  <w:style w:type="paragraph" w:styleId="IntenseQuote">
    <w:name w:val="Intense Quote"/>
    <w:basedOn w:val="Normal"/>
    <w:next w:val="Normal"/>
    <w:link w:val="IntenseQuoteChar"/>
    <w:uiPriority w:val="30"/>
    <w:qFormat/>
    <w:rsid w:val="00616F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6FA2"/>
    <w:rPr>
      <w:i/>
      <w:iCs/>
      <w:color w:val="2F5496" w:themeColor="accent1" w:themeShade="BF"/>
    </w:rPr>
  </w:style>
  <w:style w:type="character" w:styleId="IntenseReference">
    <w:name w:val="Intense Reference"/>
    <w:basedOn w:val="DefaultParagraphFont"/>
    <w:uiPriority w:val="32"/>
    <w:qFormat/>
    <w:rsid w:val="00616FA2"/>
    <w:rPr>
      <w:b/>
      <w:bCs/>
      <w:smallCaps/>
      <w:color w:val="2F5496" w:themeColor="accent1" w:themeShade="BF"/>
      <w:spacing w:val="5"/>
    </w:rPr>
  </w:style>
  <w:style w:type="paragraph" w:styleId="NoSpacing">
    <w:name w:val="No Spacing"/>
    <w:link w:val="NoSpacingChar"/>
    <w:uiPriority w:val="1"/>
    <w:qFormat/>
    <w:rsid w:val="00616FA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16FA2"/>
    <w:rPr>
      <w:rFonts w:eastAsiaTheme="minorEastAsia"/>
      <w:kern w:val="0"/>
      <w:lang w:val="en-US"/>
      <w14:ligatures w14:val="none"/>
    </w:rPr>
  </w:style>
  <w:style w:type="paragraph" w:styleId="Header">
    <w:name w:val="header"/>
    <w:basedOn w:val="Normal"/>
    <w:link w:val="HeaderChar"/>
    <w:uiPriority w:val="99"/>
    <w:unhideWhenUsed/>
    <w:rsid w:val="000170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062"/>
  </w:style>
  <w:style w:type="paragraph" w:styleId="Footer">
    <w:name w:val="footer"/>
    <w:basedOn w:val="Normal"/>
    <w:link w:val="FooterChar"/>
    <w:uiPriority w:val="99"/>
    <w:unhideWhenUsed/>
    <w:rsid w:val="000170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062"/>
  </w:style>
  <w:style w:type="character" w:styleId="Strong">
    <w:name w:val="Strong"/>
    <w:basedOn w:val="DefaultParagraphFont"/>
    <w:uiPriority w:val="22"/>
    <w:qFormat/>
    <w:rsid w:val="008055D7"/>
    <w:rPr>
      <w:b/>
      <w:bCs/>
    </w:rPr>
  </w:style>
  <w:style w:type="character" w:styleId="Hyperlink">
    <w:name w:val="Hyperlink"/>
    <w:basedOn w:val="DefaultParagraphFont"/>
    <w:uiPriority w:val="99"/>
    <w:unhideWhenUsed/>
    <w:rsid w:val="00F266F0"/>
    <w:rPr>
      <w:color w:val="0563C1" w:themeColor="hyperlink"/>
      <w:u w:val="single"/>
    </w:rPr>
  </w:style>
  <w:style w:type="character" w:styleId="UnresolvedMention">
    <w:name w:val="Unresolved Mention"/>
    <w:basedOn w:val="DefaultParagraphFont"/>
    <w:uiPriority w:val="99"/>
    <w:semiHidden/>
    <w:unhideWhenUsed/>
    <w:rsid w:val="00F266F0"/>
    <w:rPr>
      <w:color w:val="605E5C"/>
      <w:shd w:val="clear" w:color="auto" w:fill="E1DFDD"/>
    </w:rPr>
  </w:style>
  <w:style w:type="table" w:styleId="TableGrid">
    <w:name w:val="Table Grid"/>
    <w:basedOn w:val="TableNormal"/>
    <w:uiPriority w:val="39"/>
    <w:rsid w:val="003777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5371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581669"/>
    <w:rPr>
      <w:i/>
      <w:iCs/>
    </w:rPr>
  </w:style>
  <w:style w:type="table" w:customStyle="1" w:styleId="TableGrid1">
    <w:name w:val="Table Grid1"/>
    <w:basedOn w:val="TableNormal"/>
    <w:next w:val="TableGrid"/>
    <w:uiPriority w:val="59"/>
    <w:rsid w:val="003D247F"/>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3D247F"/>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97216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A326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A326A"/>
    <w:pPr>
      <w:spacing w:after="100"/>
    </w:pPr>
  </w:style>
  <w:style w:type="paragraph" w:styleId="TOC3">
    <w:name w:val="toc 3"/>
    <w:basedOn w:val="Normal"/>
    <w:next w:val="Normal"/>
    <w:autoRedefine/>
    <w:uiPriority w:val="39"/>
    <w:unhideWhenUsed/>
    <w:rsid w:val="00BA326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74170">
      <w:bodyDiv w:val="1"/>
      <w:marLeft w:val="0"/>
      <w:marRight w:val="0"/>
      <w:marTop w:val="0"/>
      <w:marBottom w:val="0"/>
      <w:divBdr>
        <w:top w:val="none" w:sz="0" w:space="0" w:color="auto"/>
        <w:left w:val="none" w:sz="0" w:space="0" w:color="auto"/>
        <w:bottom w:val="none" w:sz="0" w:space="0" w:color="auto"/>
        <w:right w:val="none" w:sz="0" w:space="0" w:color="auto"/>
      </w:divBdr>
    </w:div>
    <w:div w:id="58870883">
      <w:bodyDiv w:val="1"/>
      <w:marLeft w:val="0"/>
      <w:marRight w:val="0"/>
      <w:marTop w:val="0"/>
      <w:marBottom w:val="0"/>
      <w:divBdr>
        <w:top w:val="none" w:sz="0" w:space="0" w:color="auto"/>
        <w:left w:val="none" w:sz="0" w:space="0" w:color="auto"/>
        <w:bottom w:val="none" w:sz="0" w:space="0" w:color="auto"/>
        <w:right w:val="none" w:sz="0" w:space="0" w:color="auto"/>
      </w:divBdr>
      <w:divsChild>
        <w:div w:id="787354208">
          <w:marLeft w:val="0"/>
          <w:marRight w:val="0"/>
          <w:marTop w:val="0"/>
          <w:marBottom w:val="0"/>
          <w:divBdr>
            <w:top w:val="none" w:sz="0" w:space="0" w:color="auto"/>
            <w:left w:val="none" w:sz="0" w:space="0" w:color="auto"/>
            <w:bottom w:val="none" w:sz="0" w:space="0" w:color="auto"/>
            <w:right w:val="none" w:sz="0" w:space="0" w:color="auto"/>
          </w:divBdr>
        </w:div>
      </w:divsChild>
    </w:div>
    <w:div w:id="100342752">
      <w:bodyDiv w:val="1"/>
      <w:marLeft w:val="0"/>
      <w:marRight w:val="0"/>
      <w:marTop w:val="0"/>
      <w:marBottom w:val="0"/>
      <w:divBdr>
        <w:top w:val="none" w:sz="0" w:space="0" w:color="auto"/>
        <w:left w:val="none" w:sz="0" w:space="0" w:color="auto"/>
        <w:bottom w:val="none" w:sz="0" w:space="0" w:color="auto"/>
        <w:right w:val="none" w:sz="0" w:space="0" w:color="auto"/>
      </w:divBdr>
    </w:div>
    <w:div w:id="210071672">
      <w:bodyDiv w:val="1"/>
      <w:marLeft w:val="0"/>
      <w:marRight w:val="0"/>
      <w:marTop w:val="0"/>
      <w:marBottom w:val="0"/>
      <w:divBdr>
        <w:top w:val="none" w:sz="0" w:space="0" w:color="auto"/>
        <w:left w:val="none" w:sz="0" w:space="0" w:color="auto"/>
        <w:bottom w:val="none" w:sz="0" w:space="0" w:color="auto"/>
        <w:right w:val="none" w:sz="0" w:space="0" w:color="auto"/>
      </w:divBdr>
    </w:div>
    <w:div w:id="225265348">
      <w:bodyDiv w:val="1"/>
      <w:marLeft w:val="0"/>
      <w:marRight w:val="0"/>
      <w:marTop w:val="0"/>
      <w:marBottom w:val="0"/>
      <w:divBdr>
        <w:top w:val="none" w:sz="0" w:space="0" w:color="auto"/>
        <w:left w:val="none" w:sz="0" w:space="0" w:color="auto"/>
        <w:bottom w:val="none" w:sz="0" w:space="0" w:color="auto"/>
        <w:right w:val="none" w:sz="0" w:space="0" w:color="auto"/>
      </w:divBdr>
    </w:div>
    <w:div w:id="254900323">
      <w:bodyDiv w:val="1"/>
      <w:marLeft w:val="0"/>
      <w:marRight w:val="0"/>
      <w:marTop w:val="0"/>
      <w:marBottom w:val="0"/>
      <w:divBdr>
        <w:top w:val="none" w:sz="0" w:space="0" w:color="auto"/>
        <w:left w:val="none" w:sz="0" w:space="0" w:color="auto"/>
        <w:bottom w:val="none" w:sz="0" w:space="0" w:color="auto"/>
        <w:right w:val="none" w:sz="0" w:space="0" w:color="auto"/>
      </w:divBdr>
    </w:div>
    <w:div w:id="268436382">
      <w:bodyDiv w:val="1"/>
      <w:marLeft w:val="0"/>
      <w:marRight w:val="0"/>
      <w:marTop w:val="0"/>
      <w:marBottom w:val="0"/>
      <w:divBdr>
        <w:top w:val="none" w:sz="0" w:space="0" w:color="auto"/>
        <w:left w:val="none" w:sz="0" w:space="0" w:color="auto"/>
        <w:bottom w:val="none" w:sz="0" w:space="0" w:color="auto"/>
        <w:right w:val="none" w:sz="0" w:space="0" w:color="auto"/>
      </w:divBdr>
    </w:div>
    <w:div w:id="366684247">
      <w:bodyDiv w:val="1"/>
      <w:marLeft w:val="0"/>
      <w:marRight w:val="0"/>
      <w:marTop w:val="0"/>
      <w:marBottom w:val="0"/>
      <w:divBdr>
        <w:top w:val="none" w:sz="0" w:space="0" w:color="auto"/>
        <w:left w:val="none" w:sz="0" w:space="0" w:color="auto"/>
        <w:bottom w:val="none" w:sz="0" w:space="0" w:color="auto"/>
        <w:right w:val="none" w:sz="0" w:space="0" w:color="auto"/>
      </w:divBdr>
    </w:div>
    <w:div w:id="367729155">
      <w:bodyDiv w:val="1"/>
      <w:marLeft w:val="0"/>
      <w:marRight w:val="0"/>
      <w:marTop w:val="0"/>
      <w:marBottom w:val="0"/>
      <w:divBdr>
        <w:top w:val="none" w:sz="0" w:space="0" w:color="auto"/>
        <w:left w:val="none" w:sz="0" w:space="0" w:color="auto"/>
        <w:bottom w:val="none" w:sz="0" w:space="0" w:color="auto"/>
        <w:right w:val="none" w:sz="0" w:space="0" w:color="auto"/>
      </w:divBdr>
    </w:div>
    <w:div w:id="461536326">
      <w:bodyDiv w:val="1"/>
      <w:marLeft w:val="0"/>
      <w:marRight w:val="0"/>
      <w:marTop w:val="0"/>
      <w:marBottom w:val="0"/>
      <w:divBdr>
        <w:top w:val="none" w:sz="0" w:space="0" w:color="auto"/>
        <w:left w:val="none" w:sz="0" w:space="0" w:color="auto"/>
        <w:bottom w:val="none" w:sz="0" w:space="0" w:color="auto"/>
        <w:right w:val="none" w:sz="0" w:space="0" w:color="auto"/>
      </w:divBdr>
    </w:div>
    <w:div w:id="486023187">
      <w:bodyDiv w:val="1"/>
      <w:marLeft w:val="0"/>
      <w:marRight w:val="0"/>
      <w:marTop w:val="0"/>
      <w:marBottom w:val="0"/>
      <w:divBdr>
        <w:top w:val="none" w:sz="0" w:space="0" w:color="auto"/>
        <w:left w:val="none" w:sz="0" w:space="0" w:color="auto"/>
        <w:bottom w:val="none" w:sz="0" w:space="0" w:color="auto"/>
        <w:right w:val="none" w:sz="0" w:space="0" w:color="auto"/>
      </w:divBdr>
    </w:div>
    <w:div w:id="517159209">
      <w:bodyDiv w:val="1"/>
      <w:marLeft w:val="0"/>
      <w:marRight w:val="0"/>
      <w:marTop w:val="0"/>
      <w:marBottom w:val="0"/>
      <w:divBdr>
        <w:top w:val="none" w:sz="0" w:space="0" w:color="auto"/>
        <w:left w:val="none" w:sz="0" w:space="0" w:color="auto"/>
        <w:bottom w:val="none" w:sz="0" w:space="0" w:color="auto"/>
        <w:right w:val="none" w:sz="0" w:space="0" w:color="auto"/>
      </w:divBdr>
      <w:divsChild>
        <w:div w:id="3619078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93899056">
      <w:bodyDiv w:val="1"/>
      <w:marLeft w:val="0"/>
      <w:marRight w:val="0"/>
      <w:marTop w:val="0"/>
      <w:marBottom w:val="0"/>
      <w:divBdr>
        <w:top w:val="none" w:sz="0" w:space="0" w:color="auto"/>
        <w:left w:val="none" w:sz="0" w:space="0" w:color="auto"/>
        <w:bottom w:val="none" w:sz="0" w:space="0" w:color="auto"/>
        <w:right w:val="none" w:sz="0" w:space="0" w:color="auto"/>
      </w:divBdr>
    </w:div>
    <w:div w:id="733892050">
      <w:bodyDiv w:val="1"/>
      <w:marLeft w:val="0"/>
      <w:marRight w:val="0"/>
      <w:marTop w:val="0"/>
      <w:marBottom w:val="0"/>
      <w:divBdr>
        <w:top w:val="none" w:sz="0" w:space="0" w:color="auto"/>
        <w:left w:val="none" w:sz="0" w:space="0" w:color="auto"/>
        <w:bottom w:val="none" w:sz="0" w:space="0" w:color="auto"/>
        <w:right w:val="none" w:sz="0" w:space="0" w:color="auto"/>
      </w:divBdr>
    </w:div>
    <w:div w:id="840707017">
      <w:bodyDiv w:val="1"/>
      <w:marLeft w:val="0"/>
      <w:marRight w:val="0"/>
      <w:marTop w:val="0"/>
      <w:marBottom w:val="0"/>
      <w:divBdr>
        <w:top w:val="none" w:sz="0" w:space="0" w:color="auto"/>
        <w:left w:val="none" w:sz="0" w:space="0" w:color="auto"/>
        <w:bottom w:val="none" w:sz="0" w:space="0" w:color="auto"/>
        <w:right w:val="none" w:sz="0" w:space="0" w:color="auto"/>
      </w:divBdr>
    </w:div>
    <w:div w:id="857743329">
      <w:bodyDiv w:val="1"/>
      <w:marLeft w:val="0"/>
      <w:marRight w:val="0"/>
      <w:marTop w:val="0"/>
      <w:marBottom w:val="0"/>
      <w:divBdr>
        <w:top w:val="none" w:sz="0" w:space="0" w:color="auto"/>
        <w:left w:val="none" w:sz="0" w:space="0" w:color="auto"/>
        <w:bottom w:val="none" w:sz="0" w:space="0" w:color="auto"/>
        <w:right w:val="none" w:sz="0" w:space="0" w:color="auto"/>
      </w:divBdr>
    </w:div>
    <w:div w:id="890843871">
      <w:bodyDiv w:val="1"/>
      <w:marLeft w:val="0"/>
      <w:marRight w:val="0"/>
      <w:marTop w:val="0"/>
      <w:marBottom w:val="0"/>
      <w:divBdr>
        <w:top w:val="none" w:sz="0" w:space="0" w:color="auto"/>
        <w:left w:val="none" w:sz="0" w:space="0" w:color="auto"/>
        <w:bottom w:val="none" w:sz="0" w:space="0" w:color="auto"/>
        <w:right w:val="none" w:sz="0" w:space="0" w:color="auto"/>
      </w:divBdr>
    </w:div>
    <w:div w:id="897017685">
      <w:bodyDiv w:val="1"/>
      <w:marLeft w:val="0"/>
      <w:marRight w:val="0"/>
      <w:marTop w:val="0"/>
      <w:marBottom w:val="0"/>
      <w:divBdr>
        <w:top w:val="none" w:sz="0" w:space="0" w:color="auto"/>
        <w:left w:val="none" w:sz="0" w:space="0" w:color="auto"/>
        <w:bottom w:val="none" w:sz="0" w:space="0" w:color="auto"/>
        <w:right w:val="none" w:sz="0" w:space="0" w:color="auto"/>
      </w:divBdr>
    </w:div>
    <w:div w:id="907572668">
      <w:bodyDiv w:val="1"/>
      <w:marLeft w:val="0"/>
      <w:marRight w:val="0"/>
      <w:marTop w:val="0"/>
      <w:marBottom w:val="0"/>
      <w:divBdr>
        <w:top w:val="none" w:sz="0" w:space="0" w:color="auto"/>
        <w:left w:val="none" w:sz="0" w:space="0" w:color="auto"/>
        <w:bottom w:val="none" w:sz="0" w:space="0" w:color="auto"/>
        <w:right w:val="none" w:sz="0" w:space="0" w:color="auto"/>
      </w:divBdr>
    </w:div>
    <w:div w:id="908073644">
      <w:bodyDiv w:val="1"/>
      <w:marLeft w:val="0"/>
      <w:marRight w:val="0"/>
      <w:marTop w:val="0"/>
      <w:marBottom w:val="0"/>
      <w:divBdr>
        <w:top w:val="none" w:sz="0" w:space="0" w:color="auto"/>
        <w:left w:val="none" w:sz="0" w:space="0" w:color="auto"/>
        <w:bottom w:val="none" w:sz="0" w:space="0" w:color="auto"/>
        <w:right w:val="none" w:sz="0" w:space="0" w:color="auto"/>
      </w:divBdr>
    </w:div>
    <w:div w:id="961497828">
      <w:bodyDiv w:val="1"/>
      <w:marLeft w:val="0"/>
      <w:marRight w:val="0"/>
      <w:marTop w:val="0"/>
      <w:marBottom w:val="0"/>
      <w:divBdr>
        <w:top w:val="none" w:sz="0" w:space="0" w:color="auto"/>
        <w:left w:val="none" w:sz="0" w:space="0" w:color="auto"/>
        <w:bottom w:val="none" w:sz="0" w:space="0" w:color="auto"/>
        <w:right w:val="none" w:sz="0" w:space="0" w:color="auto"/>
      </w:divBdr>
    </w:div>
    <w:div w:id="966545215">
      <w:bodyDiv w:val="1"/>
      <w:marLeft w:val="0"/>
      <w:marRight w:val="0"/>
      <w:marTop w:val="0"/>
      <w:marBottom w:val="0"/>
      <w:divBdr>
        <w:top w:val="none" w:sz="0" w:space="0" w:color="auto"/>
        <w:left w:val="none" w:sz="0" w:space="0" w:color="auto"/>
        <w:bottom w:val="none" w:sz="0" w:space="0" w:color="auto"/>
        <w:right w:val="none" w:sz="0" w:space="0" w:color="auto"/>
      </w:divBdr>
    </w:div>
    <w:div w:id="1006636378">
      <w:bodyDiv w:val="1"/>
      <w:marLeft w:val="0"/>
      <w:marRight w:val="0"/>
      <w:marTop w:val="0"/>
      <w:marBottom w:val="0"/>
      <w:divBdr>
        <w:top w:val="none" w:sz="0" w:space="0" w:color="auto"/>
        <w:left w:val="none" w:sz="0" w:space="0" w:color="auto"/>
        <w:bottom w:val="none" w:sz="0" w:space="0" w:color="auto"/>
        <w:right w:val="none" w:sz="0" w:space="0" w:color="auto"/>
      </w:divBdr>
    </w:div>
    <w:div w:id="1029136587">
      <w:bodyDiv w:val="1"/>
      <w:marLeft w:val="0"/>
      <w:marRight w:val="0"/>
      <w:marTop w:val="0"/>
      <w:marBottom w:val="0"/>
      <w:divBdr>
        <w:top w:val="none" w:sz="0" w:space="0" w:color="auto"/>
        <w:left w:val="none" w:sz="0" w:space="0" w:color="auto"/>
        <w:bottom w:val="none" w:sz="0" w:space="0" w:color="auto"/>
        <w:right w:val="none" w:sz="0" w:space="0" w:color="auto"/>
      </w:divBdr>
      <w:divsChild>
        <w:div w:id="1493791400">
          <w:marLeft w:val="0"/>
          <w:marRight w:val="0"/>
          <w:marTop w:val="0"/>
          <w:marBottom w:val="150"/>
          <w:divBdr>
            <w:top w:val="none" w:sz="0" w:space="0" w:color="auto"/>
            <w:left w:val="none" w:sz="0" w:space="0" w:color="auto"/>
            <w:bottom w:val="none" w:sz="0" w:space="0" w:color="auto"/>
            <w:right w:val="none" w:sz="0" w:space="0" w:color="auto"/>
          </w:divBdr>
        </w:div>
      </w:divsChild>
    </w:div>
    <w:div w:id="1035422244">
      <w:bodyDiv w:val="1"/>
      <w:marLeft w:val="0"/>
      <w:marRight w:val="0"/>
      <w:marTop w:val="0"/>
      <w:marBottom w:val="0"/>
      <w:divBdr>
        <w:top w:val="none" w:sz="0" w:space="0" w:color="auto"/>
        <w:left w:val="none" w:sz="0" w:space="0" w:color="auto"/>
        <w:bottom w:val="none" w:sz="0" w:space="0" w:color="auto"/>
        <w:right w:val="none" w:sz="0" w:space="0" w:color="auto"/>
      </w:divBdr>
    </w:div>
    <w:div w:id="1047677954">
      <w:bodyDiv w:val="1"/>
      <w:marLeft w:val="0"/>
      <w:marRight w:val="0"/>
      <w:marTop w:val="0"/>
      <w:marBottom w:val="0"/>
      <w:divBdr>
        <w:top w:val="none" w:sz="0" w:space="0" w:color="auto"/>
        <w:left w:val="none" w:sz="0" w:space="0" w:color="auto"/>
        <w:bottom w:val="none" w:sz="0" w:space="0" w:color="auto"/>
        <w:right w:val="none" w:sz="0" w:space="0" w:color="auto"/>
      </w:divBdr>
    </w:div>
    <w:div w:id="1067074316">
      <w:bodyDiv w:val="1"/>
      <w:marLeft w:val="0"/>
      <w:marRight w:val="0"/>
      <w:marTop w:val="0"/>
      <w:marBottom w:val="0"/>
      <w:divBdr>
        <w:top w:val="none" w:sz="0" w:space="0" w:color="auto"/>
        <w:left w:val="none" w:sz="0" w:space="0" w:color="auto"/>
        <w:bottom w:val="none" w:sz="0" w:space="0" w:color="auto"/>
        <w:right w:val="none" w:sz="0" w:space="0" w:color="auto"/>
      </w:divBdr>
    </w:div>
    <w:div w:id="1094863614">
      <w:bodyDiv w:val="1"/>
      <w:marLeft w:val="0"/>
      <w:marRight w:val="0"/>
      <w:marTop w:val="0"/>
      <w:marBottom w:val="0"/>
      <w:divBdr>
        <w:top w:val="none" w:sz="0" w:space="0" w:color="auto"/>
        <w:left w:val="none" w:sz="0" w:space="0" w:color="auto"/>
        <w:bottom w:val="none" w:sz="0" w:space="0" w:color="auto"/>
        <w:right w:val="none" w:sz="0" w:space="0" w:color="auto"/>
      </w:divBdr>
    </w:div>
    <w:div w:id="1175413613">
      <w:bodyDiv w:val="1"/>
      <w:marLeft w:val="0"/>
      <w:marRight w:val="0"/>
      <w:marTop w:val="0"/>
      <w:marBottom w:val="0"/>
      <w:divBdr>
        <w:top w:val="none" w:sz="0" w:space="0" w:color="auto"/>
        <w:left w:val="none" w:sz="0" w:space="0" w:color="auto"/>
        <w:bottom w:val="none" w:sz="0" w:space="0" w:color="auto"/>
        <w:right w:val="none" w:sz="0" w:space="0" w:color="auto"/>
      </w:divBdr>
    </w:div>
    <w:div w:id="1197278440">
      <w:bodyDiv w:val="1"/>
      <w:marLeft w:val="0"/>
      <w:marRight w:val="0"/>
      <w:marTop w:val="0"/>
      <w:marBottom w:val="0"/>
      <w:divBdr>
        <w:top w:val="none" w:sz="0" w:space="0" w:color="auto"/>
        <w:left w:val="none" w:sz="0" w:space="0" w:color="auto"/>
        <w:bottom w:val="none" w:sz="0" w:space="0" w:color="auto"/>
        <w:right w:val="none" w:sz="0" w:space="0" w:color="auto"/>
      </w:divBdr>
    </w:div>
    <w:div w:id="1224217924">
      <w:bodyDiv w:val="1"/>
      <w:marLeft w:val="0"/>
      <w:marRight w:val="0"/>
      <w:marTop w:val="0"/>
      <w:marBottom w:val="0"/>
      <w:divBdr>
        <w:top w:val="none" w:sz="0" w:space="0" w:color="auto"/>
        <w:left w:val="none" w:sz="0" w:space="0" w:color="auto"/>
        <w:bottom w:val="none" w:sz="0" w:space="0" w:color="auto"/>
        <w:right w:val="none" w:sz="0" w:space="0" w:color="auto"/>
      </w:divBdr>
    </w:div>
    <w:div w:id="1349214388">
      <w:bodyDiv w:val="1"/>
      <w:marLeft w:val="0"/>
      <w:marRight w:val="0"/>
      <w:marTop w:val="0"/>
      <w:marBottom w:val="0"/>
      <w:divBdr>
        <w:top w:val="none" w:sz="0" w:space="0" w:color="auto"/>
        <w:left w:val="none" w:sz="0" w:space="0" w:color="auto"/>
        <w:bottom w:val="none" w:sz="0" w:space="0" w:color="auto"/>
        <w:right w:val="none" w:sz="0" w:space="0" w:color="auto"/>
      </w:divBdr>
    </w:div>
    <w:div w:id="1356038089">
      <w:bodyDiv w:val="1"/>
      <w:marLeft w:val="0"/>
      <w:marRight w:val="0"/>
      <w:marTop w:val="0"/>
      <w:marBottom w:val="0"/>
      <w:divBdr>
        <w:top w:val="none" w:sz="0" w:space="0" w:color="auto"/>
        <w:left w:val="none" w:sz="0" w:space="0" w:color="auto"/>
        <w:bottom w:val="none" w:sz="0" w:space="0" w:color="auto"/>
        <w:right w:val="none" w:sz="0" w:space="0" w:color="auto"/>
      </w:divBdr>
    </w:div>
    <w:div w:id="1375617048">
      <w:bodyDiv w:val="1"/>
      <w:marLeft w:val="0"/>
      <w:marRight w:val="0"/>
      <w:marTop w:val="0"/>
      <w:marBottom w:val="0"/>
      <w:divBdr>
        <w:top w:val="none" w:sz="0" w:space="0" w:color="auto"/>
        <w:left w:val="none" w:sz="0" w:space="0" w:color="auto"/>
        <w:bottom w:val="none" w:sz="0" w:space="0" w:color="auto"/>
        <w:right w:val="none" w:sz="0" w:space="0" w:color="auto"/>
      </w:divBdr>
    </w:div>
    <w:div w:id="1392578765">
      <w:bodyDiv w:val="1"/>
      <w:marLeft w:val="0"/>
      <w:marRight w:val="0"/>
      <w:marTop w:val="0"/>
      <w:marBottom w:val="0"/>
      <w:divBdr>
        <w:top w:val="none" w:sz="0" w:space="0" w:color="auto"/>
        <w:left w:val="none" w:sz="0" w:space="0" w:color="auto"/>
        <w:bottom w:val="none" w:sz="0" w:space="0" w:color="auto"/>
        <w:right w:val="none" w:sz="0" w:space="0" w:color="auto"/>
      </w:divBdr>
      <w:divsChild>
        <w:div w:id="1561165121">
          <w:marLeft w:val="0"/>
          <w:marRight w:val="0"/>
          <w:marTop w:val="0"/>
          <w:marBottom w:val="0"/>
          <w:divBdr>
            <w:top w:val="none" w:sz="0" w:space="0" w:color="auto"/>
            <w:left w:val="none" w:sz="0" w:space="0" w:color="auto"/>
            <w:bottom w:val="none" w:sz="0" w:space="0" w:color="auto"/>
            <w:right w:val="none" w:sz="0" w:space="0" w:color="auto"/>
          </w:divBdr>
        </w:div>
      </w:divsChild>
    </w:div>
    <w:div w:id="1514342692">
      <w:bodyDiv w:val="1"/>
      <w:marLeft w:val="0"/>
      <w:marRight w:val="0"/>
      <w:marTop w:val="0"/>
      <w:marBottom w:val="0"/>
      <w:divBdr>
        <w:top w:val="none" w:sz="0" w:space="0" w:color="auto"/>
        <w:left w:val="none" w:sz="0" w:space="0" w:color="auto"/>
        <w:bottom w:val="none" w:sz="0" w:space="0" w:color="auto"/>
        <w:right w:val="none" w:sz="0" w:space="0" w:color="auto"/>
      </w:divBdr>
    </w:div>
    <w:div w:id="1520658024">
      <w:bodyDiv w:val="1"/>
      <w:marLeft w:val="0"/>
      <w:marRight w:val="0"/>
      <w:marTop w:val="0"/>
      <w:marBottom w:val="0"/>
      <w:divBdr>
        <w:top w:val="none" w:sz="0" w:space="0" w:color="auto"/>
        <w:left w:val="none" w:sz="0" w:space="0" w:color="auto"/>
        <w:bottom w:val="none" w:sz="0" w:space="0" w:color="auto"/>
        <w:right w:val="none" w:sz="0" w:space="0" w:color="auto"/>
      </w:divBdr>
    </w:div>
    <w:div w:id="1533109595">
      <w:bodyDiv w:val="1"/>
      <w:marLeft w:val="0"/>
      <w:marRight w:val="0"/>
      <w:marTop w:val="0"/>
      <w:marBottom w:val="0"/>
      <w:divBdr>
        <w:top w:val="none" w:sz="0" w:space="0" w:color="auto"/>
        <w:left w:val="none" w:sz="0" w:space="0" w:color="auto"/>
        <w:bottom w:val="none" w:sz="0" w:space="0" w:color="auto"/>
        <w:right w:val="none" w:sz="0" w:space="0" w:color="auto"/>
      </w:divBdr>
    </w:div>
    <w:div w:id="1580480028">
      <w:bodyDiv w:val="1"/>
      <w:marLeft w:val="0"/>
      <w:marRight w:val="0"/>
      <w:marTop w:val="0"/>
      <w:marBottom w:val="0"/>
      <w:divBdr>
        <w:top w:val="none" w:sz="0" w:space="0" w:color="auto"/>
        <w:left w:val="none" w:sz="0" w:space="0" w:color="auto"/>
        <w:bottom w:val="none" w:sz="0" w:space="0" w:color="auto"/>
        <w:right w:val="none" w:sz="0" w:space="0" w:color="auto"/>
      </w:divBdr>
    </w:div>
    <w:div w:id="1600406598">
      <w:bodyDiv w:val="1"/>
      <w:marLeft w:val="0"/>
      <w:marRight w:val="0"/>
      <w:marTop w:val="0"/>
      <w:marBottom w:val="0"/>
      <w:divBdr>
        <w:top w:val="none" w:sz="0" w:space="0" w:color="auto"/>
        <w:left w:val="none" w:sz="0" w:space="0" w:color="auto"/>
        <w:bottom w:val="none" w:sz="0" w:space="0" w:color="auto"/>
        <w:right w:val="none" w:sz="0" w:space="0" w:color="auto"/>
      </w:divBdr>
    </w:div>
    <w:div w:id="1604267666">
      <w:bodyDiv w:val="1"/>
      <w:marLeft w:val="0"/>
      <w:marRight w:val="0"/>
      <w:marTop w:val="0"/>
      <w:marBottom w:val="0"/>
      <w:divBdr>
        <w:top w:val="none" w:sz="0" w:space="0" w:color="auto"/>
        <w:left w:val="none" w:sz="0" w:space="0" w:color="auto"/>
        <w:bottom w:val="none" w:sz="0" w:space="0" w:color="auto"/>
        <w:right w:val="none" w:sz="0" w:space="0" w:color="auto"/>
      </w:divBdr>
    </w:div>
    <w:div w:id="1615669854">
      <w:bodyDiv w:val="1"/>
      <w:marLeft w:val="0"/>
      <w:marRight w:val="0"/>
      <w:marTop w:val="0"/>
      <w:marBottom w:val="0"/>
      <w:divBdr>
        <w:top w:val="none" w:sz="0" w:space="0" w:color="auto"/>
        <w:left w:val="none" w:sz="0" w:space="0" w:color="auto"/>
        <w:bottom w:val="none" w:sz="0" w:space="0" w:color="auto"/>
        <w:right w:val="none" w:sz="0" w:space="0" w:color="auto"/>
      </w:divBdr>
    </w:div>
    <w:div w:id="1632318414">
      <w:bodyDiv w:val="1"/>
      <w:marLeft w:val="0"/>
      <w:marRight w:val="0"/>
      <w:marTop w:val="0"/>
      <w:marBottom w:val="0"/>
      <w:divBdr>
        <w:top w:val="none" w:sz="0" w:space="0" w:color="auto"/>
        <w:left w:val="none" w:sz="0" w:space="0" w:color="auto"/>
        <w:bottom w:val="none" w:sz="0" w:space="0" w:color="auto"/>
        <w:right w:val="none" w:sz="0" w:space="0" w:color="auto"/>
      </w:divBdr>
    </w:div>
    <w:div w:id="1644694374">
      <w:bodyDiv w:val="1"/>
      <w:marLeft w:val="0"/>
      <w:marRight w:val="0"/>
      <w:marTop w:val="0"/>
      <w:marBottom w:val="0"/>
      <w:divBdr>
        <w:top w:val="none" w:sz="0" w:space="0" w:color="auto"/>
        <w:left w:val="none" w:sz="0" w:space="0" w:color="auto"/>
        <w:bottom w:val="none" w:sz="0" w:space="0" w:color="auto"/>
        <w:right w:val="none" w:sz="0" w:space="0" w:color="auto"/>
      </w:divBdr>
    </w:div>
    <w:div w:id="1659965435">
      <w:bodyDiv w:val="1"/>
      <w:marLeft w:val="0"/>
      <w:marRight w:val="0"/>
      <w:marTop w:val="0"/>
      <w:marBottom w:val="0"/>
      <w:divBdr>
        <w:top w:val="none" w:sz="0" w:space="0" w:color="auto"/>
        <w:left w:val="none" w:sz="0" w:space="0" w:color="auto"/>
        <w:bottom w:val="none" w:sz="0" w:space="0" w:color="auto"/>
        <w:right w:val="none" w:sz="0" w:space="0" w:color="auto"/>
      </w:divBdr>
    </w:div>
    <w:div w:id="1666276121">
      <w:bodyDiv w:val="1"/>
      <w:marLeft w:val="0"/>
      <w:marRight w:val="0"/>
      <w:marTop w:val="0"/>
      <w:marBottom w:val="0"/>
      <w:divBdr>
        <w:top w:val="none" w:sz="0" w:space="0" w:color="auto"/>
        <w:left w:val="none" w:sz="0" w:space="0" w:color="auto"/>
        <w:bottom w:val="none" w:sz="0" w:space="0" w:color="auto"/>
        <w:right w:val="none" w:sz="0" w:space="0" w:color="auto"/>
      </w:divBdr>
    </w:div>
    <w:div w:id="1684936512">
      <w:bodyDiv w:val="1"/>
      <w:marLeft w:val="0"/>
      <w:marRight w:val="0"/>
      <w:marTop w:val="0"/>
      <w:marBottom w:val="0"/>
      <w:divBdr>
        <w:top w:val="none" w:sz="0" w:space="0" w:color="auto"/>
        <w:left w:val="none" w:sz="0" w:space="0" w:color="auto"/>
        <w:bottom w:val="none" w:sz="0" w:space="0" w:color="auto"/>
        <w:right w:val="none" w:sz="0" w:space="0" w:color="auto"/>
      </w:divBdr>
    </w:div>
    <w:div w:id="1806776789">
      <w:bodyDiv w:val="1"/>
      <w:marLeft w:val="0"/>
      <w:marRight w:val="0"/>
      <w:marTop w:val="0"/>
      <w:marBottom w:val="0"/>
      <w:divBdr>
        <w:top w:val="none" w:sz="0" w:space="0" w:color="auto"/>
        <w:left w:val="none" w:sz="0" w:space="0" w:color="auto"/>
        <w:bottom w:val="none" w:sz="0" w:space="0" w:color="auto"/>
        <w:right w:val="none" w:sz="0" w:space="0" w:color="auto"/>
      </w:divBdr>
    </w:div>
    <w:div w:id="1811359883">
      <w:bodyDiv w:val="1"/>
      <w:marLeft w:val="0"/>
      <w:marRight w:val="0"/>
      <w:marTop w:val="0"/>
      <w:marBottom w:val="0"/>
      <w:divBdr>
        <w:top w:val="none" w:sz="0" w:space="0" w:color="auto"/>
        <w:left w:val="none" w:sz="0" w:space="0" w:color="auto"/>
        <w:bottom w:val="none" w:sz="0" w:space="0" w:color="auto"/>
        <w:right w:val="none" w:sz="0" w:space="0" w:color="auto"/>
      </w:divBdr>
    </w:div>
    <w:div w:id="1834829171">
      <w:bodyDiv w:val="1"/>
      <w:marLeft w:val="0"/>
      <w:marRight w:val="0"/>
      <w:marTop w:val="0"/>
      <w:marBottom w:val="0"/>
      <w:divBdr>
        <w:top w:val="none" w:sz="0" w:space="0" w:color="auto"/>
        <w:left w:val="none" w:sz="0" w:space="0" w:color="auto"/>
        <w:bottom w:val="none" w:sz="0" w:space="0" w:color="auto"/>
        <w:right w:val="none" w:sz="0" w:space="0" w:color="auto"/>
      </w:divBdr>
    </w:div>
    <w:div w:id="1847984312">
      <w:bodyDiv w:val="1"/>
      <w:marLeft w:val="0"/>
      <w:marRight w:val="0"/>
      <w:marTop w:val="0"/>
      <w:marBottom w:val="0"/>
      <w:divBdr>
        <w:top w:val="none" w:sz="0" w:space="0" w:color="auto"/>
        <w:left w:val="none" w:sz="0" w:space="0" w:color="auto"/>
        <w:bottom w:val="none" w:sz="0" w:space="0" w:color="auto"/>
        <w:right w:val="none" w:sz="0" w:space="0" w:color="auto"/>
      </w:divBdr>
    </w:div>
    <w:div w:id="1878931496">
      <w:bodyDiv w:val="1"/>
      <w:marLeft w:val="0"/>
      <w:marRight w:val="0"/>
      <w:marTop w:val="0"/>
      <w:marBottom w:val="0"/>
      <w:divBdr>
        <w:top w:val="none" w:sz="0" w:space="0" w:color="auto"/>
        <w:left w:val="none" w:sz="0" w:space="0" w:color="auto"/>
        <w:bottom w:val="none" w:sz="0" w:space="0" w:color="auto"/>
        <w:right w:val="none" w:sz="0" w:space="0" w:color="auto"/>
      </w:divBdr>
    </w:div>
    <w:div w:id="1911571048">
      <w:bodyDiv w:val="1"/>
      <w:marLeft w:val="0"/>
      <w:marRight w:val="0"/>
      <w:marTop w:val="0"/>
      <w:marBottom w:val="0"/>
      <w:divBdr>
        <w:top w:val="none" w:sz="0" w:space="0" w:color="auto"/>
        <w:left w:val="none" w:sz="0" w:space="0" w:color="auto"/>
        <w:bottom w:val="none" w:sz="0" w:space="0" w:color="auto"/>
        <w:right w:val="none" w:sz="0" w:space="0" w:color="auto"/>
      </w:divBdr>
    </w:div>
    <w:div w:id="1955091751">
      <w:bodyDiv w:val="1"/>
      <w:marLeft w:val="0"/>
      <w:marRight w:val="0"/>
      <w:marTop w:val="0"/>
      <w:marBottom w:val="0"/>
      <w:divBdr>
        <w:top w:val="none" w:sz="0" w:space="0" w:color="auto"/>
        <w:left w:val="none" w:sz="0" w:space="0" w:color="auto"/>
        <w:bottom w:val="none" w:sz="0" w:space="0" w:color="auto"/>
        <w:right w:val="none" w:sz="0" w:space="0" w:color="auto"/>
      </w:divBdr>
    </w:div>
    <w:div w:id="1997100016">
      <w:bodyDiv w:val="1"/>
      <w:marLeft w:val="0"/>
      <w:marRight w:val="0"/>
      <w:marTop w:val="0"/>
      <w:marBottom w:val="0"/>
      <w:divBdr>
        <w:top w:val="none" w:sz="0" w:space="0" w:color="auto"/>
        <w:left w:val="none" w:sz="0" w:space="0" w:color="auto"/>
        <w:bottom w:val="none" w:sz="0" w:space="0" w:color="auto"/>
        <w:right w:val="none" w:sz="0" w:space="0" w:color="auto"/>
      </w:divBdr>
      <w:divsChild>
        <w:div w:id="1092705950">
          <w:marLeft w:val="0"/>
          <w:marRight w:val="0"/>
          <w:marTop w:val="0"/>
          <w:marBottom w:val="0"/>
          <w:divBdr>
            <w:top w:val="none" w:sz="0" w:space="0" w:color="auto"/>
            <w:left w:val="none" w:sz="0" w:space="0" w:color="auto"/>
            <w:bottom w:val="none" w:sz="0" w:space="0" w:color="auto"/>
            <w:right w:val="none" w:sz="0" w:space="0" w:color="auto"/>
          </w:divBdr>
          <w:divsChild>
            <w:div w:id="130018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299101">
      <w:bodyDiv w:val="1"/>
      <w:marLeft w:val="0"/>
      <w:marRight w:val="0"/>
      <w:marTop w:val="0"/>
      <w:marBottom w:val="0"/>
      <w:divBdr>
        <w:top w:val="none" w:sz="0" w:space="0" w:color="auto"/>
        <w:left w:val="none" w:sz="0" w:space="0" w:color="auto"/>
        <w:bottom w:val="none" w:sz="0" w:space="0" w:color="auto"/>
        <w:right w:val="none" w:sz="0" w:space="0" w:color="auto"/>
      </w:divBdr>
    </w:div>
    <w:div w:id="2027903668">
      <w:bodyDiv w:val="1"/>
      <w:marLeft w:val="0"/>
      <w:marRight w:val="0"/>
      <w:marTop w:val="0"/>
      <w:marBottom w:val="0"/>
      <w:divBdr>
        <w:top w:val="none" w:sz="0" w:space="0" w:color="auto"/>
        <w:left w:val="none" w:sz="0" w:space="0" w:color="auto"/>
        <w:bottom w:val="none" w:sz="0" w:space="0" w:color="auto"/>
        <w:right w:val="none" w:sz="0" w:space="0" w:color="auto"/>
      </w:divBdr>
    </w:div>
    <w:div w:id="2113235127">
      <w:bodyDiv w:val="1"/>
      <w:marLeft w:val="0"/>
      <w:marRight w:val="0"/>
      <w:marTop w:val="0"/>
      <w:marBottom w:val="0"/>
      <w:divBdr>
        <w:top w:val="none" w:sz="0" w:space="0" w:color="auto"/>
        <w:left w:val="none" w:sz="0" w:space="0" w:color="auto"/>
        <w:bottom w:val="none" w:sz="0" w:space="0" w:color="auto"/>
        <w:right w:val="none" w:sz="0" w:space="0" w:color="auto"/>
      </w:divBdr>
      <w:divsChild>
        <w:div w:id="112604183">
          <w:marLeft w:val="0"/>
          <w:marRight w:val="0"/>
          <w:marTop w:val="0"/>
          <w:marBottom w:val="0"/>
          <w:divBdr>
            <w:top w:val="none" w:sz="0" w:space="0" w:color="auto"/>
            <w:left w:val="none" w:sz="0" w:space="0" w:color="auto"/>
            <w:bottom w:val="none" w:sz="0" w:space="0" w:color="auto"/>
            <w:right w:val="none" w:sz="0" w:space="0" w:color="auto"/>
          </w:divBdr>
          <w:divsChild>
            <w:div w:id="538125151">
              <w:marLeft w:val="0"/>
              <w:marRight w:val="0"/>
              <w:marTop w:val="0"/>
              <w:marBottom w:val="0"/>
              <w:divBdr>
                <w:top w:val="none" w:sz="0" w:space="0" w:color="auto"/>
                <w:left w:val="none" w:sz="0" w:space="0" w:color="auto"/>
                <w:bottom w:val="none" w:sz="0" w:space="0" w:color="auto"/>
                <w:right w:val="none" w:sz="0" w:space="0" w:color="auto"/>
              </w:divBdr>
              <w:divsChild>
                <w:div w:id="1018652673">
                  <w:marLeft w:val="0"/>
                  <w:marRight w:val="0"/>
                  <w:marTop w:val="0"/>
                  <w:marBottom w:val="0"/>
                  <w:divBdr>
                    <w:top w:val="none" w:sz="0" w:space="0" w:color="auto"/>
                    <w:left w:val="none" w:sz="0" w:space="0" w:color="auto"/>
                    <w:bottom w:val="none" w:sz="0" w:space="0" w:color="auto"/>
                    <w:right w:val="none" w:sz="0" w:space="0" w:color="auto"/>
                  </w:divBdr>
                  <w:divsChild>
                    <w:div w:id="1751612963">
                      <w:marLeft w:val="0"/>
                      <w:marRight w:val="0"/>
                      <w:marTop w:val="0"/>
                      <w:marBottom w:val="0"/>
                      <w:divBdr>
                        <w:top w:val="none" w:sz="0" w:space="0" w:color="auto"/>
                        <w:left w:val="none" w:sz="0" w:space="0" w:color="auto"/>
                        <w:bottom w:val="none" w:sz="0" w:space="0" w:color="auto"/>
                        <w:right w:val="none" w:sz="0" w:space="0" w:color="auto"/>
                      </w:divBdr>
                      <w:divsChild>
                        <w:div w:id="652106281">
                          <w:marLeft w:val="30"/>
                          <w:marRight w:val="30"/>
                          <w:marTop w:val="30"/>
                          <w:marBottom w:val="120"/>
                          <w:divBdr>
                            <w:top w:val="none" w:sz="0" w:space="0" w:color="auto"/>
                            <w:left w:val="none" w:sz="0" w:space="0" w:color="auto"/>
                            <w:bottom w:val="none" w:sz="0" w:space="0" w:color="auto"/>
                            <w:right w:val="none" w:sz="0" w:space="0" w:color="auto"/>
                          </w:divBdr>
                          <w:divsChild>
                            <w:div w:id="672801147">
                              <w:marLeft w:val="0"/>
                              <w:marRight w:val="0"/>
                              <w:marTop w:val="0"/>
                              <w:marBottom w:val="0"/>
                              <w:divBdr>
                                <w:top w:val="none" w:sz="0" w:space="0" w:color="auto"/>
                                <w:left w:val="none" w:sz="0" w:space="0" w:color="auto"/>
                                <w:bottom w:val="none" w:sz="0" w:space="0" w:color="auto"/>
                                <w:right w:val="none" w:sz="0" w:space="0" w:color="auto"/>
                              </w:divBdr>
                              <w:divsChild>
                                <w:div w:id="1820150206">
                                  <w:marLeft w:val="720"/>
                                  <w:marRight w:val="0"/>
                                  <w:marTop w:val="0"/>
                                  <w:marBottom w:val="0"/>
                                  <w:divBdr>
                                    <w:top w:val="none" w:sz="0" w:space="0" w:color="auto"/>
                                    <w:left w:val="none" w:sz="0" w:space="0" w:color="auto"/>
                                    <w:bottom w:val="none" w:sz="0" w:space="0" w:color="auto"/>
                                    <w:right w:val="none" w:sz="0" w:space="0" w:color="auto"/>
                                  </w:divBdr>
                                  <w:divsChild>
                                    <w:div w:id="1643459292">
                                      <w:marLeft w:val="0"/>
                                      <w:marRight w:val="0"/>
                                      <w:marTop w:val="0"/>
                                      <w:marBottom w:val="0"/>
                                      <w:divBdr>
                                        <w:top w:val="none" w:sz="0" w:space="0" w:color="auto"/>
                                        <w:left w:val="none" w:sz="0" w:space="0" w:color="auto"/>
                                        <w:bottom w:val="none" w:sz="0" w:space="0" w:color="auto"/>
                                        <w:right w:val="none" w:sz="0" w:space="0" w:color="auto"/>
                                      </w:divBdr>
                                      <w:divsChild>
                                        <w:div w:id="1750275730">
                                          <w:marLeft w:val="0"/>
                                          <w:marRight w:val="0"/>
                                          <w:marTop w:val="0"/>
                                          <w:marBottom w:val="0"/>
                                          <w:divBdr>
                                            <w:top w:val="none" w:sz="0" w:space="0" w:color="auto"/>
                                            <w:left w:val="none" w:sz="0" w:space="0" w:color="auto"/>
                                            <w:bottom w:val="none" w:sz="0" w:space="0" w:color="auto"/>
                                            <w:right w:val="none" w:sz="0" w:space="0" w:color="auto"/>
                                          </w:divBdr>
                                          <w:divsChild>
                                            <w:div w:id="930702336">
                                              <w:marLeft w:val="0"/>
                                              <w:marRight w:val="0"/>
                                              <w:marTop w:val="0"/>
                                              <w:marBottom w:val="0"/>
                                              <w:divBdr>
                                                <w:top w:val="none" w:sz="0" w:space="0" w:color="auto"/>
                                                <w:left w:val="none" w:sz="0" w:space="0" w:color="auto"/>
                                                <w:bottom w:val="none" w:sz="0" w:space="0" w:color="auto"/>
                                                <w:right w:val="none" w:sz="0" w:space="0" w:color="auto"/>
                                              </w:divBdr>
                                              <w:divsChild>
                                                <w:div w:id="965350967">
                                                  <w:marLeft w:val="0"/>
                                                  <w:marRight w:val="0"/>
                                                  <w:marTop w:val="0"/>
                                                  <w:marBottom w:val="0"/>
                                                  <w:divBdr>
                                                    <w:top w:val="none" w:sz="0" w:space="0" w:color="auto"/>
                                                    <w:left w:val="none" w:sz="0" w:space="0" w:color="auto"/>
                                                    <w:bottom w:val="none" w:sz="0" w:space="0" w:color="auto"/>
                                                    <w:right w:val="none" w:sz="0" w:space="0" w:color="auto"/>
                                                  </w:divBdr>
                                                  <w:divsChild>
                                                    <w:div w:id="10688965">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750152554">
                                      <w:marLeft w:val="270"/>
                                      <w:marRight w:val="150"/>
                                      <w:marTop w:val="0"/>
                                      <w:marBottom w:val="0"/>
                                      <w:divBdr>
                                        <w:top w:val="none" w:sz="0" w:space="0" w:color="auto"/>
                                        <w:left w:val="none" w:sz="0" w:space="0" w:color="auto"/>
                                        <w:bottom w:val="none" w:sz="0" w:space="0" w:color="auto"/>
                                        <w:right w:val="none" w:sz="0" w:space="0" w:color="auto"/>
                                      </w:divBdr>
                                    </w:div>
                                  </w:divsChild>
                                </w:div>
                                <w:div w:id="89277278">
                                  <w:marLeft w:val="0"/>
                                  <w:marRight w:val="0"/>
                                  <w:marTop w:val="0"/>
                                  <w:marBottom w:val="0"/>
                                  <w:divBdr>
                                    <w:top w:val="none" w:sz="0" w:space="0" w:color="auto"/>
                                    <w:left w:val="none" w:sz="0" w:space="0" w:color="auto"/>
                                    <w:bottom w:val="none" w:sz="0" w:space="0" w:color="auto"/>
                                    <w:right w:val="none" w:sz="0" w:space="0" w:color="auto"/>
                                  </w:divBdr>
                                  <w:divsChild>
                                    <w:div w:id="1753354812">
                                      <w:marLeft w:val="0"/>
                                      <w:marRight w:val="0"/>
                                      <w:marTop w:val="0"/>
                                      <w:marBottom w:val="0"/>
                                      <w:divBdr>
                                        <w:top w:val="none" w:sz="0" w:space="0" w:color="auto"/>
                                        <w:left w:val="none" w:sz="0" w:space="0" w:color="auto"/>
                                        <w:bottom w:val="none" w:sz="0" w:space="0" w:color="auto"/>
                                        <w:right w:val="none" w:sz="0" w:space="0" w:color="auto"/>
                                      </w:divBdr>
                                      <w:divsChild>
                                        <w:div w:id="147599973">
                                          <w:marLeft w:val="0"/>
                                          <w:marRight w:val="0"/>
                                          <w:marTop w:val="0"/>
                                          <w:marBottom w:val="0"/>
                                          <w:divBdr>
                                            <w:top w:val="none" w:sz="0" w:space="0" w:color="auto"/>
                                            <w:left w:val="none" w:sz="0" w:space="0" w:color="auto"/>
                                            <w:bottom w:val="none" w:sz="0" w:space="0" w:color="auto"/>
                                            <w:right w:val="none" w:sz="0" w:space="0" w:color="auto"/>
                                          </w:divBdr>
                                          <w:divsChild>
                                            <w:div w:id="1850675464">
                                              <w:marLeft w:val="0"/>
                                              <w:marRight w:val="0"/>
                                              <w:marTop w:val="0"/>
                                              <w:marBottom w:val="0"/>
                                              <w:divBdr>
                                                <w:top w:val="none" w:sz="0" w:space="0" w:color="auto"/>
                                                <w:left w:val="none" w:sz="0" w:space="0" w:color="auto"/>
                                                <w:bottom w:val="none" w:sz="0" w:space="0" w:color="auto"/>
                                                <w:right w:val="none" w:sz="0" w:space="0" w:color="auto"/>
                                              </w:divBdr>
                                              <w:divsChild>
                                                <w:div w:id="1350789747">
                                                  <w:marLeft w:val="0"/>
                                                  <w:marRight w:val="0"/>
                                                  <w:marTop w:val="0"/>
                                                  <w:marBottom w:val="0"/>
                                                  <w:divBdr>
                                                    <w:top w:val="none" w:sz="0" w:space="0" w:color="auto"/>
                                                    <w:left w:val="none" w:sz="0" w:space="0" w:color="auto"/>
                                                    <w:bottom w:val="none" w:sz="0" w:space="0" w:color="auto"/>
                                                    <w:right w:val="none" w:sz="0" w:space="0" w:color="auto"/>
                                                  </w:divBdr>
                                                  <w:divsChild>
                                                    <w:div w:id="14971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038351">
                                              <w:marLeft w:val="0"/>
                                              <w:marRight w:val="0"/>
                                              <w:marTop w:val="0"/>
                                              <w:marBottom w:val="0"/>
                                              <w:divBdr>
                                                <w:top w:val="none" w:sz="0" w:space="0" w:color="auto"/>
                                                <w:left w:val="none" w:sz="0" w:space="0" w:color="auto"/>
                                                <w:bottom w:val="none" w:sz="0" w:space="0" w:color="auto"/>
                                                <w:right w:val="none" w:sz="0" w:space="0" w:color="auto"/>
                                              </w:divBdr>
                                              <w:divsChild>
                                                <w:div w:id="415640248">
                                                  <w:marLeft w:val="0"/>
                                                  <w:marRight w:val="0"/>
                                                  <w:marTop w:val="0"/>
                                                  <w:marBottom w:val="0"/>
                                                  <w:divBdr>
                                                    <w:top w:val="none" w:sz="0" w:space="0" w:color="auto"/>
                                                    <w:left w:val="none" w:sz="0" w:space="0" w:color="auto"/>
                                                    <w:bottom w:val="none" w:sz="0" w:space="0" w:color="auto"/>
                                                    <w:right w:val="none" w:sz="0" w:space="0" w:color="auto"/>
                                                  </w:divBdr>
                                                  <w:divsChild>
                                                    <w:div w:id="1826238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955544">
                                              <w:marLeft w:val="0"/>
                                              <w:marRight w:val="0"/>
                                              <w:marTop w:val="0"/>
                                              <w:marBottom w:val="0"/>
                                              <w:divBdr>
                                                <w:top w:val="none" w:sz="0" w:space="0" w:color="auto"/>
                                                <w:left w:val="none" w:sz="0" w:space="0" w:color="auto"/>
                                                <w:bottom w:val="none" w:sz="0" w:space="0" w:color="auto"/>
                                                <w:right w:val="none" w:sz="0" w:space="0" w:color="auto"/>
                                              </w:divBdr>
                                              <w:divsChild>
                                                <w:div w:id="515270908">
                                                  <w:marLeft w:val="0"/>
                                                  <w:marRight w:val="0"/>
                                                  <w:marTop w:val="0"/>
                                                  <w:marBottom w:val="0"/>
                                                  <w:divBdr>
                                                    <w:top w:val="none" w:sz="0" w:space="0" w:color="auto"/>
                                                    <w:left w:val="none" w:sz="0" w:space="0" w:color="auto"/>
                                                    <w:bottom w:val="none" w:sz="0" w:space="0" w:color="auto"/>
                                                    <w:right w:val="none" w:sz="0" w:space="0" w:color="auto"/>
                                                  </w:divBdr>
                                                  <w:divsChild>
                                                    <w:div w:id="136486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183595">
                                              <w:marLeft w:val="0"/>
                                              <w:marRight w:val="0"/>
                                              <w:marTop w:val="0"/>
                                              <w:marBottom w:val="0"/>
                                              <w:divBdr>
                                                <w:top w:val="none" w:sz="0" w:space="0" w:color="auto"/>
                                                <w:left w:val="none" w:sz="0" w:space="0" w:color="auto"/>
                                                <w:bottom w:val="none" w:sz="0" w:space="0" w:color="auto"/>
                                                <w:right w:val="none" w:sz="0" w:space="0" w:color="auto"/>
                                              </w:divBdr>
                                              <w:divsChild>
                                                <w:div w:id="2056616854">
                                                  <w:marLeft w:val="0"/>
                                                  <w:marRight w:val="0"/>
                                                  <w:marTop w:val="0"/>
                                                  <w:marBottom w:val="0"/>
                                                  <w:divBdr>
                                                    <w:top w:val="none" w:sz="0" w:space="0" w:color="auto"/>
                                                    <w:left w:val="none" w:sz="0" w:space="0" w:color="auto"/>
                                                    <w:bottom w:val="none" w:sz="0" w:space="0" w:color="auto"/>
                                                    <w:right w:val="none" w:sz="0" w:space="0" w:color="auto"/>
                                                  </w:divBdr>
                                                  <w:divsChild>
                                                    <w:div w:id="69457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260591">
                                              <w:marLeft w:val="0"/>
                                              <w:marRight w:val="0"/>
                                              <w:marTop w:val="0"/>
                                              <w:marBottom w:val="0"/>
                                              <w:divBdr>
                                                <w:top w:val="none" w:sz="0" w:space="0" w:color="auto"/>
                                                <w:left w:val="none" w:sz="0" w:space="0" w:color="auto"/>
                                                <w:bottom w:val="none" w:sz="0" w:space="0" w:color="auto"/>
                                                <w:right w:val="none" w:sz="0" w:space="0" w:color="auto"/>
                                              </w:divBdr>
                                              <w:divsChild>
                                                <w:div w:id="1352612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730463">
                                      <w:marLeft w:val="0"/>
                                      <w:marRight w:val="0"/>
                                      <w:marTop w:val="0"/>
                                      <w:marBottom w:val="0"/>
                                      <w:divBdr>
                                        <w:top w:val="none" w:sz="0" w:space="0" w:color="auto"/>
                                        <w:left w:val="none" w:sz="0" w:space="0" w:color="auto"/>
                                        <w:bottom w:val="none" w:sz="0" w:space="0" w:color="auto"/>
                                        <w:right w:val="none" w:sz="0" w:space="0" w:color="auto"/>
                                      </w:divBdr>
                                      <w:divsChild>
                                        <w:div w:id="884485571">
                                          <w:marLeft w:val="60"/>
                                          <w:marRight w:val="0"/>
                                          <w:marTop w:val="0"/>
                                          <w:marBottom w:val="60"/>
                                          <w:divBdr>
                                            <w:top w:val="none" w:sz="0" w:space="0" w:color="auto"/>
                                            <w:left w:val="none" w:sz="0" w:space="0" w:color="auto"/>
                                            <w:bottom w:val="none" w:sz="0" w:space="0" w:color="auto"/>
                                            <w:right w:val="none" w:sz="0" w:space="0" w:color="auto"/>
                                          </w:divBdr>
                                          <w:divsChild>
                                            <w:div w:id="819880538">
                                              <w:marLeft w:val="0"/>
                                              <w:marRight w:val="0"/>
                                              <w:marTop w:val="0"/>
                                              <w:marBottom w:val="0"/>
                                              <w:divBdr>
                                                <w:top w:val="none" w:sz="0" w:space="0" w:color="auto"/>
                                                <w:left w:val="none" w:sz="0" w:space="0" w:color="auto"/>
                                                <w:bottom w:val="none" w:sz="0" w:space="0" w:color="auto"/>
                                                <w:right w:val="none" w:sz="0" w:space="0" w:color="auto"/>
                                              </w:divBdr>
                                              <w:divsChild>
                                                <w:div w:id="182592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951354">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229270222">
                              <w:marLeft w:val="0"/>
                              <w:marRight w:val="0"/>
                              <w:marTop w:val="0"/>
                              <w:marBottom w:val="0"/>
                              <w:divBdr>
                                <w:top w:val="none" w:sz="0" w:space="0" w:color="auto"/>
                                <w:left w:val="none" w:sz="0" w:space="0" w:color="auto"/>
                                <w:bottom w:val="none" w:sz="0" w:space="0" w:color="auto"/>
                                <w:right w:val="none" w:sz="0" w:space="0" w:color="auto"/>
                              </w:divBdr>
                              <w:divsChild>
                                <w:div w:id="366417098">
                                  <w:marLeft w:val="0"/>
                                  <w:marRight w:val="0"/>
                                  <w:marTop w:val="240"/>
                                  <w:marBottom w:val="150"/>
                                  <w:divBdr>
                                    <w:top w:val="none" w:sz="0" w:space="0" w:color="auto"/>
                                    <w:left w:val="none" w:sz="0" w:space="0" w:color="auto"/>
                                    <w:bottom w:val="none" w:sz="0" w:space="0" w:color="auto"/>
                                    <w:right w:val="none" w:sz="0" w:space="0" w:color="auto"/>
                                  </w:divBdr>
                                  <w:divsChild>
                                    <w:div w:id="377700987">
                                      <w:marLeft w:val="0"/>
                                      <w:marRight w:val="0"/>
                                      <w:marTop w:val="0"/>
                                      <w:marBottom w:val="0"/>
                                      <w:divBdr>
                                        <w:top w:val="none" w:sz="0" w:space="0" w:color="auto"/>
                                        <w:left w:val="none" w:sz="0" w:space="0" w:color="auto"/>
                                        <w:bottom w:val="none" w:sz="0" w:space="0" w:color="auto"/>
                                        <w:right w:val="none" w:sz="0" w:space="0" w:color="auto"/>
                                      </w:divBdr>
                                      <w:divsChild>
                                        <w:div w:id="1817919716">
                                          <w:marLeft w:val="0"/>
                                          <w:marRight w:val="0"/>
                                          <w:marTop w:val="0"/>
                                          <w:marBottom w:val="0"/>
                                          <w:divBdr>
                                            <w:top w:val="none" w:sz="0" w:space="0" w:color="auto"/>
                                            <w:left w:val="none" w:sz="0" w:space="0" w:color="auto"/>
                                            <w:bottom w:val="none" w:sz="0" w:space="0" w:color="auto"/>
                                            <w:right w:val="none" w:sz="0" w:space="0" w:color="auto"/>
                                          </w:divBdr>
                                          <w:divsChild>
                                            <w:div w:id="416899425">
                                              <w:marLeft w:val="0"/>
                                              <w:marRight w:val="0"/>
                                              <w:marTop w:val="0"/>
                                              <w:marBottom w:val="0"/>
                                              <w:divBdr>
                                                <w:top w:val="none" w:sz="0" w:space="0" w:color="auto"/>
                                                <w:left w:val="none" w:sz="0" w:space="0" w:color="auto"/>
                                                <w:bottom w:val="none" w:sz="0" w:space="0" w:color="auto"/>
                                                <w:right w:val="none" w:sz="0" w:space="0" w:color="auto"/>
                                              </w:divBdr>
                                              <w:divsChild>
                                                <w:div w:id="16759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57518362">
          <w:marLeft w:val="30"/>
          <w:marRight w:val="300"/>
          <w:marTop w:val="120"/>
          <w:marBottom w:val="120"/>
          <w:divBdr>
            <w:top w:val="none" w:sz="0" w:space="0" w:color="auto"/>
            <w:left w:val="none" w:sz="0" w:space="0" w:color="auto"/>
            <w:bottom w:val="single" w:sz="6" w:space="2" w:color="F0F0F0"/>
            <w:right w:val="none" w:sz="0" w:space="0" w:color="auto"/>
          </w:divBdr>
          <w:divsChild>
            <w:div w:id="688219383">
              <w:marLeft w:val="0"/>
              <w:marRight w:val="0"/>
              <w:marTop w:val="0"/>
              <w:marBottom w:val="0"/>
              <w:divBdr>
                <w:top w:val="none" w:sz="0" w:space="0" w:color="auto"/>
                <w:left w:val="none" w:sz="0" w:space="0" w:color="auto"/>
                <w:bottom w:val="none" w:sz="0" w:space="0" w:color="auto"/>
                <w:right w:val="none" w:sz="0" w:space="0" w:color="auto"/>
              </w:divBdr>
              <w:divsChild>
                <w:div w:id="794757472">
                  <w:marLeft w:val="0"/>
                  <w:marRight w:val="0"/>
                  <w:marTop w:val="0"/>
                  <w:marBottom w:val="0"/>
                  <w:divBdr>
                    <w:top w:val="none" w:sz="0" w:space="0" w:color="auto"/>
                    <w:left w:val="none" w:sz="0" w:space="0" w:color="auto"/>
                    <w:bottom w:val="none" w:sz="0" w:space="0" w:color="auto"/>
                    <w:right w:val="none" w:sz="0" w:space="0" w:color="auto"/>
                  </w:divBdr>
                  <w:divsChild>
                    <w:div w:id="700711717">
                      <w:marLeft w:val="0"/>
                      <w:marRight w:val="0"/>
                      <w:marTop w:val="0"/>
                      <w:marBottom w:val="0"/>
                      <w:divBdr>
                        <w:top w:val="none" w:sz="0" w:space="0" w:color="auto"/>
                        <w:left w:val="none" w:sz="0" w:space="0" w:color="auto"/>
                        <w:bottom w:val="none" w:sz="0" w:space="0" w:color="auto"/>
                        <w:right w:val="none" w:sz="0" w:space="0" w:color="auto"/>
                      </w:divBdr>
                      <w:divsChild>
                        <w:div w:id="1164398705">
                          <w:marLeft w:val="0"/>
                          <w:marRight w:val="0"/>
                          <w:marTop w:val="0"/>
                          <w:marBottom w:val="0"/>
                          <w:divBdr>
                            <w:top w:val="none" w:sz="0" w:space="0" w:color="auto"/>
                            <w:left w:val="none" w:sz="0" w:space="0" w:color="auto"/>
                            <w:bottom w:val="none" w:sz="0" w:space="0" w:color="auto"/>
                            <w:right w:val="none" w:sz="0" w:space="0" w:color="auto"/>
                          </w:divBdr>
                          <w:divsChild>
                            <w:div w:id="137305115">
                              <w:marLeft w:val="0"/>
                              <w:marRight w:val="0"/>
                              <w:marTop w:val="0"/>
                              <w:marBottom w:val="0"/>
                              <w:divBdr>
                                <w:top w:val="none" w:sz="0" w:space="0" w:color="auto"/>
                                <w:left w:val="none" w:sz="0" w:space="0" w:color="auto"/>
                                <w:bottom w:val="none" w:sz="0" w:space="0" w:color="auto"/>
                                <w:right w:val="none" w:sz="0" w:space="0" w:color="auto"/>
                              </w:divBdr>
                              <w:divsChild>
                                <w:div w:id="352145624">
                                  <w:marLeft w:val="0"/>
                                  <w:marRight w:val="0"/>
                                  <w:marTop w:val="0"/>
                                  <w:marBottom w:val="0"/>
                                  <w:divBdr>
                                    <w:top w:val="none" w:sz="0" w:space="0" w:color="auto"/>
                                    <w:left w:val="none" w:sz="0" w:space="0" w:color="auto"/>
                                    <w:bottom w:val="none" w:sz="0" w:space="0" w:color="auto"/>
                                    <w:right w:val="none" w:sz="0" w:space="0" w:color="auto"/>
                                  </w:divBdr>
                                  <w:divsChild>
                                    <w:div w:id="699011127">
                                      <w:marLeft w:val="0"/>
                                      <w:marRight w:val="0"/>
                                      <w:marTop w:val="0"/>
                                      <w:marBottom w:val="0"/>
                                      <w:divBdr>
                                        <w:top w:val="none" w:sz="0" w:space="0" w:color="auto"/>
                                        <w:left w:val="none" w:sz="0" w:space="0" w:color="auto"/>
                                        <w:bottom w:val="none" w:sz="0" w:space="0" w:color="auto"/>
                                        <w:right w:val="none" w:sz="0" w:space="0" w:color="auto"/>
                                      </w:divBdr>
                                      <w:divsChild>
                                        <w:div w:id="66856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3672163">
      <w:bodyDiv w:val="1"/>
      <w:marLeft w:val="0"/>
      <w:marRight w:val="0"/>
      <w:marTop w:val="0"/>
      <w:marBottom w:val="0"/>
      <w:divBdr>
        <w:top w:val="none" w:sz="0" w:space="0" w:color="auto"/>
        <w:left w:val="none" w:sz="0" w:space="0" w:color="auto"/>
        <w:bottom w:val="none" w:sz="0" w:space="0" w:color="auto"/>
        <w:right w:val="none" w:sz="0" w:space="0" w:color="auto"/>
      </w:divBdr>
    </w:div>
    <w:div w:id="2143500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s://psycnet.apa.org/record/2007-18100-000" TargetMode="External"/><Relationship Id="rId26" Type="http://schemas.openxmlformats.org/officeDocument/2006/relationships/hyperlink" Target="https://doi.org/10.1176/ajp.2006.163.4.716" TargetMode="External"/><Relationship Id="rId39" Type="http://schemas.openxmlformats.org/officeDocument/2006/relationships/hyperlink" Target="https://doi.org/10.3233/EFI-180221" TargetMode="External"/><Relationship Id="rId21" Type="http://schemas.openxmlformats.org/officeDocument/2006/relationships/hyperlink" Target="https://pharmaceutical-journal.com/article/news/adhd-and-central-nervous-system-stimulant-prescribing-nearly-doubles-in-adults-in-three-years" TargetMode="External"/><Relationship Id="rId34" Type="http://schemas.openxmlformats.org/officeDocument/2006/relationships/hyperlink" Target="https://doi.org/10.1111/bcp.13000" TargetMode="External"/><Relationship Id="rId42" Type="http://schemas.openxmlformats.org/officeDocument/2006/relationships/hyperlink" Target="https://www.ukri.org/councils/mrc/facilities-and-resources/find-an-mrc-facility-or-resource/mrc-regulatory-support-centre/understanding-health-research/ethical-approval/"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jpeg"/><Relationship Id="rId29" Type="http://schemas.openxmlformats.org/officeDocument/2006/relationships/hyperlink" Target="https://www.nimh.nih.gov/health/topics/attention-deficit-hyperactivity-disorder-adh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161/cir.0b013e31820a55f5" TargetMode="External"/><Relationship Id="rId32" Type="http://schemas.openxmlformats.org/officeDocument/2006/relationships/hyperlink" Target="https://www.nice.org.uk/guidance/ng87/resources/attention-deficit-hyperactivity-disorder-diagnosis-and-management-pdf-1837699732933" TargetMode="External"/><Relationship Id="rId37" Type="http://schemas.openxmlformats.org/officeDocument/2006/relationships/hyperlink" Target="https://casp-uk.net" TargetMode="External"/><Relationship Id="rId40" Type="http://schemas.openxmlformats.org/officeDocument/2006/relationships/hyperlink" Target="https://www.nhlbi.nih.gov/health-topics/study-quality-assessment-tools"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doi.org/10.1001/jama.2011.1830" TargetMode="External"/><Relationship Id="rId28" Type="http://schemas.openxmlformats.org/officeDocument/2006/relationships/hyperlink" Target="https://doi.org/10.1016/j.euroneuro.2012.06.011" TargetMode="External"/><Relationship Id="rId36" Type="http://schemas.openxmlformats.org/officeDocument/2006/relationships/hyperlink" Target="https://www.cochranelibrary.com/about-pico" TargetMode="External"/><Relationship Id="rId10" Type="http://schemas.openxmlformats.org/officeDocument/2006/relationships/image" Target="media/image2.png"/><Relationship Id="rId19" Type="http://schemas.openxmlformats.org/officeDocument/2006/relationships/hyperlink" Target="https://doi.org/10.1161/cir.0000000000000659" TargetMode="External"/><Relationship Id="rId31" Type="http://schemas.openxmlformats.org/officeDocument/2006/relationships/hyperlink" Target="https://www.nhsbsa.nhs.uk/statistical-collections/medicines-used-mental-health-england" TargetMode="External"/><Relationship Id="rId44"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3.xml"/><Relationship Id="rId22" Type="http://schemas.openxmlformats.org/officeDocument/2006/relationships/hyperlink" Target="https://doi.org/10.1016/j.jpsychires.2015.01.011" TargetMode="External"/><Relationship Id="rId27" Type="http://schemas.openxmlformats.org/officeDocument/2006/relationships/hyperlink" Target="https://doi.org/10.1523/jneurosci.4722-05.2006" TargetMode="External"/><Relationship Id="rId30" Type="http://schemas.openxmlformats.org/officeDocument/2006/relationships/hyperlink" Target="https://www.nimh.nih.gov/health/topics/attention-deficit-Mayhyperactivity-disorder-adhd" TargetMode="External"/><Relationship Id="rId35" Type="http://schemas.openxmlformats.org/officeDocument/2006/relationships/hyperlink" Target="https://doi.org/10.1176/appi.ajp.2011.11010125" TargetMode="External"/><Relationship Id="rId43" Type="http://schemas.openxmlformats.org/officeDocument/2006/relationships/hyperlink" Target="https://doi.org/10.1001/jamapsychiatry.2023.4294"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chart" Target="charts/chart1.xml"/><Relationship Id="rId17" Type="http://schemas.openxmlformats.org/officeDocument/2006/relationships/hyperlink" Target="https://adhduk.co.uk/" TargetMode="External"/><Relationship Id="rId25" Type="http://schemas.openxmlformats.org/officeDocument/2006/relationships/hyperlink" Target="https://doi.org/10.1016/j.psiq.2024.100529" TargetMode="External"/><Relationship Id="rId33" Type="http://schemas.openxmlformats.org/officeDocument/2006/relationships/hyperlink" Target="https://doi.org/10.1016/s0140-6736(13)61048-x" TargetMode="External"/><Relationship Id="rId38" Type="http://schemas.openxmlformats.org/officeDocument/2006/relationships/hyperlink" Target="https://medium.com/%40mufaddalH/thematic-analysis-in-the-age-of-ai-a72a995722a3" TargetMode="External"/><Relationship Id="rId46" Type="http://schemas.openxmlformats.org/officeDocument/2006/relationships/theme" Target="theme/theme1.xml"/><Relationship Id="rId20" Type="http://schemas.openxmlformats.org/officeDocument/2006/relationships/hyperlink" Target="https://doi.org/10.1007/s40263-024-01154-4" TargetMode="External"/><Relationship Id="rId41" Type="http://schemas.openxmlformats.org/officeDocument/2006/relationships/hyperlink" Target="https://doi.org/10.1371/journal.pmed.1003583"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Arial" panose="020B0604020202020204" pitchFamily="34" charset="0"/>
                <a:cs typeface="Arial" panose="020B0604020202020204" pitchFamily="34" charset="0"/>
              </a:rPr>
              <a:t>Prescribing Trends in the UK by Age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'By Age Group'!$A$1:$A$3</c:f>
              <c:strCache>
                <c:ptCount val="3"/>
                <c:pt idx="0">
                  <c:v>Age Group</c:v>
                </c:pt>
                <c:pt idx="1">
                  <c:v>6–24 years</c:v>
                </c:pt>
                <c:pt idx="2">
                  <c:v>25–45 years</c:v>
                </c:pt>
              </c:strCache>
            </c:strRef>
          </c:cat>
          <c:val>
            <c:numRef>
              <c:f>'By Age Group'!$B$1:$B$3</c:f>
              <c:numCache>
                <c:formatCode>General</c:formatCode>
                <c:ptCount val="3"/>
                <c:pt idx="0">
                  <c:v>0</c:v>
                </c:pt>
                <c:pt idx="1">
                  <c:v>88.9</c:v>
                </c:pt>
                <c:pt idx="2">
                  <c:v>63.5</c:v>
                </c:pt>
              </c:numCache>
            </c:numRef>
          </c:val>
          <c:extLst>
            <c:ext xmlns:c16="http://schemas.microsoft.com/office/drawing/2014/chart" uri="{C3380CC4-5D6E-409C-BE32-E72D297353CC}">
              <c16:uniqueId val="{00000000-6FBF-4760-81DC-D72E1BA5FFB0}"/>
            </c:ext>
          </c:extLst>
        </c:ser>
        <c:ser>
          <c:idx val="1"/>
          <c:order val="1"/>
          <c:spPr>
            <a:solidFill>
              <a:schemeClr val="accent2"/>
            </a:solidFill>
            <a:ln>
              <a:noFill/>
            </a:ln>
            <a:effectLst/>
            <a:sp3d/>
          </c:spPr>
          <c:invertIfNegative val="0"/>
          <c:cat>
            <c:strRef>
              <c:f>'By Age Group'!$A$1:$A$3</c:f>
              <c:strCache>
                <c:ptCount val="3"/>
                <c:pt idx="0">
                  <c:v>Age Group</c:v>
                </c:pt>
                <c:pt idx="1">
                  <c:v>6–24 years</c:v>
                </c:pt>
                <c:pt idx="2">
                  <c:v>25–45 years</c:v>
                </c:pt>
              </c:strCache>
            </c:strRef>
          </c:cat>
          <c:val>
            <c:numRef>
              <c:f>'By Age Group'!$C$1:$C$3</c:f>
              <c:numCache>
                <c:formatCode>General</c:formatCode>
                <c:ptCount val="3"/>
              </c:numCache>
            </c:numRef>
          </c:val>
          <c:extLst>
            <c:ext xmlns:c16="http://schemas.microsoft.com/office/drawing/2014/chart" uri="{C3380CC4-5D6E-409C-BE32-E72D297353CC}">
              <c16:uniqueId val="{00000001-6FBF-4760-81DC-D72E1BA5FFB0}"/>
            </c:ext>
          </c:extLst>
        </c:ser>
        <c:dLbls>
          <c:showLegendKey val="0"/>
          <c:showVal val="0"/>
          <c:showCatName val="0"/>
          <c:showSerName val="0"/>
          <c:showPercent val="0"/>
          <c:showBubbleSize val="0"/>
        </c:dLbls>
        <c:gapWidth val="150"/>
        <c:shape val="box"/>
        <c:axId val="622059023"/>
        <c:axId val="620414303"/>
        <c:axId val="0"/>
      </c:bar3DChart>
      <c:catAx>
        <c:axId val="62205902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414303"/>
        <c:crosses val="autoZero"/>
        <c:auto val="1"/>
        <c:lblAlgn val="ctr"/>
        <c:lblOffset val="100"/>
        <c:noMultiLvlLbl val="0"/>
      </c:catAx>
      <c:valAx>
        <c:axId val="6204143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05902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ADHD</a:t>
            </a:r>
            <a:r>
              <a:rPr lang="en-GB" baseline="0"/>
              <a:t> by Gender in the UK (2022 to 2023)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tx>
            <c:strRef>
              <c:f>'2022-23 Gender Split'!$A$2</c:f>
              <c:strCache>
                <c:ptCount val="1"/>
                <c:pt idx="0">
                  <c:v>Male</c:v>
                </c:pt>
              </c:strCache>
            </c:strRef>
          </c:tx>
          <c:spPr>
            <a:solidFill>
              <a:schemeClr val="accent1"/>
            </a:solidFill>
            <a:ln>
              <a:noFill/>
            </a:ln>
            <a:effectLst/>
          </c:spPr>
          <c:invertIfNegative val="0"/>
          <c:cat>
            <c:strRef>
              <c:f>'2022-23 Gender Split'!$B$1:$D$1</c:f>
              <c:strCache>
                <c:ptCount val="2"/>
                <c:pt idx="0">
                  <c:v>Number of Patients</c:v>
                </c:pt>
                <c:pt idx="1">
                  <c:v>Percentage of Total</c:v>
                </c:pt>
              </c:strCache>
            </c:strRef>
          </c:cat>
          <c:val>
            <c:numRef>
              <c:f>'2022-23 Gender Split'!$B$2:$D$2</c:f>
              <c:numCache>
                <c:formatCode>General</c:formatCode>
                <c:ptCount val="3"/>
                <c:pt idx="0">
                  <c:v>153000</c:v>
                </c:pt>
                <c:pt idx="1">
                  <c:v>66</c:v>
                </c:pt>
              </c:numCache>
            </c:numRef>
          </c:val>
          <c:extLst>
            <c:ext xmlns:c16="http://schemas.microsoft.com/office/drawing/2014/chart" uri="{C3380CC4-5D6E-409C-BE32-E72D297353CC}">
              <c16:uniqueId val="{00000000-EF97-4515-B69F-E7413226E98A}"/>
            </c:ext>
          </c:extLst>
        </c:ser>
        <c:ser>
          <c:idx val="1"/>
          <c:order val="1"/>
          <c:tx>
            <c:strRef>
              <c:f>'2022-23 Gender Split'!$A$3</c:f>
              <c:strCache>
                <c:ptCount val="1"/>
                <c:pt idx="0">
                  <c:v>Female</c:v>
                </c:pt>
              </c:strCache>
            </c:strRef>
          </c:tx>
          <c:spPr>
            <a:solidFill>
              <a:schemeClr val="accent2"/>
            </a:solidFill>
            <a:ln>
              <a:noFill/>
            </a:ln>
            <a:effectLst/>
          </c:spPr>
          <c:invertIfNegative val="0"/>
          <c:cat>
            <c:strRef>
              <c:f>'2022-23 Gender Split'!$B$1:$D$1</c:f>
              <c:strCache>
                <c:ptCount val="2"/>
                <c:pt idx="0">
                  <c:v>Number of Patients</c:v>
                </c:pt>
                <c:pt idx="1">
                  <c:v>Percentage of Total</c:v>
                </c:pt>
              </c:strCache>
            </c:strRef>
          </c:cat>
          <c:val>
            <c:numRef>
              <c:f>'2022-23 Gender Split'!$B$3:$D$3</c:f>
              <c:numCache>
                <c:formatCode>General</c:formatCode>
                <c:ptCount val="3"/>
                <c:pt idx="0">
                  <c:v>78900</c:v>
                </c:pt>
                <c:pt idx="1">
                  <c:v>34</c:v>
                </c:pt>
              </c:numCache>
            </c:numRef>
          </c:val>
          <c:extLst>
            <c:ext xmlns:c16="http://schemas.microsoft.com/office/drawing/2014/chart" uri="{C3380CC4-5D6E-409C-BE32-E72D297353CC}">
              <c16:uniqueId val="{00000001-EF97-4515-B69F-E7413226E98A}"/>
            </c:ext>
          </c:extLst>
        </c:ser>
        <c:dLbls>
          <c:showLegendKey val="0"/>
          <c:showVal val="0"/>
          <c:showCatName val="0"/>
          <c:showSerName val="0"/>
          <c:showPercent val="0"/>
          <c:showBubbleSize val="0"/>
        </c:dLbls>
        <c:gapWidth val="182"/>
        <c:axId val="1201035743"/>
        <c:axId val="1201038143"/>
      </c:barChart>
      <c:catAx>
        <c:axId val="12010357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1038143"/>
        <c:crosses val="autoZero"/>
        <c:auto val="1"/>
        <c:lblAlgn val="ctr"/>
        <c:lblOffset val="100"/>
        <c:noMultiLvlLbl val="0"/>
      </c:catAx>
      <c:valAx>
        <c:axId val="120103814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10357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CVD Risk</a:t>
            </a:r>
            <a:r>
              <a:rPr lang="en-GB" baseline="0"/>
              <a:t> Factors in Middle - aged Men - </a:t>
            </a:r>
            <a:r>
              <a:rPr lang="en-GB"/>
              <a:t>Impact Score (1–10)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'CVD Risk Factors'!$B$1</c:f>
              <c:strCache>
                <c:ptCount val="1"/>
                <c:pt idx="0">
                  <c:v>Impact Score (1–10)</c:v>
                </c:pt>
              </c:strCache>
            </c:strRef>
          </c:tx>
          <c:spPr>
            <a:solidFill>
              <a:schemeClr val="accent1"/>
            </a:solidFill>
            <a:ln>
              <a:noFill/>
            </a:ln>
            <a:effectLst/>
          </c:spPr>
          <c:invertIfNegative val="0"/>
          <c:cat>
            <c:strRef>
              <c:f>'CVD Risk Factors'!$A$2:$A$10</c:f>
              <c:strCache>
                <c:ptCount val="8"/>
                <c:pt idx="0">
                  <c:v>Smoking</c:v>
                </c:pt>
                <c:pt idx="1">
                  <c:v>High Cholesterol</c:v>
                </c:pt>
                <c:pt idx="2">
                  <c:v>Sedentary Lifestyle</c:v>
                </c:pt>
                <c:pt idx="3">
                  <c:v>Stress</c:v>
                </c:pt>
                <c:pt idx="4">
                  <c:v>Genetic Predisposition</c:v>
                </c:pt>
                <c:pt idx="5">
                  <c:v>Hypertension</c:v>
                </c:pt>
                <c:pt idx="6">
                  <c:v>Arrhythmias</c:v>
                </c:pt>
                <c:pt idx="7">
                  <c:v>Myocardial Infarction</c:v>
                </c:pt>
              </c:strCache>
            </c:strRef>
          </c:cat>
          <c:val>
            <c:numRef>
              <c:f>'CVD Risk Factors'!$B$2:$B$10</c:f>
              <c:numCache>
                <c:formatCode>General</c:formatCode>
                <c:ptCount val="9"/>
                <c:pt idx="0">
                  <c:v>8</c:v>
                </c:pt>
                <c:pt idx="1">
                  <c:v>7</c:v>
                </c:pt>
                <c:pt idx="2">
                  <c:v>8</c:v>
                </c:pt>
                <c:pt idx="3">
                  <c:v>9</c:v>
                </c:pt>
                <c:pt idx="4">
                  <c:v>6</c:v>
                </c:pt>
                <c:pt idx="5">
                  <c:v>7</c:v>
                </c:pt>
                <c:pt idx="6">
                  <c:v>5</c:v>
                </c:pt>
                <c:pt idx="7">
                  <c:v>4</c:v>
                </c:pt>
              </c:numCache>
            </c:numRef>
          </c:val>
          <c:extLst>
            <c:ext xmlns:c16="http://schemas.microsoft.com/office/drawing/2014/chart" uri="{C3380CC4-5D6E-409C-BE32-E72D297353CC}">
              <c16:uniqueId val="{00000000-66D7-402C-A762-8D06F35E728B}"/>
            </c:ext>
          </c:extLst>
        </c:ser>
        <c:dLbls>
          <c:showLegendKey val="0"/>
          <c:showVal val="0"/>
          <c:showCatName val="0"/>
          <c:showSerName val="0"/>
          <c:showPercent val="0"/>
          <c:showBubbleSize val="0"/>
        </c:dLbls>
        <c:gapWidth val="182"/>
        <c:axId val="1201029503"/>
        <c:axId val="1201027103"/>
        <c:extLst>
          <c:ext xmlns:c15="http://schemas.microsoft.com/office/drawing/2012/chart" uri="{02D57815-91ED-43cb-92C2-25804820EDAC}">
            <c15:filteredBarSeries>
              <c15:ser>
                <c:idx val="1"/>
                <c:order val="1"/>
                <c:tx>
                  <c:strRef>
                    <c:extLst>
                      <c:ext uri="{02D57815-91ED-43cb-92C2-25804820EDAC}">
                        <c15:formulaRef>
                          <c15:sqref>'CVD Risk Factors'!$C$1</c15:sqref>
                        </c15:formulaRef>
                      </c:ext>
                    </c:extLst>
                    <c:strCache>
                      <c:ptCount val="1"/>
                    </c:strCache>
                  </c:strRef>
                </c:tx>
                <c:spPr>
                  <a:solidFill>
                    <a:schemeClr val="accent2"/>
                  </a:solidFill>
                  <a:ln>
                    <a:noFill/>
                  </a:ln>
                  <a:effectLst/>
                </c:spPr>
                <c:invertIfNegative val="0"/>
                <c:cat>
                  <c:strRef>
                    <c:extLst>
                      <c:ext uri="{02D57815-91ED-43cb-92C2-25804820EDAC}">
                        <c15:formulaRef>
                          <c15:sqref>'CVD Risk Factors'!$A$2:$A$10</c15:sqref>
                        </c15:formulaRef>
                      </c:ext>
                    </c:extLst>
                    <c:strCache>
                      <c:ptCount val="8"/>
                      <c:pt idx="0">
                        <c:v>Smoking</c:v>
                      </c:pt>
                      <c:pt idx="1">
                        <c:v>High Cholesterol</c:v>
                      </c:pt>
                      <c:pt idx="2">
                        <c:v>Sedentary Lifestyle</c:v>
                      </c:pt>
                      <c:pt idx="3">
                        <c:v>Stress</c:v>
                      </c:pt>
                      <c:pt idx="4">
                        <c:v>Genetic Predisposition</c:v>
                      </c:pt>
                      <c:pt idx="5">
                        <c:v>Hypertension</c:v>
                      </c:pt>
                      <c:pt idx="6">
                        <c:v>Arrhythmias</c:v>
                      </c:pt>
                      <c:pt idx="7">
                        <c:v>Myocardial Infarction</c:v>
                      </c:pt>
                    </c:strCache>
                  </c:strRef>
                </c:cat>
                <c:val>
                  <c:numRef>
                    <c:extLst>
                      <c:ext uri="{02D57815-91ED-43cb-92C2-25804820EDAC}">
                        <c15:formulaRef>
                          <c15:sqref>'CVD Risk Factors'!$C$2:$C$10</c15:sqref>
                        </c15:formulaRef>
                      </c:ext>
                    </c:extLst>
                    <c:numCache>
                      <c:formatCode>General</c:formatCode>
                      <c:ptCount val="9"/>
                    </c:numCache>
                  </c:numRef>
                </c:val>
                <c:extLst>
                  <c:ext xmlns:c16="http://schemas.microsoft.com/office/drawing/2014/chart" uri="{C3380CC4-5D6E-409C-BE32-E72D297353CC}">
                    <c16:uniqueId val="{00000001-66D7-402C-A762-8D06F35E728B}"/>
                  </c:ext>
                </c:extLst>
              </c15:ser>
            </c15:filteredBarSeries>
          </c:ext>
        </c:extLst>
      </c:barChart>
      <c:catAx>
        <c:axId val="120102950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1027103"/>
        <c:crosses val="autoZero"/>
        <c:auto val="1"/>
        <c:lblAlgn val="ctr"/>
        <c:lblOffset val="100"/>
        <c:noMultiLvlLbl val="0"/>
      </c:catAx>
      <c:valAx>
        <c:axId val="12010271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10295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1912214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2FC854-3BF2-4F12-8DC1-B5D8D7BE6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23440</Words>
  <Characters>133612</Characters>
  <Application>Microsoft Office Word</Application>
  <DocSecurity>0</DocSecurity>
  <Lines>1113</Lines>
  <Paragraphs>313</Paragraphs>
  <ScaleCrop>false</ScaleCrop>
  <HeadingPairs>
    <vt:vector size="2" baseType="variant">
      <vt:variant>
        <vt:lpstr>Title</vt:lpstr>
      </vt:variant>
      <vt:variant>
        <vt:i4>1</vt:i4>
      </vt:variant>
    </vt:vector>
  </HeadingPairs>
  <TitlesOfParts>
    <vt:vector size="1" baseType="lpstr">
      <vt:lpstr>MSc Public Health and Social Care Planning
Practiced Based Research 
LCHS7008_BIRM</vt:lpstr>
    </vt:vector>
  </TitlesOfParts>
  <Company/>
  <LinksUpToDate>false</LinksUpToDate>
  <CharactersWithSpaces>156739</CharactersWithSpaces>
  <SharedDoc>false</SharedDoc>
  <HLinks>
    <vt:vector size="312" baseType="variant">
      <vt:variant>
        <vt:i4>2949168</vt:i4>
      </vt:variant>
      <vt:variant>
        <vt:i4>153</vt:i4>
      </vt:variant>
      <vt:variant>
        <vt:i4>0</vt:i4>
      </vt:variant>
      <vt:variant>
        <vt:i4>5</vt:i4>
      </vt:variant>
      <vt:variant>
        <vt:lpwstr>https://doi.org/10.1016/j.techfore.2015.12.019</vt:lpwstr>
      </vt:variant>
      <vt:variant>
        <vt:lpwstr/>
      </vt:variant>
      <vt:variant>
        <vt:i4>3473453</vt:i4>
      </vt:variant>
      <vt:variant>
        <vt:i4>150</vt:i4>
      </vt:variant>
      <vt:variant>
        <vt:i4>0</vt:i4>
      </vt:variant>
      <vt:variant>
        <vt:i4>5</vt:i4>
      </vt:variant>
      <vt:variant>
        <vt:lpwstr>https://icd.who.int/en/</vt:lpwstr>
      </vt:variant>
      <vt:variant>
        <vt:lpwstr/>
      </vt:variant>
      <vt:variant>
        <vt:i4>4522053</vt:i4>
      </vt:variant>
      <vt:variant>
        <vt:i4>147</vt:i4>
      </vt:variant>
      <vt:variant>
        <vt:i4>0</vt:i4>
      </vt:variant>
      <vt:variant>
        <vt:i4>5</vt:i4>
      </vt:variant>
      <vt:variant>
        <vt:lpwstr>https://www.researchgate.net/publication/356263959_Different_Types_of_Data_Analysis_Data_Analysis_Methods_and_Technique</vt:lpwstr>
      </vt:variant>
      <vt:variant>
        <vt:lpwstr/>
      </vt:variant>
      <vt:variant>
        <vt:i4>5505044</vt:i4>
      </vt:variant>
      <vt:variant>
        <vt:i4>144</vt:i4>
      </vt:variant>
      <vt:variant>
        <vt:i4>0</vt:i4>
      </vt:variant>
      <vt:variant>
        <vt:i4>5</vt:i4>
      </vt:variant>
      <vt:variant>
        <vt:lpwstr>https://pharmaceutical-journal.com/article/news/adhd-and-central-nervous-system-stimulant-prescribing-nearly-doubles-in-adults-in-three-years</vt:lpwstr>
      </vt:variant>
      <vt:variant>
        <vt:lpwstr/>
      </vt:variant>
      <vt:variant>
        <vt:i4>1114120</vt:i4>
      </vt:variant>
      <vt:variant>
        <vt:i4>141</vt:i4>
      </vt:variant>
      <vt:variant>
        <vt:i4>0</vt:i4>
      </vt:variant>
      <vt:variant>
        <vt:i4>5</vt:i4>
      </vt:variant>
      <vt:variant>
        <vt:lpwstr>https://pubmed.ncbi.nlm.nih.gov/7582737/</vt:lpwstr>
      </vt:variant>
      <vt:variant>
        <vt:lpwstr/>
      </vt:variant>
      <vt:variant>
        <vt:i4>7536708</vt:i4>
      </vt:variant>
      <vt:variant>
        <vt:i4>138</vt:i4>
      </vt:variant>
      <vt:variant>
        <vt:i4>0</vt:i4>
      </vt:variant>
      <vt:variant>
        <vt:i4>5</vt:i4>
      </vt:variant>
      <vt:variant>
        <vt:lpwstr>https://books.google.co.uk/books?id=DF-oJ0mstfEC&amp;printsec=frontcover&amp;source=gbs_ge_summary_r&amp;cad=0</vt:lpwstr>
      </vt:variant>
      <vt:variant>
        <vt:lpwstr>v=onepage&amp;q&amp;f=false</vt:lpwstr>
      </vt:variant>
      <vt:variant>
        <vt:i4>6029385</vt:i4>
      </vt:variant>
      <vt:variant>
        <vt:i4>135</vt:i4>
      </vt:variant>
      <vt:variant>
        <vt:i4>0</vt:i4>
      </vt:variant>
      <vt:variant>
        <vt:i4>5</vt:i4>
      </vt:variant>
      <vt:variant>
        <vt:lpwstr>https://doi.org/10.1111/bcp.13000</vt:lpwstr>
      </vt:variant>
      <vt:variant>
        <vt:lpwstr/>
      </vt:variant>
      <vt:variant>
        <vt:i4>655374</vt:i4>
      </vt:variant>
      <vt:variant>
        <vt:i4>132</vt:i4>
      </vt:variant>
      <vt:variant>
        <vt:i4>0</vt:i4>
      </vt:variant>
      <vt:variant>
        <vt:i4>5</vt:i4>
      </vt:variant>
      <vt:variant>
        <vt:lpwstr>https://doi.org/10.1016/s0140-6736(13)61048-x</vt:lpwstr>
      </vt:variant>
      <vt:variant>
        <vt:lpwstr/>
      </vt:variant>
      <vt:variant>
        <vt:i4>3211326</vt:i4>
      </vt:variant>
      <vt:variant>
        <vt:i4>129</vt:i4>
      </vt:variant>
      <vt:variant>
        <vt:i4>0</vt:i4>
      </vt:variant>
      <vt:variant>
        <vt:i4>5</vt:i4>
      </vt:variant>
      <vt:variant>
        <vt:lpwstr>https://doi.org/10.1016/j.ijnurstu.2009.01.009</vt:lpwstr>
      </vt:variant>
      <vt:variant>
        <vt:lpwstr/>
      </vt:variant>
      <vt:variant>
        <vt:i4>1638403</vt:i4>
      </vt:variant>
      <vt:variant>
        <vt:i4>126</vt:i4>
      </vt:variant>
      <vt:variant>
        <vt:i4>0</vt:i4>
      </vt:variant>
      <vt:variant>
        <vt:i4>5</vt:i4>
      </vt:variant>
      <vt:variant>
        <vt:lpwstr>https://books.google.co.uk/books/about/Nursing_Research.html?id=HyNGxQEACAAJ&amp;redir_esc=y</vt:lpwstr>
      </vt:variant>
      <vt:variant>
        <vt:lpwstr/>
      </vt:variant>
      <vt:variant>
        <vt:i4>4718661</vt:i4>
      </vt:variant>
      <vt:variant>
        <vt:i4>123</vt:i4>
      </vt:variant>
      <vt:variant>
        <vt:i4>0</vt:i4>
      </vt:variant>
      <vt:variant>
        <vt:i4>5</vt:i4>
      </vt:variant>
      <vt:variant>
        <vt:lpwstr>https://doi.org/10.1371/journal.pmed.1003583</vt:lpwstr>
      </vt:variant>
      <vt:variant>
        <vt:lpwstr/>
      </vt:variant>
      <vt:variant>
        <vt:i4>2293802</vt:i4>
      </vt:variant>
      <vt:variant>
        <vt:i4>120</vt:i4>
      </vt:variant>
      <vt:variant>
        <vt:i4>0</vt:i4>
      </vt:variant>
      <vt:variant>
        <vt:i4>5</vt:i4>
      </vt:variant>
      <vt:variant>
        <vt:lpwstr>https://www.nhlbi.nih.gov/health-topics/study-quality-assessment-tools</vt:lpwstr>
      </vt:variant>
      <vt:variant>
        <vt:lpwstr/>
      </vt:variant>
      <vt:variant>
        <vt:i4>3735585</vt:i4>
      </vt:variant>
      <vt:variant>
        <vt:i4>117</vt:i4>
      </vt:variant>
      <vt:variant>
        <vt:i4>0</vt:i4>
      </vt:variant>
      <vt:variant>
        <vt:i4>5</vt:i4>
      </vt:variant>
      <vt:variant>
        <vt:lpwstr>https://www.hra.nhs.uk/</vt:lpwstr>
      </vt:variant>
      <vt:variant>
        <vt:lpwstr/>
      </vt:variant>
      <vt:variant>
        <vt:i4>5898256</vt:i4>
      </vt:variant>
      <vt:variant>
        <vt:i4>114</vt:i4>
      </vt:variant>
      <vt:variant>
        <vt:i4>0</vt:i4>
      </vt:variant>
      <vt:variant>
        <vt:i4>5</vt:i4>
      </vt:variant>
      <vt:variant>
        <vt:lpwstr>https://www.nice.org.uk/guidance/ng87</vt:lpwstr>
      </vt:variant>
      <vt:variant>
        <vt:lpwstr/>
      </vt:variant>
      <vt:variant>
        <vt:i4>3866740</vt:i4>
      </vt:variant>
      <vt:variant>
        <vt:i4>111</vt:i4>
      </vt:variant>
      <vt:variant>
        <vt:i4>0</vt:i4>
      </vt:variant>
      <vt:variant>
        <vt:i4>5</vt:i4>
      </vt:variant>
      <vt:variant>
        <vt:lpwstr>https://www.nimh.nih.gov/health/topics/attention-deficit-Mayhyperactivity-disorder-adhd</vt:lpwstr>
      </vt:variant>
      <vt:variant>
        <vt:lpwstr/>
      </vt:variant>
      <vt:variant>
        <vt:i4>5046291</vt:i4>
      </vt:variant>
      <vt:variant>
        <vt:i4>108</vt:i4>
      </vt:variant>
      <vt:variant>
        <vt:i4>0</vt:i4>
      </vt:variant>
      <vt:variant>
        <vt:i4>5</vt:i4>
      </vt:variant>
      <vt:variant>
        <vt:lpwstr>https://www.nimh.nih.gov/health/topics/attention-deficit-hyperactivity-disorder-adhd</vt:lpwstr>
      </vt:variant>
      <vt:variant>
        <vt:lpwstr/>
      </vt:variant>
      <vt:variant>
        <vt:i4>6881316</vt:i4>
      </vt:variant>
      <vt:variant>
        <vt:i4>105</vt:i4>
      </vt:variant>
      <vt:variant>
        <vt:i4>0</vt:i4>
      </vt:variant>
      <vt:variant>
        <vt:i4>5</vt:i4>
      </vt:variant>
      <vt:variant>
        <vt:lpwstr>https://www.nhsbsa.nhs.uk/statistical-collections/medicines-used-mental-health-england</vt:lpwstr>
      </vt:variant>
      <vt:variant>
        <vt:lpwstr/>
      </vt:variant>
      <vt:variant>
        <vt:i4>4784199</vt:i4>
      </vt:variant>
      <vt:variant>
        <vt:i4>102</vt:i4>
      </vt:variant>
      <vt:variant>
        <vt:i4>0</vt:i4>
      </vt:variant>
      <vt:variant>
        <vt:i4>5</vt:i4>
      </vt:variant>
      <vt:variant>
        <vt:lpwstr>https://doi.org/10.1371/journal.pmed.1000097</vt:lpwstr>
      </vt:variant>
      <vt:variant>
        <vt:lpwstr/>
      </vt:variant>
      <vt:variant>
        <vt:i4>3276926</vt:i4>
      </vt:variant>
      <vt:variant>
        <vt:i4>99</vt:i4>
      </vt:variant>
      <vt:variant>
        <vt:i4>0</vt:i4>
      </vt:variant>
      <vt:variant>
        <vt:i4>5</vt:i4>
      </vt:variant>
      <vt:variant>
        <vt:lpwstr>https://doi.org/10.1016/j.euroneuro.2012.06.011</vt:lpwstr>
      </vt:variant>
      <vt:variant>
        <vt:lpwstr/>
      </vt:variant>
      <vt:variant>
        <vt:i4>3997710</vt:i4>
      </vt:variant>
      <vt:variant>
        <vt:i4>96</vt:i4>
      </vt:variant>
      <vt:variant>
        <vt:i4>0</vt:i4>
      </vt:variant>
      <vt:variant>
        <vt:i4>5</vt:i4>
      </vt:variant>
      <vt:variant>
        <vt:lpwstr>https://books.google.co.uk/books?id=l8M1EAAAQBAJ&amp;printsec=frontcover&amp;source=gbs_ge_summary_r&amp;cad=0</vt:lpwstr>
      </vt:variant>
      <vt:variant>
        <vt:lpwstr>v=onepage&amp;q&amp;f=false</vt:lpwstr>
      </vt:variant>
      <vt:variant>
        <vt:i4>1310811</vt:i4>
      </vt:variant>
      <vt:variant>
        <vt:i4>93</vt:i4>
      </vt:variant>
      <vt:variant>
        <vt:i4>0</vt:i4>
      </vt:variant>
      <vt:variant>
        <vt:i4>5</vt:i4>
      </vt:variant>
      <vt:variant>
        <vt:lpwstr>https://doi.org/10.1002/9781119482260</vt:lpwstr>
      </vt:variant>
      <vt:variant>
        <vt:lpwstr/>
      </vt:variant>
      <vt:variant>
        <vt:i4>262145</vt:i4>
      </vt:variant>
      <vt:variant>
        <vt:i4>90</vt:i4>
      </vt:variant>
      <vt:variant>
        <vt:i4>0</vt:i4>
      </vt:variant>
      <vt:variant>
        <vt:i4>5</vt:i4>
      </vt:variant>
      <vt:variant>
        <vt:lpwstr>https://doi.org/10.7326/m23-1915</vt:lpwstr>
      </vt:variant>
      <vt:variant>
        <vt:lpwstr/>
      </vt:variant>
      <vt:variant>
        <vt:i4>65619</vt:i4>
      </vt:variant>
      <vt:variant>
        <vt:i4>87</vt:i4>
      </vt:variant>
      <vt:variant>
        <vt:i4>0</vt:i4>
      </vt:variant>
      <vt:variant>
        <vt:i4>5</vt:i4>
      </vt:variant>
      <vt:variant>
        <vt:lpwstr>https://doi.org/10.1258/jrsm.96.3.118</vt:lpwstr>
      </vt:variant>
      <vt:variant>
        <vt:lpwstr/>
      </vt:variant>
      <vt:variant>
        <vt:i4>3473447</vt:i4>
      </vt:variant>
      <vt:variant>
        <vt:i4>84</vt:i4>
      </vt:variant>
      <vt:variant>
        <vt:i4>0</vt:i4>
      </vt:variant>
      <vt:variant>
        <vt:i4>5</vt:i4>
      </vt:variant>
      <vt:variant>
        <vt:lpwstr>https://doi.org/10.1523/jneurosci.4722-05.2006</vt:lpwstr>
      </vt:variant>
      <vt:variant>
        <vt:lpwstr/>
      </vt:variant>
      <vt:variant>
        <vt:i4>6357095</vt:i4>
      </vt:variant>
      <vt:variant>
        <vt:i4>81</vt:i4>
      </vt:variant>
      <vt:variant>
        <vt:i4>0</vt:i4>
      </vt:variant>
      <vt:variant>
        <vt:i4>5</vt:i4>
      </vt:variant>
      <vt:variant>
        <vt:lpwstr>https://doi.org/10.1176/ajp.2006.163.4.716</vt:lpwstr>
      </vt:variant>
      <vt:variant>
        <vt:lpwstr/>
      </vt:variant>
      <vt:variant>
        <vt:i4>2883638</vt:i4>
      </vt:variant>
      <vt:variant>
        <vt:i4>78</vt:i4>
      </vt:variant>
      <vt:variant>
        <vt:i4>0</vt:i4>
      </vt:variant>
      <vt:variant>
        <vt:i4>5</vt:i4>
      </vt:variant>
      <vt:variant>
        <vt:lpwstr>https://doi.org/10.1016/j.psiq.2024.100529</vt:lpwstr>
      </vt:variant>
      <vt:variant>
        <vt:lpwstr/>
      </vt:variant>
      <vt:variant>
        <vt:i4>1179677</vt:i4>
      </vt:variant>
      <vt:variant>
        <vt:i4>75</vt:i4>
      </vt:variant>
      <vt:variant>
        <vt:i4>0</vt:i4>
      </vt:variant>
      <vt:variant>
        <vt:i4>5</vt:i4>
      </vt:variant>
      <vt:variant>
        <vt:lpwstr>https://eprints.whiterose.ac.uk/id/eprint/142162/5/EFI_MMAT_v3.pdf</vt:lpwstr>
      </vt:variant>
      <vt:variant>
        <vt:lpwstr/>
      </vt:variant>
      <vt:variant>
        <vt:i4>5832798</vt:i4>
      </vt:variant>
      <vt:variant>
        <vt:i4>72</vt:i4>
      </vt:variant>
      <vt:variant>
        <vt:i4>0</vt:i4>
      </vt:variant>
      <vt:variant>
        <vt:i4>5</vt:i4>
      </vt:variant>
      <vt:variant>
        <vt:lpwstr>https://www.bing.com/search?q=Hannes%2C+K.+%282011%29.+Chapter+4%3A+Critical+appraisal+of+qualitative+research&amp;form=ANNTH1&amp;refig=337e93267266490cbe9fd21c9a7f4618&amp;pc=U531</vt:lpwstr>
      </vt:variant>
      <vt:variant>
        <vt:lpwstr/>
      </vt:variant>
      <vt:variant>
        <vt:i4>2490457</vt:i4>
      </vt:variant>
      <vt:variant>
        <vt:i4>69</vt:i4>
      </vt:variant>
      <vt:variant>
        <vt:i4>0</vt:i4>
      </vt:variant>
      <vt:variant>
        <vt:i4>5</vt:i4>
      </vt:variant>
      <vt:variant>
        <vt:lpwstr>https://books.google.co.uk/books?id=ff1BDwAAQBAJ&amp;printsec=frontcover&amp;source=gbs_ge_summary_r&amp;cad=0</vt:lpwstr>
      </vt:variant>
      <vt:variant>
        <vt:lpwstr>v=onepage&amp;q&amp;f=false</vt:lpwstr>
      </vt:variant>
      <vt:variant>
        <vt:i4>393225</vt:i4>
      </vt:variant>
      <vt:variant>
        <vt:i4>66</vt:i4>
      </vt:variant>
      <vt:variant>
        <vt:i4>0</vt:i4>
      </vt:variant>
      <vt:variant>
        <vt:i4>5</vt:i4>
      </vt:variant>
      <vt:variant>
        <vt:lpwstr>https://pubmed.ncbi.nlm.nih.gov/28236285/</vt:lpwstr>
      </vt:variant>
      <vt:variant>
        <vt:lpwstr/>
      </vt:variant>
      <vt:variant>
        <vt:i4>393232</vt:i4>
      </vt:variant>
      <vt:variant>
        <vt:i4>63</vt:i4>
      </vt:variant>
      <vt:variant>
        <vt:i4>0</vt:i4>
      </vt:variant>
      <vt:variant>
        <vt:i4>5</vt:i4>
      </vt:variant>
      <vt:variant>
        <vt:lpwstr>https://doi.org/10.1161/cir.0b013e31820a55f5</vt:lpwstr>
      </vt:variant>
      <vt:variant>
        <vt:lpwstr/>
      </vt:variant>
      <vt:variant>
        <vt:i4>589828</vt:i4>
      </vt:variant>
      <vt:variant>
        <vt:i4>60</vt:i4>
      </vt:variant>
      <vt:variant>
        <vt:i4>0</vt:i4>
      </vt:variant>
      <vt:variant>
        <vt:i4>5</vt:i4>
      </vt:variant>
      <vt:variant>
        <vt:lpwstr>https://doi.org/10.1016/s0140-6736(02)07500-1</vt:lpwstr>
      </vt:variant>
      <vt:variant>
        <vt:lpwstr/>
      </vt:variant>
      <vt:variant>
        <vt:i4>6619196</vt:i4>
      </vt:variant>
      <vt:variant>
        <vt:i4>57</vt:i4>
      </vt:variant>
      <vt:variant>
        <vt:i4>0</vt:i4>
      </vt:variant>
      <vt:variant>
        <vt:i4>5</vt:i4>
      </vt:variant>
      <vt:variant>
        <vt:lpwstr>https://doi.org/10.1136/bmjdrc-2022-003072</vt:lpwstr>
      </vt:variant>
      <vt:variant>
        <vt:lpwstr/>
      </vt:variant>
      <vt:variant>
        <vt:i4>1900635</vt:i4>
      </vt:variant>
      <vt:variant>
        <vt:i4>54</vt:i4>
      </vt:variant>
      <vt:variant>
        <vt:i4>0</vt:i4>
      </vt:variant>
      <vt:variant>
        <vt:i4>5</vt:i4>
      </vt:variant>
      <vt:variant>
        <vt:lpwstr>https://uk.sagepub.com/en-gb/eur/an-introduction-to-systematic-reviews/book245742</vt:lpwstr>
      </vt:variant>
      <vt:variant>
        <vt:lpwstr/>
      </vt:variant>
      <vt:variant>
        <vt:i4>93</vt:i4>
      </vt:variant>
      <vt:variant>
        <vt:i4>51</vt:i4>
      </vt:variant>
      <vt:variant>
        <vt:i4>0</vt:i4>
      </vt:variant>
      <vt:variant>
        <vt:i4>5</vt:i4>
      </vt:variant>
      <vt:variant>
        <vt:lpwstr>https://us.sagepub.com/en-us/nam/an-introduction-to-systematic-reviews/book245742</vt:lpwstr>
      </vt:variant>
      <vt:variant>
        <vt:lpwstr/>
      </vt:variant>
      <vt:variant>
        <vt:i4>4325462</vt:i4>
      </vt:variant>
      <vt:variant>
        <vt:i4>48</vt:i4>
      </vt:variant>
      <vt:variant>
        <vt:i4>0</vt:i4>
      </vt:variant>
      <vt:variant>
        <vt:i4>5</vt:i4>
      </vt:variant>
      <vt:variant>
        <vt:lpwstr>https://www.fda.gov/</vt:lpwstr>
      </vt:variant>
      <vt:variant>
        <vt:lpwstr/>
      </vt:variant>
      <vt:variant>
        <vt:i4>4259908</vt:i4>
      </vt:variant>
      <vt:variant>
        <vt:i4>45</vt:i4>
      </vt:variant>
      <vt:variant>
        <vt:i4>0</vt:i4>
      </vt:variant>
      <vt:variant>
        <vt:i4>5</vt:i4>
      </vt:variant>
      <vt:variant>
        <vt:lpwstr>https://doi.org/10.1016/j.jpsychires.2015.01.011</vt:lpwstr>
      </vt:variant>
      <vt:variant>
        <vt:lpwstr/>
      </vt:variant>
      <vt:variant>
        <vt:i4>3866652</vt:i4>
      </vt:variant>
      <vt:variant>
        <vt:i4>42</vt:i4>
      </vt:variant>
      <vt:variant>
        <vt:i4>0</vt:i4>
      </vt:variant>
      <vt:variant>
        <vt:i4>5</vt:i4>
      </vt:variant>
      <vt:variant>
        <vt:lpwstr>https://books.google.co.uk/books?id=eTwmDwAAQBAJ&amp;printsec=frontcover&amp;source=gbs_ge_summary_r&amp;cad=0</vt:lpwstr>
      </vt:variant>
      <vt:variant>
        <vt:lpwstr>v=onepage&amp;q&amp;f=false</vt:lpwstr>
      </vt:variant>
      <vt:variant>
        <vt:i4>3604600</vt:i4>
      </vt:variant>
      <vt:variant>
        <vt:i4>39</vt:i4>
      </vt:variant>
      <vt:variant>
        <vt:i4>0</vt:i4>
      </vt:variant>
      <vt:variant>
        <vt:i4>5</vt:i4>
      </vt:variant>
      <vt:variant>
        <vt:lpwstr>https://casp-uk.net/casp-tools-checklists/</vt:lpwstr>
      </vt:variant>
      <vt:variant>
        <vt:lpwstr/>
      </vt:variant>
      <vt:variant>
        <vt:i4>5701662</vt:i4>
      </vt:variant>
      <vt:variant>
        <vt:i4>36</vt:i4>
      </vt:variant>
      <vt:variant>
        <vt:i4>0</vt:i4>
      </vt:variant>
      <vt:variant>
        <vt:i4>5</vt:i4>
      </vt:variant>
      <vt:variant>
        <vt:lpwstr>https://doi.org/10.1016/j.jbi.2018.06.010</vt:lpwstr>
      </vt:variant>
      <vt:variant>
        <vt:lpwstr/>
      </vt:variant>
      <vt:variant>
        <vt:i4>5177349</vt:i4>
      </vt:variant>
      <vt:variant>
        <vt:i4>33</vt:i4>
      </vt:variant>
      <vt:variant>
        <vt:i4>0</vt:i4>
      </vt:variant>
      <vt:variant>
        <vt:i4>5</vt:i4>
      </vt:variant>
      <vt:variant>
        <vt:lpwstr>https://doi.org/10.1056/NEJMoa1110212</vt:lpwstr>
      </vt:variant>
      <vt:variant>
        <vt:lpwstr/>
      </vt:variant>
      <vt:variant>
        <vt:i4>262199</vt:i4>
      </vt:variant>
      <vt:variant>
        <vt:i4>30</vt:i4>
      </vt:variant>
      <vt:variant>
        <vt:i4>0</vt:i4>
      </vt:variant>
      <vt:variant>
        <vt:i4>5</vt:i4>
      </vt:variant>
      <vt:variant>
        <vt:lpwstr>https://www.york.ac.uk/media/crd/Systematic_Reviews.pdf</vt:lpwstr>
      </vt:variant>
      <vt:variant>
        <vt:lpwstr/>
      </vt:variant>
      <vt:variant>
        <vt:i4>4915267</vt:i4>
      </vt:variant>
      <vt:variant>
        <vt:i4>27</vt:i4>
      </vt:variant>
      <vt:variant>
        <vt:i4>0</vt:i4>
      </vt:variant>
      <vt:variant>
        <vt:i4>5</vt:i4>
      </vt:variant>
      <vt:variant>
        <vt:lpwstr>https://doi.org/10.1111/wvn.12134</vt:lpwstr>
      </vt:variant>
      <vt:variant>
        <vt:lpwstr/>
      </vt:variant>
      <vt:variant>
        <vt:i4>3080201</vt:i4>
      </vt:variant>
      <vt:variant>
        <vt:i4>24</vt:i4>
      </vt:variant>
      <vt:variant>
        <vt:i4>0</vt:i4>
      </vt:variant>
      <vt:variant>
        <vt:i4>5</vt:i4>
      </vt:variant>
      <vt:variant>
        <vt:lpwstr>https://qmplus.qmul.ac.uk/pluginfile.php/309678/mod_resource/content/2/What is critical appraisal.pdf</vt:lpwstr>
      </vt:variant>
      <vt:variant>
        <vt:lpwstr/>
      </vt:variant>
      <vt:variant>
        <vt:i4>4128836</vt:i4>
      </vt:variant>
      <vt:variant>
        <vt:i4>21</vt:i4>
      </vt:variant>
      <vt:variant>
        <vt:i4>0</vt:i4>
      </vt:variant>
      <vt:variant>
        <vt:i4>5</vt:i4>
      </vt:variant>
      <vt:variant>
        <vt:lpwstr>https://www.academia.edu/92786872/What_Is_Critical_Appraisal</vt:lpwstr>
      </vt:variant>
      <vt:variant>
        <vt:lpwstr/>
      </vt:variant>
      <vt:variant>
        <vt:i4>4784155</vt:i4>
      </vt:variant>
      <vt:variant>
        <vt:i4>18</vt:i4>
      </vt:variant>
      <vt:variant>
        <vt:i4>0</vt:i4>
      </vt:variant>
      <vt:variant>
        <vt:i4>5</vt:i4>
      </vt:variant>
      <vt:variant>
        <vt:lpwstr>https://doi:10.1186/s13643-016-0249-x</vt:lpwstr>
      </vt:variant>
      <vt:variant>
        <vt:lpwstr/>
      </vt:variant>
      <vt:variant>
        <vt:i4>7798837</vt:i4>
      </vt:variant>
      <vt:variant>
        <vt:i4>15</vt:i4>
      </vt:variant>
      <vt:variant>
        <vt:i4>0</vt:i4>
      </vt:variant>
      <vt:variant>
        <vt:i4>5</vt:i4>
      </vt:variant>
      <vt:variant>
        <vt:lpwstr>https://us.sagepub.com/en-us/nam/systematic-approaches-to-a-successful-literature-review/book270933</vt:lpwstr>
      </vt:variant>
      <vt:variant>
        <vt:lpwstr/>
      </vt:variant>
      <vt:variant>
        <vt:i4>2293811</vt:i4>
      </vt:variant>
      <vt:variant>
        <vt:i4>12</vt:i4>
      </vt:variant>
      <vt:variant>
        <vt:i4>0</vt:i4>
      </vt:variant>
      <vt:variant>
        <vt:i4>5</vt:i4>
      </vt:variant>
      <vt:variant>
        <vt:lpwstr>https://doi.org/10.1007/s40263-024-01154-4</vt:lpwstr>
      </vt:variant>
      <vt:variant>
        <vt:lpwstr/>
      </vt:variant>
      <vt:variant>
        <vt:i4>1900560</vt:i4>
      </vt:variant>
      <vt:variant>
        <vt:i4>9</vt:i4>
      </vt:variant>
      <vt:variant>
        <vt:i4>0</vt:i4>
      </vt:variant>
      <vt:variant>
        <vt:i4>5</vt:i4>
      </vt:variant>
      <vt:variant>
        <vt:lpwstr>https://psycnet.apa.org/record/2007-18100-000</vt:lpwstr>
      </vt:variant>
      <vt:variant>
        <vt:lpwstr/>
      </vt:variant>
      <vt:variant>
        <vt:i4>6094926</vt:i4>
      </vt:variant>
      <vt:variant>
        <vt:i4>6</vt:i4>
      </vt:variant>
      <vt:variant>
        <vt:i4>0</vt:i4>
      </vt:variant>
      <vt:variant>
        <vt:i4>5</vt:i4>
      </vt:variant>
      <vt:variant>
        <vt:lpwstr>https://doi.org/10.1161/cir.0000000000000659</vt:lpwstr>
      </vt:variant>
      <vt:variant>
        <vt:lpwstr/>
      </vt:variant>
      <vt:variant>
        <vt:i4>1048603</vt:i4>
      </vt:variant>
      <vt:variant>
        <vt:i4>3</vt:i4>
      </vt:variant>
      <vt:variant>
        <vt:i4>0</vt:i4>
      </vt:variant>
      <vt:variant>
        <vt:i4>5</vt:i4>
      </vt:variant>
      <vt:variant>
        <vt:lpwstr>https://psycnet.apa.org/record/2013-14907-000</vt:lpwstr>
      </vt:variant>
      <vt:variant>
        <vt:lpwstr/>
      </vt:variant>
      <vt:variant>
        <vt:i4>6029320</vt:i4>
      </vt:variant>
      <vt:variant>
        <vt:i4>0</vt:i4>
      </vt:variant>
      <vt:variant>
        <vt:i4>0</vt:i4>
      </vt:variant>
      <vt:variant>
        <vt:i4>5</vt:i4>
      </vt:variant>
      <vt:variant>
        <vt:lpwstr>https://adhduk.co.uk/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Public Health and Social Care Planning
Practiced Based Research 
LCHS7008_BIRM</dc:title>
  <dc:subject/>
  <dc:creator>carrie jelfs</dc:creator>
  <cp:keywords/>
  <dc:description/>
  <cp:lastModifiedBy>carrie jelfs</cp:lastModifiedBy>
  <cp:revision>2</cp:revision>
  <dcterms:created xsi:type="dcterms:W3CDTF">2026-05-08T17:28:00Z</dcterms:created>
  <dcterms:modified xsi:type="dcterms:W3CDTF">2026-05-08T17:28:00Z</dcterms:modified>
</cp:coreProperties>
</file>