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kern w:val="2"/>
          <w:lang w:val="en-GB" w:eastAsia="en-GB"/>
          <w14:ligatures w14:val="standardContextual"/>
        </w:rPr>
        <w:id w:val="-586848474"/>
        <w:docPartObj>
          <w:docPartGallery w:val="Cover Pages"/>
          <w:docPartUnique/>
        </w:docPartObj>
      </w:sdtPr>
      <w:sdtEndPr/>
      <w:sdtContent>
        <w:p w14:paraId="096D5A08" w14:textId="3FF5B837" w:rsidR="007F5CC1" w:rsidRDefault="00E94423">
          <w:pPr>
            <w:pStyle w:val="NoSpacing"/>
          </w:pPr>
          <w:r>
            <w:rPr>
              <w:noProof/>
            </w:rPr>
            <mc:AlternateContent>
              <mc:Choice Requires="wpg">
                <w:drawing>
                  <wp:anchor distT="0" distB="0" distL="228600" distR="228600" simplePos="0" relativeHeight="251658243" behindDoc="0" locked="0" layoutInCell="1" allowOverlap="1" wp14:anchorId="1ABC3F61" wp14:editId="34DDD4F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5098415" cy="9052560"/>
                    <wp:effectExtent l="0" t="0" r="6985" b="0"/>
                    <wp:wrapSquare wrapText="bothSides"/>
                    <wp:docPr id="50" name="Group 50"/>
                    <wp:cNvGraphicFramePr/>
                    <a:graphic xmlns:a="http://schemas.openxmlformats.org/drawingml/2006/main">
                      <a:graphicData uri="http://schemas.microsoft.com/office/word/2010/wordprocessingGroup">
                        <wpg:wgp>
                          <wpg:cNvGrpSpPr/>
                          <wpg:grpSpPr>
                            <a:xfrm>
                              <a:off x="0" y="0"/>
                              <a:ext cx="5098568" cy="9052560"/>
                              <a:chOff x="0" y="0"/>
                              <a:chExt cx="5207780" cy="8229600"/>
                            </a:xfrm>
                          </wpg:grpSpPr>
                          <wps:wsp>
                            <wps:cNvPr id="51" name="Text Box 51"/>
                            <wps:cNvSpPr txBox="1"/>
                            <wps:spPr>
                              <a:xfrm>
                                <a:off x="1390731" y="3320706"/>
                                <a:ext cx="3817049" cy="4253112"/>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5910684E" w14:textId="582A6274" w:rsidR="00C47391" w:rsidRDefault="009012A0" w:rsidP="009012A0">
                                  <w:pPr>
                                    <w:rPr>
                                      <w:color w:val="595959" w:themeColor="text1" w:themeTint="A6"/>
                                      <w:sz w:val="20"/>
                                      <w:szCs w:val="20"/>
                                    </w:rPr>
                                  </w:pPr>
                                  <w:r w:rsidRPr="009012A0">
                                    <w:rPr>
                                      <w:color w:val="595959" w:themeColor="text1" w:themeTint="A6"/>
                                      <w:sz w:val="20"/>
                                      <w:szCs w:val="20"/>
                                    </w:rPr>
                                    <w:t xml:space="preserve">This essay utilizes Venn diagrams to </w:t>
                                  </w:r>
                                  <w:proofErr w:type="gramStart"/>
                                  <w:r w:rsidRPr="009012A0">
                                    <w:rPr>
                                      <w:color w:val="595959" w:themeColor="text1" w:themeTint="A6"/>
                                      <w:sz w:val="20"/>
                                      <w:szCs w:val="20"/>
                                    </w:rPr>
                                    <w:t>compare and contrast</w:t>
                                  </w:r>
                                  <w:proofErr w:type="gramEnd"/>
                                  <w:r w:rsidRPr="009012A0">
                                    <w:rPr>
                                      <w:color w:val="595959" w:themeColor="text1" w:themeTint="A6"/>
                                      <w:sz w:val="20"/>
                                      <w:szCs w:val="20"/>
                                    </w:rPr>
                                    <w:t xml:space="preserve"> the safeguarding, policies, and challenges associated with the Victory </w:t>
                                  </w:r>
                                  <w:proofErr w:type="spellStart"/>
                                  <w:r w:rsidRPr="009012A0">
                                    <w:rPr>
                                      <w:color w:val="595959" w:themeColor="text1" w:themeTint="A6"/>
                                      <w:sz w:val="20"/>
                                      <w:szCs w:val="20"/>
                                    </w:rPr>
                                    <w:t>Climbé</w:t>
                                  </w:r>
                                  <w:proofErr w:type="spellEnd"/>
                                  <w:r w:rsidRPr="009012A0">
                                    <w:rPr>
                                      <w:color w:val="595959" w:themeColor="text1" w:themeTint="A6"/>
                                      <w:sz w:val="20"/>
                                      <w:szCs w:val="20"/>
                                    </w:rPr>
                                    <w:t xml:space="preserve"> and Baby P cases. By examining the intersection and differences between these two high-profile child protection cases, this analysis aims to shed light on the complexities of safeguarding vulnerable children. The essay highlights the importance of effective policies, the challenges faced by professionals, and the crucial role of communication and collaboration among stakeholders. Furthermore, it emphasizes the significance of learning from these cases to strengthen safeguarding practices and prevent future instances of child abuse and neglect.</w:t>
                                  </w:r>
                                </w:p>
                                <w:p w14:paraId="39563AA0" w14:textId="77777777" w:rsidR="00036FE8" w:rsidRDefault="00036FE8" w:rsidP="009012A0">
                                  <w:pPr>
                                    <w:rPr>
                                      <w:color w:val="595959" w:themeColor="text1" w:themeTint="A6"/>
                                      <w:sz w:val="20"/>
                                      <w:szCs w:val="20"/>
                                    </w:rPr>
                                  </w:pPr>
                                </w:p>
                                <w:p w14:paraId="5E878A27" w14:textId="59FB4615" w:rsidR="00036FE8" w:rsidRPr="00617D8F" w:rsidRDefault="002D3D66" w:rsidP="009012A0">
                                  <w:pPr>
                                    <w:rPr>
                                      <w:color w:val="4472C4" w:themeColor="accent1"/>
                                      <w:sz w:val="20"/>
                                      <w:szCs w:val="20"/>
                                    </w:rPr>
                                  </w:pPr>
                                  <w:r w:rsidRPr="00617D8F">
                                    <w:rPr>
                                      <w:color w:val="4472C4" w:themeColor="accent1"/>
                                      <w:sz w:val="20"/>
                                      <w:szCs w:val="20"/>
                                    </w:rPr>
                                    <w:t>LECTURE:</w:t>
                                  </w:r>
                                  <w:r w:rsidR="00EA2D9F" w:rsidRPr="00617D8F">
                                    <w:rPr>
                                      <w:color w:val="4472C4" w:themeColor="accent1"/>
                                      <w:sz w:val="20"/>
                                      <w:szCs w:val="20"/>
                                    </w:rPr>
                                    <w:t xml:space="preserve"> Debra Odeh</w:t>
                                  </w:r>
                                </w:p>
                                <w:p w14:paraId="69920EFA" w14:textId="4028F3C8" w:rsidR="00E94423" w:rsidRPr="00617D8F" w:rsidRDefault="00E310FF" w:rsidP="009012A0">
                                  <w:pPr>
                                    <w:rPr>
                                      <w:color w:val="4472C4" w:themeColor="accent1"/>
                                      <w:sz w:val="20"/>
                                      <w:szCs w:val="20"/>
                                    </w:rPr>
                                  </w:pPr>
                                  <w:r w:rsidRPr="00617D8F">
                                    <w:rPr>
                                      <w:color w:val="4472C4" w:themeColor="accent1"/>
                                      <w:sz w:val="20"/>
                                      <w:szCs w:val="20"/>
                                    </w:rPr>
                                    <w:t>Assessment Tit</w:t>
                                  </w:r>
                                  <w:r w:rsidR="00E72C97" w:rsidRPr="00617D8F">
                                    <w:rPr>
                                      <w:color w:val="4472C4" w:themeColor="accent1"/>
                                      <w:sz w:val="20"/>
                                      <w:szCs w:val="20"/>
                                    </w:rPr>
                                    <w:t>le:</w:t>
                                  </w:r>
                                  <w:r w:rsidR="00E72C97" w:rsidRPr="00617D8F">
                                    <w:rPr>
                                      <w:color w:val="4472C4" w:themeColor="accent1"/>
                                    </w:rPr>
                                    <w:t xml:space="preserve"> </w:t>
                                  </w:r>
                                  <w:r w:rsidR="00E72C97" w:rsidRPr="00617D8F">
                                    <w:rPr>
                                      <w:color w:val="4472C4" w:themeColor="accent1"/>
                                      <w:sz w:val="20"/>
                                      <w:szCs w:val="20"/>
                                    </w:rPr>
                                    <w:t>Assessment 2 – Essay</w:t>
                                  </w:r>
                                </w:p>
                                <w:p w14:paraId="0B0F8B07" w14:textId="443E0A47" w:rsidR="002A04A5" w:rsidRPr="00617D8F" w:rsidRDefault="00DF6731" w:rsidP="009012A0">
                                  <w:pPr>
                                    <w:rPr>
                                      <w:color w:val="4472C4" w:themeColor="accent1"/>
                                      <w:sz w:val="20"/>
                                      <w:szCs w:val="20"/>
                                    </w:rPr>
                                  </w:pPr>
                                  <w:r w:rsidRPr="00617D8F">
                                    <w:rPr>
                                      <w:color w:val="4472C4" w:themeColor="accent1"/>
                                      <w:sz w:val="20"/>
                                      <w:szCs w:val="20"/>
                                    </w:rPr>
                                    <w:t>SUBMISION</w:t>
                                  </w:r>
                                  <w:r w:rsidR="002D3D66" w:rsidRPr="00617D8F">
                                    <w:rPr>
                                      <w:color w:val="4472C4" w:themeColor="accent1"/>
                                      <w:sz w:val="20"/>
                                      <w:szCs w:val="20"/>
                                    </w:rPr>
                                    <w:t xml:space="preserve"> DATE:</w:t>
                                  </w:r>
                                  <w:r w:rsidR="002D3D66" w:rsidRPr="00617D8F">
                                    <w:rPr>
                                      <w:color w:val="4472C4" w:themeColor="accent1"/>
                                    </w:rPr>
                                    <w:t xml:space="preserve"> </w:t>
                                  </w:r>
                                  <w:r w:rsidR="002D3D66" w:rsidRPr="00617D8F">
                                    <w:rPr>
                                      <w:color w:val="4472C4" w:themeColor="accent1"/>
                                      <w:sz w:val="20"/>
                                      <w:szCs w:val="20"/>
                                    </w:rPr>
                                    <w:t>Friday 28th July 2023</w:t>
                                  </w:r>
                                </w:p>
                                <w:p w14:paraId="5F7F17AD" w14:textId="4C9F5D76" w:rsidR="00A22319" w:rsidRPr="00617D8F" w:rsidRDefault="00A22319" w:rsidP="009012A0">
                                  <w:pPr>
                                    <w:rPr>
                                      <w:color w:val="4472C4" w:themeColor="accent1"/>
                                      <w:sz w:val="20"/>
                                      <w:szCs w:val="20"/>
                                    </w:rPr>
                                  </w:pPr>
                                  <w:r w:rsidRPr="00617D8F">
                                    <w:rPr>
                                      <w:color w:val="4472C4" w:themeColor="accent1"/>
                                      <w:sz w:val="20"/>
                                      <w:szCs w:val="20"/>
                                    </w:rPr>
                                    <w:t>WORD COUNT: 2500</w:t>
                                  </w:r>
                                  <w:r w:rsidR="00617D8F" w:rsidRPr="00617D8F">
                                    <w:rPr>
                                      <w:color w:val="4472C4" w:themeColor="accent1"/>
                                      <w:sz w:val="20"/>
                                      <w:szCs w:val="20"/>
                                    </w:rPr>
                                    <w:t xml:space="preserve"> +-10%</w:t>
                                  </w:r>
                                </w:p>
                              </w:txbxContent>
                            </wps:txbx>
                            <wps:bodyPr rot="0" spcFirstLastPara="0" vertOverflow="overflow" horzOverflow="overflow" vert="horz" wrap="square" lIns="182880" tIns="914400" rIns="182880" bIns="182880" numCol="1" spcCol="0" rtlCol="0" fromWordArt="0" anchor="t" anchorCtr="0" forceAA="0" compatLnSpc="1">
                              <a:prstTxWarp prst="textNoShape">
                                <a:avLst/>
                              </a:prstTxWarp>
                              <a:noAutofit/>
                            </wps:bodyPr>
                          </wps:wsp>
                          <wps:wsp>
                            <wps:cNvPr id="52" name="Rectangle 3"/>
                            <wps:cNvSpPr/>
                            <wps:spPr>
                              <a:xfrm>
                                <a:off x="0" y="0"/>
                                <a:ext cx="190500" cy="82296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Pentagon 4"/>
                            <wps:cNvSpPr/>
                            <wps:spPr>
                              <a:xfrm>
                                <a:off x="1861107" y="3570495"/>
                                <a:ext cx="2466504" cy="384809"/>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A03BB71" w14:textId="71BA0E95" w:rsidR="00C47391" w:rsidRDefault="009012A0">
                                  <w:pPr>
                                    <w:pStyle w:val="NoSpacing"/>
                                    <w:rPr>
                                      <w:rFonts w:asciiTheme="majorHAnsi" w:eastAsiaTheme="majorEastAsia" w:hAnsiTheme="majorHAnsi" w:cstheme="majorBidi"/>
                                      <w:color w:val="FFFFFF" w:themeColor="background1"/>
                                      <w:sz w:val="26"/>
                                      <w:szCs w:val="26"/>
                                    </w:rPr>
                                  </w:pPr>
                                  <w:r w:rsidRPr="009012A0">
                                    <w:rPr>
                                      <w:rFonts w:asciiTheme="majorHAnsi" w:eastAsiaTheme="majorEastAsia" w:hAnsiTheme="majorHAnsi" w:cstheme="majorBidi"/>
                                      <w:color w:val="FFFFFF" w:themeColor="background1"/>
                                      <w:sz w:val="26"/>
                                      <w:szCs w:val="26"/>
                                    </w:rPr>
                                    <w:t>Abstract:</w:t>
                                  </w:r>
                                </w:p>
                              </w:txbxContent>
                            </wps:txbx>
                            <wps:bodyPr rot="0" spcFirstLastPara="0" vert="horz" wrap="square" lIns="365760" tIns="0" rIns="182880" bIns="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ABC3F61" id="Group 50" o:spid="_x0000_s1026" style="position:absolute;margin-left:0;margin-top:0;width:401.45pt;height:712.8pt;z-index:251658243;mso-left-percent:40;mso-wrap-distance-left:18pt;mso-wrap-distance-right:18pt;mso-position-horizontal-relative:page;mso-position-vertical:center;mso-position-vertical-relative:page;mso-left-percent:40" coordsize="52077,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">
                    <v:shapetype id="_x0000_t202" coordsize="21600,21600" o:spt="202" path="m,l,21600r21600,l21600,xe">
                      <v:stroke joinstyle="miter"/>
                      <v:path gradientshapeok="t" o:connecttype="rect"/>
                    </v:shapetype>
                    <v:shape id="Text Box 51" o:spid="_x0000_s1027" type="#_x0000_t202" style="position:absolute;left:13907;top:33207;width:38170;height:42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" fillcolor="#e9e8e8 [2899]" stroked="f" strokeweight=".5pt">
                      <v:fill color2="#e1e0e0 [3139]" rotate="t" focusposition=".5,.5" focussize="-.5,-.5" focus="100%" type="gradientRadial"/>
                      <v:textbox inset="14.4pt,1in,14.4pt,14.4pt">
                        <w:txbxContent>
                          <w:p w14:paraId="5910684E" w14:textId="582A6274" w:rsidR="00C47391" w:rsidRDefault="009012A0" w:rsidP="009012A0">
                            <w:pPr>
                              <w:rPr>
                                <w:color w:val="595959" w:themeColor="text1" w:themeTint="A6"/>
                                <w:sz w:val="20"/>
                                <w:szCs w:val="20"/>
                              </w:rPr>
                            </w:pPr>
                            <w:r w:rsidRPr="009012A0">
                              <w:rPr>
                                <w:color w:val="595959" w:themeColor="text1" w:themeTint="A6"/>
                                <w:sz w:val="20"/>
                                <w:szCs w:val="20"/>
                              </w:rPr>
                              <w:t xml:space="preserve">This essay utilizes Venn diagrams to </w:t>
                            </w:r>
                            <w:proofErr w:type="gramStart"/>
                            <w:r w:rsidRPr="009012A0">
                              <w:rPr>
                                <w:color w:val="595959" w:themeColor="text1" w:themeTint="A6"/>
                                <w:sz w:val="20"/>
                                <w:szCs w:val="20"/>
                              </w:rPr>
                              <w:t>compare and contrast</w:t>
                            </w:r>
                            <w:proofErr w:type="gramEnd"/>
                            <w:r w:rsidRPr="009012A0">
                              <w:rPr>
                                <w:color w:val="595959" w:themeColor="text1" w:themeTint="A6"/>
                                <w:sz w:val="20"/>
                                <w:szCs w:val="20"/>
                              </w:rPr>
                              <w:t xml:space="preserve"> the safeguarding, policies, and challenges associated with the Victory </w:t>
                            </w:r>
                            <w:proofErr w:type="spellStart"/>
                            <w:r w:rsidRPr="009012A0">
                              <w:rPr>
                                <w:color w:val="595959" w:themeColor="text1" w:themeTint="A6"/>
                                <w:sz w:val="20"/>
                                <w:szCs w:val="20"/>
                              </w:rPr>
                              <w:t>Climbé</w:t>
                            </w:r>
                            <w:proofErr w:type="spellEnd"/>
                            <w:r w:rsidRPr="009012A0">
                              <w:rPr>
                                <w:color w:val="595959" w:themeColor="text1" w:themeTint="A6"/>
                                <w:sz w:val="20"/>
                                <w:szCs w:val="20"/>
                              </w:rPr>
                              <w:t xml:space="preserve"> and Baby P cases. By examining the intersection and differences between these two high-profile child protection cases, this analysis aims to shed light on the complexities of safeguarding vulnerable children. The essay highlights the importance of effective policies, the challenges faced by professionals, and the crucial role of communication and collaboration among stakeholders. Furthermore, it emphasizes the significance of learning from these cases to strengthen safeguarding practices and prevent future instances of child abuse and neglect.</w:t>
                            </w:r>
                          </w:p>
                          <w:p w14:paraId="39563AA0" w14:textId="77777777" w:rsidR="00036FE8" w:rsidRDefault="00036FE8" w:rsidP="009012A0">
                            <w:pPr>
                              <w:rPr>
                                <w:color w:val="595959" w:themeColor="text1" w:themeTint="A6"/>
                                <w:sz w:val="20"/>
                                <w:szCs w:val="20"/>
                              </w:rPr>
                            </w:pPr>
                          </w:p>
                          <w:p w14:paraId="5E878A27" w14:textId="59FB4615" w:rsidR="00036FE8" w:rsidRPr="00617D8F" w:rsidRDefault="002D3D66" w:rsidP="009012A0">
                            <w:pPr>
                              <w:rPr>
                                <w:color w:val="4472C4" w:themeColor="accent1"/>
                                <w:sz w:val="20"/>
                                <w:szCs w:val="20"/>
                              </w:rPr>
                            </w:pPr>
                            <w:r w:rsidRPr="00617D8F">
                              <w:rPr>
                                <w:color w:val="4472C4" w:themeColor="accent1"/>
                                <w:sz w:val="20"/>
                                <w:szCs w:val="20"/>
                              </w:rPr>
                              <w:t>LECTURE:</w:t>
                            </w:r>
                            <w:r w:rsidR="00EA2D9F" w:rsidRPr="00617D8F">
                              <w:rPr>
                                <w:color w:val="4472C4" w:themeColor="accent1"/>
                                <w:sz w:val="20"/>
                                <w:szCs w:val="20"/>
                              </w:rPr>
                              <w:t xml:space="preserve"> Debra Odeh</w:t>
                            </w:r>
                          </w:p>
                          <w:p w14:paraId="69920EFA" w14:textId="4028F3C8" w:rsidR="00E94423" w:rsidRPr="00617D8F" w:rsidRDefault="00E310FF" w:rsidP="009012A0">
                            <w:pPr>
                              <w:rPr>
                                <w:color w:val="4472C4" w:themeColor="accent1"/>
                                <w:sz w:val="20"/>
                                <w:szCs w:val="20"/>
                              </w:rPr>
                            </w:pPr>
                            <w:r w:rsidRPr="00617D8F">
                              <w:rPr>
                                <w:color w:val="4472C4" w:themeColor="accent1"/>
                                <w:sz w:val="20"/>
                                <w:szCs w:val="20"/>
                              </w:rPr>
                              <w:t>Assessment Tit</w:t>
                            </w:r>
                            <w:r w:rsidR="00E72C97" w:rsidRPr="00617D8F">
                              <w:rPr>
                                <w:color w:val="4472C4" w:themeColor="accent1"/>
                                <w:sz w:val="20"/>
                                <w:szCs w:val="20"/>
                              </w:rPr>
                              <w:t>le:</w:t>
                            </w:r>
                            <w:r w:rsidR="00E72C97" w:rsidRPr="00617D8F">
                              <w:rPr>
                                <w:color w:val="4472C4" w:themeColor="accent1"/>
                              </w:rPr>
                              <w:t xml:space="preserve"> </w:t>
                            </w:r>
                            <w:r w:rsidR="00E72C97" w:rsidRPr="00617D8F">
                              <w:rPr>
                                <w:color w:val="4472C4" w:themeColor="accent1"/>
                                <w:sz w:val="20"/>
                                <w:szCs w:val="20"/>
                              </w:rPr>
                              <w:t>Assessment 2 – Essay</w:t>
                            </w:r>
                          </w:p>
                          <w:p w14:paraId="0B0F8B07" w14:textId="443E0A47" w:rsidR="002A04A5" w:rsidRPr="00617D8F" w:rsidRDefault="00DF6731" w:rsidP="009012A0">
                            <w:pPr>
                              <w:rPr>
                                <w:color w:val="4472C4" w:themeColor="accent1"/>
                                <w:sz w:val="20"/>
                                <w:szCs w:val="20"/>
                              </w:rPr>
                            </w:pPr>
                            <w:r w:rsidRPr="00617D8F">
                              <w:rPr>
                                <w:color w:val="4472C4" w:themeColor="accent1"/>
                                <w:sz w:val="20"/>
                                <w:szCs w:val="20"/>
                              </w:rPr>
                              <w:t>SUBMISION</w:t>
                            </w:r>
                            <w:r w:rsidR="002D3D66" w:rsidRPr="00617D8F">
                              <w:rPr>
                                <w:color w:val="4472C4" w:themeColor="accent1"/>
                                <w:sz w:val="20"/>
                                <w:szCs w:val="20"/>
                              </w:rPr>
                              <w:t xml:space="preserve"> DATE:</w:t>
                            </w:r>
                            <w:r w:rsidR="002D3D66" w:rsidRPr="00617D8F">
                              <w:rPr>
                                <w:color w:val="4472C4" w:themeColor="accent1"/>
                              </w:rPr>
                              <w:t xml:space="preserve"> </w:t>
                            </w:r>
                            <w:r w:rsidR="002D3D66" w:rsidRPr="00617D8F">
                              <w:rPr>
                                <w:color w:val="4472C4" w:themeColor="accent1"/>
                                <w:sz w:val="20"/>
                                <w:szCs w:val="20"/>
                              </w:rPr>
                              <w:t>Friday 28th July 2023</w:t>
                            </w:r>
                          </w:p>
                          <w:p w14:paraId="5F7F17AD" w14:textId="4C9F5D76" w:rsidR="00A22319" w:rsidRPr="00617D8F" w:rsidRDefault="00A22319" w:rsidP="009012A0">
                            <w:pPr>
                              <w:rPr>
                                <w:color w:val="4472C4" w:themeColor="accent1"/>
                                <w:sz w:val="20"/>
                                <w:szCs w:val="20"/>
                              </w:rPr>
                            </w:pPr>
                            <w:r w:rsidRPr="00617D8F">
                              <w:rPr>
                                <w:color w:val="4472C4" w:themeColor="accent1"/>
                                <w:sz w:val="20"/>
                                <w:szCs w:val="20"/>
                              </w:rPr>
                              <w:t>WORD COUNT: 2500</w:t>
                            </w:r>
                            <w:r w:rsidR="00617D8F" w:rsidRPr="00617D8F">
                              <w:rPr>
                                <w:color w:val="4472C4" w:themeColor="accent1"/>
                                <w:sz w:val="20"/>
                                <w:szCs w:val="20"/>
                              </w:rPr>
                              <w:t xml:space="preserve"> +-10%</w:t>
                            </w:r>
                          </w:p>
                        </w:txbxContent>
                      </v:textbox>
                    </v:shape>
                    <v:rect id="Rectangle 3" o:spid="_x0000_s1028" style="position:absolute;width:1905;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left:18611;top:35704;width:24665;height:38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" adj="19915" fillcolor="#4472c4 [3204]" stroked="f" strokeweight="1pt">
                      <v:textbox inset="28.8pt,0,14.4pt,0">
                        <w:txbxContent>
                          <w:p w14:paraId="3A03BB71" w14:textId="71BA0E95" w:rsidR="00C47391" w:rsidRDefault="009012A0">
                            <w:pPr>
                              <w:pStyle w:val="NoSpacing"/>
                              <w:rPr>
                                <w:rFonts w:asciiTheme="majorHAnsi" w:eastAsiaTheme="majorEastAsia" w:hAnsiTheme="majorHAnsi" w:cstheme="majorBidi"/>
                                <w:color w:val="FFFFFF" w:themeColor="background1"/>
                                <w:sz w:val="26"/>
                                <w:szCs w:val="26"/>
                              </w:rPr>
                            </w:pPr>
                            <w:r w:rsidRPr="009012A0">
                              <w:rPr>
                                <w:rFonts w:asciiTheme="majorHAnsi" w:eastAsiaTheme="majorEastAsia" w:hAnsiTheme="majorHAnsi" w:cstheme="majorBidi"/>
                                <w:color w:val="FFFFFF" w:themeColor="background1"/>
                                <w:sz w:val="26"/>
                                <w:szCs w:val="26"/>
                              </w:rPr>
                              <w:t>Abstract:</w:t>
                            </w:r>
                          </w:p>
                        </w:txbxContent>
                      </v:textbox>
                    </v:shape>
                    <w10:wrap type="square" anchorx="page" anchory="page"/>
                  </v:group>
                </w:pict>
              </mc:Fallback>
            </mc:AlternateContent>
          </w:r>
          <w:r w:rsidR="007F5CC1">
            <w:rPr>
              <w:noProof/>
            </w:rPr>
            <mc:AlternateContent>
              <mc:Choice Requires="wpg">
                <w:drawing>
                  <wp:anchor distT="0" distB="0" distL="114300" distR="114300" simplePos="0" relativeHeight="251658240" behindDoc="1" locked="0" layoutInCell="1" allowOverlap="1" wp14:anchorId="43238979" wp14:editId="455DB30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373CCF" w14:textId="225C898D" w:rsidR="007F5CC1" w:rsidRDefault="00BD2C7D">
                                  <w:pPr>
                                    <w:pStyle w:val="NoSpacing"/>
                                    <w:jc w:val="right"/>
                                    <w:rPr>
                                      <w:color w:val="FFFFFF" w:themeColor="background1"/>
                                      <w:sz w:val="28"/>
                                      <w:szCs w:val="28"/>
                                    </w:rPr>
                                  </w:pPr>
                                  <w:r w:rsidRPr="00BD2C7D">
                                    <w:rPr>
                                      <w:color w:val="FFFFFF" w:themeColor="background1"/>
                                      <w:sz w:val="28"/>
                                      <w:szCs w:val="28"/>
                                    </w:rPr>
                                    <w:t>MODULE CODE: BMHP5004_BIRM</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3238979" id="Group 2" o:spid="_x0000_s1030"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Hwv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jZBp4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T1h8L1MkAABlBAEA&#10;DgAAAAAAAAAAAAAAAAAuAgAAZHJzL2Uyb0RvYy54bWxQSwECLQAUAAYACAAAACEAT/eVMt0AAAAG&#10;AQAADwAAAAAAAAAAAAAAAACtJgAAZHJzL2Rvd25yZXYueG1sUEsFBgAAAAAEAAQA8wAAALcnAAAA&#10;AA==&#10;">
                    <v:rect id="Rectangle 3" o:spid="_x0000_s1031"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 id="Pentagon 4" o:spid="_x0000_s1032"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21373CCF" w14:textId="225C898D" w:rsidR="007F5CC1" w:rsidRDefault="00BD2C7D">
                            <w:pPr>
                              <w:pStyle w:val="NoSpacing"/>
                              <w:jc w:val="right"/>
                              <w:rPr>
                                <w:color w:val="FFFFFF" w:themeColor="background1"/>
                                <w:sz w:val="28"/>
                                <w:szCs w:val="28"/>
                              </w:rPr>
                            </w:pPr>
                            <w:r w:rsidRPr="00BD2C7D">
                              <w:rPr>
                                <w:color w:val="FFFFFF" w:themeColor="background1"/>
                                <w:sz w:val="28"/>
                                <w:szCs w:val="28"/>
                              </w:rPr>
                              <w:t>MODULE CODE: BMHP5004_BIRM</w:t>
                            </w:r>
                          </w:p>
                        </w:txbxContent>
                      </v:textbox>
                    </v:shape>
                    <v:group id="Group 5" o:spid="_x0000_s1033"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4"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5"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6"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7"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8"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9"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40"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41"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42"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3"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4"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5"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6"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7"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8"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9"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50"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51"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2"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3"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4"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5"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6"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7"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8"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7F5CC1">
            <w:rPr>
              <w:noProof/>
            </w:rPr>
            <mc:AlternateContent>
              <mc:Choice Requires="wps">
                <w:drawing>
                  <wp:anchor distT="0" distB="0" distL="114300" distR="114300" simplePos="0" relativeHeight="251658242" behindDoc="0" locked="0" layoutInCell="1" allowOverlap="1" wp14:anchorId="36A93B94" wp14:editId="3054EA9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C9351C" w14:textId="04EE39B6" w:rsidR="007F5CC1" w:rsidRDefault="00E75B8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1372B">
                                      <w:rPr>
                                        <w:color w:val="4472C4" w:themeColor="accent1"/>
                                        <w:sz w:val="26"/>
                                        <w:szCs w:val="26"/>
                                      </w:rPr>
                                      <w:t>STUDE</w:t>
                                    </w:r>
                                    <w:r w:rsidR="00E325F8">
                                      <w:rPr>
                                        <w:color w:val="4472C4" w:themeColor="accent1"/>
                                        <w:sz w:val="26"/>
                                        <w:szCs w:val="26"/>
                                      </w:rPr>
                                      <w:t xml:space="preserve">NT NAME: </w:t>
                                    </w:r>
                                    <w:r w:rsidR="007F5CC1">
                                      <w:rPr>
                                        <w:color w:val="4472C4" w:themeColor="accent1"/>
                                        <w:sz w:val="26"/>
                                        <w:szCs w:val="26"/>
                                      </w:rPr>
                                      <w:t>Nomathemba Socikwa</w:t>
                                    </w:r>
                                  </w:sdtContent>
                                </w:sdt>
                              </w:p>
                              <w:p w14:paraId="40072BE5" w14:textId="257B6CD6" w:rsidR="007F5CC1" w:rsidRDefault="00E75B8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1372B">
                                      <w:rPr>
                                        <w:caps/>
                                        <w:color w:val="595959" w:themeColor="text1" w:themeTint="A6"/>
                                        <w:sz w:val="20"/>
                                        <w:szCs w:val="20"/>
                                      </w:rPr>
                                      <w:t>student id: 2128581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6A93B94" id="Text Box 32" o:spid="_x0000_s1059"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" filled="f" stroked="f" strokeweight=".5pt">
                    <v:textbox style="mso-fit-shape-to-text:t" inset="0,0,0,0">
                      <w:txbxContent>
                        <w:p w14:paraId="16C9351C" w14:textId="04EE39B6" w:rsidR="007F5CC1" w:rsidRDefault="00E75B8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1372B">
                                <w:rPr>
                                  <w:color w:val="4472C4" w:themeColor="accent1"/>
                                  <w:sz w:val="26"/>
                                  <w:szCs w:val="26"/>
                                </w:rPr>
                                <w:t>STUDE</w:t>
                              </w:r>
                              <w:r w:rsidR="00E325F8">
                                <w:rPr>
                                  <w:color w:val="4472C4" w:themeColor="accent1"/>
                                  <w:sz w:val="26"/>
                                  <w:szCs w:val="26"/>
                                </w:rPr>
                                <w:t xml:space="preserve">NT NAME: </w:t>
                              </w:r>
                              <w:r w:rsidR="007F5CC1">
                                <w:rPr>
                                  <w:color w:val="4472C4" w:themeColor="accent1"/>
                                  <w:sz w:val="26"/>
                                  <w:szCs w:val="26"/>
                                </w:rPr>
                                <w:t>Nomathemba Socikwa</w:t>
                              </w:r>
                            </w:sdtContent>
                          </w:sdt>
                        </w:p>
                        <w:p w14:paraId="40072BE5" w14:textId="257B6CD6" w:rsidR="007F5CC1" w:rsidRDefault="00E75B8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1372B">
                                <w:rPr>
                                  <w:caps/>
                                  <w:color w:val="595959" w:themeColor="text1" w:themeTint="A6"/>
                                  <w:sz w:val="20"/>
                                  <w:szCs w:val="20"/>
                                </w:rPr>
                                <w:t>student id: 2128581</w:t>
                              </w:r>
                            </w:sdtContent>
                          </w:sdt>
                        </w:p>
                      </w:txbxContent>
                    </v:textbox>
                    <w10:wrap anchorx="page" anchory="page"/>
                  </v:shape>
                </w:pict>
              </mc:Fallback>
            </mc:AlternateContent>
          </w:r>
        </w:p>
        <w:p w14:paraId="063F21B2" w14:textId="77777777" w:rsidR="00B375AA" w:rsidRDefault="00036FE8" w:rsidP="00B375AA">
          <w:r>
            <w:rPr>
              <w:noProof/>
            </w:rPr>
            <mc:AlternateContent>
              <mc:Choice Requires="wps">
                <w:drawing>
                  <wp:anchor distT="0" distB="0" distL="114300" distR="114300" simplePos="0" relativeHeight="251658241" behindDoc="0" locked="0" layoutInCell="1" allowOverlap="1" wp14:anchorId="08EBBA47" wp14:editId="5A901B2A">
                    <wp:simplePos x="0" y="0"/>
                    <wp:positionH relativeFrom="page">
                      <wp:posOffset>3706577</wp:posOffset>
                    </wp:positionH>
                    <wp:positionV relativeFrom="page">
                      <wp:posOffset>1883144</wp:posOffset>
                    </wp:positionV>
                    <wp:extent cx="3657600" cy="1603867"/>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3657600" cy="16038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15678F" w14:textId="39F9ECD4" w:rsidR="007F5CC1" w:rsidRDefault="00E75B8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F40F0" w:rsidRPr="00FF40F0">
                                      <w:rPr>
                                        <w:rFonts w:asciiTheme="majorHAnsi" w:eastAsiaTheme="majorEastAsia" w:hAnsiTheme="majorHAnsi" w:cstheme="majorBidi"/>
                                        <w:color w:val="262626" w:themeColor="text1" w:themeTint="D9"/>
                                        <w:sz w:val="72"/>
                                        <w:szCs w:val="72"/>
                                      </w:rPr>
                                      <w:t>BSc Health and Social Care</w:t>
                                    </w:r>
                                  </w:sdtContent>
                                </w:sdt>
                              </w:p>
                              <w:p w14:paraId="36329B1D" w14:textId="17BB83C5" w:rsidR="007F5CC1" w:rsidRDefault="00E75B8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967F9">
                                      <w:rPr>
                                        <w:color w:val="404040" w:themeColor="text1" w:themeTint="BF"/>
                                        <w:sz w:val="36"/>
                                        <w:szCs w:val="36"/>
                                      </w:rPr>
                                      <w:t>Children, Young People and Families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08EBBA47" id="Text Box 1" o:spid="_x0000_s1060" type="#_x0000_t202" style="position:absolute;margin-left:291.85pt;margin-top:148.3pt;width:4in;height:126.3pt;z-index:251658241;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" filled="f" stroked="f" strokeweight=".5pt">
                    <v:textbox inset="0,0,0,0">
                      <w:txbxContent>
                        <w:p w14:paraId="1E15678F" w14:textId="39F9ECD4" w:rsidR="007F5CC1" w:rsidRDefault="00E75B8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F40F0" w:rsidRPr="00FF40F0">
                                <w:rPr>
                                  <w:rFonts w:asciiTheme="majorHAnsi" w:eastAsiaTheme="majorEastAsia" w:hAnsiTheme="majorHAnsi" w:cstheme="majorBidi"/>
                                  <w:color w:val="262626" w:themeColor="text1" w:themeTint="D9"/>
                                  <w:sz w:val="72"/>
                                  <w:szCs w:val="72"/>
                                </w:rPr>
                                <w:t>BSc Health and Social Care</w:t>
                              </w:r>
                            </w:sdtContent>
                          </w:sdt>
                        </w:p>
                        <w:p w14:paraId="36329B1D" w14:textId="17BB83C5" w:rsidR="007F5CC1" w:rsidRDefault="00E75B8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967F9">
                                <w:rPr>
                                  <w:color w:val="404040" w:themeColor="text1" w:themeTint="BF"/>
                                  <w:sz w:val="36"/>
                                  <w:szCs w:val="36"/>
                                </w:rPr>
                                <w:t>Children, Young People and Families</w:t>
                              </w:r>
                            </w:sdtContent>
                          </w:sdt>
                        </w:p>
                      </w:txbxContent>
                    </v:textbox>
                    <w10:wrap anchorx="page" anchory="page"/>
                  </v:shape>
                </w:pict>
              </mc:Fallback>
            </mc:AlternateContent>
          </w:r>
          <w:r w:rsidR="007F5CC1">
            <w:br w:type="page"/>
          </w:r>
        </w:p>
      </w:sdtContent>
    </w:sdt>
    <w:p w14:paraId="22C94809" w14:textId="76B99A9E" w:rsidR="001771A1" w:rsidRPr="001D4A25" w:rsidRDefault="001771A1" w:rsidP="006B535D">
      <w:pPr>
        <w:spacing w:line="360" w:lineRule="auto"/>
        <w:jc w:val="both"/>
        <w:rPr>
          <w:rFonts w:ascii="Arial" w:hAnsi="Arial" w:cs="Arial"/>
        </w:rPr>
      </w:pPr>
      <w:r w:rsidRPr="001D4A25">
        <w:rPr>
          <w:rFonts w:ascii="Arial" w:hAnsi="Arial" w:cs="Arial"/>
        </w:rPr>
        <w:lastRenderedPageBreak/>
        <w:t>This essay</w:t>
      </w:r>
      <w:r w:rsidR="000861B0" w:rsidRPr="001D4A25">
        <w:rPr>
          <w:rFonts w:ascii="Arial" w:hAnsi="Arial" w:cs="Arial"/>
        </w:rPr>
        <w:t>’s abstra</w:t>
      </w:r>
      <w:r w:rsidR="00195BA0" w:rsidRPr="001D4A25">
        <w:rPr>
          <w:rFonts w:ascii="Arial" w:hAnsi="Arial" w:cs="Arial"/>
        </w:rPr>
        <w:t>ct</w:t>
      </w:r>
      <w:r w:rsidRPr="001D4A25">
        <w:rPr>
          <w:rFonts w:ascii="Arial" w:hAnsi="Arial" w:cs="Arial"/>
        </w:rPr>
        <w:t xml:space="preserve"> utilizes Venn diagrams to </w:t>
      </w:r>
      <w:proofErr w:type="gramStart"/>
      <w:r w:rsidRPr="001D4A25">
        <w:rPr>
          <w:rFonts w:ascii="Arial" w:hAnsi="Arial" w:cs="Arial"/>
        </w:rPr>
        <w:t>compare and contrast</w:t>
      </w:r>
      <w:proofErr w:type="gramEnd"/>
      <w:r w:rsidRPr="001D4A25">
        <w:rPr>
          <w:rFonts w:ascii="Arial" w:hAnsi="Arial" w:cs="Arial"/>
        </w:rPr>
        <w:t xml:space="preserve"> the safeguarding, policies, and challenges associated with the Victory </w:t>
      </w:r>
      <w:proofErr w:type="spellStart"/>
      <w:r w:rsidRPr="001D4A25">
        <w:rPr>
          <w:rFonts w:ascii="Arial" w:hAnsi="Arial" w:cs="Arial"/>
        </w:rPr>
        <w:t>Climbé</w:t>
      </w:r>
      <w:proofErr w:type="spellEnd"/>
      <w:r w:rsidRPr="001D4A25">
        <w:rPr>
          <w:rFonts w:ascii="Arial" w:hAnsi="Arial" w:cs="Arial"/>
        </w:rPr>
        <w:t xml:space="preserve"> and Baby P cases. By examining the intersection and differences between </w:t>
      </w:r>
      <w:proofErr w:type="gramStart"/>
      <w:r w:rsidRPr="001D4A25">
        <w:rPr>
          <w:rFonts w:ascii="Arial" w:hAnsi="Arial" w:cs="Arial"/>
        </w:rPr>
        <w:t xml:space="preserve">these two high-profile child protection </w:t>
      </w:r>
      <w:r w:rsidR="00CF1515" w:rsidRPr="001D4A25">
        <w:rPr>
          <w:rFonts w:ascii="Arial" w:hAnsi="Arial" w:cs="Arial"/>
        </w:rPr>
        <w:t>analysis</w:t>
      </w:r>
      <w:proofErr w:type="gramEnd"/>
      <w:r w:rsidRPr="001D4A25">
        <w:rPr>
          <w:rFonts w:ascii="Arial" w:hAnsi="Arial" w:cs="Arial"/>
        </w:rPr>
        <w:t xml:space="preserve"> aims to shed light on the complexities of safeguarding vulnerable children. The essay highlights the importance of effective policies, the challenges faced by professionals, and the crucial role of communication and collaboration among stakeholders.</w:t>
      </w:r>
      <w:r w:rsidR="00CF1515">
        <w:rPr>
          <w:rFonts w:ascii="Arial" w:hAnsi="Arial" w:cs="Arial"/>
        </w:rPr>
        <w:t xml:space="preserve"> </w:t>
      </w:r>
      <w:r w:rsidRPr="001D4A25">
        <w:rPr>
          <w:rFonts w:ascii="Arial" w:hAnsi="Arial" w:cs="Arial"/>
        </w:rPr>
        <w:t xml:space="preserve">Furthermore, it emphasizes the significance of learning from these cases to strengthen safeguarding practices and prevent future instances of child abuse and </w:t>
      </w:r>
      <w:r w:rsidR="00CF1515" w:rsidRPr="001D4A25">
        <w:rPr>
          <w:rFonts w:ascii="Arial" w:hAnsi="Arial" w:cs="Arial"/>
        </w:rPr>
        <w:t xml:space="preserve">neglect. </w:t>
      </w:r>
      <w:proofErr w:type="gramStart"/>
      <w:r w:rsidR="00CF1515" w:rsidRPr="001D4A25">
        <w:rPr>
          <w:rFonts w:ascii="Arial" w:hAnsi="Arial" w:cs="Arial"/>
        </w:rPr>
        <w:t>(</w:t>
      </w:r>
      <w:r w:rsidR="006E6860" w:rsidRPr="001D4A25">
        <w:rPr>
          <w:rFonts w:ascii="Arial" w:hAnsi="Arial" w:cs="Arial"/>
        </w:rPr>
        <w:t xml:space="preserve"> </w:t>
      </w:r>
      <w:proofErr w:type="spellStart"/>
      <w:r w:rsidR="006E6860" w:rsidRPr="001D4A25">
        <w:rPr>
          <w:rFonts w:ascii="Arial" w:hAnsi="Arial" w:cs="Arial"/>
        </w:rPr>
        <w:t>Biehal</w:t>
      </w:r>
      <w:proofErr w:type="spellEnd"/>
      <w:proofErr w:type="gramEnd"/>
      <w:r w:rsidR="005A7981" w:rsidRPr="001D4A25">
        <w:rPr>
          <w:rFonts w:ascii="Arial" w:hAnsi="Arial" w:cs="Arial"/>
        </w:rPr>
        <w:t xml:space="preserve"> </w:t>
      </w:r>
      <w:r w:rsidR="00EC4916" w:rsidRPr="001D4A25">
        <w:rPr>
          <w:rFonts w:ascii="Arial" w:hAnsi="Arial" w:cs="Arial"/>
        </w:rPr>
        <w:t>et a</w:t>
      </w:r>
      <w:r w:rsidR="00C8049D" w:rsidRPr="001D4A25">
        <w:rPr>
          <w:rFonts w:ascii="Arial" w:hAnsi="Arial" w:cs="Arial"/>
        </w:rPr>
        <w:t>l</w:t>
      </w:r>
      <w:r w:rsidR="008A4A54" w:rsidRPr="001D4A25">
        <w:rPr>
          <w:rFonts w:ascii="Arial" w:hAnsi="Arial" w:cs="Arial"/>
        </w:rPr>
        <w:t>.</w:t>
      </w:r>
      <w:r w:rsidR="004F0E53" w:rsidRPr="001D4A25">
        <w:rPr>
          <w:rFonts w:ascii="Arial" w:hAnsi="Arial" w:cs="Arial"/>
        </w:rPr>
        <w:t>,</w:t>
      </w:r>
      <w:r w:rsidR="006E6860" w:rsidRPr="001D4A25">
        <w:rPr>
          <w:rFonts w:ascii="Arial" w:hAnsi="Arial" w:cs="Arial"/>
        </w:rPr>
        <w:t>2015).</w:t>
      </w:r>
    </w:p>
    <w:p w14:paraId="22650701" w14:textId="47E89D03" w:rsidR="00895C39" w:rsidRPr="001D4A25" w:rsidRDefault="00E46070" w:rsidP="006B535D">
      <w:pPr>
        <w:spacing w:line="360" w:lineRule="auto"/>
        <w:jc w:val="both"/>
        <w:rPr>
          <w:rFonts w:ascii="Arial" w:hAnsi="Arial" w:cs="Arial"/>
        </w:rPr>
      </w:pPr>
      <w:r w:rsidRPr="001D4A25">
        <w:rPr>
          <w:rFonts w:ascii="Arial" w:hAnsi="Arial" w:cs="Arial"/>
        </w:rPr>
        <w:t>T</w:t>
      </w:r>
      <w:r w:rsidR="00FE6682" w:rsidRPr="001D4A25">
        <w:rPr>
          <w:rFonts w:ascii="Arial" w:hAnsi="Arial" w:cs="Arial"/>
        </w:rPr>
        <w:t>he assay</w:t>
      </w:r>
      <w:r w:rsidR="001B73F7" w:rsidRPr="001D4A25">
        <w:rPr>
          <w:rFonts w:ascii="Arial" w:hAnsi="Arial" w:cs="Arial"/>
        </w:rPr>
        <w:t xml:space="preserve"> </w:t>
      </w:r>
      <w:r w:rsidR="0069271C" w:rsidRPr="001D4A25">
        <w:rPr>
          <w:rFonts w:ascii="Arial" w:hAnsi="Arial" w:cs="Arial"/>
        </w:rPr>
        <w:t>introduces</w:t>
      </w:r>
      <w:r w:rsidR="00FE6682" w:rsidRPr="001D4A25">
        <w:rPr>
          <w:rFonts w:ascii="Arial" w:hAnsi="Arial" w:cs="Arial"/>
        </w:rPr>
        <w:t xml:space="preserve"> </w:t>
      </w:r>
      <w:r w:rsidR="001B73F7" w:rsidRPr="001D4A25">
        <w:rPr>
          <w:rFonts w:ascii="Arial" w:hAnsi="Arial" w:cs="Arial"/>
        </w:rPr>
        <w:t>s</w:t>
      </w:r>
      <w:r w:rsidR="009D190D" w:rsidRPr="001D4A25">
        <w:rPr>
          <w:rFonts w:ascii="Arial" w:hAnsi="Arial" w:cs="Arial"/>
        </w:rPr>
        <w:t xml:space="preserve">afeguarding policies and procedures play a crucial role in ensuring the safety and well-being of children in the United Kingdom. Over the last two decades, significant attention has been given to high-profile safeguarding cases, which have highlighted the importance of robust systems in place to protect vulnerable individuals. This essay will explore the significance of safeguarding policies and procedures in the UK and </w:t>
      </w:r>
      <w:proofErr w:type="gramStart"/>
      <w:r w:rsidR="009D190D" w:rsidRPr="001D4A25">
        <w:rPr>
          <w:rFonts w:ascii="Arial" w:hAnsi="Arial" w:cs="Arial"/>
        </w:rPr>
        <w:t>make reference</w:t>
      </w:r>
      <w:proofErr w:type="gramEnd"/>
      <w:r w:rsidR="009D190D" w:rsidRPr="001D4A25">
        <w:rPr>
          <w:rFonts w:ascii="Arial" w:hAnsi="Arial" w:cs="Arial"/>
        </w:rPr>
        <w:t xml:space="preserve"> to two prominent safeguarding cases involving children, demonstrating the imperative need for effective measures to prevent harm and promote child welfare</w:t>
      </w:r>
      <w:r w:rsidR="00B077F8" w:rsidRPr="001D4A25">
        <w:rPr>
          <w:rFonts w:ascii="Arial" w:hAnsi="Arial" w:cs="Arial"/>
        </w:rPr>
        <w:t xml:space="preserve"> </w:t>
      </w:r>
      <w:r w:rsidR="005C5AF5" w:rsidRPr="001D4A25">
        <w:rPr>
          <w:rFonts w:ascii="Arial" w:hAnsi="Arial" w:cs="Arial"/>
        </w:rPr>
        <w:t>(</w:t>
      </w:r>
      <w:r w:rsidR="005C5AF5" w:rsidRPr="001D4A25">
        <w:rPr>
          <w:rFonts w:ascii="Arial" w:hAnsi="Arial" w:cs="Arial"/>
        </w:rPr>
        <w:t>Brandon</w:t>
      </w:r>
      <w:r w:rsidR="0081333C" w:rsidRPr="001D4A25">
        <w:rPr>
          <w:rFonts w:ascii="Arial" w:hAnsi="Arial" w:cs="Arial"/>
        </w:rPr>
        <w:t xml:space="preserve"> et al.</w:t>
      </w:r>
      <w:r w:rsidR="0016710A" w:rsidRPr="001D4A25">
        <w:rPr>
          <w:rFonts w:ascii="Arial" w:hAnsi="Arial" w:cs="Arial"/>
        </w:rPr>
        <w:t>,</w:t>
      </w:r>
      <w:r w:rsidR="005C5AF5" w:rsidRPr="001D4A25">
        <w:rPr>
          <w:rFonts w:ascii="Arial" w:hAnsi="Arial" w:cs="Arial"/>
        </w:rPr>
        <w:t>2013)</w:t>
      </w:r>
      <w:r w:rsidR="009D190D" w:rsidRPr="001D4A25">
        <w:rPr>
          <w:rFonts w:ascii="Arial" w:hAnsi="Arial" w:cs="Arial"/>
        </w:rPr>
        <w:t>.</w:t>
      </w:r>
      <w:r w:rsidR="000511D7" w:rsidRPr="001D4A25">
        <w:rPr>
          <w:rFonts w:ascii="Arial" w:hAnsi="Arial" w:cs="Arial"/>
        </w:rPr>
        <w:t xml:space="preserve"> </w:t>
      </w:r>
      <w:r w:rsidR="001771A1" w:rsidRPr="001D4A25">
        <w:rPr>
          <w:rFonts w:ascii="Arial" w:hAnsi="Arial" w:cs="Arial"/>
        </w:rPr>
        <w:t xml:space="preserve">Child protection is a critical aspect of social welfare, with policies and safeguarding practices designed to protect vulnerable children from harm. The Victory </w:t>
      </w:r>
      <w:proofErr w:type="spellStart"/>
      <w:r w:rsidR="001771A1" w:rsidRPr="001D4A25">
        <w:rPr>
          <w:rFonts w:ascii="Arial" w:hAnsi="Arial" w:cs="Arial"/>
        </w:rPr>
        <w:t>Climbé</w:t>
      </w:r>
      <w:proofErr w:type="spellEnd"/>
      <w:r w:rsidR="001771A1" w:rsidRPr="001D4A25">
        <w:rPr>
          <w:rFonts w:ascii="Arial" w:hAnsi="Arial" w:cs="Arial"/>
        </w:rPr>
        <w:t xml:space="preserve"> and Baby P cases are notable examples where failures in safeguarding resulted in tragic consequences. This essay employs Venn diagrams to explore the commonalities and distinct aspects of these cases concerning safeguarding, policies, and the challenges encountered</w:t>
      </w:r>
      <w:r w:rsidR="0096512C" w:rsidRPr="001D4A25">
        <w:rPr>
          <w:rFonts w:ascii="Arial" w:hAnsi="Arial" w:cs="Arial"/>
        </w:rPr>
        <w:t xml:space="preserve"> (</w:t>
      </w:r>
      <w:proofErr w:type="spellStart"/>
      <w:r w:rsidR="0096512C" w:rsidRPr="001D4A25">
        <w:rPr>
          <w:rFonts w:ascii="Arial" w:hAnsi="Arial" w:cs="Arial"/>
        </w:rPr>
        <w:t>Heberle</w:t>
      </w:r>
      <w:proofErr w:type="spellEnd"/>
      <w:r w:rsidR="00FF6B5E" w:rsidRPr="001D4A25">
        <w:rPr>
          <w:rFonts w:ascii="Arial" w:hAnsi="Arial" w:cs="Arial"/>
        </w:rPr>
        <w:t xml:space="preserve"> et al.,2015)</w:t>
      </w:r>
      <w:r w:rsidR="0096512C" w:rsidRPr="001D4A25">
        <w:rPr>
          <w:rFonts w:ascii="Arial" w:hAnsi="Arial" w:cs="Arial"/>
        </w:rPr>
        <w:t xml:space="preserve"> </w:t>
      </w:r>
      <w:r w:rsidR="001771A1" w:rsidRPr="001D4A25">
        <w:rPr>
          <w:rFonts w:ascii="Arial" w:hAnsi="Arial" w:cs="Arial"/>
        </w:rPr>
        <w:t xml:space="preserve">Through this comparative analysis, </w:t>
      </w:r>
      <w:r w:rsidR="00D61CF0" w:rsidRPr="001D4A25">
        <w:rPr>
          <w:rFonts w:ascii="Arial" w:hAnsi="Arial" w:cs="Arial"/>
        </w:rPr>
        <w:t>the assay’s aim is to</w:t>
      </w:r>
      <w:r w:rsidR="001771A1" w:rsidRPr="001D4A25">
        <w:rPr>
          <w:rFonts w:ascii="Arial" w:hAnsi="Arial" w:cs="Arial"/>
        </w:rPr>
        <w:t xml:space="preserve"> gain valuable insights into the complexities of safeguarding vulnerable children and identify key areas for improvement.</w:t>
      </w:r>
    </w:p>
    <w:p w14:paraId="395C7A8C" w14:textId="7733EB5E" w:rsidR="007F7035" w:rsidRPr="001D4A25" w:rsidRDefault="00393AC0" w:rsidP="006B535D">
      <w:pPr>
        <w:spacing w:line="360" w:lineRule="auto"/>
        <w:jc w:val="both"/>
        <w:rPr>
          <w:rFonts w:ascii="Arial" w:hAnsi="Arial" w:cs="Arial"/>
        </w:rPr>
      </w:pPr>
      <w:r w:rsidRPr="001D4A25">
        <w:rPr>
          <w:rFonts w:ascii="Arial" w:hAnsi="Arial" w:cs="Arial"/>
        </w:rPr>
        <w:t>F</w:t>
      </w:r>
      <w:r w:rsidR="000B6199" w:rsidRPr="001D4A25">
        <w:rPr>
          <w:rFonts w:ascii="Arial" w:hAnsi="Arial" w:cs="Arial"/>
        </w:rPr>
        <w:t>urt</w:t>
      </w:r>
      <w:r w:rsidRPr="001D4A25">
        <w:rPr>
          <w:rFonts w:ascii="Arial" w:hAnsi="Arial" w:cs="Arial"/>
        </w:rPr>
        <w:t xml:space="preserve">hermore, </w:t>
      </w:r>
      <w:r w:rsidR="007D6FDB" w:rsidRPr="001D4A25">
        <w:rPr>
          <w:rFonts w:ascii="Arial" w:hAnsi="Arial" w:cs="Arial"/>
        </w:rPr>
        <w:t>c</w:t>
      </w:r>
      <w:r w:rsidR="00CA2DCB" w:rsidRPr="001D4A25">
        <w:rPr>
          <w:rFonts w:ascii="Arial" w:hAnsi="Arial" w:cs="Arial"/>
        </w:rPr>
        <w:t>hild abuse is a grave societal concern that demands urgent attention from both legal and social perspectives. This essay aims to critically analyse the Victoria Climbié and Baby P cases, shedding light on the failures of the systems designed to safeguard vulnerable children. Through a comprehensive examination of these cases, this essay will highlight the shortcomings in child protection services and the urgent need for reforms. The analysis will draw upon relevant literature and scholarly resources, ensuring the provision of original insights</w:t>
      </w:r>
      <w:r w:rsidR="005D5C80" w:rsidRPr="001D4A25">
        <w:rPr>
          <w:rFonts w:ascii="Arial" w:hAnsi="Arial" w:cs="Arial"/>
        </w:rPr>
        <w:t>.</w:t>
      </w:r>
    </w:p>
    <w:p w14:paraId="71482F24" w14:textId="63F3E034" w:rsidR="00895C39" w:rsidRPr="001D4A25" w:rsidRDefault="007936A5" w:rsidP="006B535D">
      <w:pPr>
        <w:spacing w:line="360" w:lineRule="auto"/>
        <w:jc w:val="both"/>
        <w:rPr>
          <w:rFonts w:ascii="Arial" w:hAnsi="Arial" w:cs="Arial"/>
        </w:rPr>
      </w:pPr>
      <w:r w:rsidRPr="001D4A25">
        <w:rPr>
          <w:rFonts w:ascii="Arial" w:hAnsi="Arial" w:cs="Arial"/>
        </w:rPr>
        <w:t>The i</w:t>
      </w:r>
      <w:r w:rsidR="00895C39" w:rsidRPr="001D4A25">
        <w:rPr>
          <w:rFonts w:ascii="Arial" w:hAnsi="Arial" w:cs="Arial"/>
        </w:rPr>
        <w:t xml:space="preserve">mportance of Safeguarding </w:t>
      </w:r>
      <w:r w:rsidR="004B7CC6" w:rsidRPr="001D4A25">
        <w:rPr>
          <w:rFonts w:ascii="Arial" w:hAnsi="Arial" w:cs="Arial"/>
        </w:rPr>
        <w:t>p</w:t>
      </w:r>
      <w:r w:rsidR="00895C39" w:rsidRPr="001D4A25">
        <w:rPr>
          <w:rFonts w:ascii="Arial" w:hAnsi="Arial" w:cs="Arial"/>
        </w:rPr>
        <w:t>olicies</w:t>
      </w:r>
      <w:r w:rsidR="004B7CC6" w:rsidRPr="001D4A25">
        <w:rPr>
          <w:rFonts w:ascii="Arial" w:hAnsi="Arial" w:cs="Arial"/>
        </w:rPr>
        <w:t xml:space="preserve"> </w:t>
      </w:r>
      <w:r w:rsidR="00895C39" w:rsidRPr="001D4A25">
        <w:rPr>
          <w:rFonts w:ascii="Arial" w:hAnsi="Arial" w:cs="Arial"/>
        </w:rPr>
        <w:t xml:space="preserve">and procedures are </w:t>
      </w:r>
      <w:r w:rsidR="004B7CC6" w:rsidRPr="001D4A25">
        <w:rPr>
          <w:rFonts w:ascii="Arial" w:hAnsi="Arial" w:cs="Arial"/>
        </w:rPr>
        <w:t xml:space="preserve"> </w:t>
      </w:r>
      <w:r w:rsidR="00895C39" w:rsidRPr="001D4A25">
        <w:rPr>
          <w:rFonts w:ascii="Arial" w:hAnsi="Arial" w:cs="Arial"/>
        </w:rPr>
        <w:t xml:space="preserve"> to create safe environments for children, shielding them from abuse, neglect, and exploitation. These policies outline the necessary steps to prevent harm, identify risks, and respond appropriately to concerns. By establishing clear guidelines and protocols, safeguarding policies ensure that all individuals involved in the care and welfare of children are aware of their responsibilities, enabling a coordinated effort to protect children's rights and well-being</w:t>
      </w:r>
      <w:r w:rsidR="005B4BF5" w:rsidRPr="001D4A25">
        <w:rPr>
          <w:rFonts w:ascii="Arial" w:hAnsi="Arial" w:cs="Arial"/>
        </w:rPr>
        <w:t xml:space="preserve"> (</w:t>
      </w:r>
      <w:r w:rsidR="005B4BF5" w:rsidRPr="001D4A25">
        <w:rPr>
          <w:rFonts w:ascii="Arial" w:hAnsi="Arial" w:cs="Arial"/>
        </w:rPr>
        <w:t>nspcc.org.uk</w:t>
      </w:r>
      <w:r w:rsidR="00357190" w:rsidRPr="001D4A25">
        <w:rPr>
          <w:rFonts w:ascii="Arial" w:hAnsi="Arial" w:cs="Arial"/>
        </w:rPr>
        <w:t>)</w:t>
      </w:r>
      <w:r w:rsidR="00895C39" w:rsidRPr="001D4A25">
        <w:rPr>
          <w:rFonts w:ascii="Arial" w:hAnsi="Arial" w:cs="Arial"/>
        </w:rPr>
        <w:t>.</w:t>
      </w:r>
    </w:p>
    <w:p w14:paraId="79456F36" w14:textId="6C503868" w:rsidR="00895C39" w:rsidRPr="001D4A25" w:rsidRDefault="00895C39" w:rsidP="006B535D">
      <w:pPr>
        <w:spacing w:line="360" w:lineRule="auto"/>
        <w:jc w:val="both"/>
        <w:rPr>
          <w:rFonts w:ascii="Arial" w:hAnsi="Arial" w:cs="Arial"/>
        </w:rPr>
      </w:pPr>
      <w:r w:rsidRPr="001D4A25">
        <w:rPr>
          <w:rFonts w:ascii="Arial" w:hAnsi="Arial" w:cs="Arial"/>
        </w:rPr>
        <w:lastRenderedPageBreak/>
        <w:t>Effective safeguarding policies and procedures provide a framework for early detection and intervention, facilitating prompt action to address any potential risks or concerns. They prioritize the welfare of children by promoting a culture of vigilance, encouraging everyone to be alert to signs of abuse or neglect. Furthermore, these policies emphasize the importance of child-</w:t>
      </w:r>
      <w:r w:rsidR="00923DDD" w:rsidRPr="001D4A25">
        <w:rPr>
          <w:rFonts w:ascii="Arial" w:hAnsi="Arial" w:cs="Arial"/>
        </w:rPr>
        <w:t>centred</w:t>
      </w:r>
      <w:r w:rsidRPr="001D4A25">
        <w:rPr>
          <w:rFonts w:ascii="Arial" w:hAnsi="Arial" w:cs="Arial"/>
        </w:rPr>
        <w:t xml:space="preserve"> approaches, ensuring that children's voices are </w:t>
      </w:r>
      <w:r w:rsidR="00DB47F5" w:rsidRPr="001D4A25">
        <w:rPr>
          <w:rFonts w:ascii="Arial" w:hAnsi="Arial" w:cs="Arial"/>
        </w:rPr>
        <w:t>heard,</w:t>
      </w:r>
      <w:r w:rsidRPr="001D4A25">
        <w:rPr>
          <w:rFonts w:ascii="Arial" w:hAnsi="Arial" w:cs="Arial"/>
        </w:rPr>
        <w:t xml:space="preserve"> and their best interests are upheld throughout the safeguarding process</w:t>
      </w:r>
      <w:r w:rsidR="00923DDD" w:rsidRPr="001D4A25">
        <w:rPr>
          <w:rFonts w:ascii="Arial" w:hAnsi="Arial" w:cs="Arial"/>
        </w:rPr>
        <w:t xml:space="preserve"> (</w:t>
      </w:r>
      <w:r w:rsidR="00923DDD" w:rsidRPr="001D4A25">
        <w:rPr>
          <w:rFonts w:ascii="Arial" w:hAnsi="Arial" w:cs="Arial"/>
        </w:rPr>
        <w:t>www.scie.org</w:t>
      </w:r>
      <w:r w:rsidR="00923DDD" w:rsidRPr="001D4A25">
        <w:rPr>
          <w:rFonts w:ascii="Arial" w:hAnsi="Arial" w:cs="Arial"/>
        </w:rPr>
        <w:t>)</w:t>
      </w:r>
      <w:r w:rsidRPr="001D4A25">
        <w:rPr>
          <w:rFonts w:ascii="Arial" w:hAnsi="Arial" w:cs="Arial"/>
        </w:rPr>
        <w:t>.</w:t>
      </w:r>
    </w:p>
    <w:p w14:paraId="4B56A033" w14:textId="301B6F1B" w:rsidR="00895C39" w:rsidRPr="001D4A25" w:rsidRDefault="00895C39" w:rsidP="006B535D">
      <w:pPr>
        <w:spacing w:line="360" w:lineRule="auto"/>
        <w:jc w:val="both"/>
        <w:rPr>
          <w:rFonts w:ascii="Arial" w:hAnsi="Arial" w:cs="Arial"/>
        </w:rPr>
      </w:pPr>
      <w:r w:rsidRPr="001D4A25">
        <w:rPr>
          <w:rFonts w:ascii="Arial" w:hAnsi="Arial" w:cs="Arial"/>
        </w:rPr>
        <w:t>Safeguarding Policies and Procedures in the In the UK</w:t>
      </w:r>
      <w:r w:rsidR="00294B95" w:rsidRPr="001D4A25">
        <w:rPr>
          <w:rFonts w:ascii="Arial" w:hAnsi="Arial" w:cs="Arial"/>
        </w:rPr>
        <w:t xml:space="preserve"> </w:t>
      </w:r>
      <w:r w:rsidRPr="001D4A25">
        <w:rPr>
          <w:rFonts w:ascii="Arial" w:hAnsi="Arial" w:cs="Arial"/>
        </w:rPr>
        <w:t xml:space="preserve">are implemented across various sectors, including education, healthcare, social services, and </w:t>
      </w:r>
      <w:r w:rsidR="006226C6" w:rsidRPr="001D4A25">
        <w:rPr>
          <w:rFonts w:ascii="Arial" w:hAnsi="Arial" w:cs="Arial"/>
        </w:rPr>
        <w:t>community.</w:t>
      </w:r>
      <w:r w:rsidRPr="001D4A25">
        <w:rPr>
          <w:rFonts w:ascii="Arial" w:hAnsi="Arial" w:cs="Arial"/>
        </w:rPr>
        <w:t xml:space="preserve"> The government has established legislative frameworks and guidance documents that outline the responsibilities of organizations and individuals involved in safeguarding </w:t>
      </w:r>
      <w:r w:rsidR="006226C6" w:rsidRPr="001D4A25">
        <w:rPr>
          <w:rFonts w:ascii="Arial" w:hAnsi="Arial" w:cs="Arial"/>
        </w:rPr>
        <w:t>children. One</w:t>
      </w:r>
      <w:r w:rsidRPr="001D4A25">
        <w:rPr>
          <w:rFonts w:ascii="Arial" w:hAnsi="Arial" w:cs="Arial"/>
        </w:rPr>
        <w:t xml:space="preserve"> of the key legislative measures is the Children Act 1989, which sets out the legal framework for child protection in England and Wales. This act places a duty on local authorities to safeguard and promote the welfare of children within their area. It also emphasizes partnership working between agencies, ensuring that information is shared appropriately to protect children from harm</w:t>
      </w:r>
      <w:r w:rsidR="00AF016D" w:rsidRPr="001D4A25">
        <w:rPr>
          <w:rFonts w:ascii="Arial" w:hAnsi="Arial" w:cs="Arial"/>
        </w:rPr>
        <w:t xml:space="preserve"> </w:t>
      </w:r>
      <w:bookmarkStart w:id="0" w:name="_Hlk141453887"/>
      <w:r w:rsidR="009053D3" w:rsidRPr="001D4A25">
        <w:rPr>
          <w:rFonts w:ascii="Arial" w:hAnsi="Arial" w:cs="Arial"/>
        </w:rPr>
        <w:t>(</w:t>
      </w:r>
      <w:r w:rsidR="009053D3" w:rsidRPr="001D4A25">
        <w:rPr>
          <w:rFonts w:ascii="Arial" w:hAnsi="Arial" w:cs="Arial"/>
          <w:color w:val="222222"/>
          <w:shd w:val="clear" w:color="auto" w:fill="FFFFFF"/>
        </w:rPr>
        <w:t>Ryan, 2019</w:t>
      </w:r>
      <w:r w:rsidR="009053D3" w:rsidRPr="001D4A25">
        <w:rPr>
          <w:rFonts w:ascii="Arial" w:hAnsi="Arial" w:cs="Arial"/>
          <w:color w:val="222222"/>
          <w:shd w:val="clear" w:color="auto" w:fill="FFFFFF"/>
        </w:rPr>
        <w:t>).</w:t>
      </w:r>
      <w:bookmarkEnd w:id="0"/>
    </w:p>
    <w:p w14:paraId="1C4F0A20" w14:textId="0ED6D264" w:rsidR="001771A1" w:rsidRPr="001D4A25" w:rsidRDefault="00895C39" w:rsidP="006B535D">
      <w:pPr>
        <w:spacing w:line="360" w:lineRule="auto"/>
        <w:jc w:val="both"/>
        <w:rPr>
          <w:rFonts w:ascii="Arial" w:hAnsi="Arial" w:cs="Arial"/>
        </w:rPr>
      </w:pPr>
      <w:r w:rsidRPr="001D4A25">
        <w:rPr>
          <w:rFonts w:ascii="Arial" w:hAnsi="Arial" w:cs="Arial"/>
        </w:rPr>
        <w:t>Additionally, the Working Together to Safeguard Children guidance, first published in 1999 and subsequently updated, provides a comprehensive framework for professionals and organizations involved in safeguarding children. This guidance outlines the steps to be taken in identifying and responding to child abuse and neglect, as well as the roles and responsibilities of different agencies</w:t>
      </w:r>
      <w:r w:rsidR="00BB6688" w:rsidRPr="001D4A25">
        <w:rPr>
          <w:rFonts w:ascii="Arial" w:hAnsi="Arial" w:cs="Arial"/>
          <w:color w:val="222222"/>
          <w:shd w:val="clear" w:color="auto" w:fill="FFFFFF"/>
        </w:rPr>
        <w:t xml:space="preserve"> </w:t>
      </w:r>
      <w:r w:rsidR="0040786D" w:rsidRPr="001D4A25">
        <w:rPr>
          <w:rFonts w:ascii="Arial" w:hAnsi="Arial" w:cs="Arial"/>
          <w:color w:val="222222"/>
          <w:shd w:val="clear" w:color="auto" w:fill="FFFFFF"/>
        </w:rPr>
        <w:t>(</w:t>
      </w:r>
      <w:r w:rsidR="00BB6688" w:rsidRPr="001D4A25">
        <w:rPr>
          <w:rFonts w:ascii="Arial" w:hAnsi="Arial" w:cs="Arial"/>
          <w:color w:val="222222"/>
          <w:shd w:val="clear" w:color="auto" w:fill="FFFFFF"/>
        </w:rPr>
        <w:t>Department for Education, 2006</w:t>
      </w:r>
      <w:r w:rsidR="006226C6" w:rsidRPr="001D4A25">
        <w:rPr>
          <w:rFonts w:ascii="Arial" w:hAnsi="Arial" w:cs="Arial"/>
          <w:color w:val="222222"/>
          <w:shd w:val="clear" w:color="auto" w:fill="FFFFFF"/>
        </w:rPr>
        <w:t>)</w:t>
      </w:r>
      <w:r w:rsidR="006226C6" w:rsidRPr="001D4A25">
        <w:rPr>
          <w:rFonts w:ascii="Arial" w:hAnsi="Arial" w:cs="Arial"/>
        </w:rPr>
        <w:t>. Example</w:t>
      </w:r>
      <w:r w:rsidR="0057698D" w:rsidRPr="001D4A25">
        <w:rPr>
          <w:rFonts w:ascii="Arial" w:hAnsi="Arial" w:cs="Arial"/>
        </w:rPr>
        <w:t xml:space="preserve"> of </w:t>
      </w:r>
      <w:r w:rsidR="00C544E2" w:rsidRPr="001D4A25">
        <w:rPr>
          <w:rFonts w:ascii="Arial" w:hAnsi="Arial" w:cs="Arial"/>
        </w:rPr>
        <w:t>High-Profile Safeguarding Cases in the UK</w:t>
      </w:r>
      <w:r w:rsidR="0057698D" w:rsidRPr="001D4A25">
        <w:rPr>
          <w:rFonts w:ascii="Arial" w:hAnsi="Arial" w:cs="Arial"/>
        </w:rPr>
        <w:t xml:space="preserve"> is Victoria</w:t>
      </w:r>
      <w:r w:rsidR="00441BEE" w:rsidRPr="001D4A25">
        <w:rPr>
          <w:rFonts w:ascii="Arial" w:hAnsi="Arial" w:cs="Arial"/>
        </w:rPr>
        <w:t xml:space="preserve"> Climbié</w:t>
      </w:r>
      <w:r w:rsidR="00FF2A41" w:rsidRPr="001D4A25">
        <w:rPr>
          <w:rFonts w:ascii="Arial" w:hAnsi="Arial" w:cs="Arial"/>
        </w:rPr>
        <w:t>’</w:t>
      </w:r>
      <w:r w:rsidR="00441BEE" w:rsidRPr="001D4A25">
        <w:rPr>
          <w:rFonts w:ascii="Arial" w:hAnsi="Arial" w:cs="Arial"/>
        </w:rPr>
        <w:t>s</w:t>
      </w:r>
      <w:r w:rsidR="00A547EA" w:rsidRPr="001D4A25">
        <w:rPr>
          <w:rFonts w:ascii="Arial" w:hAnsi="Arial" w:cs="Arial"/>
        </w:rPr>
        <w:t xml:space="preserve"> and Baby P</w:t>
      </w:r>
      <w:r w:rsidR="00D2295C" w:rsidRPr="001D4A25">
        <w:rPr>
          <w:rFonts w:ascii="Arial" w:hAnsi="Arial" w:cs="Arial"/>
        </w:rPr>
        <w:t>’s cases</w:t>
      </w:r>
      <w:r w:rsidR="00471478" w:rsidRPr="001D4A25">
        <w:rPr>
          <w:rFonts w:ascii="Arial" w:hAnsi="Arial" w:cs="Arial"/>
        </w:rPr>
        <w:t>.</w:t>
      </w:r>
      <w:r w:rsidR="00D2295C" w:rsidRPr="001D4A25">
        <w:rPr>
          <w:rFonts w:ascii="Arial" w:hAnsi="Arial" w:cs="Arial"/>
        </w:rPr>
        <w:t xml:space="preserve"> </w:t>
      </w:r>
      <w:r w:rsidR="00C544E2" w:rsidRPr="001D4A25">
        <w:rPr>
          <w:rFonts w:ascii="Arial" w:hAnsi="Arial" w:cs="Arial"/>
        </w:rPr>
        <w:t>The tragic case of Victoria Climbié serves as a stark reminder of the consequences of failed safeguarding measures. Victoria, an eight-year-old girl from the Ivory Coast, suffered months of horrific abuse and neglect at the hands of her guardians, resulting in her untimely death in 2000</w:t>
      </w:r>
      <w:r w:rsidR="00021AE9" w:rsidRPr="001D4A25">
        <w:rPr>
          <w:rFonts w:ascii="Arial" w:hAnsi="Arial" w:cs="Arial"/>
        </w:rPr>
        <w:t xml:space="preserve"> </w:t>
      </w:r>
      <w:r w:rsidR="002A5429" w:rsidRPr="001D4A25">
        <w:rPr>
          <w:rFonts w:ascii="Arial" w:hAnsi="Arial" w:cs="Arial"/>
        </w:rPr>
        <w:t>(</w:t>
      </w:r>
      <w:proofErr w:type="spellStart"/>
      <w:r w:rsidR="00021AE9" w:rsidRPr="001D4A25">
        <w:rPr>
          <w:rFonts w:ascii="Arial" w:hAnsi="Arial" w:cs="Arial"/>
        </w:rPr>
        <w:t>Biehal</w:t>
      </w:r>
      <w:proofErr w:type="spellEnd"/>
      <w:r w:rsidR="00E97043" w:rsidRPr="001D4A25">
        <w:rPr>
          <w:rFonts w:ascii="Arial" w:hAnsi="Arial" w:cs="Arial"/>
        </w:rPr>
        <w:t xml:space="preserve"> et al.,</w:t>
      </w:r>
      <w:r w:rsidR="00021AE9" w:rsidRPr="001D4A25">
        <w:rPr>
          <w:rFonts w:ascii="Arial" w:hAnsi="Arial" w:cs="Arial"/>
        </w:rPr>
        <w:t xml:space="preserve">2015). </w:t>
      </w:r>
      <w:r w:rsidR="00C544E2" w:rsidRPr="001D4A25">
        <w:rPr>
          <w:rFonts w:ascii="Arial" w:hAnsi="Arial" w:cs="Arial"/>
        </w:rPr>
        <w:t xml:space="preserve">This case exposed grave failures within the social services and highlighted the urgent need for comprehensive safeguarding policies and procedures. The ensuing Laming Inquiry led to significant reforms, including the establishment of </w:t>
      </w:r>
      <w:r w:rsidR="00471478" w:rsidRPr="001D4A25">
        <w:rPr>
          <w:rFonts w:ascii="Arial" w:hAnsi="Arial" w:cs="Arial"/>
        </w:rPr>
        <w:t>Every</w:t>
      </w:r>
      <w:r w:rsidR="00C544E2" w:rsidRPr="001D4A25">
        <w:rPr>
          <w:rFonts w:ascii="Arial" w:hAnsi="Arial" w:cs="Arial"/>
        </w:rPr>
        <w:t xml:space="preserve"> Child Matters framework, which aimed to improve coordination between agencies and enhance child protection practices</w:t>
      </w:r>
      <w:r w:rsidR="00491155" w:rsidRPr="001D4A25">
        <w:rPr>
          <w:rFonts w:ascii="Arial" w:hAnsi="Arial" w:cs="Arial"/>
        </w:rPr>
        <w:t xml:space="preserve"> (</w:t>
      </w:r>
      <w:r w:rsidR="00075FA8" w:rsidRPr="001D4A25">
        <w:rPr>
          <w:rFonts w:ascii="Arial" w:hAnsi="Arial" w:cs="Arial"/>
        </w:rPr>
        <w:t>Rouse,</w:t>
      </w:r>
      <w:r w:rsidR="00075FA8" w:rsidRPr="001D4A25">
        <w:rPr>
          <w:rFonts w:ascii="Arial" w:hAnsi="Arial" w:cs="Arial"/>
        </w:rPr>
        <w:t xml:space="preserve"> </w:t>
      </w:r>
      <w:r w:rsidR="00075FA8" w:rsidRPr="001D4A25">
        <w:rPr>
          <w:rFonts w:ascii="Arial" w:hAnsi="Arial" w:cs="Arial"/>
        </w:rPr>
        <w:t>2008</w:t>
      </w:r>
      <w:r w:rsidR="00075FA8" w:rsidRPr="001D4A25">
        <w:rPr>
          <w:rFonts w:ascii="Arial" w:hAnsi="Arial" w:cs="Arial"/>
        </w:rPr>
        <w:t>)</w:t>
      </w:r>
      <w:r w:rsidR="00C544E2" w:rsidRPr="001D4A25">
        <w:rPr>
          <w:rFonts w:ascii="Arial" w:hAnsi="Arial" w:cs="Arial"/>
        </w:rPr>
        <w:t>.</w:t>
      </w:r>
      <w:r w:rsidR="00381754" w:rsidRPr="001D4A25">
        <w:rPr>
          <w:rFonts w:ascii="Arial" w:hAnsi="Arial" w:cs="Arial"/>
        </w:rPr>
        <w:t xml:space="preserve"> </w:t>
      </w:r>
      <w:r w:rsidR="00C544E2" w:rsidRPr="001D4A25">
        <w:rPr>
          <w:rFonts w:ascii="Arial" w:hAnsi="Arial" w:cs="Arial"/>
        </w:rPr>
        <w:t>The Baby P case, which unfolded in 2007, shocked the nation and ignited intense public scrutiny regarding the efficacy of safeguarding measures. The case involved the tragic death of a 17-month-old boy, known as Baby P, who endured extensive abuse despite being under the radar of multiple agencies</w:t>
      </w:r>
      <w:r w:rsidR="00AF5655" w:rsidRPr="001D4A25">
        <w:rPr>
          <w:rFonts w:ascii="Arial" w:hAnsi="Arial" w:cs="Arial"/>
        </w:rPr>
        <w:t xml:space="preserve"> (</w:t>
      </w:r>
      <w:r w:rsidR="00701B8D" w:rsidRPr="001D4A25">
        <w:rPr>
          <w:rFonts w:ascii="Arial" w:hAnsi="Arial" w:cs="Arial"/>
        </w:rPr>
        <w:t>London Safeguarding Children Board</w:t>
      </w:r>
      <w:r w:rsidR="00384025">
        <w:rPr>
          <w:rFonts w:ascii="Arial" w:hAnsi="Arial" w:cs="Arial"/>
        </w:rPr>
        <w:t xml:space="preserve">, </w:t>
      </w:r>
      <w:r w:rsidR="00701B8D" w:rsidRPr="001D4A25">
        <w:rPr>
          <w:rFonts w:ascii="Arial" w:hAnsi="Arial" w:cs="Arial"/>
        </w:rPr>
        <w:t>2009).</w:t>
      </w:r>
      <w:r w:rsidR="00C544E2" w:rsidRPr="001D4A25">
        <w:rPr>
          <w:rFonts w:ascii="Arial" w:hAnsi="Arial" w:cs="Arial"/>
        </w:rPr>
        <w:t xml:space="preserve"> </w:t>
      </w:r>
      <w:r w:rsidR="00643794" w:rsidRPr="001D4A25">
        <w:rPr>
          <w:rFonts w:ascii="Arial" w:hAnsi="Arial" w:cs="Arial"/>
        </w:rPr>
        <w:t>The</w:t>
      </w:r>
      <w:r w:rsidR="00C544E2" w:rsidRPr="001D4A25">
        <w:rPr>
          <w:rFonts w:ascii="Arial" w:hAnsi="Arial" w:cs="Arial"/>
        </w:rPr>
        <w:t xml:space="preserve"> subsequent Serious Case Review revealed systemic failures and highlighted shortcomings in communication, coordination, and information sharing among professionals responsible for safeguarding children. This case prompted substantial revisions </w:t>
      </w:r>
      <w:r w:rsidR="00C544E2" w:rsidRPr="001D4A25">
        <w:rPr>
          <w:rFonts w:ascii="Arial" w:hAnsi="Arial" w:cs="Arial"/>
        </w:rPr>
        <w:lastRenderedPageBreak/>
        <w:t>in child protection policies and practices, emphasizing the importance of collaboration, training, and vigilance</w:t>
      </w:r>
      <w:r w:rsidR="0050508A" w:rsidRPr="001D4A25">
        <w:rPr>
          <w:rFonts w:ascii="Arial" w:hAnsi="Arial" w:cs="Arial"/>
        </w:rPr>
        <w:t xml:space="preserve"> </w:t>
      </w:r>
      <w:r w:rsidR="00801F09" w:rsidRPr="001D4A25">
        <w:rPr>
          <w:rFonts w:ascii="Arial" w:hAnsi="Arial" w:cs="Arial"/>
        </w:rPr>
        <w:t>(</w:t>
      </w:r>
      <w:proofErr w:type="spellStart"/>
      <w:r w:rsidR="00801F09" w:rsidRPr="001D4A25">
        <w:rPr>
          <w:rFonts w:ascii="Arial" w:hAnsi="Arial" w:cs="Arial"/>
        </w:rPr>
        <w:t>Huxham</w:t>
      </w:r>
      <w:proofErr w:type="spellEnd"/>
      <w:r w:rsidR="008A2AF3" w:rsidRPr="001D4A25">
        <w:rPr>
          <w:rFonts w:ascii="Arial" w:hAnsi="Arial" w:cs="Arial"/>
        </w:rPr>
        <w:t xml:space="preserve"> </w:t>
      </w:r>
      <w:r w:rsidR="00801F09" w:rsidRPr="001D4A25">
        <w:rPr>
          <w:rFonts w:ascii="Arial" w:hAnsi="Arial" w:cs="Arial"/>
        </w:rPr>
        <w:t xml:space="preserve">&amp; </w:t>
      </w:r>
      <w:proofErr w:type="spellStart"/>
      <w:r w:rsidR="00801F09" w:rsidRPr="001D4A25">
        <w:rPr>
          <w:rFonts w:ascii="Arial" w:hAnsi="Arial" w:cs="Arial"/>
        </w:rPr>
        <w:t>Vangen</w:t>
      </w:r>
      <w:proofErr w:type="spellEnd"/>
      <w:r w:rsidR="00801F09" w:rsidRPr="001D4A25">
        <w:rPr>
          <w:rFonts w:ascii="Arial" w:hAnsi="Arial" w:cs="Arial"/>
        </w:rPr>
        <w:t>,</w:t>
      </w:r>
      <w:r w:rsidR="008A2AF3" w:rsidRPr="001D4A25">
        <w:rPr>
          <w:rFonts w:ascii="Arial" w:hAnsi="Arial" w:cs="Arial"/>
        </w:rPr>
        <w:t xml:space="preserve"> </w:t>
      </w:r>
      <w:r w:rsidR="00801F09" w:rsidRPr="001D4A25">
        <w:rPr>
          <w:rFonts w:ascii="Arial" w:hAnsi="Arial" w:cs="Arial"/>
        </w:rPr>
        <w:t>2019)</w:t>
      </w:r>
    </w:p>
    <w:p w14:paraId="5948F0A6" w14:textId="6423D445" w:rsidR="001771A1" w:rsidRPr="001D4A25" w:rsidRDefault="001771A1" w:rsidP="006B535D">
      <w:pPr>
        <w:spacing w:line="360" w:lineRule="auto"/>
        <w:jc w:val="both"/>
        <w:rPr>
          <w:rFonts w:ascii="Arial" w:hAnsi="Arial" w:cs="Arial"/>
        </w:rPr>
      </w:pPr>
      <w:r w:rsidRPr="001D4A25">
        <w:rPr>
          <w:rFonts w:ascii="Arial" w:hAnsi="Arial" w:cs="Arial"/>
        </w:rPr>
        <w:t xml:space="preserve">Safeguarding is the collective responsibility of various agencies, professionals, and individuals involved in child protection. Both the Victory </w:t>
      </w:r>
      <w:proofErr w:type="spellStart"/>
      <w:r w:rsidRPr="001D4A25">
        <w:rPr>
          <w:rFonts w:ascii="Arial" w:hAnsi="Arial" w:cs="Arial"/>
        </w:rPr>
        <w:t>Climbé</w:t>
      </w:r>
      <w:proofErr w:type="spellEnd"/>
      <w:r w:rsidRPr="001D4A25">
        <w:rPr>
          <w:rFonts w:ascii="Arial" w:hAnsi="Arial" w:cs="Arial"/>
        </w:rPr>
        <w:t xml:space="preserve"> and Baby P cases underscore the significance of effective safeguarding practices to ensure the well-being of children. The Venn diagram illustrates the shared elements of safeguarding in both cases, such as the involvement of social services, healthcare professionals, and educational institutions</w:t>
      </w:r>
      <w:r w:rsidR="00D204F0" w:rsidRPr="001D4A25">
        <w:rPr>
          <w:rFonts w:ascii="Arial" w:hAnsi="Arial" w:cs="Arial"/>
        </w:rPr>
        <w:t xml:space="preserve"> (</w:t>
      </w:r>
      <w:r w:rsidR="00D204F0" w:rsidRPr="001D4A25">
        <w:rPr>
          <w:rFonts w:ascii="Arial" w:hAnsi="Arial" w:cs="Arial"/>
        </w:rPr>
        <w:t>Davies,2015).</w:t>
      </w:r>
      <w:r w:rsidRPr="001D4A25">
        <w:rPr>
          <w:rFonts w:ascii="Arial" w:hAnsi="Arial" w:cs="Arial"/>
        </w:rPr>
        <w:t xml:space="preserve"> Additionally, it highlights the specific safeguarding measures unique to each case, such as the role of foster care in Victory </w:t>
      </w:r>
      <w:proofErr w:type="spellStart"/>
      <w:r w:rsidRPr="001D4A25">
        <w:rPr>
          <w:rFonts w:ascii="Arial" w:hAnsi="Arial" w:cs="Arial"/>
        </w:rPr>
        <w:t>Climbé's</w:t>
      </w:r>
      <w:proofErr w:type="spellEnd"/>
      <w:r w:rsidRPr="001D4A25">
        <w:rPr>
          <w:rFonts w:ascii="Arial" w:hAnsi="Arial" w:cs="Arial"/>
        </w:rPr>
        <w:t xml:space="preserve"> case and the involvement of multiple healthcare agencies in Baby P's case</w:t>
      </w:r>
      <w:r w:rsidR="00A15104" w:rsidRPr="001D4A25">
        <w:rPr>
          <w:rFonts w:ascii="Arial" w:hAnsi="Arial" w:cs="Arial"/>
        </w:rPr>
        <w:t xml:space="preserve"> </w:t>
      </w:r>
      <w:r w:rsidR="00CB0B00" w:rsidRPr="001D4A25">
        <w:rPr>
          <w:rFonts w:ascii="Arial" w:hAnsi="Arial" w:cs="Arial"/>
        </w:rPr>
        <w:t>(</w:t>
      </w:r>
      <w:r w:rsidR="00CB0B00" w:rsidRPr="001D4A25">
        <w:rPr>
          <w:rFonts w:ascii="Arial" w:hAnsi="Arial" w:cs="Arial"/>
          <w:color w:val="222222"/>
          <w:shd w:val="clear" w:color="auto" w:fill="FFFFFF"/>
        </w:rPr>
        <w:t>Department for Education, 2006</w:t>
      </w:r>
      <w:r w:rsidR="00CB0B00" w:rsidRPr="001D4A25">
        <w:rPr>
          <w:rFonts w:ascii="Arial" w:hAnsi="Arial" w:cs="Arial"/>
        </w:rPr>
        <w:t>)</w:t>
      </w:r>
      <w:r w:rsidRPr="001D4A25">
        <w:rPr>
          <w:rFonts w:ascii="Arial" w:hAnsi="Arial" w:cs="Arial"/>
        </w:rPr>
        <w:t>.</w:t>
      </w:r>
    </w:p>
    <w:p w14:paraId="5E44E426" w14:textId="25FDF319" w:rsidR="001771A1" w:rsidRPr="001D4A25" w:rsidRDefault="001771A1" w:rsidP="006B535D">
      <w:pPr>
        <w:spacing w:line="360" w:lineRule="auto"/>
        <w:jc w:val="both"/>
        <w:rPr>
          <w:rFonts w:ascii="Arial" w:hAnsi="Arial" w:cs="Arial"/>
        </w:rPr>
      </w:pPr>
      <w:r w:rsidRPr="001D4A25">
        <w:rPr>
          <w:rFonts w:ascii="Arial" w:hAnsi="Arial" w:cs="Arial"/>
        </w:rPr>
        <w:t xml:space="preserve">Robust policies serve as a foundation for effective safeguarding practices. In </w:t>
      </w:r>
      <w:r w:rsidR="00FF2A41" w:rsidRPr="001D4A25">
        <w:rPr>
          <w:rFonts w:ascii="Arial" w:hAnsi="Arial" w:cs="Arial"/>
        </w:rPr>
        <w:t>analysing</w:t>
      </w:r>
      <w:r w:rsidRPr="001D4A25">
        <w:rPr>
          <w:rFonts w:ascii="Arial" w:hAnsi="Arial" w:cs="Arial"/>
        </w:rPr>
        <w:t xml:space="preserve"> the Venn diagram, we observe that both cases were subject to policies designed to protect vulnerable children. These policies aimed to outline the roles and responsibilities of professionals involved in safeguarding, establish reporting mechanisms, and provide guidelines for assessment and intervention. However, the diagram also reveals discrepancies in policy implementation and adherence, leading to critical failures in both cases. The lack of proper communication and coordination among agencies and professionals is a notable challenge that must be addressed to prevent future tragedies</w:t>
      </w:r>
      <w:r w:rsidR="002F7F19" w:rsidRPr="001D4A25">
        <w:rPr>
          <w:rFonts w:ascii="Arial" w:hAnsi="Arial" w:cs="Arial"/>
        </w:rPr>
        <w:t xml:space="preserve"> </w:t>
      </w:r>
      <w:r w:rsidR="00F51E3A" w:rsidRPr="001D4A25">
        <w:rPr>
          <w:rFonts w:ascii="Arial" w:hAnsi="Arial" w:cs="Arial"/>
        </w:rPr>
        <w:t>(</w:t>
      </w:r>
      <w:r w:rsidR="00F51E3A" w:rsidRPr="001D4A25">
        <w:rPr>
          <w:rFonts w:ascii="Arial" w:hAnsi="Arial" w:cs="Arial"/>
          <w:color w:val="222222"/>
          <w:shd w:val="clear" w:color="auto" w:fill="FFFFFF"/>
        </w:rPr>
        <w:t>Ryan, 2019).</w:t>
      </w:r>
    </w:p>
    <w:p w14:paraId="2FD31498" w14:textId="77777777" w:rsidR="00AB351B" w:rsidRDefault="00E8015B" w:rsidP="006B535D">
      <w:pPr>
        <w:spacing w:line="360" w:lineRule="auto"/>
        <w:jc w:val="both"/>
        <w:rPr>
          <w:rFonts w:ascii="Arial" w:hAnsi="Arial" w:cs="Arial"/>
        </w:rPr>
      </w:pPr>
      <w:r w:rsidRPr="001D4A25">
        <w:rPr>
          <w:rFonts w:ascii="Arial" w:hAnsi="Arial" w:cs="Arial"/>
        </w:rPr>
        <w:t>The following information is included in this document</w:t>
      </w:r>
      <w:r w:rsidR="005F7E37" w:rsidRPr="001D4A25">
        <w:rPr>
          <w:rFonts w:ascii="Arial" w:hAnsi="Arial" w:cs="Arial"/>
        </w:rPr>
        <w:t xml:space="preserve"> of</w:t>
      </w:r>
      <w:r w:rsidRPr="001D4A25">
        <w:rPr>
          <w:rFonts w:ascii="Arial" w:hAnsi="Arial" w:cs="Arial"/>
        </w:rPr>
        <w:t xml:space="preserve"> Every </w:t>
      </w:r>
      <w:r w:rsidR="00384025">
        <w:rPr>
          <w:rFonts w:ascii="Arial" w:hAnsi="Arial" w:cs="Arial"/>
        </w:rPr>
        <w:t>C</w:t>
      </w:r>
      <w:r w:rsidRPr="001D4A25">
        <w:rPr>
          <w:rFonts w:ascii="Arial" w:hAnsi="Arial" w:cs="Arial"/>
        </w:rPr>
        <w:t xml:space="preserve">hild </w:t>
      </w:r>
      <w:r w:rsidR="00384025">
        <w:rPr>
          <w:rFonts w:ascii="Arial" w:hAnsi="Arial" w:cs="Arial"/>
        </w:rPr>
        <w:t>M</w:t>
      </w:r>
      <w:r w:rsidR="00384025" w:rsidRPr="001D4A25">
        <w:rPr>
          <w:rFonts w:ascii="Arial" w:hAnsi="Arial" w:cs="Arial"/>
        </w:rPr>
        <w:t>atter</w:t>
      </w:r>
      <w:r w:rsidR="00384025">
        <w:rPr>
          <w:rFonts w:ascii="Arial" w:hAnsi="Arial" w:cs="Arial"/>
        </w:rPr>
        <w:t xml:space="preserve">s </w:t>
      </w:r>
      <w:r w:rsidR="00CB4828" w:rsidRPr="001D4A25">
        <w:rPr>
          <w:rFonts w:ascii="Arial" w:hAnsi="Arial" w:cs="Arial"/>
        </w:rPr>
        <w:t>(</w:t>
      </w:r>
      <w:r w:rsidR="00B629DA" w:rsidRPr="001D4A25">
        <w:rPr>
          <w:rFonts w:ascii="Arial" w:hAnsi="Arial" w:cs="Arial"/>
        </w:rPr>
        <w:t>Rouse, 2008</w:t>
      </w:r>
      <w:r w:rsidR="00B629DA" w:rsidRPr="001D4A25">
        <w:rPr>
          <w:rFonts w:ascii="Arial" w:hAnsi="Arial" w:cs="Arial"/>
        </w:rPr>
        <w:t>)</w:t>
      </w:r>
      <w:r w:rsidRPr="001D4A25">
        <w:rPr>
          <w:rFonts w:ascii="Arial" w:hAnsi="Arial" w:cs="Arial"/>
        </w:rPr>
        <w:t xml:space="preserve">. Following the death of Victoria Climbie and subsequent investigations by Lord Laming and various inspectorates dealing with children matters, the author has based his theories on this Green Paper, which outlines the Government's proposals for the reform and improvement of </w:t>
      </w:r>
      <w:r w:rsidR="00D01AF4" w:rsidRPr="001D4A25">
        <w:rPr>
          <w:rFonts w:ascii="Arial" w:hAnsi="Arial" w:cs="Arial"/>
        </w:rPr>
        <w:t>childcare</w:t>
      </w:r>
      <w:r w:rsidR="00A814EB" w:rsidRPr="001D4A25">
        <w:rPr>
          <w:rFonts w:ascii="Arial" w:hAnsi="Arial" w:cs="Arial"/>
        </w:rPr>
        <w:t xml:space="preserve"> (</w:t>
      </w:r>
      <w:r w:rsidR="00CD5436" w:rsidRPr="001D4A25">
        <w:rPr>
          <w:rFonts w:ascii="Arial" w:hAnsi="Arial" w:cs="Arial"/>
        </w:rPr>
        <w:t>Laming,</w:t>
      </w:r>
      <w:r w:rsidR="00CD5436" w:rsidRPr="001D4A25">
        <w:rPr>
          <w:rFonts w:ascii="Arial" w:hAnsi="Arial" w:cs="Arial"/>
        </w:rPr>
        <w:t xml:space="preserve"> </w:t>
      </w:r>
      <w:r w:rsidR="00CD5436" w:rsidRPr="001D4A25">
        <w:rPr>
          <w:rFonts w:ascii="Arial" w:hAnsi="Arial" w:cs="Arial"/>
        </w:rPr>
        <w:t>2003</w:t>
      </w:r>
      <w:r w:rsidR="00CD5436" w:rsidRPr="001D4A25">
        <w:rPr>
          <w:rFonts w:ascii="Arial" w:hAnsi="Arial" w:cs="Arial"/>
        </w:rPr>
        <w:t>)</w:t>
      </w:r>
      <w:r w:rsidR="00783D9C" w:rsidRPr="001D4A25">
        <w:rPr>
          <w:rFonts w:ascii="Arial" w:hAnsi="Arial" w:cs="Arial"/>
        </w:rPr>
        <w:t>. The</w:t>
      </w:r>
      <w:r w:rsidRPr="001D4A25">
        <w:rPr>
          <w:rFonts w:ascii="Arial" w:hAnsi="Arial" w:cs="Arial"/>
        </w:rPr>
        <w:t xml:space="preserve"> Venn diagram analysis of the Victory </w:t>
      </w:r>
      <w:proofErr w:type="spellStart"/>
      <w:r w:rsidRPr="001D4A25">
        <w:rPr>
          <w:rFonts w:ascii="Arial" w:hAnsi="Arial" w:cs="Arial"/>
        </w:rPr>
        <w:t>Climbé</w:t>
      </w:r>
      <w:proofErr w:type="spellEnd"/>
      <w:r w:rsidRPr="001D4A25">
        <w:rPr>
          <w:rFonts w:ascii="Arial" w:hAnsi="Arial" w:cs="Arial"/>
        </w:rPr>
        <w:t xml:space="preserve"> and Baby P cases provides a comprehensive understanding of the safeguarding, policies, and challenges surrounding child protection. These cases serve as powerful reminders of the devastating consequences that can arise from failures in safeguarding vulnerable children. By examining the commonalities and differences between the cases, </w:t>
      </w:r>
      <w:r w:rsidR="00782C46" w:rsidRPr="001D4A25">
        <w:rPr>
          <w:rFonts w:ascii="Arial" w:hAnsi="Arial" w:cs="Arial"/>
        </w:rPr>
        <w:t>this assay</w:t>
      </w:r>
      <w:r w:rsidRPr="001D4A25">
        <w:rPr>
          <w:rFonts w:ascii="Arial" w:hAnsi="Arial" w:cs="Arial"/>
        </w:rPr>
        <w:t xml:space="preserve"> </w:t>
      </w:r>
      <w:r w:rsidR="00782C46" w:rsidRPr="001D4A25">
        <w:rPr>
          <w:rFonts w:ascii="Arial" w:hAnsi="Arial" w:cs="Arial"/>
        </w:rPr>
        <w:t>has</w:t>
      </w:r>
      <w:r w:rsidRPr="001D4A25">
        <w:rPr>
          <w:rFonts w:ascii="Arial" w:hAnsi="Arial" w:cs="Arial"/>
        </w:rPr>
        <w:t xml:space="preserve"> identified key areas for improvement in safeguarding practices</w:t>
      </w:r>
      <w:r w:rsidR="00C35D60" w:rsidRPr="001D4A25">
        <w:rPr>
          <w:rFonts w:ascii="Arial" w:hAnsi="Arial" w:cs="Arial"/>
        </w:rPr>
        <w:t xml:space="preserve"> (</w:t>
      </w:r>
      <w:r w:rsidR="00C64464" w:rsidRPr="001D4A25">
        <w:rPr>
          <w:rFonts w:ascii="Arial" w:hAnsi="Arial" w:cs="Arial"/>
        </w:rPr>
        <w:t>Brandon</w:t>
      </w:r>
      <w:r w:rsidR="00C64464" w:rsidRPr="001D4A25">
        <w:rPr>
          <w:rFonts w:ascii="Arial" w:hAnsi="Arial" w:cs="Arial"/>
        </w:rPr>
        <w:t xml:space="preserve"> et al</w:t>
      </w:r>
      <w:r w:rsidR="00E656ED" w:rsidRPr="001D4A25">
        <w:rPr>
          <w:rFonts w:ascii="Arial" w:hAnsi="Arial" w:cs="Arial"/>
        </w:rPr>
        <w:t xml:space="preserve">., </w:t>
      </w:r>
      <w:r w:rsidR="00C64464" w:rsidRPr="001D4A25">
        <w:rPr>
          <w:rFonts w:ascii="Arial" w:hAnsi="Arial" w:cs="Arial"/>
        </w:rPr>
        <w:t>2013</w:t>
      </w:r>
      <w:r w:rsidR="00283351" w:rsidRPr="001D4A25">
        <w:rPr>
          <w:rFonts w:ascii="Arial" w:hAnsi="Arial" w:cs="Arial"/>
        </w:rPr>
        <w:t>)</w:t>
      </w:r>
      <w:r w:rsidRPr="001D4A25">
        <w:rPr>
          <w:rFonts w:ascii="Arial" w:hAnsi="Arial" w:cs="Arial"/>
        </w:rPr>
        <w:t>.</w:t>
      </w:r>
    </w:p>
    <w:p w14:paraId="06955C64" w14:textId="712449ED" w:rsidR="00706670" w:rsidRPr="001D4A25" w:rsidRDefault="00706670" w:rsidP="006B535D">
      <w:pPr>
        <w:spacing w:line="360" w:lineRule="auto"/>
        <w:jc w:val="both"/>
        <w:rPr>
          <w:rFonts w:ascii="Arial" w:hAnsi="Arial" w:cs="Arial"/>
        </w:rPr>
      </w:pPr>
      <w:r w:rsidRPr="001D4A25">
        <w:rPr>
          <w:rFonts w:ascii="Arial" w:hAnsi="Arial" w:cs="Arial"/>
        </w:rPr>
        <w:t>The</w:t>
      </w:r>
      <w:r w:rsidR="00A70225" w:rsidRPr="001D4A25">
        <w:rPr>
          <w:rFonts w:ascii="Arial" w:hAnsi="Arial" w:cs="Arial"/>
        </w:rPr>
        <w:t>refore, th</w:t>
      </w:r>
      <w:r w:rsidR="00B024F4" w:rsidRPr="001D4A25">
        <w:rPr>
          <w:rFonts w:ascii="Arial" w:hAnsi="Arial" w:cs="Arial"/>
        </w:rPr>
        <w:t>ere are</w:t>
      </w:r>
      <w:r w:rsidRPr="001D4A25">
        <w:rPr>
          <w:rFonts w:ascii="Arial" w:hAnsi="Arial" w:cs="Arial"/>
        </w:rPr>
        <w:t xml:space="preserve"> document</w:t>
      </w:r>
      <w:r w:rsidR="00694E4C" w:rsidRPr="001D4A25">
        <w:rPr>
          <w:rFonts w:ascii="Arial" w:hAnsi="Arial" w:cs="Arial"/>
        </w:rPr>
        <w:t>s that</w:t>
      </w:r>
      <w:r w:rsidRPr="001D4A25">
        <w:rPr>
          <w:rFonts w:ascii="Arial" w:hAnsi="Arial" w:cs="Arial"/>
        </w:rPr>
        <w:t xml:space="preserve"> states that the Command Paper was laid before Parliament by a </w:t>
      </w:r>
      <w:r w:rsidR="00A70225" w:rsidRPr="001D4A25">
        <w:rPr>
          <w:rFonts w:ascii="Arial" w:hAnsi="Arial" w:cs="Arial"/>
        </w:rPr>
        <w:t>government minister</w:t>
      </w:r>
      <w:r w:rsidRPr="001D4A25">
        <w:rPr>
          <w:rFonts w:ascii="Arial" w:hAnsi="Arial" w:cs="Arial"/>
        </w:rPr>
        <w:t xml:space="preserve"> at Her Majesty's request. The Government considers Command Papers to be of interest to Parliament, but they are not required to be presented by legislation. Originally published on September 8, 2003</w:t>
      </w:r>
      <w:r w:rsidR="001960AA">
        <w:rPr>
          <w:rFonts w:ascii="Arial" w:hAnsi="Arial" w:cs="Arial"/>
        </w:rPr>
        <w:t xml:space="preserve"> </w:t>
      </w:r>
    </w:p>
    <w:p w14:paraId="2B061908" w14:textId="33450FAE" w:rsidR="00706670" w:rsidRPr="001D4A25" w:rsidRDefault="00E7090A" w:rsidP="006B535D">
      <w:pPr>
        <w:spacing w:line="360" w:lineRule="auto"/>
        <w:jc w:val="both"/>
        <w:rPr>
          <w:rFonts w:ascii="Arial" w:hAnsi="Arial" w:cs="Arial"/>
        </w:rPr>
      </w:pPr>
      <w:r w:rsidRPr="001D4A25">
        <w:rPr>
          <w:rFonts w:ascii="Arial" w:hAnsi="Arial" w:cs="Arial"/>
        </w:rPr>
        <w:t>In additional, according</w:t>
      </w:r>
      <w:r w:rsidR="00706670" w:rsidRPr="001D4A25">
        <w:rPr>
          <w:rFonts w:ascii="Arial" w:hAnsi="Arial" w:cs="Arial"/>
        </w:rPr>
        <w:t xml:space="preserve"> to </w:t>
      </w:r>
      <w:r w:rsidR="00DC3612">
        <w:rPr>
          <w:rFonts w:ascii="Arial" w:hAnsi="Arial" w:cs="Arial"/>
        </w:rPr>
        <w:t>(</w:t>
      </w:r>
      <w:hyperlink r:id="rId7" w:history="1">
        <w:r w:rsidR="00D239F7" w:rsidRPr="00AD066F">
          <w:rPr>
            <w:rStyle w:val="Hyperlink"/>
            <w:rFonts w:ascii="Arial" w:hAnsi="Arial" w:cs="Arial"/>
          </w:rPr>
          <w:t>www.wavetrust.org</w:t>
        </w:r>
      </w:hyperlink>
      <w:r w:rsidR="00D239F7">
        <w:rPr>
          <w:rFonts w:ascii="Arial" w:hAnsi="Arial" w:cs="Arial"/>
        </w:rPr>
        <w:t xml:space="preserve">) </w:t>
      </w:r>
      <w:r w:rsidR="00706670" w:rsidRPr="001D4A25">
        <w:rPr>
          <w:rFonts w:ascii="Arial" w:hAnsi="Arial" w:cs="Arial"/>
        </w:rPr>
        <w:t xml:space="preserve">The National Safeguarding Children Association for Nurses (NSCAN) was founded with the goal of meeting the diverse needs of </w:t>
      </w:r>
      <w:r w:rsidR="00706670" w:rsidRPr="001D4A25">
        <w:rPr>
          <w:rFonts w:ascii="Arial" w:hAnsi="Arial" w:cs="Arial"/>
        </w:rPr>
        <w:lastRenderedPageBreak/>
        <w:t>nurses, midwives, health visitors, and practitioners whose roles include the protection of children and young adults.</w:t>
      </w:r>
    </w:p>
    <w:p w14:paraId="2F679DAC" w14:textId="64DF629E" w:rsidR="001771A1" w:rsidRPr="001D4A25" w:rsidRDefault="00891217" w:rsidP="006B535D">
      <w:pPr>
        <w:spacing w:line="360" w:lineRule="auto"/>
        <w:jc w:val="both"/>
        <w:rPr>
          <w:rFonts w:ascii="Arial" w:hAnsi="Arial" w:cs="Arial"/>
        </w:rPr>
      </w:pPr>
      <w:r w:rsidRPr="001D4A25">
        <w:rPr>
          <w:rFonts w:ascii="Arial" w:hAnsi="Arial" w:cs="Arial"/>
        </w:rPr>
        <w:t>Therefore</w:t>
      </w:r>
      <w:r w:rsidR="00F07DA2" w:rsidRPr="001D4A25">
        <w:rPr>
          <w:rFonts w:ascii="Arial" w:hAnsi="Arial" w:cs="Arial"/>
        </w:rPr>
        <w:t>,</w:t>
      </w:r>
      <w:r w:rsidR="00B94648" w:rsidRPr="001D4A25">
        <w:rPr>
          <w:rFonts w:ascii="Arial" w:hAnsi="Arial" w:cs="Arial"/>
        </w:rPr>
        <w:t xml:space="preserve"> </w:t>
      </w:r>
      <w:r w:rsidR="00963F41" w:rsidRPr="001D4A25">
        <w:rPr>
          <w:rFonts w:ascii="Arial" w:hAnsi="Arial" w:cs="Arial"/>
        </w:rPr>
        <w:t>Every</w:t>
      </w:r>
      <w:r w:rsidR="00706670" w:rsidRPr="001D4A25">
        <w:rPr>
          <w:rFonts w:ascii="Arial" w:hAnsi="Arial" w:cs="Arial"/>
        </w:rPr>
        <w:t xml:space="preserve"> Child Matters Act focuses on giving children a good start in life, reducing violence and anti-social behaviour, building strong and vibrant communities, and ensuring children's safety. The aim is to better children's lives, the government intends to prioritise support for parents and carers</w:t>
      </w:r>
      <w:r w:rsidR="00F9429F" w:rsidRPr="001D4A25">
        <w:rPr>
          <w:rFonts w:ascii="Arial" w:hAnsi="Arial" w:cs="Arial"/>
        </w:rPr>
        <w:t xml:space="preserve"> (</w:t>
      </w:r>
      <w:r w:rsidR="00F9429F" w:rsidRPr="001D4A25">
        <w:rPr>
          <w:rFonts w:ascii="Arial" w:hAnsi="Arial" w:cs="Arial"/>
        </w:rPr>
        <w:t>Scottish Government</w:t>
      </w:r>
      <w:r w:rsidR="00E22F5D">
        <w:rPr>
          <w:rFonts w:ascii="Arial" w:hAnsi="Arial" w:cs="Arial"/>
        </w:rPr>
        <w:t xml:space="preserve">, </w:t>
      </w:r>
      <w:r w:rsidR="00F9429F" w:rsidRPr="001D4A25">
        <w:rPr>
          <w:rFonts w:ascii="Arial" w:hAnsi="Arial" w:cs="Arial"/>
        </w:rPr>
        <w:t xml:space="preserve">2021). </w:t>
      </w:r>
      <w:r w:rsidR="00706670" w:rsidRPr="001D4A25">
        <w:rPr>
          <w:rFonts w:ascii="Arial" w:hAnsi="Arial" w:cs="Arial"/>
        </w:rPr>
        <w:t xml:space="preserve"> </w:t>
      </w:r>
    </w:p>
    <w:p w14:paraId="0DA90C63" w14:textId="6755A3DD" w:rsidR="001771A1" w:rsidRPr="001D4A25" w:rsidRDefault="00A67446" w:rsidP="006B535D">
      <w:pPr>
        <w:spacing w:line="360" w:lineRule="auto"/>
        <w:jc w:val="both"/>
        <w:rPr>
          <w:rFonts w:ascii="Arial" w:hAnsi="Arial" w:cs="Arial"/>
        </w:rPr>
      </w:pPr>
      <w:r w:rsidRPr="001D4A25">
        <w:rPr>
          <w:rFonts w:ascii="Arial" w:hAnsi="Arial" w:cs="Arial"/>
        </w:rPr>
        <w:t xml:space="preserve">The </w:t>
      </w:r>
      <w:r w:rsidR="0026494B" w:rsidRPr="001D4A25">
        <w:rPr>
          <w:rFonts w:ascii="Arial" w:hAnsi="Arial" w:cs="Arial"/>
        </w:rPr>
        <w:t>challenge</w:t>
      </w:r>
      <w:r w:rsidR="00F90732" w:rsidRPr="001D4A25">
        <w:rPr>
          <w:rFonts w:ascii="Arial" w:hAnsi="Arial" w:cs="Arial"/>
        </w:rPr>
        <w:t xml:space="preserve"> of </w:t>
      </w:r>
      <w:r w:rsidR="00FB1215" w:rsidRPr="001D4A25">
        <w:rPr>
          <w:rFonts w:ascii="Arial" w:hAnsi="Arial" w:cs="Arial"/>
        </w:rPr>
        <w:t>s</w:t>
      </w:r>
      <w:r w:rsidR="001771A1" w:rsidRPr="001D4A25">
        <w:rPr>
          <w:rFonts w:ascii="Arial" w:hAnsi="Arial" w:cs="Arial"/>
        </w:rPr>
        <w:t>afeguarding</w:t>
      </w:r>
      <w:r w:rsidR="00FB1215" w:rsidRPr="001D4A25">
        <w:rPr>
          <w:rFonts w:ascii="Arial" w:hAnsi="Arial" w:cs="Arial"/>
        </w:rPr>
        <w:t xml:space="preserve"> is that</w:t>
      </w:r>
      <w:r w:rsidR="001771A1" w:rsidRPr="001D4A25">
        <w:rPr>
          <w:rFonts w:ascii="Arial" w:hAnsi="Arial" w:cs="Arial"/>
        </w:rPr>
        <w:t xml:space="preserve"> vulnerable children </w:t>
      </w:r>
      <w:r w:rsidR="00F07DA2" w:rsidRPr="001D4A25">
        <w:rPr>
          <w:rFonts w:ascii="Arial" w:hAnsi="Arial" w:cs="Arial"/>
        </w:rPr>
        <w:t>present</w:t>
      </w:r>
      <w:r w:rsidR="001771A1" w:rsidRPr="001D4A25">
        <w:rPr>
          <w:rFonts w:ascii="Arial" w:hAnsi="Arial" w:cs="Arial"/>
        </w:rPr>
        <w:t xml:space="preserve"> numerous challenges that professionals face when trying to identify and respond to signs of abuse or neglect. The Venn diagram demonstrates several shared challenges across the Victory </w:t>
      </w:r>
      <w:proofErr w:type="spellStart"/>
      <w:r w:rsidR="001771A1" w:rsidRPr="001D4A25">
        <w:rPr>
          <w:rFonts w:ascii="Arial" w:hAnsi="Arial" w:cs="Arial"/>
        </w:rPr>
        <w:t>Climbé</w:t>
      </w:r>
      <w:proofErr w:type="spellEnd"/>
      <w:r w:rsidR="001771A1" w:rsidRPr="001D4A25">
        <w:rPr>
          <w:rFonts w:ascii="Arial" w:hAnsi="Arial" w:cs="Arial"/>
        </w:rPr>
        <w:t xml:space="preserve"> and Baby P cases, including the complexity of multi-agency collaboration, limited resources, and the need for effective information sharing. However, it is crucial to recognize the distinct challenges faced in each case. For instance, Victory </w:t>
      </w:r>
      <w:proofErr w:type="spellStart"/>
      <w:r w:rsidR="001771A1" w:rsidRPr="001D4A25">
        <w:rPr>
          <w:rFonts w:ascii="Arial" w:hAnsi="Arial" w:cs="Arial"/>
        </w:rPr>
        <w:t>Climbé's</w:t>
      </w:r>
      <w:proofErr w:type="spellEnd"/>
      <w:r w:rsidR="001771A1" w:rsidRPr="001D4A25">
        <w:rPr>
          <w:rFonts w:ascii="Arial" w:hAnsi="Arial" w:cs="Arial"/>
        </w:rPr>
        <w:t xml:space="preserve"> case involved challenges related to cultural diversity and language barriers, while Baby P's case was marked by failures in recognizing repeated signs of abuse despite multiple interactions with healthcare professionals</w:t>
      </w:r>
      <w:r w:rsidR="00886C3F" w:rsidRPr="001D4A25">
        <w:rPr>
          <w:rFonts w:ascii="Arial" w:hAnsi="Arial" w:cs="Arial"/>
        </w:rPr>
        <w:t xml:space="preserve"> </w:t>
      </w:r>
      <w:r w:rsidR="00886C3F" w:rsidRPr="001D4A25">
        <w:rPr>
          <w:rFonts w:ascii="Arial" w:hAnsi="Arial" w:cs="Arial"/>
        </w:rPr>
        <w:t>Ofsted.</w:t>
      </w:r>
      <w:r w:rsidR="00886C3F" w:rsidRPr="001D4A25">
        <w:rPr>
          <w:rFonts w:ascii="Arial" w:hAnsi="Arial" w:cs="Arial"/>
        </w:rPr>
        <w:t xml:space="preserve"> </w:t>
      </w:r>
      <w:r w:rsidR="00886C3F" w:rsidRPr="001D4A25">
        <w:rPr>
          <w:rFonts w:ascii="Arial" w:hAnsi="Arial" w:cs="Arial"/>
        </w:rPr>
        <w:t>(2003).</w:t>
      </w:r>
    </w:p>
    <w:p w14:paraId="4A0BA33F" w14:textId="51D19189" w:rsidR="001A7A53" w:rsidRPr="001D4A25" w:rsidRDefault="0026494B" w:rsidP="006B535D">
      <w:pPr>
        <w:spacing w:line="360" w:lineRule="auto"/>
        <w:jc w:val="both"/>
        <w:rPr>
          <w:rFonts w:ascii="Arial" w:hAnsi="Arial" w:cs="Arial"/>
        </w:rPr>
      </w:pPr>
      <w:r w:rsidRPr="001D4A25">
        <w:rPr>
          <w:rFonts w:ascii="Arial" w:hAnsi="Arial" w:cs="Arial"/>
        </w:rPr>
        <w:t xml:space="preserve">The </w:t>
      </w:r>
      <w:r w:rsidR="000C7635" w:rsidRPr="001D4A25">
        <w:rPr>
          <w:rFonts w:ascii="Arial" w:hAnsi="Arial" w:cs="Arial"/>
        </w:rPr>
        <w:t>l</w:t>
      </w:r>
      <w:r w:rsidR="001771A1" w:rsidRPr="001D4A25">
        <w:rPr>
          <w:rFonts w:ascii="Arial" w:hAnsi="Arial" w:cs="Arial"/>
        </w:rPr>
        <w:t xml:space="preserve">essons </w:t>
      </w:r>
      <w:r w:rsidR="000C7635" w:rsidRPr="001D4A25">
        <w:rPr>
          <w:rFonts w:ascii="Arial" w:hAnsi="Arial" w:cs="Arial"/>
        </w:rPr>
        <w:t>l</w:t>
      </w:r>
      <w:r w:rsidR="001771A1" w:rsidRPr="001D4A25">
        <w:rPr>
          <w:rFonts w:ascii="Arial" w:hAnsi="Arial" w:cs="Arial"/>
        </w:rPr>
        <w:t xml:space="preserve">earned and </w:t>
      </w:r>
      <w:r w:rsidR="000C7635" w:rsidRPr="001D4A25">
        <w:rPr>
          <w:rFonts w:ascii="Arial" w:hAnsi="Arial" w:cs="Arial"/>
        </w:rPr>
        <w:t>f</w:t>
      </w:r>
      <w:r w:rsidR="001771A1" w:rsidRPr="001D4A25">
        <w:rPr>
          <w:rFonts w:ascii="Arial" w:hAnsi="Arial" w:cs="Arial"/>
        </w:rPr>
        <w:t xml:space="preserve">uture </w:t>
      </w:r>
      <w:r w:rsidR="000C7635" w:rsidRPr="001D4A25">
        <w:rPr>
          <w:rFonts w:ascii="Arial" w:hAnsi="Arial" w:cs="Arial"/>
        </w:rPr>
        <w:t>directions the</w:t>
      </w:r>
      <w:r w:rsidR="001771A1" w:rsidRPr="001D4A25">
        <w:rPr>
          <w:rFonts w:ascii="Arial" w:hAnsi="Arial" w:cs="Arial"/>
        </w:rPr>
        <w:t xml:space="preserve"> tragic outcomes in the Victory </w:t>
      </w:r>
      <w:proofErr w:type="spellStart"/>
      <w:r w:rsidR="001771A1" w:rsidRPr="001D4A25">
        <w:rPr>
          <w:rFonts w:ascii="Arial" w:hAnsi="Arial" w:cs="Arial"/>
        </w:rPr>
        <w:t>Climbé</w:t>
      </w:r>
      <w:proofErr w:type="spellEnd"/>
      <w:r w:rsidR="001771A1" w:rsidRPr="001D4A25">
        <w:rPr>
          <w:rFonts w:ascii="Arial" w:hAnsi="Arial" w:cs="Arial"/>
        </w:rPr>
        <w:t xml:space="preserve"> and Baby P cases underline the need for continuous learning and improvement in safeguarding practices. </w:t>
      </w:r>
      <w:proofErr w:type="gramStart"/>
      <w:r w:rsidR="001771A1" w:rsidRPr="001D4A25">
        <w:rPr>
          <w:rFonts w:ascii="Arial" w:hAnsi="Arial" w:cs="Arial"/>
        </w:rPr>
        <w:t xml:space="preserve">By </w:t>
      </w:r>
      <w:r w:rsidR="00E345C1" w:rsidRPr="001D4A25">
        <w:rPr>
          <w:rFonts w:ascii="Arial" w:hAnsi="Arial" w:cs="Arial"/>
        </w:rPr>
        <w:t>analysing</w:t>
      </w:r>
      <w:r w:rsidR="001771A1" w:rsidRPr="001D4A25">
        <w:rPr>
          <w:rFonts w:ascii="Arial" w:hAnsi="Arial" w:cs="Arial"/>
        </w:rPr>
        <w:t xml:space="preserve"> the Venn </w:t>
      </w:r>
      <w:r w:rsidR="00E345C1" w:rsidRPr="001D4A25">
        <w:rPr>
          <w:rFonts w:ascii="Arial" w:hAnsi="Arial" w:cs="Arial"/>
        </w:rPr>
        <w:t>diagram, it</w:t>
      </w:r>
      <w:proofErr w:type="gramEnd"/>
      <w:r w:rsidR="001771A1" w:rsidRPr="001D4A25">
        <w:rPr>
          <w:rFonts w:ascii="Arial" w:hAnsi="Arial" w:cs="Arial"/>
        </w:rPr>
        <w:t xml:space="preserve"> becomes evident that effective communication, interagency collaboration, and a robust reporting system are crucial components of successful safeguarding. Professionals must receive adequate training on recognizing and responding to signs of abuse, and policies need to be regularly reviewed and updated to address emerging challenges</w:t>
      </w:r>
      <w:r w:rsidR="00BB1777" w:rsidRPr="001D4A25">
        <w:rPr>
          <w:rFonts w:ascii="Arial" w:hAnsi="Arial" w:cs="Arial"/>
        </w:rPr>
        <w:t xml:space="preserve"> (</w:t>
      </w:r>
      <w:r w:rsidR="00BB1777" w:rsidRPr="001D4A25">
        <w:rPr>
          <w:rFonts w:ascii="Arial" w:hAnsi="Arial" w:cs="Arial"/>
        </w:rPr>
        <w:t>Munro, 2011</w:t>
      </w:r>
      <w:r w:rsidR="00BB1777" w:rsidRPr="001D4A25">
        <w:rPr>
          <w:rFonts w:ascii="Arial" w:hAnsi="Arial" w:cs="Arial"/>
        </w:rPr>
        <w:t>)</w:t>
      </w:r>
      <w:r w:rsidR="001771A1" w:rsidRPr="001D4A25">
        <w:rPr>
          <w:rFonts w:ascii="Arial" w:hAnsi="Arial" w:cs="Arial"/>
        </w:rPr>
        <w:t>.</w:t>
      </w:r>
    </w:p>
    <w:p w14:paraId="7E4AB128" w14:textId="52CB7242" w:rsidR="00167A0D" w:rsidRPr="001D4A25" w:rsidRDefault="00167A0D" w:rsidP="006B535D">
      <w:pPr>
        <w:spacing w:line="360" w:lineRule="auto"/>
        <w:jc w:val="both"/>
        <w:rPr>
          <w:rFonts w:ascii="Arial" w:hAnsi="Arial" w:cs="Arial"/>
        </w:rPr>
      </w:pPr>
      <w:r w:rsidRPr="001D4A25">
        <w:rPr>
          <w:rFonts w:ascii="Arial" w:hAnsi="Arial" w:cs="Arial"/>
        </w:rPr>
        <w:t>Critically</w:t>
      </w:r>
      <w:r w:rsidR="00814541" w:rsidRPr="001D4A25">
        <w:rPr>
          <w:rFonts w:ascii="Arial" w:hAnsi="Arial" w:cs="Arial"/>
        </w:rPr>
        <w:t xml:space="preserve"> </w:t>
      </w:r>
      <w:r w:rsidR="00951BD1" w:rsidRPr="001D4A25">
        <w:rPr>
          <w:rFonts w:ascii="Arial" w:hAnsi="Arial" w:cs="Arial"/>
        </w:rPr>
        <w:t>t</w:t>
      </w:r>
      <w:r w:rsidRPr="001D4A25">
        <w:rPr>
          <w:rFonts w:ascii="Arial" w:hAnsi="Arial" w:cs="Arial"/>
        </w:rPr>
        <w:t>he Victoria Climbié case revealed several critical shortcomings in the child protection system. One of the major criticisms was the lack of effective communication and coordination among agencies responsible for safeguarding children. Lord Laming's inquiry highlighted the inadequate sharing of information between social services, healthcare professionals, and the police, which hindered the identification and intervention in Victoria's case (Laming, 2003).</w:t>
      </w:r>
    </w:p>
    <w:p w14:paraId="127B5A6C" w14:textId="77777777" w:rsidR="00167A0D" w:rsidRPr="001D4A25" w:rsidRDefault="00167A0D" w:rsidP="006B535D">
      <w:pPr>
        <w:spacing w:line="360" w:lineRule="auto"/>
        <w:jc w:val="both"/>
        <w:rPr>
          <w:rFonts w:ascii="Arial" w:hAnsi="Arial" w:cs="Arial"/>
        </w:rPr>
      </w:pPr>
      <w:r w:rsidRPr="001D4A25">
        <w:rPr>
          <w:rFonts w:ascii="Arial" w:hAnsi="Arial" w:cs="Arial"/>
        </w:rPr>
        <w:t>Another significant failure in the Victoria Climbié case was the inadequate assessment of risks. Despite Victoria's numerous visits to hospitals and encounters with professionals, her abuse went unnoticed. This failure underscores the need for improved training and awareness among professionals to identify signs of abuse and neglect accurately (Brandon et al., 2008)</w:t>
      </w:r>
    </w:p>
    <w:p w14:paraId="7ABCC1EC" w14:textId="5DB66542" w:rsidR="00167A0D" w:rsidRPr="001D4A25" w:rsidRDefault="00FB0BF2" w:rsidP="006B535D">
      <w:pPr>
        <w:spacing w:line="360" w:lineRule="auto"/>
        <w:jc w:val="both"/>
        <w:rPr>
          <w:rFonts w:ascii="Arial" w:hAnsi="Arial" w:cs="Arial"/>
        </w:rPr>
      </w:pPr>
      <w:r w:rsidRPr="001D4A25">
        <w:rPr>
          <w:rFonts w:ascii="Arial" w:hAnsi="Arial" w:cs="Arial"/>
        </w:rPr>
        <w:t xml:space="preserve">In </w:t>
      </w:r>
      <w:proofErr w:type="gramStart"/>
      <w:r w:rsidR="00C22596" w:rsidRPr="001D4A25">
        <w:rPr>
          <w:rFonts w:ascii="Arial" w:hAnsi="Arial" w:cs="Arial"/>
        </w:rPr>
        <w:t>addition</w:t>
      </w:r>
      <w:proofErr w:type="gramEnd"/>
      <w:r w:rsidRPr="001D4A25">
        <w:rPr>
          <w:rFonts w:ascii="Arial" w:hAnsi="Arial" w:cs="Arial"/>
        </w:rPr>
        <w:t xml:space="preserve"> </w:t>
      </w:r>
      <w:r w:rsidR="0041475B" w:rsidRPr="001D4A25">
        <w:rPr>
          <w:rFonts w:ascii="Arial" w:hAnsi="Arial" w:cs="Arial"/>
        </w:rPr>
        <w:t xml:space="preserve">critically </w:t>
      </w:r>
      <w:r w:rsidR="00E37DF3" w:rsidRPr="001D4A25">
        <w:rPr>
          <w:rFonts w:ascii="Arial" w:hAnsi="Arial" w:cs="Arial"/>
        </w:rPr>
        <w:t>t</w:t>
      </w:r>
      <w:r w:rsidR="00167A0D" w:rsidRPr="001D4A25">
        <w:rPr>
          <w:rFonts w:ascii="Arial" w:hAnsi="Arial" w:cs="Arial"/>
        </w:rPr>
        <w:t xml:space="preserve">he Baby P case, which occurred in 2007, further exposed the systemic failures in child protection services. Baby P, whose identity remains protected for legal reasons, suffered severe abuse and neglect, leading to his death at the age of seventeen </w:t>
      </w:r>
      <w:r w:rsidR="00167A0D" w:rsidRPr="001D4A25">
        <w:rPr>
          <w:rFonts w:ascii="Arial" w:hAnsi="Arial" w:cs="Arial"/>
        </w:rPr>
        <w:lastRenderedPageBreak/>
        <w:t>months. This case highlighted the shortcomings of social workers, doctors, and the legal system in adequately protecting vulnerable children.</w:t>
      </w:r>
    </w:p>
    <w:p w14:paraId="5E66FBC8" w14:textId="30A93FF5" w:rsidR="00167A0D" w:rsidRPr="001D4A25" w:rsidRDefault="00167A0D" w:rsidP="006B535D">
      <w:pPr>
        <w:spacing w:line="360" w:lineRule="auto"/>
        <w:jc w:val="both"/>
        <w:rPr>
          <w:rFonts w:ascii="Arial" w:hAnsi="Arial" w:cs="Arial"/>
        </w:rPr>
      </w:pPr>
      <w:r w:rsidRPr="001D4A25">
        <w:rPr>
          <w:rFonts w:ascii="Arial" w:hAnsi="Arial" w:cs="Arial"/>
        </w:rPr>
        <w:t>The Baby P case sparked intense criticism of child protection services in the UK. The subsequent Serious Case Review revealed multiple failures, including missed opportunities to intervene and inadequate assessments of risks. The review further pointed out the excessive workload and lack of resources that hindered effective decision-making and intervention (Brandon et al., 2009).</w:t>
      </w:r>
    </w:p>
    <w:p w14:paraId="63354217" w14:textId="774DA68B" w:rsidR="00EC75D2" w:rsidRPr="001D4A25" w:rsidRDefault="00167A0D" w:rsidP="006B535D">
      <w:pPr>
        <w:spacing w:line="360" w:lineRule="auto"/>
        <w:jc w:val="both"/>
        <w:rPr>
          <w:rFonts w:ascii="Arial" w:hAnsi="Arial" w:cs="Arial"/>
        </w:rPr>
      </w:pPr>
      <w:r w:rsidRPr="001D4A25">
        <w:rPr>
          <w:rFonts w:ascii="Arial" w:hAnsi="Arial" w:cs="Arial"/>
        </w:rPr>
        <w:t>The Victoria Climbié and Baby P cases exposed systemic failures that necessitated urgent reforms in child protection services. These reforms should focus on strengthening communication and coordination among agencies, improving risk assessment procedures, and ensuring adequate resources and training for professionals involved in safeguarding children.</w:t>
      </w:r>
    </w:p>
    <w:p w14:paraId="122E0FB1" w14:textId="3F674AF6" w:rsidR="005F32F6" w:rsidRPr="001D4A25" w:rsidRDefault="00623FAC" w:rsidP="006B535D">
      <w:pPr>
        <w:spacing w:line="360" w:lineRule="auto"/>
        <w:jc w:val="both"/>
        <w:rPr>
          <w:rFonts w:ascii="Arial" w:hAnsi="Arial" w:cs="Arial"/>
        </w:rPr>
      </w:pPr>
      <w:r w:rsidRPr="001D4A25">
        <w:rPr>
          <w:rFonts w:ascii="Arial" w:hAnsi="Arial" w:cs="Arial"/>
        </w:rPr>
        <w:t xml:space="preserve">In recommendation </w:t>
      </w:r>
      <w:r w:rsidR="00413757" w:rsidRPr="001D4A25">
        <w:rPr>
          <w:rFonts w:ascii="Arial" w:hAnsi="Arial" w:cs="Arial"/>
        </w:rPr>
        <w:t>vital for protecting children in the United Kingdom from abuse, neglect, and exploitation. The analysis of prominent safeguarding cases reinforces the significance of these measures in preventing harm and promoting the welfare of children. By continuously improving and implementing rigorous safeguarding policies and procedures, society can create a safer environment for children, ensuring their right to grow and thrive in conditions that prioritize their well-being and protection</w:t>
      </w:r>
      <w:r w:rsidR="003F4AA6" w:rsidRPr="001D4A25">
        <w:rPr>
          <w:rFonts w:ascii="Arial" w:hAnsi="Arial" w:cs="Arial"/>
        </w:rPr>
        <w:t xml:space="preserve"> (</w:t>
      </w:r>
      <w:r w:rsidR="003F4AA6" w:rsidRPr="001D4A25">
        <w:rPr>
          <w:rFonts w:ascii="Arial" w:hAnsi="Arial" w:cs="Arial"/>
        </w:rPr>
        <w:t>NHS England</w:t>
      </w:r>
      <w:r w:rsidR="003F4AA6" w:rsidRPr="001D4A25">
        <w:rPr>
          <w:rFonts w:ascii="Arial" w:hAnsi="Arial" w:cs="Arial"/>
        </w:rPr>
        <w:t xml:space="preserve">, </w:t>
      </w:r>
      <w:r w:rsidR="003F4AA6" w:rsidRPr="001D4A25">
        <w:rPr>
          <w:rFonts w:ascii="Arial" w:hAnsi="Arial" w:cs="Arial"/>
        </w:rPr>
        <w:t>2023)</w:t>
      </w:r>
      <w:r w:rsidR="00413757" w:rsidRPr="001D4A25">
        <w:rPr>
          <w:rFonts w:ascii="Arial" w:hAnsi="Arial" w:cs="Arial"/>
        </w:rPr>
        <w:t>.</w:t>
      </w:r>
      <w:r w:rsidRPr="001D4A25">
        <w:rPr>
          <w:rFonts w:ascii="Arial" w:hAnsi="Arial" w:cs="Arial"/>
        </w:rPr>
        <w:t xml:space="preserve"> Effective safeguarding requires the collaboration and coordination of various stakeholders, including social services, healthcare professionals, educators, and law enforcement agencies. It is imperative that professionals receive appropriate training and support to identify and respond to signs of abuse or neglect promptly. Moreover, policies should be regularly reviewed and updated to address emerging challenges, while ensuring effective communication and information sharing between agencies</w:t>
      </w:r>
      <w:r w:rsidR="00E2146D" w:rsidRPr="001D4A25">
        <w:rPr>
          <w:rFonts w:ascii="Arial" w:hAnsi="Arial" w:cs="Arial"/>
        </w:rPr>
        <w:t xml:space="preserve"> </w:t>
      </w:r>
      <w:r w:rsidR="0003148C" w:rsidRPr="001D4A25">
        <w:rPr>
          <w:rFonts w:ascii="Arial" w:hAnsi="Arial" w:cs="Arial"/>
        </w:rPr>
        <w:t>(</w:t>
      </w:r>
      <w:r w:rsidR="0003148C" w:rsidRPr="001D4A25">
        <w:rPr>
          <w:rFonts w:ascii="Arial" w:hAnsi="Arial" w:cs="Arial"/>
        </w:rPr>
        <w:t>Baker,</w:t>
      </w:r>
      <w:r w:rsidR="0003148C" w:rsidRPr="001D4A25">
        <w:rPr>
          <w:rFonts w:ascii="Arial" w:hAnsi="Arial" w:cs="Arial"/>
        </w:rPr>
        <w:t xml:space="preserve"> </w:t>
      </w:r>
      <w:r w:rsidR="0003148C" w:rsidRPr="001D4A25">
        <w:rPr>
          <w:rFonts w:ascii="Arial" w:hAnsi="Arial" w:cs="Arial"/>
        </w:rPr>
        <w:t>2016)</w:t>
      </w:r>
      <w:r w:rsidRPr="001D4A25">
        <w:rPr>
          <w:rFonts w:ascii="Arial" w:hAnsi="Arial" w:cs="Arial"/>
        </w:rPr>
        <w:t>.</w:t>
      </w:r>
    </w:p>
    <w:p w14:paraId="38D0ECFA" w14:textId="3634E0C2" w:rsidR="008F1B8F" w:rsidRPr="001D4A25" w:rsidRDefault="00AD4F37" w:rsidP="006B535D">
      <w:pPr>
        <w:spacing w:line="360" w:lineRule="auto"/>
        <w:jc w:val="both"/>
        <w:rPr>
          <w:rFonts w:ascii="Arial" w:hAnsi="Arial" w:cs="Arial"/>
        </w:rPr>
      </w:pPr>
      <w:r w:rsidRPr="001D4A25">
        <w:rPr>
          <w:rFonts w:ascii="Arial" w:hAnsi="Arial" w:cs="Arial"/>
        </w:rPr>
        <w:t xml:space="preserve">In conclusion </w:t>
      </w:r>
      <w:r w:rsidR="001A7A53" w:rsidRPr="001D4A25">
        <w:rPr>
          <w:rFonts w:ascii="Arial" w:hAnsi="Arial" w:cs="Arial"/>
        </w:rPr>
        <w:t>Safeguarding policies and procedures are of immense importance in the UK, as they provide a comprehensive framework for ensuring the safety and well-being of children. The Victoria Climbié and Baby P cases exemplify the urgent need for robust safeguarding measures and the impact of failures in protecting vulnerable individuals. By learning from these high-profile cases and continually refining policies, the UK has taken significant strides towards strengthening safeguarding practices. However, it is essential to remain vigilant and committed to ongoing improvements to ensure the safety and welfare of all children in society.</w:t>
      </w:r>
      <w:r w:rsidR="0024139E">
        <w:rPr>
          <w:rFonts w:ascii="Arial" w:hAnsi="Arial" w:cs="Arial"/>
        </w:rPr>
        <w:t xml:space="preserve"> </w:t>
      </w:r>
      <w:r w:rsidR="00461C72" w:rsidRPr="001D4A25">
        <w:rPr>
          <w:rFonts w:ascii="Arial" w:hAnsi="Arial" w:cs="Arial"/>
        </w:rPr>
        <w:t xml:space="preserve">In addition, Safeguarding </w:t>
      </w:r>
      <w:r w:rsidR="00570724" w:rsidRPr="001D4A25">
        <w:rPr>
          <w:rFonts w:ascii="Arial" w:hAnsi="Arial" w:cs="Arial"/>
        </w:rPr>
        <w:t>policies,</w:t>
      </w:r>
      <w:r w:rsidR="00461C72" w:rsidRPr="001D4A25">
        <w:rPr>
          <w:rFonts w:ascii="Arial" w:hAnsi="Arial" w:cs="Arial"/>
        </w:rPr>
        <w:t xml:space="preserve"> and procedures </w:t>
      </w:r>
      <w:r w:rsidR="00570724" w:rsidRPr="001D4A25">
        <w:rPr>
          <w:rFonts w:ascii="Arial" w:hAnsi="Arial" w:cs="Arial"/>
        </w:rPr>
        <w:t>are the</w:t>
      </w:r>
      <w:r w:rsidR="008F1B8F" w:rsidRPr="001D4A25">
        <w:rPr>
          <w:rFonts w:ascii="Arial" w:hAnsi="Arial" w:cs="Arial"/>
        </w:rPr>
        <w:t xml:space="preserve"> lessons learned from these cases should serve as a catalyst for change, leading to enhanced safeguarding practices and the prevention of future tragedies. By applying the insights gained from the Venn diagram analysis, </w:t>
      </w:r>
      <w:r w:rsidR="008F1B8F" w:rsidRPr="001D4A25">
        <w:rPr>
          <w:rFonts w:ascii="Arial" w:hAnsi="Arial" w:cs="Arial"/>
        </w:rPr>
        <w:lastRenderedPageBreak/>
        <w:t>stakeholders can work together to strengthen policies, improve interagency collaboration, and prioritize the well-being and safety of vulnerable children</w:t>
      </w:r>
      <w:r w:rsidR="00ED6D8C" w:rsidRPr="001D4A25">
        <w:rPr>
          <w:rFonts w:ascii="Arial" w:hAnsi="Arial" w:cs="Arial"/>
        </w:rPr>
        <w:t xml:space="preserve"> (</w:t>
      </w:r>
      <w:r w:rsidR="00A00C0D" w:rsidRPr="001D4A25">
        <w:rPr>
          <w:rFonts w:ascii="Arial" w:hAnsi="Arial" w:cs="Arial"/>
        </w:rPr>
        <w:t>United Nations</w:t>
      </w:r>
      <w:r w:rsidR="00A00C0D" w:rsidRPr="001D4A25">
        <w:rPr>
          <w:rFonts w:ascii="Arial" w:hAnsi="Arial" w:cs="Arial"/>
        </w:rPr>
        <w:t xml:space="preserve">, </w:t>
      </w:r>
      <w:r w:rsidR="00A00C0D" w:rsidRPr="001D4A25">
        <w:rPr>
          <w:rFonts w:ascii="Arial" w:hAnsi="Arial" w:cs="Arial"/>
        </w:rPr>
        <w:t>1989).</w:t>
      </w:r>
    </w:p>
    <w:p w14:paraId="099B81A1" w14:textId="3C644297" w:rsidR="00E47AA0" w:rsidRPr="001D4A25" w:rsidRDefault="008F1B8F" w:rsidP="006B535D">
      <w:pPr>
        <w:spacing w:line="360" w:lineRule="auto"/>
        <w:jc w:val="both"/>
        <w:rPr>
          <w:rFonts w:ascii="Arial" w:hAnsi="Arial" w:cs="Arial"/>
        </w:rPr>
      </w:pPr>
      <w:r w:rsidRPr="001D4A25">
        <w:rPr>
          <w:rFonts w:ascii="Arial" w:hAnsi="Arial" w:cs="Arial"/>
        </w:rPr>
        <w:t>Ultimately, safeguarding children is a shared responsibility that demands continuous efforts, vigilance, and a commitment to learning from past mistakes. Through a holistic and collaborative approach, we can strive to create a society where every child is protected, nurtured, and given the opportunity to thrive</w:t>
      </w:r>
      <w:r w:rsidR="006E56B6" w:rsidRPr="001D4A25">
        <w:rPr>
          <w:rFonts w:ascii="Arial" w:hAnsi="Arial" w:cs="Arial"/>
        </w:rPr>
        <w:t xml:space="preserve"> (</w:t>
      </w:r>
      <w:r w:rsidR="006E56B6" w:rsidRPr="001D4A25">
        <w:rPr>
          <w:rFonts w:ascii="Arial" w:hAnsi="Arial" w:cs="Arial"/>
        </w:rPr>
        <w:t>Baker, 2016).</w:t>
      </w:r>
      <w:r w:rsidR="005A678D" w:rsidRPr="001D4A25">
        <w:rPr>
          <w:rFonts w:ascii="Arial" w:hAnsi="Arial" w:cs="Arial"/>
        </w:rPr>
        <w:t xml:space="preserve"> </w:t>
      </w:r>
      <w:r w:rsidR="005A678D" w:rsidRPr="001D4A25">
        <w:rPr>
          <w:rFonts w:ascii="Arial" w:hAnsi="Arial" w:cs="Arial"/>
        </w:rPr>
        <w:t>The Victoria Climbié and Baby P cases serve as tragic reminders of the failures within child protection systems. The analysis has highlighted the critical shortcomings in assessing risks, communication, coordination, and resource allocation. Through the implementation of comprehensive reforms, including improved training, increased resources, and enhanced coordination among agencies, it is possible to prevent such tragedies and protect vulnerable children effectively. It is crucial for policymakers, practitioners, and society at large to learn from these cases and work towards building robust child protection systems that prioritize the safety and well-being of children.</w:t>
      </w:r>
    </w:p>
    <w:p w14:paraId="451CC8F2" w14:textId="77777777" w:rsidR="005F32F6" w:rsidRPr="001D4A25" w:rsidRDefault="005F32F6" w:rsidP="001D4A25">
      <w:pPr>
        <w:spacing w:line="360" w:lineRule="auto"/>
        <w:rPr>
          <w:rFonts w:ascii="Arial" w:hAnsi="Arial" w:cs="Arial"/>
        </w:rPr>
      </w:pPr>
    </w:p>
    <w:p w14:paraId="00CCD795" w14:textId="77777777" w:rsidR="005F32F6" w:rsidRPr="001D4A25" w:rsidRDefault="005F32F6" w:rsidP="001D4A25">
      <w:pPr>
        <w:spacing w:line="360" w:lineRule="auto"/>
        <w:rPr>
          <w:rFonts w:ascii="Arial" w:hAnsi="Arial" w:cs="Arial"/>
        </w:rPr>
      </w:pPr>
    </w:p>
    <w:p w14:paraId="702C5252" w14:textId="77777777" w:rsidR="005F32F6" w:rsidRPr="001D4A25" w:rsidRDefault="005F32F6" w:rsidP="001D4A25">
      <w:pPr>
        <w:spacing w:line="360" w:lineRule="auto"/>
        <w:rPr>
          <w:rFonts w:ascii="Arial" w:hAnsi="Arial" w:cs="Arial"/>
        </w:rPr>
      </w:pPr>
    </w:p>
    <w:p w14:paraId="2D526BD0" w14:textId="77777777" w:rsidR="005F32F6" w:rsidRPr="001D4A25" w:rsidRDefault="005F32F6" w:rsidP="001D4A25">
      <w:pPr>
        <w:spacing w:line="360" w:lineRule="auto"/>
        <w:rPr>
          <w:rFonts w:ascii="Arial" w:hAnsi="Arial" w:cs="Arial"/>
        </w:rPr>
      </w:pPr>
    </w:p>
    <w:p w14:paraId="444E2EF4" w14:textId="77777777" w:rsidR="005F32F6" w:rsidRPr="001D4A25" w:rsidRDefault="005F32F6" w:rsidP="001D4A25">
      <w:pPr>
        <w:spacing w:line="360" w:lineRule="auto"/>
        <w:rPr>
          <w:rFonts w:ascii="Arial" w:hAnsi="Arial" w:cs="Arial"/>
        </w:rPr>
      </w:pPr>
    </w:p>
    <w:p w14:paraId="7FDE810E" w14:textId="77777777" w:rsidR="005F32F6" w:rsidRPr="001D4A25" w:rsidRDefault="005F32F6" w:rsidP="001D4A25">
      <w:pPr>
        <w:spacing w:line="360" w:lineRule="auto"/>
        <w:rPr>
          <w:rFonts w:ascii="Arial" w:hAnsi="Arial" w:cs="Arial"/>
        </w:rPr>
      </w:pPr>
    </w:p>
    <w:p w14:paraId="172EC726" w14:textId="77777777" w:rsidR="005F32F6" w:rsidRPr="001D4A25" w:rsidRDefault="005F32F6" w:rsidP="001D4A25">
      <w:pPr>
        <w:spacing w:line="360" w:lineRule="auto"/>
        <w:rPr>
          <w:rFonts w:ascii="Arial" w:hAnsi="Arial" w:cs="Arial"/>
        </w:rPr>
      </w:pPr>
    </w:p>
    <w:p w14:paraId="64DC0420" w14:textId="77777777" w:rsidR="005F32F6" w:rsidRPr="001D4A25" w:rsidRDefault="005F32F6" w:rsidP="001D4A25">
      <w:pPr>
        <w:spacing w:line="360" w:lineRule="auto"/>
        <w:rPr>
          <w:rFonts w:ascii="Arial" w:hAnsi="Arial" w:cs="Arial"/>
        </w:rPr>
      </w:pPr>
    </w:p>
    <w:p w14:paraId="2AC9FB21" w14:textId="77777777" w:rsidR="005F32F6" w:rsidRPr="001D4A25" w:rsidRDefault="005F32F6" w:rsidP="001D4A25">
      <w:pPr>
        <w:spacing w:line="360" w:lineRule="auto"/>
        <w:rPr>
          <w:rFonts w:ascii="Arial" w:hAnsi="Arial" w:cs="Arial"/>
        </w:rPr>
      </w:pPr>
    </w:p>
    <w:p w14:paraId="0CE49425" w14:textId="77777777" w:rsidR="005F32F6" w:rsidRPr="001D4A25" w:rsidRDefault="005F32F6" w:rsidP="001D4A25">
      <w:pPr>
        <w:spacing w:line="360" w:lineRule="auto"/>
        <w:rPr>
          <w:rFonts w:ascii="Arial" w:hAnsi="Arial" w:cs="Arial"/>
        </w:rPr>
      </w:pPr>
    </w:p>
    <w:p w14:paraId="73397D9C" w14:textId="77777777" w:rsidR="005F32F6" w:rsidRPr="001D4A25" w:rsidRDefault="005F32F6" w:rsidP="001D4A25">
      <w:pPr>
        <w:spacing w:line="360" w:lineRule="auto"/>
        <w:rPr>
          <w:rFonts w:ascii="Arial" w:hAnsi="Arial" w:cs="Arial"/>
        </w:rPr>
      </w:pPr>
    </w:p>
    <w:p w14:paraId="2A4AC931" w14:textId="77777777" w:rsidR="006F5070" w:rsidRPr="001D4A25" w:rsidRDefault="006F5070" w:rsidP="001D4A25">
      <w:pPr>
        <w:spacing w:line="360" w:lineRule="auto"/>
        <w:rPr>
          <w:rFonts w:ascii="Arial" w:hAnsi="Arial" w:cs="Arial"/>
        </w:rPr>
      </w:pPr>
    </w:p>
    <w:p w14:paraId="602D4808" w14:textId="77777777" w:rsidR="00C27D5A" w:rsidRPr="001D4A25" w:rsidRDefault="00C27D5A" w:rsidP="001D4A25">
      <w:pPr>
        <w:spacing w:line="360" w:lineRule="auto"/>
        <w:rPr>
          <w:rFonts w:ascii="Arial" w:hAnsi="Arial" w:cs="Arial"/>
        </w:rPr>
      </w:pPr>
    </w:p>
    <w:p w14:paraId="6BC92575" w14:textId="77777777" w:rsidR="00463AB3" w:rsidRPr="001D4A25" w:rsidRDefault="00463AB3" w:rsidP="001D4A25">
      <w:pPr>
        <w:spacing w:line="360" w:lineRule="auto"/>
        <w:rPr>
          <w:rFonts w:ascii="Arial" w:hAnsi="Arial" w:cs="Arial"/>
        </w:rPr>
      </w:pPr>
    </w:p>
    <w:p w14:paraId="5B6B4FDD" w14:textId="77777777" w:rsidR="006B535D" w:rsidRDefault="006B535D" w:rsidP="001D4A25">
      <w:pPr>
        <w:spacing w:line="360" w:lineRule="auto"/>
        <w:rPr>
          <w:rFonts w:ascii="Arial" w:hAnsi="Arial" w:cs="Arial"/>
        </w:rPr>
      </w:pPr>
    </w:p>
    <w:p w14:paraId="134923B8" w14:textId="77777777" w:rsidR="00754A37" w:rsidRDefault="00754A37" w:rsidP="00120BD8">
      <w:pPr>
        <w:spacing w:line="360" w:lineRule="auto"/>
        <w:rPr>
          <w:rFonts w:ascii="Arial" w:hAnsi="Arial" w:cs="Arial"/>
        </w:rPr>
      </w:pPr>
    </w:p>
    <w:p w14:paraId="3839CB30" w14:textId="62207C30" w:rsidR="00401BE4" w:rsidRPr="001D4A25" w:rsidRDefault="00E47AA0" w:rsidP="00120BD8">
      <w:pPr>
        <w:spacing w:line="360" w:lineRule="auto"/>
        <w:rPr>
          <w:rFonts w:ascii="Arial" w:hAnsi="Arial" w:cs="Arial"/>
        </w:rPr>
      </w:pPr>
      <w:r w:rsidRPr="001D4A25">
        <w:rPr>
          <w:rFonts w:ascii="Arial" w:hAnsi="Arial" w:cs="Arial"/>
        </w:rPr>
        <w:lastRenderedPageBreak/>
        <w:t xml:space="preserve">Reference </w:t>
      </w:r>
    </w:p>
    <w:p w14:paraId="1C34CFF9" w14:textId="77777777" w:rsidR="00401BE4" w:rsidRPr="001D4A25" w:rsidRDefault="00401BE4" w:rsidP="00C66955">
      <w:pPr>
        <w:spacing w:line="360" w:lineRule="auto"/>
        <w:rPr>
          <w:rFonts w:ascii="Arial" w:hAnsi="Arial" w:cs="Arial"/>
        </w:rPr>
      </w:pPr>
      <w:bookmarkStart w:id="1" w:name="_Hlk141459522"/>
      <w:r w:rsidRPr="001D4A25">
        <w:rPr>
          <w:rFonts w:ascii="Arial" w:hAnsi="Arial" w:cs="Arial"/>
        </w:rPr>
        <w:t xml:space="preserve">Baker, J. A. (2016). </w:t>
      </w:r>
      <w:bookmarkEnd w:id="1"/>
      <w:r w:rsidRPr="001D4A25">
        <w:rPr>
          <w:rFonts w:ascii="Arial" w:hAnsi="Arial" w:cs="Arial"/>
          <w:i/>
          <w:iCs/>
        </w:rPr>
        <w:t>The Role of Partnerships in Social Care</w:t>
      </w:r>
      <w:r w:rsidRPr="001D4A25">
        <w:rPr>
          <w:rFonts w:ascii="Arial" w:hAnsi="Arial" w:cs="Arial"/>
        </w:rPr>
        <w:t xml:space="preserve"> Available at: </w:t>
      </w:r>
      <w:hyperlink r:id="rId8" w:history="1">
        <w:r w:rsidRPr="001D4A25">
          <w:rPr>
            <w:rStyle w:val="Hyperlink"/>
            <w:rFonts w:ascii="Arial" w:hAnsi="Arial" w:cs="Arial"/>
          </w:rPr>
          <w:t>https://www.bing.com/search?pglt=41&amp;q=Baker%2C+J.+A.+(2016).+The+role+of+partnerships+in+social+care&amp;cvid=fae3b5ce86794a03a85e7f4a7da83d3b&amp;aqs=edge..69i57j69i11004.12659j0j1&amp;FORM=ANAB01&amp;PC=U531</w:t>
        </w:r>
      </w:hyperlink>
      <w:r w:rsidRPr="001D4A25">
        <w:rPr>
          <w:rFonts w:ascii="Arial" w:hAnsi="Arial" w:cs="Arial"/>
        </w:rPr>
        <w:t xml:space="preserve">  (Accessed: 18 July 2023)</w:t>
      </w:r>
    </w:p>
    <w:p w14:paraId="311B4DA3" w14:textId="77777777" w:rsidR="00401BE4" w:rsidRPr="001D4A25" w:rsidRDefault="00401BE4" w:rsidP="00C66955">
      <w:pPr>
        <w:spacing w:line="360" w:lineRule="auto"/>
        <w:rPr>
          <w:rFonts w:ascii="Arial" w:hAnsi="Arial" w:cs="Arial"/>
        </w:rPr>
      </w:pPr>
      <w:proofErr w:type="spellStart"/>
      <w:r w:rsidRPr="001D4A25">
        <w:rPr>
          <w:rFonts w:ascii="Arial" w:hAnsi="Arial" w:cs="Arial"/>
        </w:rPr>
        <w:t>Biehal</w:t>
      </w:r>
      <w:proofErr w:type="spellEnd"/>
      <w:r w:rsidRPr="001D4A25">
        <w:rPr>
          <w:rFonts w:ascii="Arial" w:hAnsi="Arial" w:cs="Arial"/>
        </w:rPr>
        <w:t xml:space="preserve">, N., Ellison, S., Baker, C., &amp; Sinclair, I. (2015). </w:t>
      </w:r>
      <w:r w:rsidRPr="001D4A25">
        <w:rPr>
          <w:rFonts w:ascii="Arial" w:hAnsi="Arial" w:cs="Arial"/>
          <w:i/>
          <w:iCs/>
        </w:rPr>
        <w:t>Achieving and maintaining stability for children in foster care: A systematic review of outcomes and interventions</w:t>
      </w:r>
      <w:r w:rsidRPr="001D4A25">
        <w:rPr>
          <w:rFonts w:ascii="Arial" w:hAnsi="Arial" w:cs="Arial"/>
        </w:rPr>
        <w:t>. Child and Family Social Work, 20(4), 387-406. doi:10.1111/cfs.12114</w:t>
      </w:r>
    </w:p>
    <w:p w14:paraId="7F7E394F" w14:textId="77777777" w:rsidR="00401BE4" w:rsidRPr="001D4A25" w:rsidRDefault="00401BE4" w:rsidP="00C66955">
      <w:pPr>
        <w:spacing w:line="360" w:lineRule="auto"/>
        <w:rPr>
          <w:rFonts w:ascii="Arial" w:hAnsi="Arial" w:cs="Arial"/>
        </w:rPr>
      </w:pPr>
      <w:r w:rsidRPr="001D4A25">
        <w:rPr>
          <w:rFonts w:ascii="Arial" w:hAnsi="Arial" w:cs="Arial"/>
        </w:rPr>
        <w:t xml:space="preserve">Brandon, M., Bailey, S., </w:t>
      </w:r>
      <w:proofErr w:type="spellStart"/>
      <w:r w:rsidRPr="001D4A25">
        <w:rPr>
          <w:rFonts w:ascii="Arial" w:hAnsi="Arial" w:cs="Arial"/>
        </w:rPr>
        <w:t>Belderson</w:t>
      </w:r>
      <w:proofErr w:type="spellEnd"/>
      <w:r w:rsidRPr="001D4A25">
        <w:rPr>
          <w:rFonts w:ascii="Arial" w:hAnsi="Arial" w:cs="Arial"/>
        </w:rPr>
        <w:t xml:space="preserve">, P., Gardner, R., </w:t>
      </w:r>
      <w:proofErr w:type="spellStart"/>
      <w:r w:rsidRPr="001D4A25">
        <w:rPr>
          <w:rFonts w:ascii="Arial" w:hAnsi="Arial" w:cs="Arial"/>
        </w:rPr>
        <w:t>Sidebotham</w:t>
      </w:r>
      <w:proofErr w:type="spellEnd"/>
      <w:r w:rsidRPr="001D4A25">
        <w:rPr>
          <w:rFonts w:ascii="Arial" w:hAnsi="Arial" w:cs="Arial"/>
        </w:rPr>
        <w:t xml:space="preserve">, P., </w:t>
      </w:r>
      <w:proofErr w:type="spellStart"/>
      <w:r w:rsidRPr="001D4A25">
        <w:rPr>
          <w:rFonts w:ascii="Arial" w:hAnsi="Arial" w:cs="Arial"/>
        </w:rPr>
        <w:t>Dodsworth</w:t>
      </w:r>
      <w:proofErr w:type="spellEnd"/>
      <w:r w:rsidRPr="001D4A25">
        <w:rPr>
          <w:rFonts w:ascii="Arial" w:hAnsi="Arial" w:cs="Arial"/>
        </w:rPr>
        <w:t xml:space="preserve">, J., Warren, C., &amp; Black, J. (2008). </w:t>
      </w:r>
      <w:r w:rsidRPr="00617DC1">
        <w:rPr>
          <w:rFonts w:ascii="Arial" w:hAnsi="Arial" w:cs="Arial"/>
          <w:i/>
          <w:iCs/>
        </w:rPr>
        <w:t>Understanding Serious Case Reviews and their impact</w:t>
      </w:r>
      <w:r w:rsidRPr="001D4A25">
        <w:rPr>
          <w:rFonts w:ascii="Arial" w:hAnsi="Arial" w:cs="Arial"/>
        </w:rPr>
        <w:t xml:space="preserve">: A biennial analysis of Serious Case Reviews 2005-2007. Department for Children, </w:t>
      </w:r>
      <w:proofErr w:type="gramStart"/>
      <w:r w:rsidRPr="001D4A25">
        <w:rPr>
          <w:rFonts w:ascii="Arial" w:hAnsi="Arial" w:cs="Arial"/>
        </w:rPr>
        <w:t>Schools</w:t>
      </w:r>
      <w:proofErr w:type="gramEnd"/>
      <w:r w:rsidRPr="001D4A25">
        <w:rPr>
          <w:rFonts w:ascii="Arial" w:hAnsi="Arial" w:cs="Arial"/>
        </w:rPr>
        <w:t xml:space="preserve"> and Families.</w:t>
      </w:r>
    </w:p>
    <w:p w14:paraId="28697666" w14:textId="77777777" w:rsidR="00401BE4" w:rsidRPr="001D4A25" w:rsidRDefault="00401BE4" w:rsidP="00C66955">
      <w:pPr>
        <w:spacing w:line="360" w:lineRule="auto"/>
        <w:rPr>
          <w:rFonts w:ascii="Arial" w:hAnsi="Arial" w:cs="Arial"/>
        </w:rPr>
      </w:pPr>
      <w:r w:rsidRPr="001D4A25">
        <w:rPr>
          <w:rFonts w:ascii="Arial" w:hAnsi="Arial" w:cs="Arial"/>
        </w:rPr>
        <w:t xml:space="preserve">Brandon, M., Bailey, S., </w:t>
      </w:r>
      <w:proofErr w:type="spellStart"/>
      <w:r w:rsidRPr="001D4A25">
        <w:rPr>
          <w:rFonts w:ascii="Arial" w:hAnsi="Arial" w:cs="Arial"/>
        </w:rPr>
        <w:t>Belderson</w:t>
      </w:r>
      <w:proofErr w:type="spellEnd"/>
      <w:r w:rsidRPr="001D4A25">
        <w:rPr>
          <w:rFonts w:ascii="Arial" w:hAnsi="Arial" w:cs="Arial"/>
        </w:rPr>
        <w:t xml:space="preserve">, P., Gardner, R., </w:t>
      </w:r>
      <w:proofErr w:type="spellStart"/>
      <w:r w:rsidRPr="001D4A25">
        <w:rPr>
          <w:rFonts w:ascii="Arial" w:hAnsi="Arial" w:cs="Arial"/>
        </w:rPr>
        <w:t>Sidebotham</w:t>
      </w:r>
      <w:proofErr w:type="spellEnd"/>
      <w:r w:rsidRPr="001D4A25">
        <w:rPr>
          <w:rFonts w:ascii="Arial" w:hAnsi="Arial" w:cs="Arial"/>
        </w:rPr>
        <w:t xml:space="preserve">, P., </w:t>
      </w:r>
      <w:proofErr w:type="spellStart"/>
      <w:r w:rsidRPr="001D4A25">
        <w:rPr>
          <w:rFonts w:ascii="Arial" w:hAnsi="Arial" w:cs="Arial"/>
        </w:rPr>
        <w:t>Dodsworth</w:t>
      </w:r>
      <w:proofErr w:type="spellEnd"/>
      <w:r w:rsidRPr="001D4A25">
        <w:rPr>
          <w:rFonts w:ascii="Arial" w:hAnsi="Arial" w:cs="Arial"/>
        </w:rPr>
        <w:t xml:space="preserve">, J., Warren, C., &amp; Black, J. (2009). Building on the Learning from Serious Case Reviews: A two-year analysis of child protection database notifications 2007-2009. Department for Children, </w:t>
      </w:r>
      <w:proofErr w:type="gramStart"/>
      <w:r w:rsidRPr="001D4A25">
        <w:rPr>
          <w:rFonts w:ascii="Arial" w:hAnsi="Arial" w:cs="Arial"/>
        </w:rPr>
        <w:t>Schools</w:t>
      </w:r>
      <w:proofErr w:type="gramEnd"/>
      <w:r w:rsidRPr="001D4A25">
        <w:rPr>
          <w:rFonts w:ascii="Arial" w:hAnsi="Arial" w:cs="Arial"/>
        </w:rPr>
        <w:t xml:space="preserve"> and Families.</w:t>
      </w:r>
    </w:p>
    <w:p w14:paraId="70EFF3B4" w14:textId="77777777" w:rsidR="00401BE4" w:rsidRPr="001D4A25" w:rsidRDefault="00401BE4" w:rsidP="00C66955">
      <w:pPr>
        <w:spacing w:line="360" w:lineRule="auto"/>
        <w:rPr>
          <w:rFonts w:ascii="Arial" w:hAnsi="Arial" w:cs="Arial"/>
        </w:rPr>
      </w:pPr>
      <w:r w:rsidRPr="001D4A25">
        <w:rPr>
          <w:rFonts w:ascii="Arial" w:hAnsi="Arial" w:cs="Arial"/>
        </w:rPr>
        <w:t xml:space="preserve">Brandon, M., </w:t>
      </w:r>
      <w:proofErr w:type="spellStart"/>
      <w:r w:rsidRPr="001D4A25">
        <w:rPr>
          <w:rFonts w:ascii="Arial" w:hAnsi="Arial" w:cs="Arial"/>
        </w:rPr>
        <w:t>Sidebotham</w:t>
      </w:r>
      <w:proofErr w:type="spellEnd"/>
      <w:r w:rsidRPr="001D4A25">
        <w:rPr>
          <w:rFonts w:ascii="Arial" w:hAnsi="Arial" w:cs="Arial"/>
        </w:rPr>
        <w:t xml:space="preserve">, P., &amp; Bailey, S. (2013). </w:t>
      </w:r>
      <w:r w:rsidRPr="001D4A25">
        <w:rPr>
          <w:rFonts w:ascii="Arial" w:hAnsi="Arial" w:cs="Arial"/>
          <w:i/>
          <w:iCs/>
        </w:rPr>
        <w:t>Safeguarding children with chronic illness: A review of the evidence</w:t>
      </w:r>
      <w:r w:rsidRPr="001D4A25">
        <w:rPr>
          <w:rFonts w:ascii="Arial" w:hAnsi="Arial" w:cs="Arial"/>
        </w:rPr>
        <w:t xml:space="preserve">. Child: Care, </w:t>
      </w:r>
      <w:proofErr w:type="gramStart"/>
      <w:r w:rsidRPr="001D4A25">
        <w:rPr>
          <w:rFonts w:ascii="Arial" w:hAnsi="Arial" w:cs="Arial"/>
        </w:rPr>
        <w:t>Health</w:t>
      </w:r>
      <w:proofErr w:type="gramEnd"/>
      <w:r w:rsidRPr="001D4A25">
        <w:rPr>
          <w:rFonts w:ascii="Arial" w:hAnsi="Arial" w:cs="Arial"/>
        </w:rPr>
        <w:t xml:space="preserve"> and Development, 39(1), 12-24. doi:10.1111/j.1365-2214.</w:t>
      </w:r>
      <w:proofErr w:type="gramStart"/>
      <w:r w:rsidRPr="001D4A25">
        <w:rPr>
          <w:rFonts w:ascii="Arial" w:hAnsi="Arial" w:cs="Arial"/>
        </w:rPr>
        <w:t>2012.01385.x</w:t>
      </w:r>
      <w:proofErr w:type="gramEnd"/>
    </w:p>
    <w:p w14:paraId="406539A0" w14:textId="77777777" w:rsidR="00401BE4" w:rsidRPr="001D4A25" w:rsidRDefault="00401BE4" w:rsidP="00C66955">
      <w:pPr>
        <w:spacing w:line="360" w:lineRule="auto"/>
        <w:rPr>
          <w:rFonts w:ascii="Arial" w:hAnsi="Arial" w:cs="Arial"/>
        </w:rPr>
      </w:pPr>
      <w:r w:rsidRPr="001D4A25">
        <w:rPr>
          <w:rFonts w:ascii="Arial" w:hAnsi="Arial" w:cs="Arial"/>
        </w:rPr>
        <w:t>CQC (2022) Safeguarding People Available at https://www.cqc.org.uk/what-we-do/how-we-do-our-job/safeguarding-people (Accessed: 21 July 2023).</w:t>
      </w:r>
    </w:p>
    <w:p w14:paraId="06608512" w14:textId="77777777" w:rsidR="00401BE4" w:rsidRPr="001D4A25" w:rsidRDefault="00401BE4" w:rsidP="00C66955">
      <w:pPr>
        <w:spacing w:line="360" w:lineRule="auto"/>
        <w:rPr>
          <w:rFonts w:ascii="Arial" w:hAnsi="Arial" w:cs="Arial"/>
        </w:rPr>
      </w:pPr>
      <w:bookmarkStart w:id="2" w:name="_Hlk141454185"/>
      <w:r w:rsidRPr="001D4A25">
        <w:rPr>
          <w:rFonts w:ascii="Arial" w:hAnsi="Arial" w:cs="Arial"/>
        </w:rPr>
        <w:t xml:space="preserve">Davies, C. (2015). </w:t>
      </w:r>
      <w:bookmarkEnd w:id="2"/>
      <w:r w:rsidRPr="001D4A25">
        <w:rPr>
          <w:rFonts w:ascii="Arial" w:hAnsi="Arial" w:cs="Arial"/>
        </w:rPr>
        <w:t xml:space="preserve">Child protection social work: </w:t>
      </w:r>
      <w:r w:rsidRPr="001D4A25">
        <w:rPr>
          <w:rFonts w:ascii="Arial" w:hAnsi="Arial" w:cs="Arial"/>
          <w:i/>
          <w:iCs/>
        </w:rPr>
        <w:t>Experiences and perspectives of children and professionals.</w:t>
      </w:r>
      <w:r w:rsidRPr="001D4A25">
        <w:rPr>
          <w:rFonts w:ascii="Arial" w:hAnsi="Arial" w:cs="Arial"/>
        </w:rPr>
        <w:t xml:space="preserve"> Child Abuse Review, 24(1), 42-55. doi:10.1002/car.2390</w:t>
      </w:r>
    </w:p>
    <w:p w14:paraId="3FDDC421" w14:textId="77777777" w:rsidR="00401BE4" w:rsidRPr="001D4A25" w:rsidRDefault="00401BE4" w:rsidP="00C66955">
      <w:pPr>
        <w:spacing w:line="360" w:lineRule="auto"/>
        <w:rPr>
          <w:rFonts w:ascii="Arial" w:hAnsi="Arial" w:cs="Arial"/>
        </w:rPr>
      </w:pPr>
      <w:r w:rsidRPr="001D4A25">
        <w:rPr>
          <w:rFonts w:ascii="Arial" w:hAnsi="Arial" w:cs="Arial"/>
        </w:rPr>
        <w:t xml:space="preserve">Department for Education. (2018). </w:t>
      </w:r>
      <w:r w:rsidRPr="001D4A25">
        <w:rPr>
          <w:rFonts w:ascii="Arial" w:hAnsi="Arial" w:cs="Arial"/>
          <w:i/>
          <w:iCs/>
        </w:rPr>
        <w:t xml:space="preserve">Working together to safeguard children: A guide to inter-agency working to safeguard and promote the welfare of children. </w:t>
      </w:r>
      <w:r w:rsidRPr="001D4A25">
        <w:rPr>
          <w:rFonts w:ascii="Arial" w:hAnsi="Arial" w:cs="Arial"/>
        </w:rPr>
        <w:t xml:space="preserve">Available at </w:t>
      </w:r>
      <w:hyperlink r:id="rId9" w:history="1">
        <w:r w:rsidRPr="001D4A25">
          <w:rPr>
            <w:rStyle w:val="Hyperlink"/>
            <w:rFonts w:ascii="Arial" w:hAnsi="Arial" w:cs="Arial"/>
          </w:rPr>
          <w:t>https://assets.publishing.service.gov.uk/government/uploads/system/uploads/attachment_data/file/779401/Working_Together_to_Safeguard-Children.pdf</w:t>
        </w:r>
      </w:hyperlink>
      <w:r w:rsidRPr="001D4A25">
        <w:rPr>
          <w:rFonts w:ascii="Arial" w:hAnsi="Arial" w:cs="Arial"/>
        </w:rPr>
        <w:t xml:space="preserve"> ( Accessed: 19 July 2023)</w:t>
      </w:r>
    </w:p>
    <w:p w14:paraId="5914E133" w14:textId="05EC60D8" w:rsidR="00931407" w:rsidRPr="00931407" w:rsidRDefault="00401BE4" w:rsidP="00C66955">
      <w:pPr>
        <w:spacing w:line="360" w:lineRule="auto"/>
        <w:rPr>
          <w:rFonts w:ascii="Arial" w:hAnsi="Arial" w:cs="Arial"/>
          <w:color w:val="222222"/>
          <w:shd w:val="clear" w:color="auto" w:fill="FFFFFF"/>
        </w:rPr>
      </w:pPr>
      <w:r w:rsidRPr="001D4A25">
        <w:rPr>
          <w:rFonts w:ascii="Arial" w:hAnsi="Arial" w:cs="Arial"/>
          <w:color w:val="222222"/>
          <w:shd w:val="clear" w:color="auto" w:fill="FFFFFF"/>
        </w:rPr>
        <w:t xml:space="preserve">Great Britain. </w:t>
      </w:r>
      <w:bookmarkStart w:id="3" w:name="_Hlk141451905"/>
      <w:r w:rsidRPr="001D4A25">
        <w:rPr>
          <w:rFonts w:ascii="Arial" w:hAnsi="Arial" w:cs="Arial"/>
          <w:color w:val="222222"/>
          <w:shd w:val="clear" w:color="auto" w:fill="FFFFFF"/>
        </w:rPr>
        <w:t>Department for Education, 2006</w:t>
      </w:r>
      <w:bookmarkEnd w:id="3"/>
      <w:r w:rsidRPr="001D4A25">
        <w:rPr>
          <w:rFonts w:ascii="Arial" w:hAnsi="Arial" w:cs="Arial"/>
          <w:color w:val="222222"/>
          <w:shd w:val="clear" w:color="auto" w:fill="FFFFFF"/>
        </w:rPr>
        <w:t>. </w:t>
      </w:r>
      <w:r w:rsidRPr="001D4A25">
        <w:rPr>
          <w:rFonts w:ascii="Arial" w:hAnsi="Arial" w:cs="Arial"/>
          <w:i/>
          <w:iCs/>
          <w:color w:val="222222"/>
          <w:shd w:val="clear" w:color="auto" w:fill="FFFFFF"/>
        </w:rPr>
        <w:t>Working together to safeguard children: A guide to inter-agency working to safeguard and promote the welfare of children</w:t>
      </w:r>
      <w:r w:rsidRPr="001D4A25">
        <w:rPr>
          <w:rFonts w:ascii="Arial" w:hAnsi="Arial" w:cs="Arial"/>
          <w:color w:val="222222"/>
          <w:shd w:val="clear" w:color="auto" w:fill="FFFFFF"/>
        </w:rPr>
        <w:t>. The Stationery Office.</w:t>
      </w:r>
    </w:p>
    <w:p w14:paraId="2D2595E2" w14:textId="77777777" w:rsidR="00401BE4" w:rsidRPr="001D4A25" w:rsidRDefault="00401BE4" w:rsidP="00C66955">
      <w:pPr>
        <w:spacing w:line="360" w:lineRule="auto"/>
        <w:rPr>
          <w:rFonts w:ascii="Arial" w:hAnsi="Arial" w:cs="Arial"/>
        </w:rPr>
      </w:pPr>
      <w:proofErr w:type="spellStart"/>
      <w:r w:rsidRPr="001D4A25">
        <w:rPr>
          <w:rFonts w:ascii="Arial" w:hAnsi="Arial" w:cs="Arial"/>
          <w:color w:val="222222"/>
          <w:shd w:val="clear" w:color="auto" w:fill="FFFFFF"/>
        </w:rPr>
        <w:lastRenderedPageBreak/>
        <w:t>Heberle</w:t>
      </w:r>
      <w:proofErr w:type="spellEnd"/>
      <w:r w:rsidRPr="001D4A25">
        <w:rPr>
          <w:rFonts w:ascii="Arial" w:hAnsi="Arial" w:cs="Arial"/>
          <w:color w:val="222222"/>
          <w:shd w:val="clear" w:color="auto" w:fill="FFFFFF"/>
        </w:rPr>
        <w:t xml:space="preserve">, H., Meirelles, G.V., da Silva, F.R., </w:t>
      </w:r>
      <w:proofErr w:type="spellStart"/>
      <w:r w:rsidRPr="001D4A25">
        <w:rPr>
          <w:rFonts w:ascii="Arial" w:hAnsi="Arial" w:cs="Arial"/>
          <w:color w:val="222222"/>
          <w:shd w:val="clear" w:color="auto" w:fill="FFFFFF"/>
        </w:rPr>
        <w:t>Telles</w:t>
      </w:r>
      <w:proofErr w:type="spellEnd"/>
      <w:r w:rsidRPr="001D4A25">
        <w:rPr>
          <w:rFonts w:ascii="Arial" w:hAnsi="Arial" w:cs="Arial"/>
          <w:color w:val="222222"/>
          <w:shd w:val="clear" w:color="auto" w:fill="FFFFFF"/>
        </w:rPr>
        <w:t xml:space="preserve">, G.P. and </w:t>
      </w:r>
      <w:proofErr w:type="spellStart"/>
      <w:r w:rsidRPr="001D4A25">
        <w:rPr>
          <w:rFonts w:ascii="Arial" w:hAnsi="Arial" w:cs="Arial"/>
          <w:color w:val="222222"/>
          <w:shd w:val="clear" w:color="auto" w:fill="FFFFFF"/>
        </w:rPr>
        <w:t>Minghim</w:t>
      </w:r>
      <w:proofErr w:type="spellEnd"/>
      <w:r w:rsidRPr="001D4A25">
        <w:rPr>
          <w:rFonts w:ascii="Arial" w:hAnsi="Arial" w:cs="Arial"/>
          <w:color w:val="222222"/>
          <w:shd w:val="clear" w:color="auto" w:fill="FFFFFF"/>
        </w:rPr>
        <w:t xml:space="preserve">, R., 2015. </w:t>
      </w:r>
      <w:proofErr w:type="spellStart"/>
      <w:r w:rsidRPr="001D4A25">
        <w:rPr>
          <w:rFonts w:ascii="Arial" w:hAnsi="Arial" w:cs="Arial"/>
          <w:color w:val="222222"/>
          <w:shd w:val="clear" w:color="auto" w:fill="FFFFFF"/>
        </w:rPr>
        <w:t>InteractiVenn</w:t>
      </w:r>
      <w:proofErr w:type="spellEnd"/>
      <w:r w:rsidRPr="001D4A25">
        <w:rPr>
          <w:rFonts w:ascii="Arial" w:hAnsi="Arial" w:cs="Arial"/>
          <w:color w:val="222222"/>
          <w:shd w:val="clear" w:color="auto" w:fill="FFFFFF"/>
        </w:rPr>
        <w:t>: a web-based tool for the analysis of sets through Venn diagrams. </w:t>
      </w:r>
      <w:r w:rsidRPr="001D4A25">
        <w:rPr>
          <w:rFonts w:ascii="Arial" w:hAnsi="Arial" w:cs="Arial"/>
          <w:i/>
          <w:iCs/>
          <w:color w:val="222222"/>
          <w:shd w:val="clear" w:color="auto" w:fill="FFFFFF"/>
        </w:rPr>
        <w:t>BMC bioinformatics</w:t>
      </w:r>
      <w:r w:rsidRPr="001D4A25">
        <w:rPr>
          <w:rFonts w:ascii="Arial" w:hAnsi="Arial" w:cs="Arial"/>
          <w:color w:val="222222"/>
          <w:shd w:val="clear" w:color="auto" w:fill="FFFFFF"/>
        </w:rPr>
        <w:t>, </w:t>
      </w:r>
      <w:r w:rsidRPr="001D4A25">
        <w:rPr>
          <w:rFonts w:ascii="Arial" w:hAnsi="Arial" w:cs="Arial"/>
          <w:i/>
          <w:iCs/>
          <w:color w:val="222222"/>
          <w:shd w:val="clear" w:color="auto" w:fill="FFFFFF"/>
        </w:rPr>
        <w:t>16</w:t>
      </w:r>
      <w:r w:rsidRPr="001D4A25">
        <w:rPr>
          <w:rFonts w:ascii="Arial" w:hAnsi="Arial" w:cs="Arial"/>
          <w:color w:val="222222"/>
          <w:shd w:val="clear" w:color="auto" w:fill="FFFFFF"/>
        </w:rPr>
        <w:t>, pp.1-7.</w:t>
      </w:r>
    </w:p>
    <w:p w14:paraId="15F3C22A" w14:textId="77777777" w:rsidR="00401BE4" w:rsidRPr="001D4A25" w:rsidRDefault="00401BE4" w:rsidP="00C66955">
      <w:pPr>
        <w:spacing w:line="360" w:lineRule="auto"/>
        <w:rPr>
          <w:rFonts w:ascii="Arial" w:hAnsi="Arial" w:cs="Arial"/>
        </w:rPr>
      </w:pPr>
      <w:bookmarkStart w:id="4" w:name="_Hlk141452776"/>
      <w:proofErr w:type="spellStart"/>
      <w:r w:rsidRPr="001D4A25">
        <w:rPr>
          <w:rFonts w:ascii="Arial" w:hAnsi="Arial" w:cs="Arial"/>
        </w:rPr>
        <w:t>Huxham</w:t>
      </w:r>
      <w:proofErr w:type="spellEnd"/>
      <w:r w:rsidRPr="001D4A25">
        <w:rPr>
          <w:rFonts w:ascii="Arial" w:hAnsi="Arial" w:cs="Arial"/>
        </w:rPr>
        <w:t xml:space="preserve">, C., &amp; </w:t>
      </w:r>
      <w:proofErr w:type="spellStart"/>
      <w:r w:rsidRPr="001D4A25">
        <w:rPr>
          <w:rFonts w:ascii="Arial" w:hAnsi="Arial" w:cs="Arial"/>
        </w:rPr>
        <w:t>Vangen</w:t>
      </w:r>
      <w:proofErr w:type="spellEnd"/>
      <w:r w:rsidRPr="001D4A25">
        <w:rPr>
          <w:rFonts w:ascii="Arial" w:hAnsi="Arial" w:cs="Arial"/>
        </w:rPr>
        <w:t xml:space="preserve">, S. (2019). </w:t>
      </w:r>
      <w:bookmarkEnd w:id="4"/>
      <w:r w:rsidRPr="001D4A25">
        <w:rPr>
          <w:rFonts w:ascii="Arial" w:hAnsi="Arial" w:cs="Arial"/>
        </w:rPr>
        <w:t>Managing to collaborate: The Theory and Practice of Collaborative Advantage. Abingdon, UK: Routledge.</w:t>
      </w:r>
    </w:p>
    <w:p w14:paraId="36A51056" w14:textId="540E3CCD" w:rsidR="00401BE4" w:rsidRPr="001D4A25" w:rsidRDefault="00401BE4" w:rsidP="00C66955">
      <w:pPr>
        <w:spacing w:line="360" w:lineRule="auto"/>
        <w:rPr>
          <w:rFonts w:ascii="Arial" w:hAnsi="Arial" w:cs="Arial"/>
        </w:rPr>
      </w:pPr>
      <w:r w:rsidRPr="001D4A25">
        <w:rPr>
          <w:rFonts w:ascii="Arial" w:hAnsi="Arial" w:cs="Arial"/>
        </w:rPr>
        <w:t>Laming, H. (2003). The Victoria Climbié Inquiry</w:t>
      </w:r>
      <w:r w:rsidRPr="001D4A25">
        <w:rPr>
          <w:rFonts w:ascii="Arial" w:hAnsi="Arial" w:cs="Arial"/>
          <w:i/>
          <w:iCs/>
        </w:rPr>
        <w:t>: Report of an inquiry by Lord Laming</w:t>
      </w:r>
      <w:r w:rsidRPr="001D4A25">
        <w:rPr>
          <w:rFonts w:ascii="Arial" w:hAnsi="Arial" w:cs="Arial"/>
        </w:rPr>
        <w:t xml:space="preserve">. Available at </w:t>
      </w:r>
      <w:hyperlink r:id="rId10" w:history="1">
        <w:r w:rsidRPr="001D4A25">
          <w:rPr>
            <w:rStyle w:val="Hyperlink"/>
            <w:rFonts w:ascii="Arial" w:hAnsi="Arial" w:cs="Arial"/>
          </w:rPr>
          <w:t>https://dera.ioe.ac.uk/5549/1/victoriaclimbie_reportofinquiry.PDF</w:t>
        </w:r>
      </w:hyperlink>
      <w:r w:rsidRPr="001D4A25">
        <w:rPr>
          <w:rFonts w:ascii="Arial" w:hAnsi="Arial" w:cs="Arial"/>
        </w:rPr>
        <w:t xml:space="preserve"> (Accessed: 12 July 2023)</w:t>
      </w:r>
    </w:p>
    <w:p w14:paraId="757082AA" w14:textId="77777777" w:rsidR="00401BE4" w:rsidRPr="001D4A25" w:rsidRDefault="00401BE4" w:rsidP="00C66955">
      <w:pPr>
        <w:spacing w:line="360" w:lineRule="auto"/>
        <w:rPr>
          <w:rFonts w:ascii="Arial" w:hAnsi="Arial" w:cs="Arial"/>
        </w:rPr>
      </w:pPr>
      <w:r w:rsidRPr="001D4A25">
        <w:rPr>
          <w:rFonts w:ascii="Arial" w:hAnsi="Arial" w:cs="Arial"/>
        </w:rPr>
        <w:t xml:space="preserve">London Safeguarding Children Board. (2009). </w:t>
      </w:r>
      <w:r w:rsidRPr="001D4A25">
        <w:rPr>
          <w:rFonts w:ascii="Arial" w:hAnsi="Arial" w:cs="Arial"/>
          <w:i/>
          <w:iCs/>
        </w:rPr>
        <w:t>Serious case review: Baby P, Haringey local safeguarding children board</w:t>
      </w:r>
      <w:r w:rsidRPr="001D4A25">
        <w:rPr>
          <w:rFonts w:ascii="Arial" w:hAnsi="Arial" w:cs="Arial"/>
        </w:rPr>
        <w:t xml:space="preserve">. Available at </w:t>
      </w:r>
      <w:hyperlink r:id="rId11" w:history="1">
        <w:r w:rsidRPr="001D4A25">
          <w:rPr>
            <w:rStyle w:val="Hyperlink"/>
            <w:rFonts w:ascii="Arial" w:hAnsi="Arial" w:cs="Arial"/>
          </w:rPr>
          <w:t>https://learning.</w:t>
        </w:r>
        <w:bookmarkStart w:id="5" w:name="_Hlk141450836"/>
        <w:r w:rsidRPr="001D4A25">
          <w:rPr>
            <w:rStyle w:val="Hyperlink"/>
            <w:rFonts w:ascii="Arial" w:hAnsi="Arial" w:cs="Arial"/>
          </w:rPr>
          <w:t>nspcc.org.uk</w:t>
        </w:r>
        <w:bookmarkEnd w:id="5"/>
        <w:r w:rsidRPr="001D4A25">
          <w:rPr>
            <w:rStyle w:val="Hyperlink"/>
            <w:rFonts w:ascii="Arial" w:hAnsi="Arial" w:cs="Arial"/>
          </w:rPr>
          <w:t>/media/1358/baby-p-haringey-local-safeguarding-children-board-serious-case-review-2009.pdf</w:t>
        </w:r>
      </w:hyperlink>
      <w:r w:rsidRPr="001D4A25">
        <w:rPr>
          <w:rFonts w:ascii="Arial" w:hAnsi="Arial" w:cs="Arial"/>
        </w:rPr>
        <w:t xml:space="preserve"> (Accessed: 20 July)  </w:t>
      </w:r>
    </w:p>
    <w:p w14:paraId="7851A246" w14:textId="77777777" w:rsidR="00401BE4" w:rsidRPr="001D4A25" w:rsidRDefault="00401BE4" w:rsidP="00C66955">
      <w:pPr>
        <w:spacing w:line="360" w:lineRule="auto"/>
        <w:rPr>
          <w:rFonts w:ascii="Arial" w:hAnsi="Arial" w:cs="Arial"/>
        </w:rPr>
      </w:pPr>
      <w:bookmarkStart w:id="6" w:name="_Hlk141459336"/>
      <w:r w:rsidRPr="001D4A25">
        <w:rPr>
          <w:rFonts w:ascii="Arial" w:hAnsi="Arial" w:cs="Arial"/>
        </w:rPr>
        <w:t>Munro, E. (2011</w:t>
      </w:r>
      <w:bookmarkEnd w:id="6"/>
      <w:r w:rsidRPr="001D4A25">
        <w:rPr>
          <w:rFonts w:ascii="Arial" w:hAnsi="Arial" w:cs="Arial"/>
        </w:rPr>
        <w:t xml:space="preserve">). </w:t>
      </w:r>
      <w:r w:rsidRPr="001D4A25">
        <w:rPr>
          <w:rFonts w:ascii="Arial" w:hAnsi="Arial" w:cs="Arial"/>
          <w:i/>
          <w:iCs/>
        </w:rPr>
        <w:t>The Munro Review of Child Protection</w:t>
      </w:r>
      <w:r w:rsidRPr="001D4A25">
        <w:rPr>
          <w:rFonts w:ascii="Arial" w:hAnsi="Arial" w:cs="Arial"/>
        </w:rPr>
        <w:t xml:space="preserve">: Final report. Available at </w:t>
      </w:r>
      <w:hyperlink r:id="rId12" w:history="1">
        <w:r w:rsidRPr="001D4A25">
          <w:rPr>
            <w:rStyle w:val="Hyperlink"/>
            <w:rFonts w:ascii="Arial" w:hAnsi="Arial" w:cs="Arial"/>
          </w:rPr>
          <w:t>https://assets.publishing.service.gov.uk/government/uploads/system/uploads/attachment_data/file/175391/Munro-Review.pdf</w:t>
        </w:r>
      </w:hyperlink>
      <w:r w:rsidRPr="001D4A25">
        <w:rPr>
          <w:rFonts w:ascii="Arial" w:hAnsi="Arial" w:cs="Arial"/>
        </w:rPr>
        <w:t xml:space="preserve"> (Accessed:18 July 2023)</w:t>
      </w:r>
    </w:p>
    <w:p w14:paraId="6ECB54A2" w14:textId="77777777" w:rsidR="00401BE4" w:rsidRPr="001D4A25" w:rsidRDefault="00401BE4" w:rsidP="00C66955">
      <w:pPr>
        <w:spacing w:line="360" w:lineRule="auto"/>
        <w:rPr>
          <w:rFonts w:ascii="Arial" w:hAnsi="Arial" w:cs="Arial"/>
        </w:rPr>
      </w:pPr>
      <w:r w:rsidRPr="001D4A25">
        <w:rPr>
          <w:rFonts w:ascii="Arial" w:hAnsi="Arial" w:cs="Arial"/>
        </w:rPr>
        <w:t xml:space="preserve">NHS England (2023) About NHS England Safeguarding Available at: </w:t>
      </w:r>
      <w:hyperlink r:id="rId13" w:anchor=":~:text=Safeguarding%20means%20protecting%20a%20citizen's,adults%20is%20a%20collective%20responsibility" w:history="1">
        <w:r w:rsidRPr="001D4A25">
          <w:rPr>
            <w:rStyle w:val="Hyperlink"/>
            <w:rFonts w:ascii="Arial" w:hAnsi="Arial" w:cs="Arial"/>
          </w:rPr>
          <w:t>https://www.england.nhs.uk/safeguarding/about/#:~:text=Safeguarding%20means%20protecting%20a%20citizen's,adults%20is%20a%20collective%20responsibility</w:t>
        </w:r>
      </w:hyperlink>
      <w:r w:rsidRPr="001D4A25">
        <w:rPr>
          <w:rFonts w:ascii="Arial" w:hAnsi="Arial" w:cs="Arial"/>
        </w:rPr>
        <w:t>. (Accessed: 20 July 2023)</w:t>
      </w:r>
    </w:p>
    <w:p w14:paraId="097AB8C6" w14:textId="77777777" w:rsidR="00401BE4" w:rsidRPr="001D4A25" w:rsidRDefault="00401BE4" w:rsidP="00C66955">
      <w:pPr>
        <w:spacing w:line="360" w:lineRule="auto"/>
        <w:rPr>
          <w:rFonts w:ascii="Arial" w:hAnsi="Arial" w:cs="Arial"/>
        </w:rPr>
      </w:pPr>
      <w:r w:rsidRPr="001D4A25">
        <w:rPr>
          <w:rFonts w:ascii="Arial" w:hAnsi="Arial" w:cs="Arial"/>
        </w:rPr>
        <w:t xml:space="preserve">Ofsted. (2003). </w:t>
      </w:r>
      <w:r w:rsidRPr="001D4A25">
        <w:rPr>
          <w:rFonts w:ascii="Arial" w:hAnsi="Arial" w:cs="Arial"/>
          <w:i/>
          <w:iCs/>
        </w:rPr>
        <w:t>The Victoria Climbié Inquiry Repor</w:t>
      </w:r>
      <w:r w:rsidRPr="001D4A25">
        <w:rPr>
          <w:rFonts w:ascii="Arial" w:hAnsi="Arial" w:cs="Arial"/>
        </w:rPr>
        <w:t xml:space="preserve">t. Available at </w:t>
      </w:r>
      <w:hyperlink r:id="rId14" w:history="1">
        <w:r w:rsidRPr="001D4A25">
          <w:rPr>
            <w:rStyle w:val="Hyperlink"/>
            <w:rFonts w:ascii="Arial" w:hAnsi="Arial" w:cs="Arial"/>
          </w:rPr>
          <w:t>https://dera.ioe.ac.uk/5551/1/victoriaclimbie_report.PDF</w:t>
        </w:r>
      </w:hyperlink>
      <w:r w:rsidRPr="001D4A25">
        <w:rPr>
          <w:rFonts w:ascii="Arial" w:hAnsi="Arial" w:cs="Arial"/>
        </w:rPr>
        <w:t xml:space="preserve"> (Accessed: 12 July 2023)</w:t>
      </w:r>
    </w:p>
    <w:p w14:paraId="440F4963" w14:textId="77777777" w:rsidR="00401BE4" w:rsidRPr="001D4A25" w:rsidRDefault="00401BE4" w:rsidP="00C66955">
      <w:pPr>
        <w:spacing w:line="360" w:lineRule="auto"/>
        <w:rPr>
          <w:rFonts w:ascii="Arial" w:hAnsi="Arial" w:cs="Arial"/>
        </w:rPr>
      </w:pPr>
      <w:r w:rsidRPr="001D4A25">
        <w:rPr>
          <w:rFonts w:ascii="Arial" w:hAnsi="Arial" w:cs="Arial"/>
        </w:rPr>
        <w:t>Rouse, J., 2008. Local safeguarding</w:t>
      </w:r>
      <w:r w:rsidRPr="001D4A25">
        <w:rPr>
          <w:rFonts w:ascii="Arial" w:hAnsi="Arial" w:cs="Arial"/>
          <w:i/>
          <w:iCs/>
        </w:rPr>
        <w:t>. Every child matters</w:t>
      </w:r>
      <w:r w:rsidRPr="001D4A25">
        <w:rPr>
          <w:rFonts w:ascii="Arial" w:hAnsi="Arial" w:cs="Arial"/>
        </w:rPr>
        <w:t xml:space="preserve">. gov. </w:t>
      </w:r>
      <w:proofErr w:type="spellStart"/>
      <w:r w:rsidRPr="001D4A25">
        <w:rPr>
          <w:rFonts w:ascii="Arial" w:hAnsi="Arial" w:cs="Arial"/>
        </w:rPr>
        <w:t>uk</w:t>
      </w:r>
      <w:proofErr w:type="spellEnd"/>
      <w:r w:rsidRPr="001D4A25">
        <w:rPr>
          <w:rFonts w:ascii="Arial" w:hAnsi="Arial" w:cs="Arial"/>
        </w:rPr>
        <w:t>/</w:t>
      </w:r>
      <w:proofErr w:type="spellStart"/>
      <w:r w:rsidRPr="001D4A25">
        <w:rPr>
          <w:rFonts w:ascii="Arial" w:hAnsi="Arial" w:cs="Arial"/>
        </w:rPr>
        <w:t>lscb</w:t>
      </w:r>
      <w:proofErr w:type="spellEnd"/>
      <w:r w:rsidRPr="001D4A25">
        <w:rPr>
          <w:rFonts w:ascii="Arial" w:hAnsi="Arial" w:cs="Arial"/>
        </w:rPr>
        <w:t>. Paediatric Nursing, 20(5), pp.6-7.</w:t>
      </w:r>
    </w:p>
    <w:p w14:paraId="197F436B" w14:textId="77777777" w:rsidR="00401BE4" w:rsidRPr="001D4A25" w:rsidRDefault="00401BE4" w:rsidP="00C66955">
      <w:pPr>
        <w:spacing w:line="360" w:lineRule="auto"/>
        <w:rPr>
          <w:rFonts w:ascii="Arial" w:hAnsi="Arial" w:cs="Arial"/>
        </w:rPr>
      </w:pPr>
      <w:r w:rsidRPr="001D4A25">
        <w:rPr>
          <w:rFonts w:ascii="Arial" w:hAnsi="Arial" w:cs="Arial"/>
          <w:color w:val="222222"/>
          <w:shd w:val="clear" w:color="auto" w:fill="FFFFFF"/>
        </w:rPr>
        <w:t>Ryan, M., 2019. </w:t>
      </w:r>
      <w:r w:rsidRPr="001D4A25">
        <w:rPr>
          <w:rFonts w:ascii="Arial" w:hAnsi="Arial" w:cs="Arial"/>
          <w:i/>
          <w:iCs/>
          <w:color w:val="222222"/>
          <w:shd w:val="clear" w:color="auto" w:fill="FFFFFF"/>
        </w:rPr>
        <w:t>The Children Act 1989: putting it into practice</w:t>
      </w:r>
      <w:r w:rsidRPr="001D4A25">
        <w:rPr>
          <w:rFonts w:ascii="Arial" w:hAnsi="Arial" w:cs="Arial"/>
          <w:color w:val="222222"/>
          <w:shd w:val="clear" w:color="auto" w:fill="FFFFFF"/>
        </w:rPr>
        <w:t>. Routledge.</w:t>
      </w:r>
    </w:p>
    <w:p w14:paraId="424A1B4A" w14:textId="77777777" w:rsidR="00401BE4" w:rsidRPr="001D4A25" w:rsidRDefault="00401BE4" w:rsidP="00C66955">
      <w:pPr>
        <w:spacing w:line="360" w:lineRule="auto"/>
        <w:rPr>
          <w:rFonts w:ascii="Arial" w:hAnsi="Arial" w:cs="Arial"/>
        </w:rPr>
      </w:pPr>
      <w:r w:rsidRPr="001D4A25">
        <w:rPr>
          <w:rFonts w:ascii="Arial" w:hAnsi="Arial" w:cs="Arial"/>
        </w:rPr>
        <w:t xml:space="preserve">Scottish Government. (2021). </w:t>
      </w:r>
      <w:r w:rsidRPr="001D4A25">
        <w:rPr>
          <w:rFonts w:ascii="Arial" w:hAnsi="Arial" w:cs="Arial"/>
          <w:i/>
          <w:iCs/>
        </w:rPr>
        <w:t>National Guidance for Child Protection in Scotland</w:t>
      </w:r>
      <w:r w:rsidRPr="001D4A25">
        <w:rPr>
          <w:rFonts w:ascii="Arial" w:hAnsi="Arial" w:cs="Arial"/>
        </w:rPr>
        <w:t xml:space="preserve">. Available at </w:t>
      </w:r>
      <w:hyperlink r:id="rId15" w:history="1">
        <w:r w:rsidRPr="001D4A25">
          <w:rPr>
            <w:rStyle w:val="Hyperlink"/>
            <w:rFonts w:ascii="Arial" w:hAnsi="Arial" w:cs="Arial"/>
          </w:rPr>
          <w:t>https://www.gov.scot/publications/national-guidance-child-protection-scotland/</w:t>
        </w:r>
      </w:hyperlink>
      <w:r w:rsidRPr="001D4A25">
        <w:rPr>
          <w:rFonts w:ascii="Arial" w:hAnsi="Arial" w:cs="Arial"/>
        </w:rPr>
        <w:t xml:space="preserve"> (Accessed: 19 July 2023)</w:t>
      </w:r>
    </w:p>
    <w:p w14:paraId="3005C14C" w14:textId="77777777" w:rsidR="00401BE4" w:rsidRPr="001D4A25" w:rsidRDefault="00401BE4" w:rsidP="00C66955">
      <w:pPr>
        <w:spacing w:line="360" w:lineRule="auto"/>
        <w:rPr>
          <w:rFonts w:ascii="Arial" w:hAnsi="Arial" w:cs="Arial"/>
        </w:rPr>
      </w:pPr>
      <w:r w:rsidRPr="001D4A25">
        <w:rPr>
          <w:rFonts w:ascii="Arial" w:hAnsi="Arial" w:cs="Arial"/>
        </w:rPr>
        <w:t xml:space="preserve">The Social Care Institute for Excellence. (2013). </w:t>
      </w:r>
      <w:r w:rsidRPr="001D4A25">
        <w:rPr>
          <w:rFonts w:ascii="Arial" w:hAnsi="Arial" w:cs="Arial"/>
        </w:rPr>
        <w:t xml:space="preserve">Person-centred care Available at  </w:t>
      </w:r>
      <w:hyperlink r:id="rId16" w:history="1">
        <w:r w:rsidRPr="001D4A25">
          <w:rPr>
            <w:rStyle w:val="Hyperlink"/>
            <w:rFonts w:ascii="Arial" w:hAnsi="Arial" w:cs="Arial"/>
          </w:rPr>
          <w:t>https://</w:t>
        </w:r>
        <w:bookmarkStart w:id="7" w:name="_Hlk141451297"/>
        <w:r w:rsidRPr="001D4A25">
          <w:rPr>
            <w:rStyle w:val="Hyperlink"/>
            <w:rFonts w:ascii="Arial" w:hAnsi="Arial" w:cs="Arial"/>
          </w:rPr>
          <w:t>www.scie.org</w:t>
        </w:r>
        <w:bookmarkEnd w:id="7"/>
        <w:r w:rsidRPr="001D4A25">
          <w:rPr>
            <w:rStyle w:val="Hyperlink"/>
            <w:rFonts w:ascii="Arial" w:hAnsi="Arial" w:cs="Arial"/>
          </w:rPr>
          <w:t>.uk/person-centred-care</w:t>
        </w:r>
      </w:hyperlink>
      <w:r w:rsidRPr="001D4A25">
        <w:rPr>
          <w:rFonts w:ascii="Arial" w:hAnsi="Arial" w:cs="Arial"/>
        </w:rPr>
        <w:t xml:space="preserve"> (Accessed: 22 July 2023)</w:t>
      </w:r>
    </w:p>
    <w:p w14:paraId="67D54B29" w14:textId="77777777" w:rsidR="00401BE4" w:rsidRPr="001D4A25" w:rsidRDefault="00401BE4" w:rsidP="00C66955">
      <w:pPr>
        <w:spacing w:line="360" w:lineRule="auto"/>
        <w:rPr>
          <w:rFonts w:ascii="Arial" w:hAnsi="Arial" w:cs="Arial"/>
        </w:rPr>
      </w:pPr>
      <w:r w:rsidRPr="001D4A25">
        <w:rPr>
          <w:rFonts w:ascii="Arial" w:hAnsi="Arial" w:cs="Arial"/>
        </w:rPr>
        <w:t>Title: A Critical Analysis of the Victoria Climbié and Baby P Cases</w:t>
      </w:r>
    </w:p>
    <w:p w14:paraId="7CB159D4" w14:textId="77777777" w:rsidR="00401BE4" w:rsidRPr="001D4A25" w:rsidRDefault="00401BE4" w:rsidP="00C66955">
      <w:pPr>
        <w:spacing w:line="360" w:lineRule="auto"/>
        <w:rPr>
          <w:rFonts w:ascii="Arial" w:hAnsi="Arial" w:cs="Arial"/>
        </w:rPr>
      </w:pPr>
      <w:r w:rsidRPr="001D4A25">
        <w:rPr>
          <w:rFonts w:ascii="Arial" w:hAnsi="Arial" w:cs="Arial"/>
        </w:rPr>
        <w:t xml:space="preserve">United Nations. (1989). </w:t>
      </w:r>
      <w:r w:rsidRPr="001D4A25">
        <w:rPr>
          <w:rFonts w:ascii="Arial" w:hAnsi="Arial" w:cs="Arial"/>
          <w:i/>
          <w:iCs/>
        </w:rPr>
        <w:t>Convention on the Rights of the Child.</w:t>
      </w:r>
      <w:r w:rsidRPr="001D4A25">
        <w:rPr>
          <w:rFonts w:ascii="Arial" w:hAnsi="Arial" w:cs="Arial"/>
        </w:rPr>
        <w:t xml:space="preserve"> Available at </w:t>
      </w:r>
      <w:hyperlink r:id="rId17" w:history="1">
        <w:r w:rsidRPr="001D4A25">
          <w:rPr>
            <w:rStyle w:val="Hyperlink"/>
            <w:rFonts w:ascii="Arial" w:hAnsi="Arial" w:cs="Arial"/>
          </w:rPr>
          <w:t>https://www.ohchr.org/en/professionalinterest/pages/crc.aspx</w:t>
        </w:r>
      </w:hyperlink>
      <w:r w:rsidRPr="001D4A25">
        <w:rPr>
          <w:rFonts w:ascii="Arial" w:hAnsi="Arial" w:cs="Arial"/>
        </w:rPr>
        <w:t xml:space="preserve"> (Accessed: 15 July 2023) </w:t>
      </w:r>
    </w:p>
    <w:p w14:paraId="3AD01679" w14:textId="427264A0" w:rsidR="00401BE4" w:rsidRPr="001D4A25" w:rsidRDefault="00401BE4" w:rsidP="00C66955">
      <w:pPr>
        <w:spacing w:line="360" w:lineRule="auto"/>
        <w:rPr>
          <w:rFonts w:ascii="Arial" w:hAnsi="Arial" w:cs="Arial"/>
        </w:rPr>
      </w:pPr>
      <w:r w:rsidRPr="001D4A25">
        <w:rPr>
          <w:rFonts w:ascii="Arial" w:hAnsi="Arial" w:cs="Arial"/>
        </w:rPr>
        <w:lastRenderedPageBreak/>
        <w:t>United Nations. (1989).</w:t>
      </w:r>
      <w:r w:rsidR="00C66955">
        <w:rPr>
          <w:rFonts w:ascii="Arial" w:hAnsi="Arial" w:cs="Arial"/>
        </w:rPr>
        <w:t xml:space="preserve"> </w:t>
      </w:r>
      <w:r w:rsidRPr="001D4A25">
        <w:rPr>
          <w:rFonts w:ascii="Arial" w:hAnsi="Arial" w:cs="Arial"/>
          <w:i/>
          <w:iCs/>
        </w:rPr>
        <w:t>Convention on the Rights of the Child</w:t>
      </w:r>
      <w:r w:rsidRPr="001D4A25">
        <w:rPr>
          <w:rFonts w:ascii="Arial" w:hAnsi="Arial" w:cs="Arial"/>
        </w:rPr>
        <w:t xml:space="preserve">. Available at </w:t>
      </w:r>
      <w:hyperlink r:id="rId18" w:history="1">
        <w:r w:rsidRPr="001D4A25">
          <w:rPr>
            <w:rStyle w:val="Hyperlink"/>
            <w:rFonts w:ascii="Arial" w:hAnsi="Arial" w:cs="Arial"/>
          </w:rPr>
          <w:t>https://www.ohchr.org/en/professionalinterest/pages/crc.aspx</w:t>
        </w:r>
      </w:hyperlink>
      <w:r w:rsidRPr="001D4A25">
        <w:rPr>
          <w:rFonts w:ascii="Arial" w:hAnsi="Arial" w:cs="Arial"/>
        </w:rPr>
        <w:t xml:space="preserve"> </w:t>
      </w:r>
      <w:proofErr w:type="gramStart"/>
      <w:r w:rsidRPr="001D4A25">
        <w:rPr>
          <w:rFonts w:ascii="Arial" w:hAnsi="Arial" w:cs="Arial"/>
        </w:rPr>
        <w:t>( Accessed</w:t>
      </w:r>
      <w:proofErr w:type="gramEnd"/>
      <w:r w:rsidR="003C243E">
        <w:rPr>
          <w:rFonts w:ascii="Arial" w:hAnsi="Arial" w:cs="Arial"/>
        </w:rPr>
        <w:t>:</w:t>
      </w:r>
      <w:r w:rsidR="0052195E">
        <w:rPr>
          <w:rFonts w:ascii="Arial" w:hAnsi="Arial" w:cs="Arial"/>
        </w:rPr>
        <w:t>21</w:t>
      </w:r>
      <w:r w:rsidR="00C24AEE">
        <w:rPr>
          <w:rFonts w:ascii="Arial" w:hAnsi="Arial" w:cs="Arial"/>
        </w:rPr>
        <w:t xml:space="preserve"> July 2023</w:t>
      </w:r>
      <w:r w:rsidR="00DE3F8A">
        <w:rPr>
          <w:rFonts w:ascii="Arial" w:hAnsi="Arial" w:cs="Arial"/>
        </w:rPr>
        <w:t>)</w:t>
      </w:r>
    </w:p>
    <w:p w14:paraId="40B0F4BC" w14:textId="3E51A589" w:rsidR="009A688B" w:rsidRPr="001D4A25" w:rsidRDefault="009A688B" w:rsidP="001D4A25">
      <w:pPr>
        <w:spacing w:line="360" w:lineRule="auto"/>
        <w:rPr>
          <w:rFonts w:ascii="Arial" w:hAnsi="Arial" w:cs="Arial"/>
        </w:rPr>
      </w:pPr>
    </w:p>
    <w:sectPr w:rsidR="009A688B" w:rsidRPr="001D4A25" w:rsidSect="007F5CC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B4722" w14:textId="77777777" w:rsidR="006C3BED" w:rsidRDefault="006C3BED" w:rsidP="00284826">
      <w:pPr>
        <w:spacing w:after="0" w:line="240" w:lineRule="auto"/>
      </w:pPr>
      <w:r>
        <w:separator/>
      </w:r>
    </w:p>
  </w:endnote>
  <w:endnote w:type="continuationSeparator" w:id="0">
    <w:p w14:paraId="0D4067A8" w14:textId="77777777" w:rsidR="006C3BED" w:rsidRDefault="006C3BED" w:rsidP="00284826">
      <w:pPr>
        <w:spacing w:after="0" w:line="240" w:lineRule="auto"/>
      </w:pPr>
      <w:r>
        <w:continuationSeparator/>
      </w:r>
    </w:p>
  </w:endnote>
  <w:endnote w:type="continuationNotice" w:id="1">
    <w:p w14:paraId="65E22343" w14:textId="77777777" w:rsidR="00771F48" w:rsidRDefault="00771F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98522" w14:textId="77777777" w:rsidR="006C3BED" w:rsidRDefault="006C3BED" w:rsidP="00284826">
      <w:pPr>
        <w:spacing w:after="0" w:line="240" w:lineRule="auto"/>
      </w:pPr>
      <w:r>
        <w:separator/>
      </w:r>
    </w:p>
  </w:footnote>
  <w:footnote w:type="continuationSeparator" w:id="0">
    <w:p w14:paraId="17610A7E" w14:textId="77777777" w:rsidR="006C3BED" w:rsidRDefault="006C3BED" w:rsidP="00284826">
      <w:pPr>
        <w:spacing w:after="0" w:line="240" w:lineRule="auto"/>
      </w:pPr>
      <w:r>
        <w:continuationSeparator/>
      </w:r>
    </w:p>
  </w:footnote>
  <w:footnote w:type="continuationNotice" w:id="1">
    <w:p w14:paraId="1CCA3235" w14:textId="77777777" w:rsidR="00771F48" w:rsidRDefault="00771F4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1A1"/>
    <w:rsid w:val="00021AE9"/>
    <w:rsid w:val="00026D3B"/>
    <w:rsid w:val="0003148C"/>
    <w:rsid w:val="00036FE8"/>
    <w:rsid w:val="000511D7"/>
    <w:rsid w:val="00075D85"/>
    <w:rsid w:val="00075FA8"/>
    <w:rsid w:val="000861B0"/>
    <w:rsid w:val="000B6199"/>
    <w:rsid w:val="000C7635"/>
    <w:rsid w:val="000E4026"/>
    <w:rsid w:val="000E55F7"/>
    <w:rsid w:val="000E5A5E"/>
    <w:rsid w:val="000E74CB"/>
    <w:rsid w:val="000F4585"/>
    <w:rsid w:val="000F523B"/>
    <w:rsid w:val="001028C8"/>
    <w:rsid w:val="0011372B"/>
    <w:rsid w:val="00120066"/>
    <w:rsid w:val="00120BD8"/>
    <w:rsid w:val="0015460F"/>
    <w:rsid w:val="0016710A"/>
    <w:rsid w:val="00167A0D"/>
    <w:rsid w:val="001771A1"/>
    <w:rsid w:val="00195BA0"/>
    <w:rsid w:val="001960AA"/>
    <w:rsid w:val="001967F9"/>
    <w:rsid w:val="001A7A53"/>
    <w:rsid w:val="001B73F7"/>
    <w:rsid w:val="001C27E9"/>
    <w:rsid w:val="001D0D39"/>
    <w:rsid w:val="001D4A25"/>
    <w:rsid w:val="001E15B5"/>
    <w:rsid w:val="001E694C"/>
    <w:rsid w:val="00223E46"/>
    <w:rsid w:val="002279D1"/>
    <w:rsid w:val="0024139E"/>
    <w:rsid w:val="0026494B"/>
    <w:rsid w:val="00283351"/>
    <w:rsid w:val="00284826"/>
    <w:rsid w:val="00290BDB"/>
    <w:rsid w:val="00294B95"/>
    <w:rsid w:val="002A04A5"/>
    <w:rsid w:val="002A5429"/>
    <w:rsid w:val="002B1F67"/>
    <w:rsid w:val="002C08B5"/>
    <w:rsid w:val="002D3D66"/>
    <w:rsid w:val="002D7FE6"/>
    <w:rsid w:val="002E437C"/>
    <w:rsid w:val="002F7F19"/>
    <w:rsid w:val="00307381"/>
    <w:rsid w:val="003136BA"/>
    <w:rsid w:val="00314946"/>
    <w:rsid w:val="00357190"/>
    <w:rsid w:val="00357478"/>
    <w:rsid w:val="00381754"/>
    <w:rsid w:val="00384025"/>
    <w:rsid w:val="003918C4"/>
    <w:rsid w:val="00393AC0"/>
    <w:rsid w:val="003C243E"/>
    <w:rsid w:val="003C5662"/>
    <w:rsid w:val="003E273F"/>
    <w:rsid w:val="003F4AA6"/>
    <w:rsid w:val="00401BE4"/>
    <w:rsid w:val="0040786D"/>
    <w:rsid w:val="00413757"/>
    <w:rsid w:val="0041475B"/>
    <w:rsid w:val="00417E28"/>
    <w:rsid w:val="00435C81"/>
    <w:rsid w:val="00441BEE"/>
    <w:rsid w:val="00461C72"/>
    <w:rsid w:val="00463AB3"/>
    <w:rsid w:val="00471478"/>
    <w:rsid w:val="00487767"/>
    <w:rsid w:val="00491155"/>
    <w:rsid w:val="004B7CC6"/>
    <w:rsid w:val="004F0E53"/>
    <w:rsid w:val="004F63FD"/>
    <w:rsid w:val="0050508A"/>
    <w:rsid w:val="00505732"/>
    <w:rsid w:val="00517E5F"/>
    <w:rsid w:val="0052195E"/>
    <w:rsid w:val="00543218"/>
    <w:rsid w:val="00570724"/>
    <w:rsid w:val="0057698D"/>
    <w:rsid w:val="005A218D"/>
    <w:rsid w:val="005A678D"/>
    <w:rsid w:val="005A7981"/>
    <w:rsid w:val="005B14F8"/>
    <w:rsid w:val="005B4BF5"/>
    <w:rsid w:val="005C5AF5"/>
    <w:rsid w:val="005D5C80"/>
    <w:rsid w:val="005D7F02"/>
    <w:rsid w:val="005F32F6"/>
    <w:rsid w:val="005F6BF1"/>
    <w:rsid w:val="005F7E37"/>
    <w:rsid w:val="006122D7"/>
    <w:rsid w:val="00617D8F"/>
    <w:rsid w:val="00617DC1"/>
    <w:rsid w:val="006226C6"/>
    <w:rsid w:val="00623FAC"/>
    <w:rsid w:val="00643794"/>
    <w:rsid w:val="00680DE9"/>
    <w:rsid w:val="006906CC"/>
    <w:rsid w:val="0069271C"/>
    <w:rsid w:val="00694E4C"/>
    <w:rsid w:val="006A7C82"/>
    <w:rsid w:val="006B535D"/>
    <w:rsid w:val="006C3BED"/>
    <w:rsid w:val="006C3DC8"/>
    <w:rsid w:val="006D3EAF"/>
    <w:rsid w:val="006E0655"/>
    <w:rsid w:val="006E56B6"/>
    <w:rsid w:val="006E6860"/>
    <w:rsid w:val="006F5070"/>
    <w:rsid w:val="00701B8D"/>
    <w:rsid w:val="00706670"/>
    <w:rsid w:val="0075123A"/>
    <w:rsid w:val="00754A37"/>
    <w:rsid w:val="00771F48"/>
    <w:rsid w:val="00782C46"/>
    <w:rsid w:val="00783D9C"/>
    <w:rsid w:val="007908F8"/>
    <w:rsid w:val="007936A5"/>
    <w:rsid w:val="007D6FDB"/>
    <w:rsid w:val="007E1373"/>
    <w:rsid w:val="007F5CC1"/>
    <w:rsid w:val="007F7035"/>
    <w:rsid w:val="00801F09"/>
    <w:rsid w:val="00803407"/>
    <w:rsid w:val="00807CF8"/>
    <w:rsid w:val="0081333C"/>
    <w:rsid w:val="00814541"/>
    <w:rsid w:val="00815691"/>
    <w:rsid w:val="00821B98"/>
    <w:rsid w:val="008265E1"/>
    <w:rsid w:val="00871C1B"/>
    <w:rsid w:val="00886C3F"/>
    <w:rsid w:val="00891217"/>
    <w:rsid w:val="00895C39"/>
    <w:rsid w:val="008A0CAE"/>
    <w:rsid w:val="008A2AF3"/>
    <w:rsid w:val="008A4A54"/>
    <w:rsid w:val="008D6257"/>
    <w:rsid w:val="008F06AE"/>
    <w:rsid w:val="008F1B8F"/>
    <w:rsid w:val="009012A0"/>
    <w:rsid w:val="009053D3"/>
    <w:rsid w:val="00923DDD"/>
    <w:rsid w:val="00925A06"/>
    <w:rsid w:val="00931345"/>
    <w:rsid w:val="00931407"/>
    <w:rsid w:val="00935278"/>
    <w:rsid w:val="00951BD1"/>
    <w:rsid w:val="00963F41"/>
    <w:rsid w:val="0096512C"/>
    <w:rsid w:val="009716D6"/>
    <w:rsid w:val="00983F88"/>
    <w:rsid w:val="0098604C"/>
    <w:rsid w:val="00987C19"/>
    <w:rsid w:val="009A688B"/>
    <w:rsid w:val="009B00A5"/>
    <w:rsid w:val="009D190D"/>
    <w:rsid w:val="009D1A5A"/>
    <w:rsid w:val="00A00C0D"/>
    <w:rsid w:val="00A1292A"/>
    <w:rsid w:val="00A14718"/>
    <w:rsid w:val="00A15104"/>
    <w:rsid w:val="00A17088"/>
    <w:rsid w:val="00A22319"/>
    <w:rsid w:val="00A23BD7"/>
    <w:rsid w:val="00A24E3A"/>
    <w:rsid w:val="00A27E2B"/>
    <w:rsid w:val="00A50063"/>
    <w:rsid w:val="00A547EA"/>
    <w:rsid w:val="00A62039"/>
    <w:rsid w:val="00A67446"/>
    <w:rsid w:val="00A70225"/>
    <w:rsid w:val="00A814EB"/>
    <w:rsid w:val="00A8291B"/>
    <w:rsid w:val="00A93766"/>
    <w:rsid w:val="00AA0DBE"/>
    <w:rsid w:val="00AB351B"/>
    <w:rsid w:val="00AD4F37"/>
    <w:rsid w:val="00AE3F08"/>
    <w:rsid w:val="00AF016D"/>
    <w:rsid w:val="00AF5655"/>
    <w:rsid w:val="00AF57B8"/>
    <w:rsid w:val="00B024F4"/>
    <w:rsid w:val="00B03599"/>
    <w:rsid w:val="00B077F8"/>
    <w:rsid w:val="00B10123"/>
    <w:rsid w:val="00B10649"/>
    <w:rsid w:val="00B1521E"/>
    <w:rsid w:val="00B24671"/>
    <w:rsid w:val="00B375AA"/>
    <w:rsid w:val="00B4614C"/>
    <w:rsid w:val="00B629DA"/>
    <w:rsid w:val="00B63429"/>
    <w:rsid w:val="00B6757A"/>
    <w:rsid w:val="00B94648"/>
    <w:rsid w:val="00BB1721"/>
    <w:rsid w:val="00BB1777"/>
    <w:rsid w:val="00BB6688"/>
    <w:rsid w:val="00BC4E5E"/>
    <w:rsid w:val="00BD250F"/>
    <w:rsid w:val="00BD2C7D"/>
    <w:rsid w:val="00BD77AD"/>
    <w:rsid w:val="00BF650C"/>
    <w:rsid w:val="00C00E80"/>
    <w:rsid w:val="00C02A67"/>
    <w:rsid w:val="00C05C6E"/>
    <w:rsid w:val="00C1189A"/>
    <w:rsid w:val="00C22596"/>
    <w:rsid w:val="00C24AEE"/>
    <w:rsid w:val="00C24DEB"/>
    <w:rsid w:val="00C27D5A"/>
    <w:rsid w:val="00C35D60"/>
    <w:rsid w:val="00C41F92"/>
    <w:rsid w:val="00C456B9"/>
    <w:rsid w:val="00C46F6A"/>
    <w:rsid w:val="00C47391"/>
    <w:rsid w:val="00C52218"/>
    <w:rsid w:val="00C544E2"/>
    <w:rsid w:val="00C60EA5"/>
    <w:rsid w:val="00C64464"/>
    <w:rsid w:val="00C66955"/>
    <w:rsid w:val="00C722FD"/>
    <w:rsid w:val="00C8049D"/>
    <w:rsid w:val="00C823F1"/>
    <w:rsid w:val="00C960F6"/>
    <w:rsid w:val="00CA2DCB"/>
    <w:rsid w:val="00CA4318"/>
    <w:rsid w:val="00CB0B00"/>
    <w:rsid w:val="00CB1E5A"/>
    <w:rsid w:val="00CB4828"/>
    <w:rsid w:val="00CC52D3"/>
    <w:rsid w:val="00CD5436"/>
    <w:rsid w:val="00CE3627"/>
    <w:rsid w:val="00CE45C5"/>
    <w:rsid w:val="00CF1515"/>
    <w:rsid w:val="00D01AF4"/>
    <w:rsid w:val="00D204F0"/>
    <w:rsid w:val="00D2295C"/>
    <w:rsid w:val="00D239F7"/>
    <w:rsid w:val="00D37BE4"/>
    <w:rsid w:val="00D515C9"/>
    <w:rsid w:val="00D600BC"/>
    <w:rsid w:val="00D607EA"/>
    <w:rsid w:val="00D61CF0"/>
    <w:rsid w:val="00D672E2"/>
    <w:rsid w:val="00DB255C"/>
    <w:rsid w:val="00DB3FF1"/>
    <w:rsid w:val="00DB47F5"/>
    <w:rsid w:val="00DB4F70"/>
    <w:rsid w:val="00DB7521"/>
    <w:rsid w:val="00DC16A6"/>
    <w:rsid w:val="00DC3612"/>
    <w:rsid w:val="00DD01BD"/>
    <w:rsid w:val="00DD40DD"/>
    <w:rsid w:val="00DE3F8A"/>
    <w:rsid w:val="00DF6731"/>
    <w:rsid w:val="00E2146D"/>
    <w:rsid w:val="00E22F5D"/>
    <w:rsid w:val="00E310FF"/>
    <w:rsid w:val="00E325F8"/>
    <w:rsid w:val="00E345C1"/>
    <w:rsid w:val="00E37DF3"/>
    <w:rsid w:val="00E43D18"/>
    <w:rsid w:val="00E46070"/>
    <w:rsid w:val="00E47AA0"/>
    <w:rsid w:val="00E53B74"/>
    <w:rsid w:val="00E656ED"/>
    <w:rsid w:val="00E7090A"/>
    <w:rsid w:val="00E72C97"/>
    <w:rsid w:val="00E75B86"/>
    <w:rsid w:val="00E8015B"/>
    <w:rsid w:val="00E94423"/>
    <w:rsid w:val="00E956BA"/>
    <w:rsid w:val="00E97043"/>
    <w:rsid w:val="00EA2D9F"/>
    <w:rsid w:val="00EB6E6E"/>
    <w:rsid w:val="00EB7A7A"/>
    <w:rsid w:val="00EC0CFA"/>
    <w:rsid w:val="00EC10C8"/>
    <w:rsid w:val="00EC4916"/>
    <w:rsid w:val="00EC75D2"/>
    <w:rsid w:val="00ED4371"/>
    <w:rsid w:val="00ED6D8C"/>
    <w:rsid w:val="00EF5250"/>
    <w:rsid w:val="00F07DA2"/>
    <w:rsid w:val="00F21860"/>
    <w:rsid w:val="00F51E3A"/>
    <w:rsid w:val="00F51F8B"/>
    <w:rsid w:val="00F55A36"/>
    <w:rsid w:val="00F60201"/>
    <w:rsid w:val="00F90732"/>
    <w:rsid w:val="00F93678"/>
    <w:rsid w:val="00F9429F"/>
    <w:rsid w:val="00FA353E"/>
    <w:rsid w:val="00FA7946"/>
    <w:rsid w:val="00FB0BF2"/>
    <w:rsid w:val="00FB1215"/>
    <w:rsid w:val="00FB78CF"/>
    <w:rsid w:val="00FC6019"/>
    <w:rsid w:val="00FE37DA"/>
    <w:rsid w:val="00FE6682"/>
    <w:rsid w:val="00FF13CA"/>
    <w:rsid w:val="00FF2A41"/>
    <w:rsid w:val="00FF40F0"/>
    <w:rsid w:val="00FF6B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BB050"/>
  <w15:chartTrackingRefBased/>
  <w15:docId w15:val="{A913065A-F099-F042-8607-877E7E807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4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826"/>
  </w:style>
  <w:style w:type="paragraph" w:styleId="Footer">
    <w:name w:val="footer"/>
    <w:basedOn w:val="Normal"/>
    <w:link w:val="FooterChar"/>
    <w:uiPriority w:val="99"/>
    <w:unhideWhenUsed/>
    <w:rsid w:val="00284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826"/>
  </w:style>
  <w:style w:type="paragraph" w:styleId="NoSpacing">
    <w:name w:val="No Spacing"/>
    <w:link w:val="NoSpacingChar"/>
    <w:uiPriority w:val="1"/>
    <w:qFormat/>
    <w:rsid w:val="007F5CC1"/>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7F5CC1"/>
    <w:rPr>
      <w:kern w:val="0"/>
      <w:lang w:val="en-US" w:eastAsia="en-US"/>
      <w14:ligatures w14:val="none"/>
    </w:rPr>
  </w:style>
  <w:style w:type="character" w:styleId="Hyperlink">
    <w:name w:val="Hyperlink"/>
    <w:basedOn w:val="DefaultParagraphFont"/>
    <w:uiPriority w:val="99"/>
    <w:unhideWhenUsed/>
    <w:rsid w:val="006122D7"/>
    <w:rPr>
      <w:color w:val="0563C1" w:themeColor="hyperlink"/>
      <w:u w:val="single"/>
    </w:rPr>
  </w:style>
  <w:style w:type="character" w:styleId="UnresolvedMention">
    <w:name w:val="Unresolved Mention"/>
    <w:basedOn w:val="DefaultParagraphFont"/>
    <w:uiPriority w:val="99"/>
    <w:semiHidden/>
    <w:unhideWhenUsed/>
    <w:rsid w:val="006122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6895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pglt=41&amp;q=Baker%2C+J.+A.+(2016).+The+role+of+partnerships+in+social+care&amp;cvid=fae3b5ce86794a03a85e7f4a7da83d3b&amp;aqs=edge..69i57j69i11004.12659j0j1&amp;FORM=ANAB01&amp;PC=U531" TargetMode="External"/><Relationship Id="rId13" Type="http://schemas.openxmlformats.org/officeDocument/2006/relationships/hyperlink" Target="https://www.england.nhs.uk/safeguarding/about/" TargetMode="External"/><Relationship Id="rId18" Type="http://schemas.openxmlformats.org/officeDocument/2006/relationships/hyperlink" Target="https://www.ohchr.org/en/professionalinterest/pages/crc.aspx" TargetMode="External"/><Relationship Id="rId3" Type="http://schemas.openxmlformats.org/officeDocument/2006/relationships/settings" Target="settings.xml"/><Relationship Id="rId7" Type="http://schemas.openxmlformats.org/officeDocument/2006/relationships/hyperlink" Target="http://www.wavetrust.org" TargetMode="External"/><Relationship Id="rId12" Type="http://schemas.openxmlformats.org/officeDocument/2006/relationships/hyperlink" Target="https://assets.publishing.service.gov.uk/government/uploads/system/uploads/attachment_data/file/175391/Munro-Review.pdf" TargetMode="External"/><Relationship Id="rId17" Type="http://schemas.openxmlformats.org/officeDocument/2006/relationships/hyperlink" Target="https://www.ohchr.org/en/professionalinterest/pages/crc.aspx" TargetMode="External"/><Relationship Id="rId2" Type="http://schemas.openxmlformats.org/officeDocument/2006/relationships/styles" Target="styles.xml"/><Relationship Id="rId16" Type="http://schemas.openxmlformats.org/officeDocument/2006/relationships/hyperlink" Target="https://www.scie.org.uk/person-centred-car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nspcc.org.uk/media/1358/baby-p-haringey-local-safeguarding-children-board-serious-case-review-2009.pdf" TargetMode="External"/><Relationship Id="rId5" Type="http://schemas.openxmlformats.org/officeDocument/2006/relationships/footnotes" Target="footnotes.xml"/><Relationship Id="rId15" Type="http://schemas.openxmlformats.org/officeDocument/2006/relationships/hyperlink" Target="https://www.gov.scot/publications/national-guidance-child-protection-scotland/" TargetMode="External"/><Relationship Id="rId10" Type="http://schemas.openxmlformats.org/officeDocument/2006/relationships/hyperlink" Target="https://dera.ioe.ac.uk/5549/1/victoriaclimbie_reportofinquiry.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779401/Working_Together_to_Safeguard-Children.pdf" TargetMode="External"/><Relationship Id="rId14" Type="http://schemas.openxmlformats.org/officeDocument/2006/relationships/hyperlink" Target="https://dera.ioe.ac.uk/5551/1/victoriaclimbie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1268</TotalTime>
  <Pages>10</Pages>
  <Words>3253</Words>
  <Characters>18547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BSc Health and Social Care</vt:lpstr>
    </vt:vector>
  </TitlesOfParts>
  <Company>student id: 2128581</Company>
  <LinksUpToDate>false</LinksUpToDate>
  <CharactersWithSpaces>21757</CharactersWithSpaces>
  <SharedDoc>false</SharedDoc>
  <HLinks>
    <vt:vector size="66" baseType="variant">
      <vt:variant>
        <vt:i4>1900575</vt:i4>
      </vt:variant>
      <vt:variant>
        <vt:i4>30</vt:i4>
      </vt:variant>
      <vt:variant>
        <vt:i4>0</vt:i4>
      </vt:variant>
      <vt:variant>
        <vt:i4>5</vt:i4>
      </vt:variant>
      <vt:variant>
        <vt:lpwstr>https://www.ohchr.org/en/professionalinterest/pages/crc.aspx</vt:lpwstr>
      </vt:variant>
      <vt:variant>
        <vt:lpwstr/>
      </vt:variant>
      <vt:variant>
        <vt:i4>1900575</vt:i4>
      </vt:variant>
      <vt:variant>
        <vt:i4>27</vt:i4>
      </vt:variant>
      <vt:variant>
        <vt:i4>0</vt:i4>
      </vt:variant>
      <vt:variant>
        <vt:i4>5</vt:i4>
      </vt:variant>
      <vt:variant>
        <vt:lpwstr>https://www.ohchr.org/en/professionalinterest/pages/crc.aspx</vt:lpwstr>
      </vt:variant>
      <vt:variant>
        <vt:lpwstr/>
      </vt:variant>
      <vt:variant>
        <vt:i4>7209019</vt:i4>
      </vt:variant>
      <vt:variant>
        <vt:i4>24</vt:i4>
      </vt:variant>
      <vt:variant>
        <vt:i4>0</vt:i4>
      </vt:variant>
      <vt:variant>
        <vt:i4>5</vt:i4>
      </vt:variant>
      <vt:variant>
        <vt:lpwstr>https://www.scie.org.uk/person-centred-care</vt:lpwstr>
      </vt:variant>
      <vt:variant>
        <vt:lpwstr/>
      </vt:variant>
      <vt:variant>
        <vt:i4>8192099</vt:i4>
      </vt:variant>
      <vt:variant>
        <vt:i4>21</vt:i4>
      </vt:variant>
      <vt:variant>
        <vt:i4>0</vt:i4>
      </vt:variant>
      <vt:variant>
        <vt:i4>5</vt:i4>
      </vt:variant>
      <vt:variant>
        <vt:lpwstr>https://www.gov.scot/publications/national-guidance-child-protection-scotland/</vt:lpwstr>
      </vt:variant>
      <vt:variant>
        <vt:lpwstr/>
      </vt:variant>
      <vt:variant>
        <vt:i4>7077905</vt:i4>
      </vt:variant>
      <vt:variant>
        <vt:i4>18</vt:i4>
      </vt:variant>
      <vt:variant>
        <vt:i4>0</vt:i4>
      </vt:variant>
      <vt:variant>
        <vt:i4>5</vt:i4>
      </vt:variant>
      <vt:variant>
        <vt:lpwstr>https://dera.ioe.ac.uk/5551/1/victoriaclimbie_report.PDF</vt:lpwstr>
      </vt:variant>
      <vt:variant>
        <vt:lpwstr/>
      </vt:variant>
      <vt:variant>
        <vt:i4>196614</vt:i4>
      </vt:variant>
      <vt:variant>
        <vt:i4>15</vt:i4>
      </vt:variant>
      <vt:variant>
        <vt:i4>0</vt:i4>
      </vt:variant>
      <vt:variant>
        <vt:i4>5</vt:i4>
      </vt:variant>
      <vt:variant>
        <vt:lpwstr>https://www.england.nhs.uk/safeguarding/about/</vt:lpwstr>
      </vt:variant>
      <vt:variant>
        <vt:lpwstr>:~:text=Safeguarding%20means%20protecting%20a%20citizen's,adults%20is%20a%20collective%20responsibility</vt:lpwstr>
      </vt:variant>
      <vt:variant>
        <vt:i4>6160422</vt:i4>
      </vt:variant>
      <vt:variant>
        <vt:i4>12</vt:i4>
      </vt:variant>
      <vt:variant>
        <vt:i4>0</vt:i4>
      </vt:variant>
      <vt:variant>
        <vt:i4>5</vt:i4>
      </vt:variant>
      <vt:variant>
        <vt:lpwstr>https://assets.publishing.service.gov.uk/government/uploads/system/uploads/attachment_data/file/175391/Munro-Review.pdf</vt:lpwstr>
      </vt:variant>
      <vt:variant>
        <vt:lpwstr/>
      </vt:variant>
      <vt:variant>
        <vt:i4>2228256</vt:i4>
      </vt:variant>
      <vt:variant>
        <vt:i4>9</vt:i4>
      </vt:variant>
      <vt:variant>
        <vt:i4>0</vt:i4>
      </vt:variant>
      <vt:variant>
        <vt:i4>5</vt:i4>
      </vt:variant>
      <vt:variant>
        <vt:lpwstr>https://learning.nspcc.org.uk/media/1358/baby-p-haringey-local-safeguarding-children-board-serious-case-review-2009.pdf</vt:lpwstr>
      </vt:variant>
      <vt:variant>
        <vt:lpwstr/>
      </vt:variant>
      <vt:variant>
        <vt:i4>4063300</vt:i4>
      </vt:variant>
      <vt:variant>
        <vt:i4>6</vt:i4>
      </vt:variant>
      <vt:variant>
        <vt:i4>0</vt:i4>
      </vt:variant>
      <vt:variant>
        <vt:i4>5</vt:i4>
      </vt:variant>
      <vt:variant>
        <vt:lpwstr>https://dera.ioe.ac.uk/5549/1/victoriaclimbie_reportofinquiry.PDF</vt:lpwstr>
      </vt:variant>
      <vt:variant>
        <vt:lpwstr/>
      </vt:variant>
      <vt:variant>
        <vt:i4>1114188</vt:i4>
      </vt:variant>
      <vt:variant>
        <vt:i4>3</vt:i4>
      </vt:variant>
      <vt:variant>
        <vt:i4>0</vt:i4>
      </vt:variant>
      <vt:variant>
        <vt:i4>5</vt:i4>
      </vt:variant>
      <vt:variant>
        <vt:lpwstr>https://assets.publishing.service.gov.uk/government/uploads/system/uploads/attachment_data/file/779401/Working_Together_to_Safeguard-Children.pdf</vt:lpwstr>
      </vt:variant>
      <vt:variant>
        <vt:lpwstr/>
      </vt:variant>
      <vt:variant>
        <vt:i4>1441878</vt:i4>
      </vt:variant>
      <vt:variant>
        <vt:i4>0</vt:i4>
      </vt:variant>
      <vt:variant>
        <vt:i4>0</vt:i4>
      </vt:variant>
      <vt:variant>
        <vt:i4>5</vt:i4>
      </vt:variant>
      <vt:variant>
        <vt:lpwstr>https://www.bing.com/search?pglt=41&amp;q=Baker%2C+J.+A.+(2016).+The+role+of+partnerships+in+social+care&amp;cvid=fae3b5ce86794a03a85e7f4a7da83d3b&amp;aqs=edge..69i57j69i11004.12659j0j1&amp;FORM=ANAB01&amp;PC=U531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Health and Social Care</dc:title>
  <dc:subject>Children, Young People and Families</dc:subject>
  <dc:creator>STUDENT NAME: Nomathemba Socikwa</dc:creator>
  <cp:keywords/>
  <dc:description/>
  <cp:lastModifiedBy>Nomathemba Socikwa (2128581)</cp:lastModifiedBy>
  <cp:revision>287</cp:revision>
  <dcterms:created xsi:type="dcterms:W3CDTF">2023-07-26T08:16:00Z</dcterms:created>
  <dcterms:modified xsi:type="dcterms:W3CDTF">2023-07-28T18:48:00Z</dcterms:modified>
</cp:coreProperties>
</file>