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A4215A" w14:textId="6D6E9879" w:rsidR="00052A04" w:rsidRDefault="00196B30">
      <w:pPr>
        <w:spacing w:after="100" w:line="240" w:lineRule="auto"/>
        <w:outlineLvl w:val="2"/>
        <w:rPr>
          <w:rFonts w:ascii="Times New Roman" w:eastAsia="Times New Roman" w:hAnsi="Times New Roman"/>
          <w:b/>
          <w:bCs/>
          <w:kern w:val="0"/>
          <w:lang w:eastAsia="en-GB"/>
        </w:rPr>
      </w:pPr>
      <w:r>
        <w:rPr>
          <w:rFonts w:ascii="Times New Roman" w:eastAsia="Times New Roman" w:hAnsi="Times New Roman"/>
          <w:b/>
          <w:bCs/>
          <w:kern w:val="0"/>
          <w:lang w:eastAsia="en-GB"/>
        </w:rPr>
        <w:t>Overview of the Business Idea</w:t>
      </w:r>
    </w:p>
    <w:p w14:paraId="51A03783" w14:textId="0BE81EA8" w:rsidR="00052A04" w:rsidRDefault="00196B30">
      <w:pPr>
        <w:spacing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Product and Service Description</w:t>
      </w:r>
    </w:p>
    <w:p w14:paraId="0A7E70D0" w14:textId="03707495"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 ThreadRevive delivers a secure B2B recycling solution for branded corporate uniforms. A strategic consideration to enter the B2B sector as opposed to the saturated B2C market for sustainable fashion is supported by market entry theories which state that B2B customers form high volume contract relationships which have less churn than B2C customers. This aligns perfectly with the needs of a brand whose uniformed staff are at a significant security risk to charity as the public can easily dress as the uniformed staff member to cause harm to a brand. Consequently, ThreadRevive converts these mixed-fibre garments into secondary raw materials, operating within the principles of the circular economy.</w:t>
      </w:r>
    </w:p>
    <w:p w14:paraId="2FBA9555" w14:textId="7341CED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Furthermore, to address social value and the requirement of the assessment, we have ensured that transitional labour is utilised in our supply chain by partnering with local rehabilitation charities to do this. This means that social value is a fundamental part of our model and business plan. Instead of an add on Corporate Social Responsibility (CSR) activity that is usually disconnected from core values, it is an embedded, structural component of the business model.</w:t>
      </w:r>
    </w:p>
    <w:p w14:paraId="23FFB971" w14:textId="34A388C8" w:rsidR="00052A04" w:rsidRDefault="00196B30">
      <w:pPr>
        <w:spacing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Legal Format</w:t>
      </w:r>
    </w:p>
    <w:p w14:paraId="2479FC8B" w14:textId="7777777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 As a Limited Company (Ltd), we must carefully consider our legal structure. The key downside of a Community Interest Company (CIC) is that it legally ensures the mission of the social enterprise will never be lost by locking the assets, however, this means that a CIC will struggle to raise funding from equity investors with a high appetite for risk.</w:t>
      </w:r>
    </w:p>
    <w:p w14:paraId="76DA27D3" w14:textId="58D1E133" w:rsidR="00052A04" w:rsidRDefault="00CF7174">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The</w:t>
      </w:r>
      <w:r w:rsidR="00196B30">
        <w:rPr>
          <w:rFonts w:ascii="Times New Roman" w:eastAsia="Times New Roman" w:hAnsi="Times New Roman"/>
          <w:kern w:val="0"/>
          <w:lang w:eastAsia="en-GB"/>
        </w:rPr>
        <w:t xml:space="preserve"> potential downside for this is that as a business grows, so does the profit motive; if left unchecked this could result in “mission drift.”</w:t>
      </w:r>
    </w:p>
    <w:p w14:paraId="2A36C6DC" w14:textId="68F4F6AD"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Therefore, by operating as </w:t>
      </w:r>
      <w:r w:rsidR="00742730">
        <w:rPr>
          <w:rFonts w:ascii="Times New Roman" w:eastAsia="Times New Roman" w:hAnsi="Times New Roman"/>
          <w:kern w:val="0"/>
          <w:lang w:eastAsia="en-GB"/>
        </w:rPr>
        <w:t>a</w:t>
      </w:r>
      <w:r>
        <w:rPr>
          <w:rFonts w:ascii="Times New Roman" w:eastAsia="Times New Roman" w:hAnsi="Times New Roman"/>
          <w:kern w:val="0"/>
          <w:lang w:eastAsia="en-GB"/>
        </w:rPr>
        <w:t xml:space="preserve"> Ltd, the Articles of Association at incorporation will be legally altered. This will legally commit the directors to consider the impact and benefits of their decisions on the local community and the wider environment</w:t>
      </w:r>
      <w:r w:rsidR="002D716F">
        <w:rPr>
          <w:rFonts w:ascii="Times New Roman" w:eastAsia="Times New Roman" w:hAnsi="Times New Roman"/>
          <w:kern w:val="0"/>
          <w:lang w:eastAsia="en-GB"/>
        </w:rPr>
        <w:t>. T</w:t>
      </w:r>
      <w:r>
        <w:rPr>
          <w:rFonts w:ascii="Times New Roman" w:eastAsia="Times New Roman" w:hAnsi="Times New Roman"/>
          <w:kern w:val="0"/>
          <w:lang w:eastAsia="en-GB"/>
        </w:rPr>
        <w:t>herefore, act as a foundation for the business to achieve B-Corporation certification by year two of operation.</w:t>
      </w:r>
    </w:p>
    <w:p w14:paraId="1277AD7B" w14:textId="0371A890" w:rsidR="00052A04" w:rsidRDefault="00196B30">
      <w:pPr>
        <w:spacing w:after="100" w:line="240" w:lineRule="auto"/>
      </w:pPr>
      <w:r>
        <w:rPr>
          <w:rFonts w:ascii="Times New Roman" w:eastAsia="Times New Roman" w:hAnsi="Times New Roman"/>
          <w:b/>
          <w:bCs/>
          <w:kern w:val="0"/>
          <w:lang w:eastAsia="en-GB"/>
        </w:rPr>
        <w:t>Management Structure</w:t>
      </w:r>
    </w:p>
    <w:p w14:paraId="14470D12" w14:textId="122831A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Initially, the firm will deploy a flat, agile management structure, led by a Founder/Managing Director alongside a Warehouse Operations Manager and three entry-level charity-sourced operatives. A critical limitation of this lean approach, however, is the </w:t>
      </w:r>
      <w:r w:rsidR="00DE7331">
        <w:rPr>
          <w:rFonts w:ascii="Times New Roman" w:eastAsia="Times New Roman" w:hAnsi="Times New Roman"/>
          <w:kern w:val="0"/>
          <w:lang w:eastAsia="en-GB"/>
        </w:rPr>
        <w:t>elevated risk</w:t>
      </w:r>
      <w:r>
        <w:rPr>
          <w:rFonts w:ascii="Times New Roman" w:eastAsia="Times New Roman" w:hAnsi="Times New Roman"/>
          <w:kern w:val="0"/>
          <w:lang w:eastAsia="en-GB"/>
        </w:rPr>
        <w:t xml:space="preserve"> of founder burnout and operational bottlenecks as the client base scales. To strategically counteract this, the founding team will heavily invest early capital into automated Customer Relationship Management (CRM) and logistics routing software.</w:t>
      </w:r>
    </w:p>
    <w:p w14:paraId="04CD26A9" w14:textId="08381CA9" w:rsidR="00052A04" w:rsidRDefault="00196B30">
      <w:pPr>
        <w:spacing w:after="100" w:line="240" w:lineRule="auto"/>
        <w:outlineLvl w:val="2"/>
        <w:rPr>
          <w:rFonts w:ascii="Times New Roman" w:eastAsia="Times New Roman" w:hAnsi="Times New Roman"/>
          <w:b/>
          <w:bCs/>
          <w:kern w:val="0"/>
          <w:lang w:eastAsia="en-GB"/>
        </w:rPr>
      </w:pPr>
      <w:r>
        <w:rPr>
          <w:rFonts w:ascii="Times New Roman" w:eastAsia="Times New Roman" w:hAnsi="Times New Roman"/>
          <w:b/>
          <w:bCs/>
          <w:kern w:val="0"/>
          <w:lang w:eastAsia="en-GB"/>
        </w:rPr>
        <w:t>Market Research</w:t>
      </w:r>
    </w:p>
    <w:p w14:paraId="4D50E0EF" w14:textId="42D4EA65" w:rsidR="00052A04" w:rsidRDefault="00196B30">
      <w:pPr>
        <w:spacing w:after="100" w:line="240" w:lineRule="auto"/>
        <w:rPr>
          <w:rFonts w:ascii="Times New Roman" w:eastAsia="Times New Roman" w:hAnsi="Times New Roman"/>
          <w:b/>
          <w:bCs/>
          <w:kern w:val="0"/>
          <w:lang w:eastAsia="en-GB"/>
        </w:rPr>
      </w:pPr>
      <w:r>
        <w:rPr>
          <w:rFonts w:ascii="Times New Roman" w:eastAsia="Times New Roman" w:hAnsi="Times New Roman"/>
          <w:b/>
          <w:bCs/>
          <w:kern w:val="0"/>
          <w:lang w:eastAsia="en-GB"/>
        </w:rPr>
        <w:t>Environmental Analysis</w:t>
      </w:r>
    </w:p>
    <w:p w14:paraId="32D20BDD" w14:textId="7777777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 To evaluate the macro-environment, a PESTEL framework is applied. Rather than presenting a descriptive list, this analysis isolates and evaluates the most disruptive variables actively shaping the commercial waste sector: </w:t>
      </w:r>
    </w:p>
    <w:p w14:paraId="3F1DEB5C" w14:textId="77777777" w:rsidR="00052A04" w:rsidRDefault="00196B30">
      <w:pPr>
        <w:spacing w:after="100" w:line="240" w:lineRule="auto"/>
      </w:pPr>
      <w:r>
        <w:rPr>
          <w:rFonts w:ascii="Times New Roman" w:eastAsia="Times New Roman" w:hAnsi="Times New Roman"/>
          <w:b/>
          <w:bCs/>
          <w:kern w:val="0"/>
          <w:lang w:eastAsia="en-GB"/>
        </w:rPr>
        <w:t>Political/Legal:</w:t>
      </w:r>
      <w:r>
        <w:rPr>
          <w:rFonts w:ascii="Times New Roman" w:eastAsia="Times New Roman" w:hAnsi="Times New Roman"/>
          <w:kern w:val="0"/>
          <w:lang w:eastAsia="en-GB"/>
        </w:rPr>
        <w:t xml:space="preserve"> </w:t>
      </w:r>
    </w:p>
    <w:p w14:paraId="79DB0C99" w14:textId="2C34E45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The UK Government's legally binding pledge to reach Net Zero by 2050 is </w:t>
      </w:r>
      <w:r w:rsidR="00960CD5">
        <w:rPr>
          <w:rFonts w:ascii="Times New Roman" w:eastAsia="Times New Roman" w:hAnsi="Times New Roman"/>
          <w:kern w:val="0"/>
          <w:lang w:eastAsia="en-GB"/>
        </w:rPr>
        <w:t>fuelling</w:t>
      </w:r>
      <w:r>
        <w:rPr>
          <w:rFonts w:ascii="Times New Roman" w:eastAsia="Times New Roman" w:hAnsi="Times New Roman"/>
          <w:kern w:val="0"/>
          <w:lang w:eastAsia="en-GB"/>
        </w:rPr>
        <w:t xml:space="preserve"> aggressive policy changes, including the imminent launch of Extended Producer Responsibility (EPR) for textiles, which will require businesses to pay for the environmental impact of their clothing when it goes out of use, creating a major market opportunity for </w:t>
      </w:r>
      <w:r>
        <w:rPr>
          <w:rFonts w:ascii="Times New Roman" w:eastAsia="Times New Roman" w:hAnsi="Times New Roman"/>
          <w:kern w:val="0"/>
          <w:lang w:eastAsia="en-GB"/>
        </w:rPr>
        <w:lastRenderedPageBreak/>
        <w:t>ThreadRevive that transforms us from an optional sustainability solution into a regulatory necessity for our customers.</w:t>
      </w:r>
    </w:p>
    <w:p w14:paraId="637F442A" w14:textId="77777777" w:rsidR="00052A04" w:rsidRDefault="00196B30">
      <w:pPr>
        <w:spacing w:after="100" w:line="240" w:lineRule="auto"/>
      </w:pPr>
      <w:r>
        <w:rPr>
          <w:rFonts w:ascii="Times New Roman" w:eastAsia="Times New Roman" w:hAnsi="Times New Roman"/>
          <w:b/>
          <w:bCs/>
          <w:kern w:val="0"/>
          <w:lang w:eastAsia="en-GB"/>
        </w:rPr>
        <w:t>Economic/Environmental:</w:t>
      </w:r>
      <w:r>
        <w:rPr>
          <w:rFonts w:ascii="Times New Roman" w:eastAsia="Times New Roman" w:hAnsi="Times New Roman"/>
          <w:kern w:val="0"/>
          <w:lang w:eastAsia="en-GB"/>
        </w:rPr>
        <w:t xml:space="preserve"> </w:t>
      </w:r>
    </w:p>
    <w:p w14:paraId="2466DF65" w14:textId="0C9EEF34"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ThreadRevive takes advantage of the fact that, at a financial level, it is increasingly expensive for companies to dump their textile waste (in the UK, landfill taxes alone currently cost more than £100 a tonne), while at an environmental level, textile waste is drawing increased attention and scrutiny as public and investment stakeholders examine their ESG (Environmental Social and Corporate Governance) reporting. </w:t>
      </w:r>
    </w:p>
    <w:p w14:paraId="1994DAE5" w14:textId="77777777" w:rsidR="00052A04" w:rsidRDefault="00196B30">
      <w:pPr>
        <w:spacing w:after="100" w:line="240" w:lineRule="auto"/>
      </w:pPr>
      <w:r>
        <w:rPr>
          <w:rFonts w:ascii="Times New Roman" w:eastAsia="Times New Roman" w:hAnsi="Times New Roman"/>
          <w:b/>
          <w:bCs/>
          <w:kern w:val="0"/>
          <w:lang w:eastAsia="en-GB"/>
        </w:rPr>
        <w:t>Technological:</w:t>
      </w:r>
    </w:p>
    <w:p w14:paraId="7E9E3551" w14:textId="10138DC2"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Historically, recycling of textiles was not possible because of the challenges of processing mixed fabrics (eg poly cotton). </w:t>
      </w:r>
      <w:r w:rsidR="008371EF">
        <w:rPr>
          <w:rFonts w:ascii="Times New Roman" w:eastAsia="Times New Roman" w:hAnsi="Times New Roman"/>
          <w:kern w:val="0"/>
          <w:lang w:eastAsia="en-GB"/>
        </w:rPr>
        <w:t>A</w:t>
      </w:r>
      <w:r>
        <w:rPr>
          <w:rFonts w:ascii="Times New Roman" w:eastAsia="Times New Roman" w:hAnsi="Times New Roman"/>
          <w:kern w:val="0"/>
          <w:lang w:eastAsia="en-GB"/>
        </w:rPr>
        <w:t>dvances in mechanical, friction-based shredding technology have reduced the upfront costs of handling mixed-fabric blends so that the establishment of community-scale recycling facilities is now potentially commercially achievable.</w:t>
      </w:r>
    </w:p>
    <w:p w14:paraId="16705220" w14:textId="07C2745B" w:rsidR="00052A04" w:rsidRDefault="00196B30">
      <w:pPr>
        <w:spacing w:after="100" w:line="240" w:lineRule="auto"/>
      </w:pPr>
      <w:r>
        <w:rPr>
          <w:rFonts w:ascii="Times New Roman" w:eastAsia="Times New Roman" w:hAnsi="Times New Roman"/>
          <w:b/>
          <w:bCs/>
          <w:kern w:val="0"/>
          <w:lang w:eastAsia="en-GB"/>
        </w:rPr>
        <w:t>Competitor Analysis and Competitive Advantage</w:t>
      </w:r>
      <w:r>
        <w:rPr>
          <w:rFonts w:ascii="Times New Roman" w:eastAsia="Times New Roman" w:hAnsi="Times New Roman"/>
          <w:kern w:val="0"/>
          <w:lang w:eastAsia="en-GB"/>
        </w:rPr>
        <w:t xml:space="preserve"> </w:t>
      </w:r>
    </w:p>
    <w:p w14:paraId="6E0B461A" w14:textId="7777777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The competitive landscape is highly fragmented. Analysing the strategic groups reveals significant structural barriers that prevent incumbents from easily replicating ThreadRevive's model. </w:t>
      </w:r>
    </w:p>
    <w:p w14:paraId="418D414A" w14:textId="77777777" w:rsidR="00052A04" w:rsidRDefault="00196B30">
      <w:pPr>
        <w:spacing w:after="100" w:line="240" w:lineRule="auto"/>
      </w:pPr>
      <w:r>
        <w:rPr>
          <w:rFonts w:ascii="Times New Roman" w:eastAsia="Times New Roman" w:hAnsi="Times New Roman"/>
          <w:b/>
          <w:bCs/>
          <w:kern w:val="0"/>
          <w:lang w:eastAsia="en-GB"/>
        </w:rPr>
        <w:t>Incumbent Waste Management (e.g., Veolia, Biffa):</w:t>
      </w:r>
    </w:p>
    <w:p w14:paraId="630E98A9" w14:textId="4D2D0C67"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These large firms have significant reach with their distribution networks but are geared towards collecting and burning in bulk because </w:t>
      </w:r>
      <w:r w:rsidR="00A615EC">
        <w:rPr>
          <w:rFonts w:ascii="Times New Roman" w:eastAsia="Times New Roman" w:hAnsi="Times New Roman"/>
          <w:kern w:val="0"/>
          <w:lang w:eastAsia="en-GB"/>
        </w:rPr>
        <w:t>that is</w:t>
      </w:r>
      <w:r>
        <w:rPr>
          <w:rFonts w:ascii="Times New Roman" w:eastAsia="Times New Roman" w:hAnsi="Times New Roman"/>
          <w:kern w:val="0"/>
          <w:lang w:eastAsia="en-GB"/>
        </w:rPr>
        <w:t xml:space="preserve"> their profitable business model. They </w:t>
      </w:r>
      <w:r w:rsidR="00C968B5">
        <w:rPr>
          <w:rFonts w:ascii="Times New Roman" w:eastAsia="Times New Roman" w:hAnsi="Times New Roman"/>
          <w:kern w:val="0"/>
          <w:lang w:eastAsia="en-GB"/>
        </w:rPr>
        <w:t xml:space="preserve">aren’t </w:t>
      </w:r>
      <w:r>
        <w:rPr>
          <w:rFonts w:ascii="Times New Roman" w:eastAsia="Times New Roman" w:hAnsi="Times New Roman"/>
          <w:kern w:val="0"/>
          <w:lang w:eastAsia="en-GB"/>
        </w:rPr>
        <w:t>geared towards collecting textiles individually and sorting through them into secure recycling or into mechanical recycling because the costs required are too expensive and would require a significant change in how they operate, which provides a nice window of opportunity for ThreadRevive to carve out its niche.</w:t>
      </w:r>
    </w:p>
    <w:p w14:paraId="420370FF" w14:textId="77777777" w:rsidR="00052A04" w:rsidRDefault="00196B30">
      <w:pPr>
        <w:spacing w:after="100" w:line="240" w:lineRule="auto"/>
      </w:pPr>
      <w:r>
        <w:rPr>
          <w:rFonts w:ascii="Times New Roman" w:eastAsia="Times New Roman" w:hAnsi="Times New Roman"/>
          <w:b/>
          <w:bCs/>
          <w:kern w:val="0"/>
          <w:lang w:eastAsia="en-GB"/>
        </w:rPr>
        <w:t>Charity Exporters:</w:t>
      </w:r>
    </w:p>
    <w:p w14:paraId="1912CC2B" w14:textId="77777777" w:rsidR="00052A04" w:rsidRDefault="00196B30">
      <w:pPr>
        <w:spacing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While holding high public trust, charities lack the secure, verifiable destruction protocols demanded by corporate procurement officers to prevent brand-security breaches.</w:t>
      </w:r>
    </w:p>
    <w:p w14:paraId="012F45D2" w14:textId="77777777" w:rsidR="00052A04" w:rsidRDefault="00196B30">
      <w:pPr>
        <w:spacing w:after="100" w:line="240" w:lineRule="auto"/>
      </w:pPr>
      <w:r>
        <w:rPr>
          <w:rFonts w:ascii="Times New Roman" w:eastAsia="Times New Roman" w:hAnsi="Times New Roman"/>
          <w:b/>
          <w:bCs/>
          <w:kern w:val="0"/>
          <w:lang w:eastAsia="en-GB"/>
        </w:rPr>
        <w:t>Unique Selling Proposition (USP):</w:t>
      </w:r>
      <w:r>
        <w:rPr>
          <w:rFonts w:ascii="Times New Roman" w:eastAsia="Times New Roman" w:hAnsi="Times New Roman"/>
          <w:kern w:val="0"/>
          <w:lang w:eastAsia="en-GB"/>
        </w:rPr>
        <w:t xml:space="preserve"> </w:t>
      </w:r>
    </w:p>
    <w:p w14:paraId="0D96459C" w14:textId="78696CE6"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ThreadRevive differentiates itself by effectively addressing the “information asymmetry” prevalent in the corporate sustainability sector. Beyond the physical removal of textile waste, we </w:t>
      </w:r>
      <w:r w:rsidR="00EA78B6">
        <w:rPr>
          <w:rFonts w:ascii="Times New Roman" w:eastAsia="Times New Roman" w:hAnsi="Times New Roman"/>
          <w:kern w:val="0"/>
          <w:lang w:eastAsia="en-GB"/>
        </w:rPr>
        <w:t>offer clients</w:t>
      </w:r>
      <w:r>
        <w:rPr>
          <w:rFonts w:ascii="Times New Roman" w:eastAsia="Times New Roman" w:hAnsi="Times New Roman"/>
          <w:kern w:val="0"/>
          <w:lang w:eastAsia="en-GB"/>
        </w:rPr>
        <w:t xml:space="preserve"> an “Impact Certificate” validated via blockchain technology that records precisely how many kilograms of carbon were diverted and the number of hours of employment created within the community. This evidence-based transparency </w:t>
      </w:r>
      <w:r w:rsidR="000D4377">
        <w:rPr>
          <w:rFonts w:ascii="Times New Roman" w:eastAsia="Times New Roman" w:hAnsi="Times New Roman"/>
          <w:kern w:val="0"/>
          <w:lang w:eastAsia="en-GB"/>
        </w:rPr>
        <w:t>neutralises</w:t>
      </w:r>
      <w:r>
        <w:rPr>
          <w:rFonts w:ascii="Times New Roman" w:eastAsia="Times New Roman" w:hAnsi="Times New Roman"/>
          <w:kern w:val="0"/>
          <w:lang w:eastAsia="en-GB"/>
        </w:rPr>
        <w:t xml:space="preserve"> the risk of greenwashing claims and drives high switching costs by embedding our data collection systems within the clients’ own ESG reporting workflows.</w:t>
      </w:r>
    </w:p>
    <w:p w14:paraId="58F92D9D" w14:textId="4CF429CB" w:rsidR="00052A04" w:rsidRDefault="00196B30">
      <w:pPr>
        <w:spacing w:before="100" w:after="100" w:line="240" w:lineRule="auto"/>
      </w:pPr>
      <w:r>
        <w:rPr>
          <w:rFonts w:ascii="Times New Roman" w:eastAsia="Times New Roman" w:hAnsi="Times New Roman"/>
          <w:b/>
          <w:bCs/>
          <w:kern w:val="0"/>
          <w:lang w:eastAsia="en-GB"/>
        </w:rPr>
        <w:t>Marketing Communications</w:t>
      </w:r>
    </w:p>
    <w:p w14:paraId="6A57D15D" w14:textId="0E8D2D56" w:rsidR="00052A04" w:rsidRDefault="00196B30">
      <w:pPr>
        <w:spacing w:before="100" w:after="100" w:line="240" w:lineRule="auto"/>
        <w:outlineLvl w:val="2"/>
        <w:rPr>
          <w:rFonts w:ascii="Times New Roman" w:eastAsia="Times New Roman" w:hAnsi="Times New Roman"/>
          <w:b/>
          <w:bCs/>
          <w:kern w:val="0"/>
          <w:lang w:eastAsia="en-GB"/>
        </w:rPr>
      </w:pPr>
      <w:r>
        <w:rPr>
          <w:rFonts w:ascii="Times New Roman" w:eastAsia="Times New Roman" w:hAnsi="Times New Roman"/>
          <w:b/>
          <w:bCs/>
          <w:kern w:val="0"/>
          <w:lang w:eastAsia="en-GB"/>
        </w:rPr>
        <w:t>Target Market</w:t>
      </w:r>
    </w:p>
    <w:p w14:paraId="4607BF8A" w14:textId="569E85A4"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We focus on B2B accounts for mid-size to large British corporations with more than 500 employees within the security, private healthcare, and hospitality industries. The decision to work in these sectors is strategically determined to </w:t>
      </w:r>
      <w:r w:rsidR="00960CD5">
        <w:rPr>
          <w:rFonts w:ascii="Times New Roman" w:eastAsia="Times New Roman" w:hAnsi="Times New Roman"/>
          <w:kern w:val="0"/>
          <w:lang w:eastAsia="en-GB"/>
        </w:rPr>
        <w:t>capitalise</w:t>
      </w:r>
      <w:r>
        <w:rPr>
          <w:rFonts w:ascii="Times New Roman" w:eastAsia="Times New Roman" w:hAnsi="Times New Roman"/>
          <w:kern w:val="0"/>
          <w:lang w:eastAsia="en-GB"/>
        </w:rPr>
        <w:t xml:space="preserve"> on their high staff turnover rates and the subsequent frequent and steady replacement of staff uniforms </w:t>
      </w:r>
      <w:r w:rsidR="00C27722">
        <w:rPr>
          <w:rFonts w:ascii="Times New Roman" w:eastAsia="Times New Roman" w:hAnsi="Times New Roman"/>
          <w:kern w:val="0"/>
          <w:lang w:eastAsia="en-GB"/>
        </w:rPr>
        <w:t>to</w:t>
      </w:r>
      <w:r>
        <w:rPr>
          <w:rFonts w:ascii="Times New Roman" w:eastAsia="Times New Roman" w:hAnsi="Times New Roman"/>
          <w:kern w:val="0"/>
          <w:lang w:eastAsia="en-GB"/>
        </w:rPr>
        <w:t xml:space="preserve"> secure consistent B2B revenue.</w:t>
      </w:r>
    </w:p>
    <w:p w14:paraId="324BFA69" w14:textId="77950071" w:rsidR="00052A04" w:rsidRDefault="00196B30">
      <w:pPr>
        <w:spacing w:before="100" w:after="100" w:line="240" w:lineRule="auto"/>
        <w:outlineLvl w:val="2"/>
        <w:rPr>
          <w:rFonts w:ascii="Times New Roman" w:eastAsia="Times New Roman" w:hAnsi="Times New Roman"/>
          <w:b/>
          <w:bCs/>
          <w:kern w:val="0"/>
          <w:lang w:eastAsia="en-GB"/>
        </w:rPr>
      </w:pPr>
      <w:r>
        <w:rPr>
          <w:rFonts w:ascii="Times New Roman" w:eastAsia="Times New Roman" w:hAnsi="Times New Roman"/>
          <w:b/>
          <w:bCs/>
          <w:kern w:val="0"/>
          <w:lang w:eastAsia="en-GB"/>
        </w:rPr>
        <w:t>Marketing Strategies</w:t>
      </w:r>
    </w:p>
    <w:p w14:paraId="27D2497D" w14:textId="24EB756F"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lastRenderedPageBreak/>
        <w:t>General marketing (e.g. through social media marketing) is considered a highly inefficient strategy within B2B marketing. Therefore, ThreadRevive will implement a focused, two-fold Relational Marketing Strategy:</w:t>
      </w:r>
    </w:p>
    <w:p w14:paraId="495A14DB" w14:textId="77777777" w:rsidR="00052A04" w:rsidRDefault="00196B30">
      <w:pPr>
        <w:spacing w:before="100" w:after="100" w:line="240" w:lineRule="auto"/>
      </w:pPr>
      <w:r>
        <w:rPr>
          <w:rFonts w:ascii="Times New Roman" w:eastAsia="Times New Roman" w:hAnsi="Times New Roman"/>
          <w:b/>
          <w:bCs/>
          <w:kern w:val="0"/>
          <w:lang w:eastAsia="en-GB"/>
        </w:rPr>
        <w:t>targeted Direct Outreach (Push Strategy):</w:t>
      </w:r>
    </w:p>
    <w:p w14:paraId="1FDEE43C" w14:textId="51E5D54A" w:rsidR="00052A04" w:rsidRDefault="00960CD5">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Utilising</w:t>
      </w:r>
      <w:r w:rsidR="00196B30">
        <w:rPr>
          <w:rFonts w:ascii="Times New Roman" w:eastAsia="Times New Roman" w:hAnsi="Times New Roman"/>
          <w:kern w:val="0"/>
          <w:lang w:eastAsia="en-GB"/>
        </w:rPr>
        <w:t xml:space="preserve"> Linked-in’s Sales Navigator, we will identify and contact the “Decision Making Unit” (DMU), consisting of Corporate Sustainability Officers and Procurement Managers. </w:t>
      </w:r>
      <w:r w:rsidR="0009179D">
        <w:rPr>
          <w:rFonts w:ascii="Times New Roman" w:eastAsia="Times New Roman" w:hAnsi="Times New Roman"/>
          <w:kern w:val="0"/>
          <w:lang w:eastAsia="en-GB"/>
        </w:rPr>
        <w:t>The</w:t>
      </w:r>
      <w:r w:rsidR="00196B30">
        <w:rPr>
          <w:rFonts w:ascii="Times New Roman" w:eastAsia="Times New Roman" w:hAnsi="Times New Roman"/>
          <w:kern w:val="0"/>
          <w:lang w:eastAsia="en-GB"/>
        </w:rPr>
        <w:t xml:space="preserve"> goal is to ensure Return on Investment (ROI) and avoid losses and risks. This approach allows us to provide ThreadRevive with a direct pitch which includes a direct cost-benefit ratio analysis comparing our fees to their current costs and escalating taxes.</w:t>
      </w:r>
    </w:p>
    <w:p w14:paraId="44E6A0FF" w14:textId="77777777" w:rsidR="00052A04" w:rsidRDefault="00196B30">
      <w:pPr>
        <w:spacing w:before="100" w:after="100" w:line="240" w:lineRule="auto"/>
      </w:pPr>
      <w:r>
        <w:rPr>
          <w:rFonts w:ascii="Times New Roman" w:eastAsia="Times New Roman" w:hAnsi="Times New Roman"/>
          <w:b/>
          <w:bCs/>
          <w:kern w:val="0"/>
          <w:lang w:eastAsia="en-GB"/>
        </w:rPr>
        <w:t>Data-Driven Content Marketing (Pull Strategy)</w:t>
      </w:r>
    </w:p>
    <w:p w14:paraId="5EBB3040" w14:textId="104FF304"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To drive this initiative, we will produce robust, research-backed </w:t>
      </w:r>
      <w:bookmarkStart w:id="0" w:name="_Int_1TajiMYj"/>
      <w:r w:rsidR="00BB46E9">
        <w:rPr>
          <w:rFonts w:ascii="Times New Roman" w:eastAsia="Times New Roman" w:hAnsi="Times New Roman"/>
          <w:kern w:val="0"/>
          <w:lang w:eastAsia="en-GB"/>
        </w:rPr>
        <w:t>white-papers</w:t>
      </w:r>
      <w:bookmarkEnd w:id="0"/>
      <w:r>
        <w:rPr>
          <w:rFonts w:ascii="Times New Roman" w:eastAsia="Times New Roman" w:hAnsi="Times New Roman"/>
          <w:kern w:val="0"/>
          <w:lang w:eastAsia="en-GB"/>
        </w:rPr>
        <w:t xml:space="preserve"> and detailed case studies that expose the hidden financial and legal risks associated with disposing of waste in the same bin. While this content marketing approach is known for demanding months of effort before seeing significant return on investment, compared to direct sales, it serves a vital role as it builds our reputation as thought leaders in this space, thereby reducing customer acquisition costs (CAC) in the long run.</w:t>
      </w:r>
    </w:p>
    <w:p w14:paraId="2BCA70FE" w14:textId="2C77384D" w:rsidR="00052A04" w:rsidRDefault="00196B30">
      <w:pPr>
        <w:spacing w:before="100" w:after="100" w:line="240" w:lineRule="auto"/>
      </w:pPr>
      <w:r>
        <w:rPr>
          <w:rFonts w:ascii="Times New Roman" w:eastAsia="Times New Roman" w:hAnsi="Times New Roman"/>
          <w:b/>
          <w:bCs/>
          <w:kern w:val="0"/>
          <w:lang w:eastAsia="en-GB"/>
        </w:rPr>
        <w:t>Financials</w:t>
      </w:r>
    </w:p>
    <w:p w14:paraId="105D8D61" w14:textId="631AC980" w:rsidR="00052A04" w:rsidRDefault="00196B30">
      <w:pPr>
        <w:spacing w:before="100" w:after="100" w:line="240" w:lineRule="auto"/>
        <w:outlineLvl w:val="2"/>
        <w:rPr>
          <w:rFonts w:ascii="Times New Roman" w:eastAsia="Times New Roman" w:hAnsi="Times New Roman"/>
          <w:b/>
          <w:bCs/>
          <w:kern w:val="0"/>
          <w:lang w:eastAsia="en-GB"/>
        </w:rPr>
      </w:pPr>
      <w:r>
        <w:rPr>
          <w:rFonts w:ascii="Times New Roman" w:eastAsia="Times New Roman" w:hAnsi="Times New Roman"/>
          <w:b/>
          <w:bCs/>
          <w:kern w:val="0"/>
          <w:lang w:eastAsia="en-GB"/>
        </w:rPr>
        <w:t>Funding Requirements and Sources</w:t>
      </w:r>
    </w:p>
    <w:p w14:paraId="70057231" w14:textId="552DE072"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ThreadRevive needs a seed funding of £45,000 to start. To secure our financing, we have reviewed whether to take up loans or seek investors, and have determined that debt financing (i.e., bank loans) will not be an option as the monthly repayment for the bank loan will leave us with very little capital for operations during the initial setup period, increasing the risk that we will go out of business before we've sold the first service.</w:t>
      </w:r>
    </w:p>
    <w:p w14:paraId="1BFAA53C" w14:textId="0B83854C"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Thus, we need to pitch to an ESG angel investor syndicate for 15% of the company (£300,000 post-money valuation).</w:t>
      </w:r>
    </w:p>
    <w:p w14:paraId="79A1A3C5" w14:textId="72D33A64" w:rsidR="00052A04" w:rsidRDefault="00196B30">
      <w:pPr>
        <w:spacing w:before="100" w:after="100" w:line="240" w:lineRule="auto"/>
        <w:outlineLvl w:val="2"/>
        <w:rPr>
          <w:rFonts w:ascii="Times New Roman" w:eastAsia="Times New Roman" w:hAnsi="Times New Roman"/>
          <w:b/>
          <w:bCs/>
          <w:kern w:val="0"/>
          <w:lang w:eastAsia="en-GB"/>
        </w:rPr>
      </w:pPr>
      <w:r>
        <w:rPr>
          <w:rFonts w:ascii="Times New Roman" w:eastAsia="Times New Roman" w:hAnsi="Times New Roman"/>
          <w:b/>
          <w:bCs/>
          <w:kern w:val="0"/>
          <w:lang w:eastAsia="en-GB"/>
        </w:rPr>
        <w:t>First Month Startup Expenses</w:t>
      </w:r>
    </w:p>
    <w:p w14:paraId="4914A684" w14:textId="4881097E" w:rsidR="00052A04" w:rsidRDefault="00196B30">
      <w:pPr>
        <w:spacing w:before="100" w:after="100" w:line="240" w:lineRule="auto"/>
        <w:rPr>
          <w:rFonts w:ascii="Times New Roman" w:eastAsia="Times New Roman" w:hAnsi="Times New Roman"/>
          <w:kern w:val="0"/>
          <w:lang w:eastAsia="en-GB"/>
        </w:rPr>
      </w:pPr>
      <w:r>
        <w:rPr>
          <w:rFonts w:ascii="Times New Roman" w:eastAsia="Times New Roman" w:hAnsi="Times New Roman"/>
          <w:kern w:val="0"/>
          <w:lang w:eastAsia="en-GB"/>
        </w:rPr>
        <w:t xml:space="preserve">As mentioned, £45,000 of capital will </w:t>
      </w:r>
      <w:bookmarkStart w:id="1" w:name="_Int_JGkoNLcA"/>
      <w:r>
        <w:rPr>
          <w:rFonts w:ascii="Times New Roman" w:eastAsia="Times New Roman" w:hAnsi="Times New Roman"/>
          <w:kern w:val="0"/>
          <w:lang w:eastAsia="en-GB"/>
        </w:rPr>
        <w:t>be used</w:t>
      </w:r>
      <w:bookmarkEnd w:id="1"/>
      <w:r>
        <w:rPr>
          <w:rFonts w:ascii="Times New Roman" w:eastAsia="Times New Roman" w:hAnsi="Times New Roman"/>
          <w:kern w:val="0"/>
          <w:lang w:eastAsia="en-GB"/>
        </w:rPr>
        <w:t xml:space="preserve"> to set up the infrastructure </w:t>
      </w:r>
      <w:bookmarkStart w:id="2" w:name="_Int_i0sVCC4H"/>
      <w:r>
        <w:rPr>
          <w:rFonts w:ascii="Times New Roman" w:eastAsia="Times New Roman" w:hAnsi="Times New Roman"/>
          <w:kern w:val="0"/>
          <w:lang w:eastAsia="en-GB"/>
        </w:rPr>
        <w:t>required</w:t>
      </w:r>
      <w:bookmarkEnd w:id="2"/>
      <w:r>
        <w:rPr>
          <w:rFonts w:ascii="Times New Roman" w:eastAsia="Times New Roman" w:hAnsi="Times New Roman"/>
          <w:kern w:val="0"/>
          <w:lang w:eastAsia="en-GB"/>
        </w:rPr>
        <w:t xml:space="preserve"> to </w:t>
      </w:r>
      <w:bookmarkStart w:id="3" w:name="_Int_pVfDhO75"/>
      <w:r>
        <w:rPr>
          <w:rFonts w:ascii="Times New Roman" w:eastAsia="Times New Roman" w:hAnsi="Times New Roman"/>
          <w:kern w:val="0"/>
          <w:lang w:eastAsia="en-GB"/>
        </w:rPr>
        <w:t>demonstrate</w:t>
      </w:r>
      <w:bookmarkEnd w:id="3"/>
      <w:r>
        <w:rPr>
          <w:rFonts w:ascii="Times New Roman" w:eastAsia="Times New Roman" w:hAnsi="Times New Roman"/>
          <w:kern w:val="0"/>
          <w:lang w:eastAsia="en-GB"/>
        </w:rPr>
        <w:t xml:space="preserve"> our product and service capabilities to our potential customers in the first month</w:t>
      </w:r>
      <w:r w:rsidR="001045C8">
        <w:rPr>
          <w:rFonts w:ascii="Times New Roman" w:eastAsia="Times New Roman" w:hAnsi="Times New Roman"/>
          <w:kern w:val="0"/>
          <w:lang w:eastAsia="en-GB"/>
        </w:rPr>
        <w:t xml:space="preserve">. </w:t>
      </w:r>
    </w:p>
    <w:p w14:paraId="46C45B06" w14:textId="363289A3" w:rsidR="00052A04" w:rsidRDefault="00196B30">
      <w:pPr>
        <w:spacing w:after="100" w:line="240" w:lineRule="auto"/>
      </w:pPr>
      <w:r>
        <w:rPr>
          <w:rFonts w:ascii="Arial" w:eastAsia="Times New Roman" w:hAnsi="Arial" w:cs="Arial"/>
          <w:b/>
          <w:bCs/>
          <w:kern w:val="0"/>
          <w:lang w:eastAsia="en-GB"/>
        </w:rPr>
        <w:t>First Month Startup Expenses</w:t>
      </w:r>
    </w:p>
    <w:tbl>
      <w:tblPr>
        <w:tblW w:w="9010" w:type="dxa"/>
        <w:tblCellMar>
          <w:left w:w="10" w:type="dxa"/>
          <w:right w:w="10" w:type="dxa"/>
        </w:tblCellMar>
        <w:tblLook w:val="0000" w:firstRow="0" w:lastRow="0" w:firstColumn="0" w:lastColumn="0" w:noHBand="0" w:noVBand="0"/>
      </w:tblPr>
      <w:tblGrid>
        <w:gridCol w:w="2729"/>
        <w:gridCol w:w="4315"/>
        <w:gridCol w:w="1966"/>
      </w:tblGrid>
      <w:tr w:rsidR="00052A04" w14:paraId="6B7F999C" w14:textId="77777777">
        <w:trPr>
          <w:tblHeader/>
        </w:trPr>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5E4C739" w14:textId="77777777" w:rsidR="00052A04" w:rsidRDefault="00196B30">
            <w:pPr>
              <w:spacing w:after="0" w:line="240" w:lineRule="auto"/>
            </w:pPr>
            <w:r>
              <w:rPr>
                <w:rFonts w:ascii="Arial" w:eastAsia="Times New Roman" w:hAnsi="Arial" w:cs="Arial"/>
                <w:b/>
                <w:bCs/>
                <w:kern w:val="0"/>
                <w:lang w:eastAsia="en-GB"/>
              </w:rPr>
              <w:t>Expense Category</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4BBD1F0" w14:textId="77777777" w:rsidR="00052A04" w:rsidRDefault="00196B30">
            <w:pPr>
              <w:spacing w:after="0" w:line="240" w:lineRule="auto"/>
            </w:pPr>
            <w:r>
              <w:rPr>
                <w:rFonts w:ascii="Arial" w:eastAsia="Times New Roman" w:hAnsi="Arial" w:cs="Arial"/>
                <w:b/>
                <w:bCs/>
                <w:kern w:val="0"/>
                <w:lang w:eastAsia="en-GB"/>
              </w:rPr>
              <w:t>Description</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471C42C" w14:textId="77777777" w:rsidR="00052A04" w:rsidRDefault="00196B30">
            <w:pPr>
              <w:spacing w:after="0" w:line="240" w:lineRule="auto"/>
            </w:pPr>
            <w:r>
              <w:rPr>
                <w:rFonts w:ascii="Arial" w:eastAsia="Times New Roman" w:hAnsi="Arial" w:cs="Arial"/>
                <w:b/>
                <w:bCs/>
                <w:kern w:val="0"/>
                <w:lang w:eastAsia="en-GB"/>
              </w:rPr>
              <w:t>Estimated Cost (£)</w:t>
            </w:r>
          </w:p>
        </w:tc>
      </w:tr>
      <w:tr w:rsidR="00052A04" w14:paraId="60FFDDB4"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934D668" w14:textId="77777777" w:rsidR="00052A04" w:rsidRDefault="00196B30">
            <w:pPr>
              <w:spacing w:after="0" w:line="240" w:lineRule="auto"/>
            </w:pPr>
            <w:r>
              <w:rPr>
                <w:rFonts w:ascii="Arial" w:eastAsia="Times New Roman" w:hAnsi="Arial" w:cs="Arial"/>
                <w:b/>
                <w:bCs/>
                <w:kern w:val="0"/>
                <w:lang w:eastAsia="en-GB"/>
              </w:rPr>
              <w:t>Machinery / Equipment</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B121A71"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Deposit and first month lease for industrial textile shredder</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08D1F8B"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12,000</w:t>
            </w:r>
          </w:p>
        </w:tc>
      </w:tr>
      <w:tr w:rsidR="00052A04" w14:paraId="6885853B"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2E923CC" w14:textId="77777777" w:rsidR="00052A04" w:rsidRDefault="00196B30">
            <w:pPr>
              <w:spacing w:after="0" w:line="240" w:lineRule="auto"/>
            </w:pPr>
            <w:r>
              <w:rPr>
                <w:rFonts w:ascii="Arial" w:eastAsia="Times New Roman" w:hAnsi="Arial" w:cs="Arial"/>
                <w:b/>
                <w:bCs/>
                <w:kern w:val="0"/>
                <w:lang w:eastAsia="en-GB"/>
              </w:rPr>
              <w:t>Premises</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50F280B"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First month rent &amp; deposit for 1,500 sq ft light industrial unit</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1800D28"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4,500</w:t>
            </w:r>
          </w:p>
        </w:tc>
      </w:tr>
      <w:tr w:rsidR="00052A04" w14:paraId="4474EC7B"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5551022" w14:textId="77777777" w:rsidR="00052A04" w:rsidRDefault="00196B30">
            <w:pPr>
              <w:spacing w:after="0" w:line="240" w:lineRule="auto"/>
            </w:pPr>
            <w:bookmarkStart w:id="4" w:name="_Int_JKbPvhml"/>
            <w:r>
              <w:rPr>
                <w:rFonts w:ascii="Arial" w:eastAsia="Times New Roman" w:hAnsi="Arial" w:cs="Arial"/>
                <w:b/>
                <w:bCs/>
                <w:kern w:val="0"/>
                <w:lang w:eastAsia="en-GB"/>
              </w:rPr>
              <w:t>Logistics</w:t>
            </w:r>
            <w:bookmarkEnd w:id="4"/>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B58D12E"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First month lease of one electric transit van (aligning with eco-mission)</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95D899B"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800</w:t>
            </w:r>
          </w:p>
        </w:tc>
      </w:tr>
      <w:tr w:rsidR="00052A04" w14:paraId="7CF0EDEB"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4A0F71C" w14:textId="77777777" w:rsidR="00052A04" w:rsidRDefault="00196B30">
            <w:pPr>
              <w:spacing w:after="0" w:line="240" w:lineRule="auto"/>
            </w:pPr>
            <w:r>
              <w:rPr>
                <w:rFonts w:ascii="Arial" w:eastAsia="Times New Roman" w:hAnsi="Arial" w:cs="Arial"/>
                <w:b/>
                <w:bCs/>
                <w:kern w:val="0"/>
                <w:lang w:eastAsia="en-GB"/>
              </w:rPr>
              <w:t>Legal &amp; Insurance</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E34D180"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Company formation, bespoke Articles of Association, Liability insurance</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B55FDA9"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2,200</w:t>
            </w:r>
          </w:p>
        </w:tc>
      </w:tr>
      <w:tr w:rsidR="00052A04" w14:paraId="3894FD2A"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1E4530C" w14:textId="77777777" w:rsidR="00052A04" w:rsidRDefault="00196B30">
            <w:pPr>
              <w:spacing w:after="0" w:line="240" w:lineRule="auto"/>
            </w:pPr>
            <w:r>
              <w:rPr>
                <w:rFonts w:ascii="Arial" w:eastAsia="Times New Roman" w:hAnsi="Arial" w:cs="Arial"/>
                <w:b/>
                <w:bCs/>
                <w:kern w:val="0"/>
                <w:lang w:eastAsia="en-GB"/>
              </w:rPr>
              <w:lastRenderedPageBreak/>
              <w:t>Marketing &amp; IT</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F52C4CE"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CRM software licensing, website development, LinkedIn Premium</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554FDAF"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1,500</w:t>
            </w:r>
          </w:p>
        </w:tc>
      </w:tr>
      <w:tr w:rsidR="00052A04" w14:paraId="380D70ED"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6C0FEE3" w14:textId="77777777" w:rsidR="00052A04" w:rsidRDefault="00196B30">
            <w:pPr>
              <w:spacing w:after="0" w:line="240" w:lineRule="auto"/>
            </w:pPr>
            <w:r>
              <w:rPr>
                <w:rFonts w:ascii="Arial" w:eastAsia="Times New Roman" w:hAnsi="Arial" w:cs="Arial"/>
                <w:b/>
                <w:bCs/>
                <w:kern w:val="0"/>
                <w:lang w:eastAsia="en-GB"/>
              </w:rPr>
              <w:t>Staff Costs</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4FF2101"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Wages for 1 Operations Manager and 3 part-time operatives</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AA21BB2"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5,500</w:t>
            </w:r>
          </w:p>
        </w:tc>
      </w:tr>
      <w:tr w:rsidR="00052A04" w14:paraId="467E3D45"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6B21846" w14:textId="77777777" w:rsidR="00052A04" w:rsidRDefault="00196B30">
            <w:pPr>
              <w:spacing w:after="0" w:line="240" w:lineRule="auto"/>
            </w:pPr>
            <w:r>
              <w:rPr>
                <w:rFonts w:ascii="Arial" w:eastAsia="Times New Roman" w:hAnsi="Arial" w:cs="Arial"/>
                <w:b/>
                <w:bCs/>
                <w:kern w:val="0"/>
                <w:lang w:eastAsia="en-GB"/>
              </w:rPr>
              <w:t>Working Capital</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295A3004"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Contingency fund for unforeseen operational setup costs</w:t>
            </w: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3F0C33A" w14:textId="77777777" w:rsidR="00052A04" w:rsidRDefault="00196B30">
            <w:pPr>
              <w:spacing w:after="0" w:line="240" w:lineRule="auto"/>
              <w:rPr>
                <w:rFonts w:ascii="Arial" w:eastAsia="Times New Roman" w:hAnsi="Arial" w:cs="Arial"/>
                <w:kern w:val="0"/>
                <w:lang w:eastAsia="en-GB"/>
              </w:rPr>
            </w:pPr>
            <w:r>
              <w:rPr>
                <w:rFonts w:ascii="Arial" w:eastAsia="Times New Roman" w:hAnsi="Arial" w:cs="Arial"/>
                <w:kern w:val="0"/>
                <w:lang w:eastAsia="en-GB"/>
              </w:rPr>
              <w:t>3,000</w:t>
            </w:r>
          </w:p>
        </w:tc>
      </w:tr>
      <w:tr w:rsidR="00052A04" w14:paraId="674B998E" w14:textId="77777777">
        <w:tc>
          <w:tcPr>
            <w:tcW w:w="2729"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401588E" w14:textId="77777777" w:rsidR="00052A04" w:rsidRDefault="00196B30">
            <w:pPr>
              <w:spacing w:after="0" w:line="240" w:lineRule="auto"/>
            </w:pPr>
            <w:r>
              <w:rPr>
                <w:rFonts w:ascii="Arial" w:eastAsia="Times New Roman" w:hAnsi="Arial" w:cs="Arial"/>
                <w:b/>
                <w:bCs/>
                <w:kern w:val="0"/>
                <w:lang w:eastAsia="en-GB"/>
              </w:rPr>
              <w:t>Total Expected Month 1 Expenses</w:t>
            </w:r>
          </w:p>
        </w:tc>
        <w:tc>
          <w:tcPr>
            <w:tcW w:w="4315"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2AF2D47" w14:textId="77777777" w:rsidR="00052A04" w:rsidRDefault="00052A04">
            <w:pPr>
              <w:spacing w:after="0" w:line="240" w:lineRule="auto"/>
              <w:rPr>
                <w:rFonts w:ascii="Arial" w:eastAsia="Times New Roman" w:hAnsi="Arial" w:cs="Arial"/>
                <w:kern w:val="0"/>
                <w:lang w:eastAsia="en-GB"/>
              </w:rPr>
            </w:pPr>
          </w:p>
        </w:tc>
        <w:tc>
          <w:tcPr>
            <w:tcW w:w="1966" w:type="dxa"/>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568FA00" w14:textId="77777777" w:rsidR="00052A04" w:rsidRDefault="00196B30">
            <w:pPr>
              <w:spacing w:after="0" w:line="240" w:lineRule="auto"/>
            </w:pPr>
            <w:r>
              <w:rPr>
                <w:rFonts w:ascii="Arial" w:eastAsia="Times New Roman" w:hAnsi="Arial" w:cs="Arial"/>
                <w:b/>
                <w:bCs/>
                <w:kern w:val="0"/>
                <w:lang w:eastAsia="en-GB"/>
              </w:rPr>
              <w:t>£29,500</w:t>
            </w:r>
          </w:p>
        </w:tc>
      </w:tr>
    </w:tbl>
    <w:p w14:paraId="5A4EC855" w14:textId="77777777" w:rsidR="00052A04" w:rsidRDefault="00052A04"/>
    <w:p w14:paraId="006A6430" w14:textId="455F9228" w:rsidR="00D92BB3" w:rsidRPr="00D92BB3" w:rsidRDefault="00D92BB3" w:rsidP="00D92BB3">
      <w:pPr>
        <w:suppressAutoHyphens w:val="0"/>
        <w:autoSpaceDN/>
        <w:spacing w:before="100" w:beforeAutospacing="1" w:after="100" w:afterAutospacing="1" w:line="240" w:lineRule="auto"/>
        <w:outlineLvl w:val="2"/>
        <w:rPr>
          <w:rFonts w:ascii="Times New Roman" w:eastAsia="Times New Roman" w:hAnsi="Times New Roman"/>
          <w:b/>
          <w:bCs/>
          <w:kern w:val="0"/>
          <w:sz w:val="27"/>
          <w:szCs w:val="27"/>
          <w:lang w:eastAsia="en-GB"/>
        </w:rPr>
      </w:pPr>
      <w:r w:rsidRPr="00D92BB3">
        <w:rPr>
          <w:rFonts w:ascii="Times New Roman" w:eastAsia="Times New Roman" w:hAnsi="Times New Roman"/>
          <w:b/>
          <w:bCs/>
          <w:kern w:val="0"/>
          <w:sz w:val="27"/>
          <w:szCs w:val="27"/>
          <w:lang w:eastAsia="en-GB"/>
        </w:rPr>
        <w:t>Reference List</w:t>
      </w:r>
    </w:p>
    <w:p w14:paraId="0C92279C"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Kotler, P., Keller, K.L. and Chernev, A. (2022) </w:t>
      </w:r>
      <w:r w:rsidRPr="00D92BB3">
        <w:rPr>
          <w:rFonts w:ascii="Times New Roman" w:eastAsiaTheme="minorEastAsia" w:hAnsi="Times New Roman"/>
          <w:i/>
          <w:iCs/>
          <w:kern w:val="0"/>
          <w:lang w:eastAsia="en-GB"/>
        </w:rPr>
        <w:t>Marketing Management</w:t>
      </w:r>
      <w:r w:rsidRPr="00D92BB3">
        <w:rPr>
          <w:rFonts w:ascii="Times New Roman" w:eastAsiaTheme="minorEastAsia" w:hAnsi="Times New Roman"/>
          <w:kern w:val="0"/>
          <w:lang w:eastAsia="en-GB"/>
        </w:rPr>
        <w:t>. 16th edn. Harlow: Pearson.</w:t>
      </w:r>
    </w:p>
    <w:p w14:paraId="5E06388E"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Johnson, G., Scholes, K., Whittington, R. and Angwin, D. (2023) </w:t>
      </w:r>
      <w:r w:rsidRPr="00D92BB3">
        <w:rPr>
          <w:rFonts w:ascii="Times New Roman" w:eastAsiaTheme="minorEastAsia" w:hAnsi="Times New Roman"/>
          <w:i/>
          <w:iCs/>
          <w:kern w:val="0"/>
          <w:lang w:eastAsia="en-GB"/>
        </w:rPr>
        <w:t>Exploring Strategy</w:t>
      </w:r>
      <w:r w:rsidRPr="00D92BB3">
        <w:rPr>
          <w:rFonts w:ascii="Times New Roman" w:eastAsiaTheme="minorEastAsia" w:hAnsi="Times New Roman"/>
          <w:kern w:val="0"/>
          <w:lang w:eastAsia="en-GB"/>
        </w:rPr>
        <w:t>. 13th edn. Harlow: Pearson.</w:t>
      </w:r>
    </w:p>
    <w:p w14:paraId="2FB47D5C"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Department for Environment, Food &amp; Rural Affairs (2025) </w:t>
      </w:r>
      <w:r w:rsidRPr="00D92BB3">
        <w:rPr>
          <w:rFonts w:ascii="Times New Roman" w:eastAsiaTheme="minorEastAsia" w:hAnsi="Times New Roman"/>
          <w:i/>
          <w:iCs/>
          <w:kern w:val="0"/>
          <w:lang w:eastAsia="en-GB"/>
        </w:rPr>
        <w:t>Extended Producer Responsibility for Textiles</w:t>
      </w:r>
      <w:r w:rsidRPr="00D92BB3">
        <w:rPr>
          <w:rFonts w:ascii="Times New Roman" w:eastAsiaTheme="minorEastAsia" w:hAnsi="Times New Roman"/>
          <w:kern w:val="0"/>
          <w:lang w:eastAsia="en-GB"/>
        </w:rPr>
        <w:t>. London: DEFRA.</w:t>
      </w:r>
    </w:p>
    <w:p w14:paraId="3A3A0585"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UK Government (2019) </w:t>
      </w:r>
      <w:r w:rsidRPr="00D92BB3">
        <w:rPr>
          <w:rFonts w:ascii="Times New Roman" w:eastAsiaTheme="minorEastAsia" w:hAnsi="Times New Roman"/>
          <w:i/>
          <w:iCs/>
          <w:kern w:val="0"/>
          <w:lang w:eastAsia="en-GB"/>
        </w:rPr>
        <w:t>UK Becomes First Major Economy to Pass Net Zero Emissions Law</w:t>
      </w:r>
      <w:r w:rsidRPr="00D92BB3">
        <w:rPr>
          <w:rFonts w:ascii="Times New Roman" w:eastAsiaTheme="minorEastAsia" w:hAnsi="Times New Roman"/>
          <w:kern w:val="0"/>
          <w:lang w:eastAsia="en-GB"/>
        </w:rPr>
        <w:t>. London: HM Government.</w:t>
      </w:r>
    </w:p>
    <w:p w14:paraId="5EF283A6"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HM Revenue &amp; Customs (2025) </w:t>
      </w:r>
      <w:r w:rsidRPr="00D92BB3">
        <w:rPr>
          <w:rFonts w:ascii="Times New Roman" w:eastAsiaTheme="minorEastAsia" w:hAnsi="Times New Roman"/>
          <w:i/>
          <w:iCs/>
          <w:kern w:val="0"/>
          <w:lang w:eastAsia="en-GB"/>
        </w:rPr>
        <w:t>Landfill Tax Rates from 1 April 2025</w:t>
      </w:r>
      <w:r w:rsidRPr="00D92BB3">
        <w:rPr>
          <w:rFonts w:ascii="Times New Roman" w:eastAsiaTheme="minorEastAsia" w:hAnsi="Times New Roman"/>
          <w:kern w:val="0"/>
          <w:lang w:eastAsia="en-GB"/>
        </w:rPr>
        <w:t>. London: HMRC.</w:t>
      </w:r>
    </w:p>
    <w:p w14:paraId="18B16A53"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WRAP (2024) </w:t>
      </w:r>
      <w:r w:rsidRPr="00D92BB3">
        <w:rPr>
          <w:rFonts w:ascii="Times New Roman" w:eastAsiaTheme="minorEastAsia" w:hAnsi="Times New Roman"/>
          <w:i/>
          <w:iCs/>
          <w:kern w:val="0"/>
          <w:lang w:eastAsia="en-GB"/>
        </w:rPr>
        <w:t>Textiles Market Situation Report</w:t>
      </w:r>
      <w:r w:rsidRPr="00D92BB3">
        <w:rPr>
          <w:rFonts w:ascii="Times New Roman" w:eastAsiaTheme="minorEastAsia" w:hAnsi="Times New Roman"/>
          <w:kern w:val="0"/>
          <w:lang w:eastAsia="en-GB"/>
        </w:rPr>
        <w:t>. Banbury: Waste and Resources Action Programme.</w:t>
      </w:r>
    </w:p>
    <w:p w14:paraId="69489EA8"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Ellen MacArthur Foundation (2017) </w:t>
      </w:r>
      <w:r w:rsidRPr="00D92BB3">
        <w:rPr>
          <w:rFonts w:ascii="Times New Roman" w:eastAsiaTheme="minorEastAsia" w:hAnsi="Times New Roman"/>
          <w:i/>
          <w:iCs/>
          <w:kern w:val="0"/>
          <w:lang w:eastAsia="en-GB"/>
        </w:rPr>
        <w:t>A New Textiles Economy: Redesigning Fashion’s Future</w:t>
      </w:r>
      <w:r w:rsidRPr="00D92BB3">
        <w:rPr>
          <w:rFonts w:ascii="Times New Roman" w:eastAsiaTheme="minorEastAsia" w:hAnsi="Times New Roman"/>
          <w:kern w:val="0"/>
          <w:lang w:eastAsia="en-GB"/>
        </w:rPr>
        <w:t>. Cowes: Ellen MacArthur Foundation.</w:t>
      </w:r>
    </w:p>
    <w:p w14:paraId="21FB8F31"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British Business Bank (2024) </w:t>
      </w:r>
      <w:r w:rsidRPr="00D92BB3">
        <w:rPr>
          <w:rFonts w:ascii="Times New Roman" w:eastAsiaTheme="minorEastAsia" w:hAnsi="Times New Roman"/>
          <w:i/>
          <w:iCs/>
          <w:kern w:val="0"/>
          <w:lang w:eastAsia="en-GB"/>
        </w:rPr>
        <w:t>Small Business Finance Markets Report 2024</w:t>
      </w:r>
      <w:r w:rsidRPr="00D92BB3">
        <w:rPr>
          <w:rFonts w:ascii="Times New Roman" w:eastAsiaTheme="minorEastAsia" w:hAnsi="Times New Roman"/>
          <w:kern w:val="0"/>
          <w:lang w:eastAsia="en-GB"/>
        </w:rPr>
        <w:t>. Sheffield: British Business Bank.</w:t>
      </w:r>
    </w:p>
    <w:p w14:paraId="4AB0FD74"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B Lab UK (2024) </w:t>
      </w:r>
      <w:r w:rsidRPr="00D92BB3">
        <w:rPr>
          <w:rFonts w:ascii="Times New Roman" w:eastAsiaTheme="minorEastAsia" w:hAnsi="Times New Roman"/>
          <w:i/>
          <w:iCs/>
          <w:kern w:val="0"/>
          <w:lang w:eastAsia="en-GB"/>
        </w:rPr>
        <w:t>What is B Corp Certification?</w:t>
      </w:r>
      <w:r w:rsidRPr="00D92BB3">
        <w:rPr>
          <w:rFonts w:ascii="Times New Roman" w:eastAsiaTheme="minorEastAsia" w:hAnsi="Times New Roman"/>
          <w:kern w:val="0"/>
          <w:lang w:eastAsia="en-GB"/>
        </w:rPr>
        <w:t xml:space="preserve"> London: B Lab UK.</w:t>
      </w:r>
    </w:p>
    <w:p w14:paraId="02F81CE4"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LinkedIn (2024) </w:t>
      </w:r>
      <w:r w:rsidRPr="00D92BB3">
        <w:rPr>
          <w:rFonts w:ascii="Times New Roman" w:eastAsiaTheme="minorEastAsia" w:hAnsi="Times New Roman"/>
          <w:i/>
          <w:iCs/>
          <w:kern w:val="0"/>
          <w:lang w:eastAsia="en-GB"/>
        </w:rPr>
        <w:t>LinkedIn Sales Navigator</w:t>
      </w:r>
      <w:r w:rsidRPr="00D92BB3">
        <w:rPr>
          <w:rFonts w:ascii="Times New Roman" w:eastAsiaTheme="minorEastAsia" w:hAnsi="Times New Roman"/>
          <w:kern w:val="0"/>
          <w:lang w:eastAsia="en-GB"/>
        </w:rPr>
        <w:t>. Available at the official LinkedIn website.</w:t>
      </w:r>
    </w:p>
    <w:p w14:paraId="037910D4"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Veolia UK (2024) </w:t>
      </w:r>
      <w:r w:rsidRPr="00D92BB3">
        <w:rPr>
          <w:rFonts w:ascii="Times New Roman" w:eastAsiaTheme="minorEastAsia" w:hAnsi="Times New Roman"/>
          <w:i/>
          <w:iCs/>
          <w:kern w:val="0"/>
          <w:lang w:eastAsia="en-GB"/>
        </w:rPr>
        <w:t>Waste Management Services</w:t>
      </w:r>
      <w:r w:rsidRPr="00D92BB3">
        <w:rPr>
          <w:rFonts w:ascii="Times New Roman" w:eastAsiaTheme="minorEastAsia" w:hAnsi="Times New Roman"/>
          <w:kern w:val="0"/>
          <w:lang w:eastAsia="en-GB"/>
        </w:rPr>
        <w:t>. Available at the official Veolia UK website.</w:t>
      </w:r>
    </w:p>
    <w:p w14:paraId="568738C2"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Biffa (2024) </w:t>
      </w:r>
      <w:r w:rsidRPr="00D92BB3">
        <w:rPr>
          <w:rFonts w:ascii="Times New Roman" w:eastAsiaTheme="minorEastAsia" w:hAnsi="Times New Roman"/>
          <w:i/>
          <w:iCs/>
          <w:kern w:val="0"/>
          <w:lang w:eastAsia="en-GB"/>
        </w:rPr>
        <w:t>Business Waste Management Services</w:t>
      </w:r>
      <w:r w:rsidRPr="00D92BB3">
        <w:rPr>
          <w:rFonts w:ascii="Times New Roman" w:eastAsiaTheme="minorEastAsia" w:hAnsi="Times New Roman"/>
          <w:kern w:val="0"/>
          <w:lang w:eastAsia="en-GB"/>
        </w:rPr>
        <w:t>. Available at the official Biffa website.</w:t>
      </w:r>
    </w:p>
    <w:p w14:paraId="1C994D9B"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lastRenderedPageBreak/>
        <w:t xml:space="preserve">Porter, M.E. (1985) </w:t>
      </w:r>
      <w:r w:rsidRPr="00D92BB3">
        <w:rPr>
          <w:rFonts w:ascii="Times New Roman" w:eastAsiaTheme="minorEastAsia" w:hAnsi="Times New Roman"/>
          <w:i/>
          <w:iCs/>
          <w:kern w:val="0"/>
          <w:lang w:eastAsia="en-GB"/>
        </w:rPr>
        <w:t>Competitive Advantage: Creating and Sustaining Superior Performance</w:t>
      </w:r>
      <w:r w:rsidRPr="00D92BB3">
        <w:rPr>
          <w:rFonts w:ascii="Times New Roman" w:eastAsiaTheme="minorEastAsia" w:hAnsi="Times New Roman"/>
          <w:kern w:val="0"/>
          <w:lang w:eastAsia="en-GB"/>
        </w:rPr>
        <w:t>. New York: Free Press.</w:t>
      </w:r>
    </w:p>
    <w:p w14:paraId="4042EB0E"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Osterwalder, A. and Pigneur, Y. (2010) </w:t>
      </w:r>
      <w:r w:rsidRPr="00D92BB3">
        <w:rPr>
          <w:rFonts w:ascii="Times New Roman" w:eastAsiaTheme="minorEastAsia" w:hAnsi="Times New Roman"/>
          <w:i/>
          <w:iCs/>
          <w:kern w:val="0"/>
          <w:lang w:eastAsia="en-GB"/>
        </w:rPr>
        <w:t>Business Model Generation</w:t>
      </w:r>
      <w:r w:rsidRPr="00D92BB3">
        <w:rPr>
          <w:rFonts w:ascii="Times New Roman" w:eastAsiaTheme="minorEastAsia" w:hAnsi="Times New Roman"/>
          <w:kern w:val="0"/>
          <w:lang w:eastAsia="en-GB"/>
        </w:rPr>
        <w:t>. Hoboken, NJ: John Wiley &amp; Sons.</w:t>
      </w:r>
    </w:p>
    <w:p w14:paraId="62405751" w14:textId="77777777" w:rsidR="00D92BB3" w:rsidRPr="00D92BB3" w:rsidRDefault="00D92BB3" w:rsidP="00D92BB3">
      <w:pPr>
        <w:suppressAutoHyphens w:val="0"/>
        <w:autoSpaceDN/>
        <w:spacing w:before="100" w:beforeAutospacing="1" w:after="100" w:afterAutospacing="1" w:line="240" w:lineRule="auto"/>
        <w:rPr>
          <w:rFonts w:ascii="Times New Roman" w:eastAsiaTheme="minorEastAsia" w:hAnsi="Times New Roman"/>
          <w:kern w:val="0"/>
          <w:lang w:eastAsia="en-GB"/>
        </w:rPr>
      </w:pPr>
      <w:r w:rsidRPr="00D92BB3">
        <w:rPr>
          <w:rFonts w:ascii="Times New Roman" w:eastAsiaTheme="minorEastAsia" w:hAnsi="Times New Roman"/>
          <w:kern w:val="0"/>
          <w:lang w:eastAsia="en-GB"/>
        </w:rPr>
        <w:t xml:space="preserve">Blank, S. and Dorf, B. (2020) </w:t>
      </w:r>
      <w:r w:rsidRPr="00D92BB3">
        <w:rPr>
          <w:rFonts w:ascii="Times New Roman" w:eastAsiaTheme="minorEastAsia" w:hAnsi="Times New Roman"/>
          <w:i/>
          <w:iCs/>
          <w:kern w:val="0"/>
          <w:lang w:eastAsia="en-GB"/>
        </w:rPr>
        <w:t>The Startup Owner’s Manual</w:t>
      </w:r>
      <w:r w:rsidRPr="00D92BB3">
        <w:rPr>
          <w:rFonts w:ascii="Times New Roman" w:eastAsiaTheme="minorEastAsia" w:hAnsi="Times New Roman"/>
          <w:kern w:val="0"/>
          <w:lang w:eastAsia="en-GB"/>
        </w:rPr>
        <w:t>. 2nd edn. Hoboken, NJ: Wiley.</w:t>
      </w:r>
    </w:p>
    <w:p w14:paraId="29DC1D90" w14:textId="77777777" w:rsidR="00D92BB3" w:rsidRDefault="00D92BB3"/>
    <w:sectPr w:rsidR="00D92BB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460802" w14:textId="77777777" w:rsidR="00C9059D" w:rsidRDefault="00C9059D">
      <w:pPr>
        <w:spacing w:after="0" w:line="240" w:lineRule="auto"/>
      </w:pPr>
      <w:r>
        <w:separator/>
      </w:r>
    </w:p>
  </w:endnote>
  <w:endnote w:type="continuationSeparator" w:id="0">
    <w:p w14:paraId="2E8058B9" w14:textId="77777777" w:rsidR="00C9059D" w:rsidRDefault="00C905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CD98B07" w14:textId="77777777" w:rsidR="00C9059D" w:rsidRDefault="00C9059D">
      <w:pPr>
        <w:spacing w:after="0" w:line="240" w:lineRule="auto"/>
      </w:pPr>
      <w:r>
        <w:rPr>
          <w:color w:val="000000"/>
        </w:rPr>
        <w:separator/>
      </w:r>
    </w:p>
  </w:footnote>
  <w:footnote w:type="continuationSeparator" w:id="0">
    <w:p w14:paraId="609A98C1" w14:textId="77777777" w:rsidR="00C9059D" w:rsidRDefault="00C9059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KbPvhml" int2:invalidationBookmarkName="" int2:hashCode="eiw0y3icD8oGHE" int2:id="aDPcRTZh">
      <int2:state int2:value="Rejected" int2:type="style"/>
    </int2:bookmark>
    <int2:bookmark int2:bookmarkName="_Int_1TajiMYj" int2:invalidationBookmarkName="" int2:hashCode="Z0HvadQH9JHyGU" int2:id="TlUMkPa7">
      <int2:state int2:value="Rejected" int2:type="gram"/>
    </int2:bookmark>
    <int2:bookmark int2:bookmarkName="_Int_JGkoNLcA" int2:invalidationBookmarkName="" int2:hashCode="2uW32/K8uBDHiu" int2:id="cah81Yjv">
      <int2:state int2:value="Rejected" int2:type="style"/>
    </int2:bookmark>
    <int2:bookmark int2:bookmarkName="_Int_i0sVCC4H" int2:invalidationBookmarkName="" int2:hashCode="GnfUFiJMu+d6Q5" int2:id="xczVDJO3">
      <int2:state int2:value="Rejected" int2:type="style"/>
    </int2:bookmark>
    <int2:bookmark int2:bookmarkName="_Int_pVfDhO75" int2:invalidationBookmarkName="" int2:hashCode="SLGLFARhzcGrh6" int2:id="H4uU2g4B">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2A04"/>
    <w:rsid w:val="00052A04"/>
    <w:rsid w:val="0009179D"/>
    <w:rsid w:val="000A39C9"/>
    <w:rsid w:val="000D4377"/>
    <w:rsid w:val="001045C8"/>
    <w:rsid w:val="001139E9"/>
    <w:rsid w:val="00183327"/>
    <w:rsid w:val="00184809"/>
    <w:rsid w:val="00196B30"/>
    <w:rsid w:val="001D294D"/>
    <w:rsid w:val="001F5EAA"/>
    <w:rsid w:val="00236C6D"/>
    <w:rsid w:val="00260A4F"/>
    <w:rsid w:val="002A48EB"/>
    <w:rsid w:val="002D716F"/>
    <w:rsid w:val="00404B37"/>
    <w:rsid w:val="00522740"/>
    <w:rsid w:val="00593330"/>
    <w:rsid w:val="005C0CEC"/>
    <w:rsid w:val="00627106"/>
    <w:rsid w:val="00740877"/>
    <w:rsid w:val="00742730"/>
    <w:rsid w:val="008371EF"/>
    <w:rsid w:val="008960B1"/>
    <w:rsid w:val="008A6DD2"/>
    <w:rsid w:val="008F2C13"/>
    <w:rsid w:val="009221A2"/>
    <w:rsid w:val="0092780C"/>
    <w:rsid w:val="00960CD5"/>
    <w:rsid w:val="00A06E48"/>
    <w:rsid w:val="00A5705C"/>
    <w:rsid w:val="00A615EC"/>
    <w:rsid w:val="00A8095E"/>
    <w:rsid w:val="00AF70F8"/>
    <w:rsid w:val="00B54843"/>
    <w:rsid w:val="00BB46E9"/>
    <w:rsid w:val="00C22590"/>
    <w:rsid w:val="00C23E6B"/>
    <w:rsid w:val="00C27722"/>
    <w:rsid w:val="00C325C8"/>
    <w:rsid w:val="00C9059D"/>
    <w:rsid w:val="00C968B5"/>
    <w:rsid w:val="00CB26BE"/>
    <w:rsid w:val="00CF7174"/>
    <w:rsid w:val="00D04BFE"/>
    <w:rsid w:val="00D92BB3"/>
    <w:rsid w:val="00DB7D4F"/>
    <w:rsid w:val="00DE4005"/>
    <w:rsid w:val="00DE7331"/>
    <w:rsid w:val="00E11DC8"/>
    <w:rsid w:val="00E12C63"/>
    <w:rsid w:val="00E5377F"/>
    <w:rsid w:val="00E5759C"/>
    <w:rsid w:val="00E676E6"/>
    <w:rsid w:val="00EA78B6"/>
    <w:rsid w:val="00F202B5"/>
    <w:rsid w:val="00F21180"/>
    <w:rsid w:val="00F35A32"/>
    <w:rsid w:val="00F532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430555E"/>
  <w15:docId w15:val="{63CDA9EA-8402-4045-956C-9B19682D7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uiPriority w:val="9"/>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rPr>
      <w:rFonts w:ascii="Times New Roman" w:hAnsi="Times New Roman"/>
    </w:rPr>
  </w:style>
  <w:style w:type="character" w:styleId="Strong">
    <w:name w:val="Strong"/>
    <w:basedOn w:val="DefaultParagraphFont"/>
    <w:rPr>
      <w:b/>
      <w:bCs/>
    </w:rPr>
  </w:style>
  <w:style w:type="character" w:customStyle="1" w:styleId="s1">
    <w:name w:val="s1"/>
    <w:basedOn w:val="DefaultParagraphFont"/>
    <w:rsid w:val="00D92BB3"/>
  </w:style>
  <w:style w:type="paragraph" w:customStyle="1" w:styleId="p2">
    <w:name w:val="p2"/>
    <w:basedOn w:val="Normal"/>
    <w:rsid w:val="00D92BB3"/>
    <w:pPr>
      <w:suppressAutoHyphens w:val="0"/>
      <w:autoSpaceDN/>
      <w:spacing w:before="100" w:beforeAutospacing="1" w:after="100" w:afterAutospacing="1" w:line="240" w:lineRule="auto"/>
    </w:pPr>
    <w:rPr>
      <w:rFonts w:ascii="Times New Roman" w:eastAsiaTheme="minorEastAsia" w:hAnsi="Times New Roman"/>
      <w:kern w:val="0"/>
      <w:lang w:eastAsia="en-GB"/>
    </w:rPr>
  </w:style>
  <w:style w:type="character" w:customStyle="1" w:styleId="s3">
    <w:name w:val="s3"/>
    <w:basedOn w:val="DefaultParagraphFont"/>
    <w:rsid w:val="00D92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1569</Words>
  <Characters>8949</Characters>
  <Application>Microsoft Office Word</Application>
  <DocSecurity>0</DocSecurity>
  <Lines>74</Lines>
  <Paragraphs>20</Paragraphs>
  <ScaleCrop>false</ScaleCrop>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Alam (BA Philo Relig +Ethic FT)</dc:creator>
  <dc:description/>
  <cp:lastModifiedBy>Ilishba Majid (2425411)</cp:lastModifiedBy>
  <cp:revision>2</cp:revision>
  <dcterms:created xsi:type="dcterms:W3CDTF">2026-07-23T01:24:00Z</dcterms:created>
  <dcterms:modified xsi:type="dcterms:W3CDTF">2026-07-23T01:24:00Z</dcterms:modified>
</cp:coreProperties>
</file>