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6CD7D9" w14:textId="77777777" w:rsidR="00F04BC8" w:rsidRDefault="00F04BC8" w:rsidP="00B169BA">
      <w:pPr>
        <w:spacing w:after="0"/>
      </w:pPr>
    </w:p>
    <w:p w14:paraId="3F9F235E" w14:textId="4F8346DB" w:rsidR="001379E5" w:rsidRDefault="001379E5" w:rsidP="00B169BA">
      <w:pPr>
        <w:spacing w:after="0"/>
      </w:pPr>
      <w:r>
        <w:t>Assignment</w:t>
      </w:r>
      <w:r w:rsidR="00514CE5">
        <w:t xml:space="preserve"> brief</w:t>
      </w:r>
    </w:p>
    <w:p w14:paraId="653D62AA" w14:textId="77777777" w:rsidR="001379E5" w:rsidRPr="00606968" w:rsidRDefault="001379E5" w:rsidP="00B169BA">
      <w:pPr>
        <w:spacing w:after="0"/>
      </w:pPr>
    </w:p>
    <w:p w14:paraId="08799469" w14:textId="2D1BDD75" w:rsidR="00606968" w:rsidRPr="00606968" w:rsidRDefault="00606968" w:rsidP="00606968">
      <w:pPr>
        <w:spacing w:after="0"/>
      </w:pPr>
      <w:r w:rsidRPr="00606968">
        <w:t>You are required to choose an age group such as teenagers, young children, adults or older people and discuss the Dietary Reference Values (DRV) for this group.</w:t>
      </w:r>
      <w:r>
        <w:t xml:space="preserve">  </w:t>
      </w:r>
      <w:r w:rsidRPr="00606968">
        <w:t>Outline the development of the Dietary Reference Values in the United Kingdom and the role of the Scientific Advisory Committee on Nutrition (SACN).</w:t>
      </w:r>
      <w:r>
        <w:t xml:space="preserve">  </w:t>
      </w:r>
      <w:r w:rsidRPr="00606968">
        <w:t>You should also discuss the role of the Eatwell Guide for this group of people and how guidelines are turned into practical advice.</w:t>
      </w:r>
    </w:p>
    <w:p w14:paraId="19C7A063" w14:textId="77777777" w:rsidR="001379E5" w:rsidRDefault="001379E5" w:rsidP="00B169BA">
      <w:pPr>
        <w:spacing w:after="0"/>
      </w:pPr>
    </w:p>
    <w:p w14:paraId="55605BAB" w14:textId="6BD7F406" w:rsidR="00606968" w:rsidRDefault="00514CE5" w:rsidP="00B169BA">
      <w:pPr>
        <w:spacing w:after="0"/>
      </w:pPr>
      <w:r>
        <w:t>R</w:t>
      </w:r>
      <w:r w:rsidR="00F6675A">
        <w:t>eport</w:t>
      </w:r>
    </w:p>
    <w:p w14:paraId="7A5E68D4" w14:textId="77777777" w:rsidR="00F04BC8" w:rsidRDefault="00F04BC8" w:rsidP="00B169BA">
      <w:pPr>
        <w:spacing w:after="0"/>
      </w:pPr>
    </w:p>
    <w:p w14:paraId="26E86D75" w14:textId="7BA169A2" w:rsidR="000906BC" w:rsidRPr="00AC2B48" w:rsidRDefault="009678D3" w:rsidP="00B169BA">
      <w:pPr>
        <w:spacing w:after="0"/>
      </w:pPr>
      <w:r w:rsidRPr="00AC2B48">
        <w:t xml:space="preserve">This </w:t>
      </w:r>
      <w:r w:rsidR="000903AF">
        <w:t>report considers</w:t>
      </w:r>
      <w:r w:rsidR="000906BC" w:rsidRPr="00AC2B48">
        <w:t xml:space="preserve"> the Dietary Reference Values (DRV) for teenagers in the UK and how it has evolved. In addition to this, we will also discuss the role of the Scientific Advisory Committee on Nutrition (SACN) and the Eatwell guide for this age group (11-18) as well as how guidelines are converted to practical advice.</w:t>
      </w:r>
    </w:p>
    <w:p w14:paraId="6EA4A8AD" w14:textId="77777777" w:rsidR="00B61F1F" w:rsidRPr="00AC2B48" w:rsidRDefault="00B61F1F" w:rsidP="00B169BA">
      <w:pPr>
        <w:spacing w:after="0"/>
      </w:pPr>
    </w:p>
    <w:p w14:paraId="08838080" w14:textId="0BA8B725" w:rsidR="0095460F" w:rsidRPr="00AC2B48" w:rsidRDefault="004216EB" w:rsidP="00B169BA">
      <w:pPr>
        <w:spacing w:after="0"/>
      </w:pPr>
      <w:r w:rsidRPr="00AC2B48">
        <w:t>Figure</w:t>
      </w:r>
      <w:r w:rsidR="000906BC" w:rsidRPr="00AC2B48">
        <w:t xml:space="preserve"> 1</w:t>
      </w:r>
      <w:r w:rsidR="003B7D8A" w:rsidRPr="00AC2B48">
        <w:t xml:space="preserve"> </w:t>
      </w:r>
      <w:r w:rsidR="0095460F">
        <w:t>- D</w:t>
      </w:r>
      <w:r w:rsidR="003B7D8A" w:rsidRPr="00AC2B48">
        <w:t>ietary Reference Values</w:t>
      </w:r>
    </w:p>
    <w:tbl>
      <w:tblPr>
        <w:tblStyle w:val="TableGrid"/>
        <w:tblW w:w="0" w:type="auto"/>
        <w:tblLook w:val="04A0" w:firstRow="1" w:lastRow="0" w:firstColumn="1" w:lastColumn="0" w:noHBand="0" w:noVBand="1"/>
      </w:tblPr>
      <w:tblGrid>
        <w:gridCol w:w="2055"/>
        <w:gridCol w:w="1733"/>
        <w:gridCol w:w="1747"/>
        <w:gridCol w:w="1733"/>
        <w:gridCol w:w="1748"/>
      </w:tblGrid>
      <w:tr w:rsidR="000906BC" w:rsidRPr="00AC2B48" w14:paraId="7465D285" w14:textId="77777777" w:rsidTr="0095460F">
        <w:tc>
          <w:tcPr>
            <w:tcW w:w="2055" w:type="dxa"/>
            <w:shd w:val="clear" w:color="auto" w:fill="E8E8E8" w:themeFill="background2"/>
          </w:tcPr>
          <w:p w14:paraId="48F09FA8" w14:textId="77777777" w:rsidR="000906BC" w:rsidRPr="00AC2B48" w:rsidRDefault="000906BC" w:rsidP="00B169BA">
            <w:r w:rsidRPr="00AC2B48">
              <w:t>Age/gender</w:t>
            </w:r>
          </w:p>
        </w:tc>
        <w:tc>
          <w:tcPr>
            <w:tcW w:w="1733" w:type="dxa"/>
            <w:shd w:val="clear" w:color="auto" w:fill="E8E8E8" w:themeFill="background2"/>
          </w:tcPr>
          <w:p w14:paraId="5229C693" w14:textId="77777777" w:rsidR="000906BC" w:rsidRPr="00AC2B48" w:rsidRDefault="000906BC" w:rsidP="00B169BA">
            <w:r w:rsidRPr="00AC2B48">
              <w:t>11-14 (male)</w:t>
            </w:r>
          </w:p>
        </w:tc>
        <w:tc>
          <w:tcPr>
            <w:tcW w:w="1747" w:type="dxa"/>
            <w:shd w:val="clear" w:color="auto" w:fill="E8E8E8" w:themeFill="background2"/>
          </w:tcPr>
          <w:p w14:paraId="27B3C760" w14:textId="77777777" w:rsidR="000906BC" w:rsidRPr="00AC2B48" w:rsidRDefault="000906BC" w:rsidP="00B169BA">
            <w:r w:rsidRPr="00AC2B48">
              <w:t>11-14 (female)</w:t>
            </w:r>
          </w:p>
        </w:tc>
        <w:tc>
          <w:tcPr>
            <w:tcW w:w="1733" w:type="dxa"/>
            <w:shd w:val="clear" w:color="auto" w:fill="E8E8E8" w:themeFill="background2"/>
          </w:tcPr>
          <w:p w14:paraId="36F47CC6" w14:textId="77777777" w:rsidR="000906BC" w:rsidRPr="00AC2B48" w:rsidRDefault="000906BC" w:rsidP="00B169BA">
            <w:r w:rsidRPr="00AC2B48">
              <w:t>15-18 (male)</w:t>
            </w:r>
          </w:p>
        </w:tc>
        <w:tc>
          <w:tcPr>
            <w:tcW w:w="1748" w:type="dxa"/>
            <w:shd w:val="clear" w:color="auto" w:fill="E8E8E8" w:themeFill="background2"/>
          </w:tcPr>
          <w:p w14:paraId="5C639C08" w14:textId="77777777" w:rsidR="000906BC" w:rsidRPr="00AC2B48" w:rsidRDefault="000906BC" w:rsidP="00B169BA">
            <w:r w:rsidRPr="00AC2B48">
              <w:t>15-18 (female)</w:t>
            </w:r>
          </w:p>
        </w:tc>
      </w:tr>
      <w:tr w:rsidR="000906BC" w:rsidRPr="00AC2B48" w14:paraId="6F7614EB" w14:textId="77777777" w:rsidTr="00B218AD">
        <w:tc>
          <w:tcPr>
            <w:tcW w:w="2055" w:type="dxa"/>
          </w:tcPr>
          <w:p w14:paraId="014A1C93" w14:textId="77777777" w:rsidR="000906BC" w:rsidRPr="00AC2B48" w:rsidRDefault="000906BC" w:rsidP="00B169BA">
            <w:r w:rsidRPr="00AC2B48">
              <w:t>Energy (MJ/day)</w:t>
            </w:r>
          </w:p>
        </w:tc>
        <w:tc>
          <w:tcPr>
            <w:tcW w:w="1733" w:type="dxa"/>
          </w:tcPr>
          <w:p w14:paraId="1336E861" w14:textId="77777777" w:rsidR="000906BC" w:rsidRPr="00AC2B48" w:rsidRDefault="000906BC" w:rsidP="00B169BA">
            <w:r w:rsidRPr="00AC2B48">
              <w:t>10.5</w:t>
            </w:r>
          </w:p>
        </w:tc>
        <w:tc>
          <w:tcPr>
            <w:tcW w:w="1747" w:type="dxa"/>
          </w:tcPr>
          <w:p w14:paraId="3C7D94D3" w14:textId="77777777" w:rsidR="000906BC" w:rsidRPr="00AC2B48" w:rsidRDefault="000906BC" w:rsidP="00B169BA">
            <w:r w:rsidRPr="00AC2B48">
              <w:t>8.4</w:t>
            </w:r>
          </w:p>
        </w:tc>
        <w:tc>
          <w:tcPr>
            <w:tcW w:w="1733" w:type="dxa"/>
          </w:tcPr>
          <w:p w14:paraId="38C341D9" w14:textId="77777777" w:rsidR="000906BC" w:rsidRPr="00AC2B48" w:rsidRDefault="000906BC" w:rsidP="00B169BA">
            <w:r w:rsidRPr="00AC2B48">
              <w:t>10.5</w:t>
            </w:r>
          </w:p>
        </w:tc>
        <w:tc>
          <w:tcPr>
            <w:tcW w:w="1748" w:type="dxa"/>
          </w:tcPr>
          <w:p w14:paraId="35C2063D" w14:textId="77777777" w:rsidR="000906BC" w:rsidRPr="00AC2B48" w:rsidRDefault="000906BC" w:rsidP="00B169BA">
            <w:r w:rsidRPr="00AC2B48">
              <w:t>8.4</w:t>
            </w:r>
          </w:p>
        </w:tc>
      </w:tr>
      <w:tr w:rsidR="000906BC" w:rsidRPr="00AC2B48" w14:paraId="6667D369" w14:textId="77777777" w:rsidTr="00B218AD">
        <w:tc>
          <w:tcPr>
            <w:tcW w:w="2055" w:type="dxa"/>
          </w:tcPr>
          <w:p w14:paraId="200D7582" w14:textId="77777777" w:rsidR="000906BC" w:rsidRPr="00AC2B48" w:rsidRDefault="000906BC" w:rsidP="00B169BA">
            <w:r w:rsidRPr="00AC2B48">
              <w:t>Energy (kcal/day)</w:t>
            </w:r>
          </w:p>
        </w:tc>
        <w:tc>
          <w:tcPr>
            <w:tcW w:w="1733" w:type="dxa"/>
          </w:tcPr>
          <w:p w14:paraId="3F61B2B3" w14:textId="77777777" w:rsidR="000906BC" w:rsidRPr="00AC2B48" w:rsidRDefault="000906BC" w:rsidP="00B169BA">
            <w:r w:rsidRPr="00AC2B48">
              <w:t>2500</w:t>
            </w:r>
          </w:p>
        </w:tc>
        <w:tc>
          <w:tcPr>
            <w:tcW w:w="1747" w:type="dxa"/>
          </w:tcPr>
          <w:p w14:paraId="221158E4" w14:textId="77777777" w:rsidR="000906BC" w:rsidRPr="00AC2B48" w:rsidRDefault="000906BC" w:rsidP="00B169BA">
            <w:r w:rsidRPr="00AC2B48">
              <w:t>2000</w:t>
            </w:r>
          </w:p>
        </w:tc>
        <w:tc>
          <w:tcPr>
            <w:tcW w:w="1733" w:type="dxa"/>
          </w:tcPr>
          <w:p w14:paraId="0E8BF0D5" w14:textId="77777777" w:rsidR="000906BC" w:rsidRPr="00AC2B48" w:rsidRDefault="000906BC" w:rsidP="00B169BA">
            <w:r w:rsidRPr="00AC2B48">
              <w:t>2500</w:t>
            </w:r>
          </w:p>
        </w:tc>
        <w:tc>
          <w:tcPr>
            <w:tcW w:w="1748" w:type="dxa"/>
          </w:tcPr>
          <w:p w14:paraId="29A2D23A" w14:textId="77777777" w:rsidR="000906BC" w:rsidRPr="00AC2B48" w:rsidRDefault="000906BC" w:rsidP="00B169BA">
            <w:r w:rsidRPr="00AC2B48">
              <w:t>2000</w:t>
            </w:r>
          </w:p>
        </w:tc>
      </w:tr>
      <w:tr w:rsidR="000906BC" w:rsidRPr="00AC2B48" w14:paraId="34621FE9" w14:textId="77777777" w:rsidTr="00B218AD">
        <w:tc>
          <w:tcPr>
            <w:tcW w:w="2055" w:type="dxa"/>
          </w:tcPr>
          <w:p w14:paraId="382642E7" w14:textId="77777777" w:rsidR="000906BC" w:rsidRPr="00AC2B48" w:rsidRDefault="000906BC" w:rsidP="00B169BA">
            <w:r w:rsidRPr="00AC2B48">
              <w:t>Macronutrients</w:t>
            </w:r>
          </w:p>
        </w:tc>
        <w:tc>
          <w:tcPr>
            <w:tcW w:w="1733" w:type="dxa"/>
          </w:tcPr>
          <w:p w14:paraId="2EE17701" w14:textId="77777777" w:rsidR="000906BC" w:rsidRPr="00AC2B48" w:rsidRDefault="000906BC" w:rsidP="00B169BA"/>
        </w:tc>
        <w:tc>
          <w:tcPr>
            <w:tcW w:w="1747" w:type="dxa"/>
          </w:tcPr>
          <w:p w14:paraId="1A9F2819" w14:textId="77777777" w:rsidR="000906BC" w:rsidRPr="00AC2B48" w:rsidRDefault="000906BC" w:rsidP="00B169BA"/>
        </w:tc>
        <w:tc>
          <w:tcPr>
            <w:tcW w:w="1733" w:type="dxa"/>
          </w:tcPr>
          <w:p w14:paraId="66D20C8A" w14:textId="77777777" w:rsidR="000906BC" w:rsidRPr="00AC2B48" w:rsidRDefault="000906BC" w:rsidP="00B169BA"/>
        </w:tc>
        <w:tc>
          <w:tcPr>
            <w:tcW w:w="1748" w:type="dxa"/>
          </w:tcPr>
          <w:p w14:paraId="2337F296" w14:textId="77777777" w:rsidR="000906BC" w:rsidRPr="00AC2B48" w:rsidRDefault="000906BC" w:rsidP="00B169BA"/>
        </w:tc>
      </w:tr>
      <w:tr w:rsidR="000906BC" w:rsidRPr="00AC2B48" w14:paraId="07506FD7" w14:textId="77777777" w:rsidTr="00B218AD">
        <w:tc>
          <w:tcPr>
            <w:tcW w:w="2055" w:type="dxa"/>
          </w:tcPr>
          <w:p w14:paraId="336F090F" w14:textId="77777777" w:rsidR="000906BC" w:rsidRPr="00AC2B48" w:rsidRDefault="000906BC" w:rsidP="00B169BA">
            <w:r w:rsidRPr="00AC2B48">
              <w:t>Protein (g/day)</w:t>
            </w:r>
          </w:p>
        </w:tc>
        <w:tc>
          <w:tcPr>
            <w:tcW w:w="1733" w:type="dxa"/>
          </w:tcPr>
          <w:p w14:paraId="45BB4F01" w14:textId="77777777" w:rsidR="000906BC" w:rsidRPr="00AC2B48" w:rsidRDefault="000906BC" w:rsidP="00B169BA">
            <w:r w:rsidRPr="00AC2B48">
              <w:t>42.1</w:t>
            </w:r>
          </w:p>
        </w:tc>
        <w:tc>
          <w:tcPr>
            <w:tcW w:w="1747" w:type="dxa"/>
          </w:tcPr>
          <w:p w14:paraId="3DD2A8F0" w14:textId="77777777" w:rsidR="000906BC" w:rsidRPr="00AC2B48" w:rsidRDefault="000906BC" w:rsidP="00B169BA">
            <w:r w:rsidRPr="00AC2B48">
              <w:t>41.2</w:t>
            </w:r>
          </w:p>
        </w:tc>
        <w:tc>
          <w:tcPr>
            <w:tcW w:w="1733" w:type="dxa"/>
          </w:tcPr>
          <w:p w14:paraId="55A7D547" w14:textId="77777777" w:rsidR="000906BC" w:rsidRPr="00AC2B48" w:rsidRDefault="000906BC" w:rsidP="00B169BA">
            <w:r w:rsidRPr="00AC2B48">
              <w:t>55.2</w:t>
            </w:r>
          </w:p>
        </w:tc>
        <w:tc>
          <w:tcPr>
            <w:tcW w:w="1748" w:type="dxa"/>
          </w:tcPr>
          <w:p w14:paraId="22ADF9AF" w14:textId="77777777" w:rsidR="000906BC" w:rsidRPr="00AC2B48" w:rsidRDefault="000906BC" w:rsidP="00B169BA">
            <w:r w:rsidRPr="00AC2B48">
              <w:t>45.0</w:t>
            </w:r>
          </w:p>
        </w:tc>
      </w:tr>
      <w:tr w:rsidR="000906BC" w:rsidRPr="00AC2B48" w14:paraId="760247EF" w14:textId="77777777" w:rsidTr="00B218AD">
        <w:tc>
          <w:tcPr>
            <w:tcW w:w="2055" w:type="dxa"/>
          </w:tcPr>
          <w:p w14:paraId="33DF4699" w14:textId="77777777" w:rsidR="000906BC" w:rsidRPr="00AC2B48" w:rsidRDefault="000906BC" w:rsidP="00B169BA">
            <w:r w:rsidRPr="00AC2B48">
              <w:t>Fat (g/</w:t>
            </w:r>
            <w:proofErr w:type="gramStart"/>
            <w:r w:rsidRPr="00AC2B48">
              <w:t>day)[</w:t>
            </w:r>
            <w:proofErr w:type="gramEnd"/>
            <w:r w:rsidRPr="00AC2B48">
              <w:t>less than]</w:t>
            </w:r>
          </w:p>
        </w:tc>
        <w:tc>
          <w:tcPr>
            <w:tcW w:w="1733" w:type="dxa"/>
          </w:tcPr>
          <w:p w14:paraId="17A43DF7" w14:textId="77777777" w:rsidR="000906BC" w:rsidRPr="00AC2B48" w:rsidRDefault="000906BC" w:rsidP="00B169BA">
            <w:r w:rsidRPr="00AC2B48">
              <w:t>97</w:t>
            </w:r>
          </w:p>
        </w:tc>
        <w:tc>
          <w:tcPr>
            <w:tcW w:w="1747" w:type="dxa"/>
          </w:tcPr>
          <w:p w14:paraId="12E9F32B" w14:textId="77777777" w:rsidR="000906BC" w:rsidRPr="00AC2B48" w:rsidRDefault="000906BC" w:rsidP="00B169BA">
            <w:r w:rsidRPr="00AC2B48">
              <w:t>78</w:t>
            </w:r>
          </w:p>
        </w:tc>
        <w:tc>
          <w:tcPr>
            <w:tcW w:w="1733" w:type="dxa"/>
          </w:tcPr>
          <w:p w14:paraId="34226235" w14:textId="77777777" w:rsidR="000906BC" w:rsidRPr="00AC2B48" w:rsidRDefault="000906BC" w:rsidP="00B169BA">
            <w:r w:rsidRPr="00AC2B48">
              <w:t>97</w:t>
            </w:r>
          </w:p>
        </w:tc>
        <w:tc>
          <w:tcPr>
            <w:tcW w:w="1748" w:type="dxa"/>
          </w:tcPr>
          <w:p w14:paraId="261E5DD4" w14:textId="77777777" w:rsidR="000906BC" w:rsidRPr="00AC2B48" w:rsidRDefault="000906BC" w:rsidP="00B169BA">
            <w:r w:rsidRPr="00AC2B48">
              <w:t>78</w:t>
            </w:r>
          </w:p>
        </w:tc>
      </w:tr>
      <w:tr w:rsidR="000906BC" w:rsidRPr="00AC2B48" w14:paraId="4EB05AD5" w14:textId="77777777" w:rsidTr="00B218AD">
        <w:tc>
          <w:tcPr>
            <w:tcW w:w="2055" w:type="dxa"/>
          </w:tcPr>
          <w:p w14:paraId="508E8553" w14:textId="77777777" w:rsidR="000906BC" w:rsidRPr="00AC2B48" w:rsidRDefault="000906BC" w:rsidP="00B169BA">
            <w:r w:rsidRPr="00AC2B48">
              <w:t>Saturated fat (g/</w:t>
            </w:r>
            <w:proofErr w:type="gramStart"/>
            <w:r w:rsidRPr="00AC2B48">
              <w:t>day)[</w:t>
            </w:r>
            <w:proofErr w:type="gramEnd"/>
            <w:r w:rsidRPr="00AC2B48">
              <w:t>less than]</w:t>
            </w:r>
          </w:p>
        </w:tc>
        <w:tc>
          <w:tcPr>
            <w:tcW w:w="1733" w:type="dxa"/>
          </w:tcPr>
          <w:p w14:paraId="069D9168" w14:textId="77777777" w:rsidR="000906BC" w:rsidRPr="00AC2B48" w:rsidRDefault="000906BC" w:rsidP="00B169BA">
            <w:r w:rsidRPr="00AC2B48">
              <w:t>31</w:t>
            </w:r>
          </w:p>
        </w:tc>
        <w:tc>
          <w:tcPr>
            <w:tcW w:w="1747" w:type="dxa"/>
          </w:tcPr>
          <w:p w14:paraId="65DFE47F" w14:textId="77777777" w:rsidR="000906BC" w:rsidRPr="00AC2B48" w:rsidRDefault="000906BC" w:rsidP="00B169BA">
            <w:r w:rsidRPr="00AC2B48">
              <w:t>24</w:t>
            </w:r>
          </w:p>
        </w:tc>
        <w:tc>
          <w:tcPr>
            <w:tcW w:w="1733" w:type="dxa"/>
          </w:tcPr>
          <w:p w14:paraId="594DD24C" w14:textId="77777777" w:rsidR="000906BC" w:rsidRPr="00AC2B48" w:rsidRDefault="000906BC" w:rsidP="00B169BA">
            <w:r w:rsidRPr="00AC2B48">
              <w:t>31</w:t>
            </w:r>
          </w:p>
        </w:tc>
        <w:tc>
          <w:tcPr>
            <w:tcW w:w="1748" w:type="dxa"/>
          </w:tcPr>
          <w:p w14:paraId="1989989C" w14:textId="77777777" w:rsidR="000906BC" w:rsidRPr="00AC2B48" w:rsidRDefault="000906BC" w:rsidP="00B169BA">
            <w:r w:rsidRPr="00AC2B48">
              <w:t>24</w:t>
            </w:r>
          </w:p>
        </w:tc>
      </w:tr>
      <w:tr w:rsidR="000906BC" w:rsidRPr="00AC2B48" w14:paraId="2C8A763B" w14:textId="77777777" w:rsidTr="00B218AD">
        <w:tc>
          <w:tcPr>
            <w:tcW w:w="2055" w:type="dxa"/>
          </w:tcPr>
          <w:p w14:paraId="5E998621" w14:textId="77777777" w:rsidR="000906BC" w:rsidRPr="00AC2B48" w:rsidRDefault="000906BC" w:rsidP="00B169BA">
            <w:r w:rsidRPr="00AC2B48">
              <w:t>Polyunsaturated fat (g/day)</w:t>
            </w:r>
          </w:p>
        </w:tc>
        <w:tc>
          <w:tcPr>
            <w:tcW w:w="1733" w:type="dxa"/>
          </w:tcPr>
          <w:p w14:paraId="42BB7748" w14:textId="77777777" w:rsidR="000906BC" w:rsidRPr="00AC2B48" w:rsidRDefault="000906BC" w:rsidP="00B169BA">
            <w:r w:rsidRPr="00AC2B48">
              <w:t>18</w:t>
            </w:r>
          </w:p>
        </w:tc>
        <w:tc>
          <w:tcPr>
            <w:tcW w:w="1747" w:type="dxa"/>
          </w:tcPr>
          <w:p w14:paraId="2CDBD016" w14:textId="77777777" w:rsidR="000906BC" w:rsidRPr="00AC2B48" w:rsidRDefault="000906BC" w:rsidP="00B169BA">
            <w:r w:rsidRPr="00AC2B48">
              <w:t>14</w:t>
            </w:r>
          </w:p>
        </w:tc>
        <w:tc>
          <w:tcPr>
            <w:tcW w:w="1733" w:type="dxa"/>
          </w:tcPr>
          <w:p w14:paraId="07CAA80C" w14:textId="77777777" w:rsidR="000906BC" w:rsidRPr="00AC2B48" w:rsidRDefault="000906BC" w:rsidP="00B169BA">
            <w:r w:rsidRPr="00AC2B48">
              <w:t>18</w:t>
            </w:r>
          </w:p>
        </w:tc>
        <w:tc>
          <w:tcPr>
            <w:tcW w:w="1748" w:type="dxa"/>
          </w:tcPr>
          <w:p w14:paraId="049D95DA" w14:textId="77777777" w:rsidR="000906BC" w:rsidRPr="00AC2B48" w:rsidRDefault="000906BC" w:rsidP="00B169BA">
            <w:r w:rsidRPr="00AC2B48">
              <w:t>14</w:t>
            </w:r>
          </w:p>
        </w:tc>
      </w:tr>
      <w:tr w:rsidR="000906BC" w:rsidRPr="00AC2B48" w14:paraId="5D3AAC94" w14:textId="77777777" w:rsidTr="00B218AD">
        <w:tc>
          <w:tcPr>
            <w:tcW w:w="2055" w:type="dxa"/>
          </w:tcPr>
          <w:p w14:paraId="56E68B73" w14:textId="77777777" w:rsidR="000906BC" w:rsidRPr="00AC2B48" w:rsidRDefault="000906BC" w:rsidP="00B169BA">
            <w:r w:rsidRPr="00AC2B48">
              <w:t>Monounsaturated fat (g/day)</w:t>
            </w:r>
          </w:p>
        </w:tc>
        <w:tc>
          <w:tcPr>
            <w:tcW w:w="1733" w:type="dxa"/>
          </w:tcPr>
          <w:p w14:paraId="6580A8B2" w14:textId="77777777" w:rsidR="000906BC" w:rsidRPr="00AC2B48" w:rsidRDefault="000906BC" w:rsidP="00B169BA">
            <w:r w:rsidRPr="00AC2B48">
              <w:t>36</w:t>
            </w:r>
          </w:p>
        </w:tc>
        <w:tc>
          <w:tcPr>
            <w:tcW w:w="1747" w:type="dxa"/>
          </w:tcPr>
          <w:p w14:paraId="13D4A06A" w14:textId="77777777" w:rsidR="000906BC" w:rsidRPr="00AC2B48" w:rsidRDefault="000906BC" w:rsidP="00B169BA">
            <w:r w:rsidRPr="00AC2B48">
              <w:t>29</w:t>
            </w:r>
          </w:p>
        </w:tc>
        <w:tc>
          <w:tcPr>
            <w:tcW w:w="1733" w:type="dxa"/>
          </w:tcPr>
          <w:p w14:paraId="5F1ABDA0" w14:textId="77777777" w:rsidR="000906BC" w:rsidRPr="00AC2B48" w:rsidRDefault="000906BC" w:rsidP="00B169BA">
            <w:r w:rsidRPr="00AC2B48">
              <w:t>36</w:t>
            </w:r>
          </w:p>
        </w:tc>
        <w:tc>
          <w:tcPr>
            <w:tcW w:w="1748" w:type="dxa"/>
          </w:tcPr>
          <w:p w14:paraId="1FE98908" w14:textId="77777777" w:rsidR="000906BC" w:rsidRPr="00AC2B48" w:rsidRDefault="000906BC" w:rsidP="00B169BA">
            <w:r w:rsidRPr="00AC2B48">
              <w:t>29</w:t>
            </w:r>
          </w:p>
        </w:tc>
      </w:tr>
      <w:tr w:rsidR="000906BC" w:rsidRPr="00AC2B48" w14:paraId="4503674A" w14:textId="77777777" w:rsidTr="00B218AD">
        <w:tc>
          <w:tcPr>
            <w:tcW w:w="2055" w:type="dxa"/>
          </w:tcPr>
          <w:p w14:paraId="2EFB9E35" w14:textId="77777777" w:rsidR="000906BC" w:rsidRPr="00AC2B48" w:rsidRDefault="000906BC" w:rsidP="00B169BA">
            <w:r w:rsidRPr="00AC2B48">
              <w:t>Carbohydrate (g/</w:t>
            </w:r>
            <w:proofErr w:type="gramStart"/>
            <w:r w:rsidRPr="00AC2B48">
              <w:t>day)[</w:t>
            </w:r>
            <w:proofErr w:type="gramEnd"/>
            <w:r w:rsidRPr="00AC2B48">
              <w:t>at least]</w:t>
            </w:r>
          </w:p>
        </w:tc>
        <w:tc>
          <w:tcPr>
            <w:tcW w:w="1733" w:type="dxa"/>
          </w:tcPr>
          <w:p w14:paraId="05F11513" w14:textId="77777777" w:rsidR="000906BC" w:rsidRPr="00AC2B48" w:rsidRDefault="000906BC" w:rsidP="00B169BA">
            <w:r w:rsidRPr="00AC2B48">
              <w:t>333</w:t>
            </w:r>
          </w:p>
        </w:tc>
        <w:tc>
          <w:tcPr>
            <w:tcW w:w="1747" w:type="dxa"/>
          </w:tcPr>
          <w:p w14:paraId="0CC227C3" w14:textId="77777777" w:rsidR="000906BC" w:rsidRPr="00AC2B48" w:rsidRDefault="000906BC" w:rsidP="00B169BA">
            <w:r w:rsidRPr="00AC2B48">
              <w:t>267</w:t>
            </w:r>
          </w:p>
        </w:tc>
        <w:tc>
          <w:tcPr>
            <w:tcW w:w="1733" w:type="dxa"/>
          </w:tcPr>
          <w:p w14:paraId="0F7C1D9D" w14:textId="77777777" w:rsidR="000906BC" w:rsidRPr="00AC2B48" w:rsidRDefault="000906BC" w:rsidP="00B169BA">
            <w:r w:rsidRPr="00AC2B48">
              <w:t>333</w:t>
            </w:r>
          </w:p>
        </w:tc>
        <w:tc>
          <w:tcPr>
            <w:tcW w:w="1748" w:type="dxa"/>
          </w:tcPr>
          <w:p w14:paraId="2788C53C" w14:textId="77777777" w:rsidR="000906BC" w:rsidRPr="00AC2B48" w:rsidRDefault="000906BC" w:rsidP="00B169BA">
            <w:r w:rsidRPr="00AC2B48">
              <w:t>267</w:t>
            </w:r>
          </w:p>
        </w:tc>
      </w:tr>
      <w:tr w:rsidR="000906BC" w:rsidRPr="00AC2B48" w14:paraId="47690D41" w14:textId="77777777" w:rsidTr="00B218AD">
        <w:tc>
          <w:tcPr>
            <w:tcW w:w="2055" w:type="dxa"/>
          </w:tcPr>
          <w:p w14:paraId="2E9E4937" w14:textId="77777777" w:rsidR="000906BC" w:rsidRPr="00AC2B48" w:rsidRDefault="000906BC" w:rsidP="00B169BA">
            <w:r w:rsidRPr="00AC2B48">
              <w:t>Free sugars (g/day) [less than]</w:t>
            </w:r>
          </w:p>
        </w:tc>
        <w:tc>
          <w:tcPr>
            <w:tcW w:w="1733" w:type="dxa"/>
          </w:tcPr>
          <w:p w14:paraId="096B99D3" w14:textId="77777777" w:rsidR="000906BC" w:rsidRPr="00AC2B48" w:rsidRDefault="000906BC" w:rsidP="00B169BA">
            <w:r w:rsidRPr="00AC2B48">
              <w:t>33</w:t>
            </w:r>
          </w:p>
        </w:tc>
        <w:tc>
          <w:tcPr>
            <w:tcW w:w="1747" w:type="dxa"/>
          </w:tcPr>
          <w:p w14:paraId="7FF8FB21" w14:textId="77777777" w:rsidR="000906BC" w:rsidRPr="00AC2B48" w:rsidRDefault="000906BC" w:rsidP="00B169BA">
            <w:r w:rsidRPr="00AC2B48">
              <w:t>27</w:t>
            </w:r>
          </w:p>
        </w:tc>
        <w:tc>
          <w:tcPr>
            <w:tcW w:w="1733" w:type="dxa"/>
          </w:tcPr>
          <w:p w14:paraId="0DC72C22" w14:textId="77777777" w:rsidR="000906BC" w:rsidRPr="00AC2B48" w:rsidRDefault="000906BC" w:rsidP="00B169BA">
            <w:r w:rsidRPr="00AC2B48">
              <w:t>33</w:t>
            </w:r>
          </w:p>
        </w:tc>
        <w:tc>
          <w:tcPr>
            <w:tcW w:w="1748" w:type="dxa"/>
          </w:tcPr>
          <w:p w14:paraId="2CF4D3AB" w14:textId="77777777" w:rsidR="000906BC" w:rsidRPr="00AC2B48" w:rsidRDefault="000906BC" w:rsidP="00B169BA">
            <w:r w:rsidRPr="00AC2B48">
              <w:t>27</w:t>
            </w:r>
          </w:p>
        </w:tc>
      </w:tr>
      <w:tr w:rsidR="000906BC" w:rsidRPr="00AC2B48" w14:paraId="455BB7A6" w14:textId="77777777" w:rsidTr="00B218AD">
        <w:tc>
          <w:tcPr>
            <w:tcW w:w="2055" w:type="dxa"/>
          </w:tcPr>
          <w:p w14:paraId="242E510E" w14:textId="77777777" w:rsidR="000906BC" w:rsidRPr="00AC2B48" w:rsidRDefault="000906BC" w:rsidP="00B169BA">
            <w:r w:rsidRPr="00AC2B48">
              <w:t>Salt (g/</w:t>
            </w:r>
            <w:proofErr w:type="gramStart"/>
            <w:r w:rsidRPr="00AC2B48">
              <w:t>day)[</w:t>
            </w:r>
            <w:proofErr w:type="gramEnd"/>
            <w:r w:rsidRPr="00AC2B48">
              <w:t>less than]</w:t>
            </w:r>
          </w:p>
        </w:tc>
        <w:tc>
          <w:tcPr>
            <w:tcW w:w="1733" w:type="dxa"/>
          </w:tcPr>
          <w:p w14:paraId="1FE842C8" w14:textId="77777777" w:rsidR="000906BC" w:rsidRPr="00AC2B48" w:rsidRDefault="000906BC" w:rsidP="00B169BA">
            <w:r w:rsidRPr="00AC2B48">
              <w:t>6.0</w:t>
            </w:r>
          </w:p>
        </w:tc>
        <w:tc>
          <w:tcPr>
            <w:tcW w:w="1747" w:type="dxa"/>
          </w:tcPr>
          <w:p w14:paraId="2C56AB14" w14:textId="77777777" w:rsidR="000906BC" w:rsidRPr="00AC2B48" w:rsidRDefault="000906BC" w:rsidP="00B169BA">
            <w:r w:rsidRPr="00AC2B48">
              <w:t>6.0</w:t>
            </w:r>
          </w:p>
        </w:tc>
        <w:tc>
          <w:tcPr>
            <w:tcW w:w="1733" w:type="dxa"/>
          </w:tcPr>
          <w:p w14:paraId="13EDEF7E" w14:textId="77777777" w:rsidR="000906BC" w:rsidRPr="00AC2B48" w:rsidRDefault="000906BC" w:rsidP="00B169BA">
            <w:r w:rsidRPr="00AC2B48">
              <w:t>6.0</w:t>
            </w:r>
          </w:p>
        </w:tc>
        <w:tc>
          <w:tcPr>
            <w:tcW w:w="1748" w:type="dxa"/>
          </w:tcPr>
          <w:p w14:paraId="2A09645B" w14:textId="77777777" w:rsidR="000906BC" w:rsidRPr="00AC2B48" w:rsidRDefault="000906BC" w:rsidP="00B169BA">
            <w:r w:rsidRPr="00AC2B48">
              <w:t>6.0</w:t>
            </w:r>
          </w:p>
        </w:tc>
      </w:tr>
      <w:tr w:rsidR="000906BC" w:rsidRPr="00AC2B48" w14:paraId="54B25AA7" w14:textId="77777777" w:rsidTr="00B218AD">
        <w:tc>
          <w:tcPr>
            <w:tcW w:w="2055" w:type="dxa"/>
          </w:tcPr>
          <w:p w14:paraId="6AA124CF" w14:textId="77777777" w:rsidR="000906BC" w:rsidRPr="00AC2B48" w:rsidRDefault="000906BC" w:rsidP="00B169BA">
            <w:r w:rsidRPr="00AC2B48">
              <w:t>Fibre (g/day)</w:t>
            </w:r>
          </w:p>
        </w:tc>
        <w:tc>
          <w:tcPr>
            <w:tcW w:w="1733" w:type="dxa"/>
          </w:tcPr>
          <w:p w14:paraId="430DFA4E" w14:textId="77777777" w:rsidR="000906BC" w:rsidRPr="00AC2B48" w:rsidRDefault="000906BC" w:rsidP="00B169BA">
            <w:r w:rsidRPr="00AC2B48">
              <w:t>25</w:t>
            </w:r>
          </w:p>
        </w:tc>
        <w:tc>
          <w:tcPr>
            <w:tcW w:w="1747" w:type="dxa"/>
          </w:tcPr>
          <w:p w14:paraId="0A486BC3" w14:textId="77777777" w:rsidR="000906BC" w:rsidRPr="00AC2B48" w:rsidRDefault="000906BC" w:rsidP="00B169BA">
            <w:r w:rsidRPr="00AC2B48">
              <w:t>25</w:t>
            </w:r>
          </w:p>
        </w:tc>
        <w:tc>
          <w:tcPr>
            <w:tcW w:w="1733" w:type="dxa"/>
          </w:tcPr>
          <w:p w14:paraId="175AE11F" w14:textId="77777777" w:rsidR="000906BC" w:rsidRPr="00AC2B48" w:rsidRDefault="000906BC" w:rsidP="00B169BA">
            <w:r w:rsidRPr="00AC2B48">
              <w:t>30</w:t>
            </w:r>
          </w:p>
        </w:tc>
        <w:tc>
          <w:tcPr>
            <w:tcW w:w="1748" w:type="dxa"/>
          </w:tcPr>
          <w:p w14:paraId="147B2E77" w14:textId="77777777" w:rsidR="000906BC" w:rsidRPr="00AC2B48" w:rsidRDefault="000906BC" w:rsidP="00B169BA">
            <w:r w:rsidRPr="00AC2B48">
              <w:t>30</w:t>
            </w:r>
          </w:p>
        </w:tc>
      </w:tr>
    </w:tbl>
    <w:p w14:paraId="594CA730" w14:textId="77777777" w:rsidR="000906BC" w:rsidRPr="00AC2B48" w:rsidRDefault="000906BC" w:rsidP="00B169BA">
      <w:pPr>
        <w:pStyle w:val="NormalWeb"/>
        <w:spacing w:before="0" w:beforeAutospacing="0" w:after="0" w:afterAutospacing="0" w:line="360" w:lineRule="atLeast"/>
        <w:rPr>
          <w:rFonts w:asciiTheme="minorHAnsi" w:hAnsiTheme="minorHAnsi"/>
          <w:color w:val="2C3E50"/>
          <w:shd w:val="clear" w:color="auto" w:fill="FFFFFF"/>
        </w:rPr>
      </w:pPr>
      <w:r w:rsidRPr="00AC2B48">
        <w:rPr>
          <w:rFonts w:asciiTheme="minorHAnsi" w:hAnsiTheme="minorHAnsi"/>
          <w:color w:val="2C3E50"/>
          <w:shd w:val="clear" w:color="auto" w:fill="FFFFFF"/>
        </w:rPr>
        <w:t>Source: (Public Health England, 2016)</w:t>
      </w:r>
    </w:p>
    <w:p w14:paraId="06380AE8" w14:textId="77777777" w:rsidR="00B61F1F" w:rsidRPr="00AC2B48" w:rsidRDefault="00B61F1F" w:rsidP="00B169BA">
      <w:pPr>
        <w:spacing w:after="0"/>
      </w:pPr>
    </w:p>
    <w:p w14:paraId="27BD41B3" w14:textId="47F5103C" w:rsidR="00F21481" w:rsidRPr="00AC2B48" w:rsidRDefault="000906BC" w:rsidP="00F21481">
      <w:pPr>
        <w:spacing w:after="0"/>
      </w:pPr>
      <w:r w:rsidRPr="00AC2B48">
        <w:t xml:space="preserve">It is recommended by Public Health England (2016) that the figures shown in </w:t>
      </w:r>
      <w:r w:rsidR="008409E4">
        <w:t>Figure</w:t>
      </w:r>
      <w:r w:rsidRPr="00AC2B48">
        <w:t xml:space="preserve"> 1 above should be used in conjunction with the figures suggested by SACN (Scientific Advisory Committee on Nutrition, 2011) </w:t>
      </w:r>
      <w:r w:rsidR="005F2089">
        <w:t>w</w:t>
      </w:r>
      <w:r w:rsidRPr="00AC2B48">
        <w:t>hich states in their report</w:t>
      </w:r>
      <w:r w:rsidR="008F4A65">
        <w:t xml:space="preserve"> that</w:t>
      </w:r>
      <w:r w:rsidRPr="00AC2B48">
        <w:t xml:space="preserve"> “the </w:t>
      </w:r>
      <w:r w:rsidRPr="00AC2B48">
        <w:lastRenderedPageBreak/>
        <w:t>requirements for energy for all population groups, with the exception of pregnant women, have been set at the level of energy intake required to maintain a healthy body weight in otherwise healthy people at existing levels of physical activity.”</w:t>
      </w:r>
      <w:r w:rsidR="000C032A" w:rsidRPr="00AC2B48">
        <w:t xml:space="preserve"> </w:t>
      </w:r>
      <w:r w:rsidR="003240D4" w:rsidRPr="00AC2B48">
        <w:t xml:space="preserve">The </w:t>
      </w:r>
      <w:r w:rsidR="003F47E0" w:rsidRPr="00AC2B48">
        <w:t xml:space="preserve">role of the </w:t>
      </w:r>
      <w:r w:rsidR="003240D4" w:rsidRPr="00AC2B48">
        <w:t>SACN</w:t>
      </w:r>
      <w:r w:rsidR="002F361B" w:rsidRPr="00AC2B48">
        <w:t xml:space="preserve">, as stated </w:t>
      </w:r>
      <w:r w:rsidR="009B64D4" w:rsidRPr="00AC2B48">
        <w:t xml:space="preserve">in </w:t>
      </w:r>
      <w:r w:rsidR="0073483D" w:rsidRPr="00AC2B48">
        <w:t>an article by</w:t>
      </w:r>
      <w:r w:rsidR="002F361B" w:rsidRPr="00AC2B48">
        <w:t xml:space="preserve"> </w:t>
      </w:r>
      <w:r w:rsidR="00311FD4" w:rsidRPr="00AC2B48">
        <w:t xml:space="preserve">the </w:t>
      </w:r>
      <w:proofErr w:type="spellStart"/>
      <w:r w:rsidR="00311FD4" w:rsidRPr="00AC2B48">
        <w:t>Digicomply</w:t>
      </w:r>
      <w:proofErr w:type="spellEnd"/>
      <w:r w:rsidR="003240D4" w:rsidRPr="00AC2B48">
        <w:t xml:space="preserve"> </w:t>
      </w:r>
      <w:r w:rsidR="00311FD4" w:rsidRPr="00AC2B48">
        <w:t>editorial team (</w:t>
      </w:r>
      <w:r w:rsidR="009B64D4" w:rsidRPr="00AC2B48">
        <w:t xml:space="preserve">2023), </w:t>
      </w:r>
      <w:r w:rsidR="003F47E0" w:rsidRPr="00AC2B48">
        <w:t xml:space="preserve">is </w:t>
      </w:r>
      <w:r w:rsidR="00D62571" w:rsidRPr="00AC2B48">
        <w:t>to</w:t>
      </w:r>
      <w:r w:rsidR="00DC37B0">
        <w:t>:</w:t>
      </w:r>
    </w:p>
    <w:p w14:paraId="3486DADB" w14:textId="198EED60" w:rsidR="00F65060" w:rsidRPr="00AC2B48" w:rsidRDefault="00D62571" w:rsidP="00F65060">
      <w:pPr>
        <w:numPr>
          <w:ilvl w:val="0"/>
          <w:numId w:val="9"/>
        </w:numPr>
        <w:shd w:val="clear" w:color="auto" w:fill="FFFFFF"/>
        <w:spacing w:before="100" w:beforeAutospacing="1" w:after="100" w:afterAutospacing="1" w:line="240" w:lineRule="auto"/>
        <w:rPr>
          <w:rFonts w:eastAsia="Times New Roman" w:cs="Times New Roman"/>
          <w:color w:val="333333"/>
          <w:kern w:val="0"/>
          <w:lang w:eastAsia="en-GB"/>
          <w14:ligatures w14:val="none"/>
        </w:rPr>
      </w:pPr>
      <w:r w:rsidRPr="00AC2B48">
        <w:t>systematic</w:t>
      </w:r>
      <w:r w:rsidR="00587772" w:rsidRPr="00AC2B48">
        <w:t xml:space="preserve">ally </w:t>
      </w:r>
      <w:r w:rsidRPr="00AC2B48">
        <w:t>review scientific evidence</w:t>
      </w:r>
      <w:r w:rsidR="00F65060" w:rsidRPr="00AC2B48">
        <w:rPr>
          <w:rFonts w:eastAsia="Times New Roman" w:cs="Times New Roman"/>
          <w:b/>
          <w:bCs/>
          <w:color w:val="333333"/>
          <w:kern w:val="0"/>
          <w:lang w:eastAsia="en-GB"/>
          <w14:ligatures w14:val="none"/>
        </w:rPr>
        <w:t xml:space="preserve"> </w:t>
      </w:r>
      <w:r w:rsidR="00F65060" w:rsidRPr="00AC2B48">
        <w:rPr>
          <w:rFonts w:eastAsia="Times New Roman" w:cs="Times New Roman"/>
          <w:color w:val="333333"/>
          <w:kern w:val="0"/>
          <w:lang w:eastAsia="en-GB"/>
          <w14:ligatures w14:val="none"/>
        </w:rPr>
        <w:t>to evaluate the relationship between diet and health outcomes</w:t>
      </w:r>
    </w:p>
    <w:p w14:paraId="3486C6EC" w14:textId="1B352DDB" w:rsidR="00F65060" w:rsidRPr="00F65060" w:rsidRDefault="00DC37B0" w:rsidP="00F65060">
      <w:pPr>
        <w:numPr>
          <w:ilvl w:val="0"/>
          <w:numId w:val="9"/>
        </w:numPr>
        <w:shd w:val="clear" w:color="auto" w:fill="FFFFFF"/>
        <w:spacing w:before="100" w:beforeAutospacing="1" w:after="100" w:afterAutospacing="1" w:line="240" w:lineRule="auto"/>
        <w:rPr>
          <w:rFonts w:eastAsia="Times New Roman" w:cs="Times New Roman"/>
          <w:color w:val="333333"/>
          <w:kern w:val="0"/>
          <w:lang w:eastAsia="en-GB"/>
          <w14:ligatures w14:val="none"/>
        </w:rPr>
      </w:pPr>
      <w:r>
        <w:rPr>
          <w:rFonts w:eastAsia="Times New Roman" w:cs="Times New Roman"/>
          <w:color w:val="333333"/>
          <w:kern w:val="0"/>
          <w:lang w:eastAsia="en-GB"/>
          <w14:ligatures w14:val="none"/>
        </w:rPr>
        <w:t>d</w:t>
      </w:r>
      <w:r w:rsidR="00F65060" w:rsidRPr="00F65060">
        <w:rPr>
          <w:rFonts w:eastAsia="Times New Roman" w:cs="Times New Roman"/>
          <w:color w:val="333333"/>
          <w:kern w:val="0"/>
          <w:lang w:eastAsia="en-GB"/>
          <w14:ligatures w14:val="none"/>
        </w:rPr>
        <w:t>evelop evidence-based dietary guidelines that inform both the public and healthcare professionals on optimal nutrition</w:t>
      </w:r>
    </w:p>
    <w:p w14:paraId="318A0A87" w14:textId="3EA0C4F2" w:rsidR="00F65060" w:rsidRPr="00F65060" w:rsidRDefault="00DC37B0" w:rsidP="00F65060">
      <w:pPr>
        <w:numPr>
          <w:ilvl w:val="0"/>
          <w:numId w:val="9"/>
        </w:numPr>
        <w:shd w:val="clear" w:color="auto" w:fill="FFFFFF"/>
        <w:spacing w:before="100" w:beforeAutospacing="1" w:after="100" w:afterAutospacing="1" w:line="240" w:lineRule="auto"/>
        <w:rPr>
          <w:rFonts w:eastAsia="Times New Roman" w:cs="Times New Roman"/>
          <w:color w:val="333333"/>
          <w:kern w:val="0"/>
          <w:lang w:eastAsia="en-GB"/>
          <w14:ligatures w14:val="none"/>
        </w:rPr>
      </w:pPr>
      <w:r>
        <w:rPr>
          <w:rFonts w:eastAsia="Times New Roman" w:cs="Times New Roman"/>
          <w:color w:val="333333"/>
          <w:kern w:val="0"/>
          <w:lang w:eastAsia="en-GB"/>
          <w14:ligatures w14:val="none"/>
        </w:rPr>
        <w:t>p</w:t>
      </w:r>
      <w:r w:rsidR="00F65060" w:rsidRPr="00F65060">
        <w:rPr>
          <w:rFonts w:eastAsia="Times New Roman" w:cs="Times New Roman"/>
          <w:color w:val="333333"/>
          <w:kern w:val="0"/>
          <w:lang w:eastAsia="en-GB"/>
          <w14:ligatures w14:val="none"/>
        </w:rPr>
        <w:t xml:space="preserve">rovide recommendations </w:t>
      </w:r>
      <w:r w:rsidR="000C032A" w:rsidRPr="00AC2B48">
        <w:rPr>
          <w:rFonts w:eastAsia="Times New Roman" w:cs="Times New Roman"/>
          <w:color w:val="333333"/>
          <w:kern w:val="0"/>
          <w:lang w:eastAsia="en-GB"/>
          <w14:ligatures w14:val="none"/>
        </w:rPr>
        <w:t>to</w:t>
      </w:r>
      <w:r w:rsidR="00F65060" w:rsidRPr="00F65060">
        <w:rPr>
          <w:rFonts w:eastAsia="Times New Roman" w:cs="Times New Roman"/>
          <w:color w:val="333333"/>
          <w:kern w:val="0"/>
          <w:lang w:eastAsia="en-GB"/>
          <w14:ligatures w14:val="none"/>
        </w:rPr>
        <w:t xml:space="preserve"> guide government policies</w:t>
      </w:r>
      <w:r w:rsidR="000C032A" w:rsidRPr="00AC2B48">
        <w:rPr>
          <w:rFonts w:eastAsia="Times New Roman" w:cs="Times New Roman"/>
          <w:color w:val="333333"/>
          <w:kern w:val="0"/>
          <w:lang w:eastAsia="en-GB"/>
          <w14:ligatures w14:val="none"/>
        </w:rPr>
        <w:t xml:space="preserve"> such as </w:t>
      </w:r>
      <w:r w:rsidR="00F65060" w:rsidRPr="00F65060">
        <w:rPr>
          <w:rFonts w:eastAsia="Times New Roman" w:cs="Times New Roman"/>
          <w:color w:val="333333"/>
          <w:kern w:val="0"/>
          <w:lang w:eastAsia="en-GB"/>
          <w14:ligatures w14:val="none"/>
        </w:rPr>
        <w:t xml:space="preserve">food </w:t>
      </w:r>
      <w:r w:rsidR="000C032A" w:rsidRPr="00AC2B48">
        <w:rPr>
          <w:rFonts w:eastAsia="Times New Roman" w:cs="Times New Roman"/>
          <w:color w:val="333333"/>
          <w:kern w:val="0"/>
          <w:lang w:eastAsia="en-GB"/>
          <w14:ligatures w14:val="none"/>
        </w:rPr>
        <w:t>labelling</w:t>
      </w:r>
      <w:r w:rsidR="00F65060" w:rsidRPr="00F65060">
        <w:rPr>
          <w:rFonts w:eastAsia="Times New Roman" w:cs="Times New Roman"/>
          <w:color w:val="333333"/>
          <w:kern w:val="0"/>
          <w:lang w:eastAsia="en-GB"/>
          <w14:ligatures w14:val="none"/>
        </w:rPr>
        <w:t>, nutrition education and public health initiatives</w:t>
      </w:r>
      <w:r w:rsidR="00715975">
        <w:rPr>
          <w:rFonts w:eastAsia="Times New Roman" w:cs="Times New Roman"/>
          <w:color w:val="333333"/>
          <w:kern w:val="0"/>
          <w:lang w:eastAsia="en-GB"/>
          <w14:ligatures w14:val="none"/>
        </w:rPr>
        <w:t>, and</w:t>
      </w:r>
    </w:p>
    <w:p w14:paraId="17C298C3" w14:textId="6B2CF749" w:rsidR="00F65060" w:rsidRPr="00F65060" w:rsidRDefault="00DC37B0" w:rsidP="00F65060">
      <w:pPr>
        <w:numPr>
          <w:ilvl w:val="0"/>
          <w:numId w:val="9"/>
        </w:numPr>
        <w:shd w:val="clear" w:color="auto" w:fill="FFFFFF"/>
        <w:spacing w:before="100" w:beforeAutospacing="1" w:after="100" w:afterAutospacing="1" w:line="240" w:lineRule="auto"/>
        <w:rPr>
          <w:rFonts w:eastAsia="Times New Roman" w:cs="Times New Roman"/>
          <w:color w:val="333333"/>
          <w:kern w:val="0"/>
          <w:lang w:eastAsia="en-GB"/>
          <w14:ligatures w14:val="none"/>
        </w:rPr>
      </w:pPr>
      <w:r>
        <w:rPr>
          <w:rFonts w:eastAsia="Times New Roman" w:cs="Times New Roman"/>
          <w:color w:val="333333"/>
          <w:kern w:val="0"/>
          <w:lang w:eastAsia="en-GB"/>
          <w14:ligatures w14:val="none"/>
        </w:rPr>
        <w:t>e</w:t>
      </w:r>
      <w:r w:rsidR="00F65060" w:rsidRPr="00F65060">
        <w:rPr>
          <w:rFonts w:eastAsia="Times New Roman" w:cs="Times New Roman"/>
          <w:color w:val="333333"/>
          <w:kern w:val="0"/>
          <w:lang w:eastAsia="en-GB"/>
          <w14:ligatures w14:val="none"/>
        </w:rPr>
        <w:t>ngage with various stakeholders</w:t>
      </w:r>
      <w:r w:rsidR="000C032A" w:rsidRPr="00AC2B48">
        <w:rPr>
          <w:rFonts w:eastAsia="Times New Roman" w:cs="Times New Roman"/>
          <w:color w:val="333333"/>
          <w:kern w:val="0"/>
          <w:lang w:eastAsia="en-GB"/>
          <w14:ligatures w14:val="none"/>
        </w:rPr>
        <w:t xml:space="preserve"> such as </w:t>
      </w:r>
      <w:r w:rsidR="00F65060" w:rsidRPr="00F65060">
        <w:rPr>
          <w:rFonts w:eastAsia="Times New Roman" w:cs="Times New Roman"/>
          <w:color w:val="333333"/>
          <w:kern w:val="0"/>
          <w:lang w:eastAsia="en-GB"/>
          <w14:ligatures w14:val="none"/>
        </w:rPr>
        <w:t xml:space="preserve">industry representatives, </w:t>
      </w:r>
      <w:r w:rsidR="000C032A" w:rsidRPr="00AC2B48">
        <w:rPr>
          <w:rFonts w:eastAsia="Times New Roman" w:cs="Times New Roman"/>
          <w:color w:val="333333"/>
          <w:kern w:val="0"/>
          <w:lang w:eastAsia="en-GB"/>
          <w14:ligatures w14:val="none"/>
        </w:rPr>
        <w:t>regarding</w:t>
      </w:r>
      <w:r w:rsidR="00F65060" w:rsidRPr="00F65060">
        <w:rPr>
          <w:rFonts w:eastAsia="Times New Roman" w:cs="Times New Roman"/>
          <w:color w:val="333333"/>
          <w:kern w:val="0"/>
          <w:lang w:eastAsia="en-GB"/>
          <w14:ligatures w14:val="none"/>
        </w:rPr>
        <w:t xml:space="preserve"> nutritional issues.</w:t>
      </w:r>
    </w:p>
    <w:p w14:paraId="4D50E47D" w14:textId="3C2B958A" w:rsidR="000906BC" w:rsidRPr="00AC2B48" w:rsidRDefault="004216EB" w:rsidP="00B169BA">
      <w:pPr>
        <w:spacing w:after="0"/>
      </w:pPr>
      <w:r w:rsidRPr="00AC2B48">
        <w:t>Figure</w:t>
      </w:r>
      <w:r w:rsidR="000906BC" w:rsidRPr="00AC2B48">
        <w:t xml:space="preserve"> 1 also suggests that as males and females get closer to adulthood the protein requirements increase, more so for males, while overall caloric intake stays the same. Fibre requirements also increase equally for both</w:t>
      </w:r>
      <w:r w:rsidR="004F33D4" w:rsidRPr="00AC2B48">
        <w:t xml:space="preserve"> males and females</w:t>
      </w:r>
      <w:r w:rsidR="009F7B69" w:rsidRPr="00AC2B48">
        <w:t xml:space="preserve">, </w:t>
      </w:r>
      <w:r w:rsidR="002611BF" w:rsidRPr="00AC2B48">
        <w:t xml:space="preserve">which implies </w:t>
      </w:r>
      <w:r w:rsidR="000906BC" w:rsidRPr="00AC2B48">
        <w:t>that the extra calories reserved for protein and fibre should be deducted from nutrients such as salt, free sugars and fats</w:t>
      </w:r>
      <w:r w:rsidR="00A95F9D" w:rsidRPr="00AC2B48">
        <w:t xml:space="preserve">, labelled </w:t>
      </w:r>
      <w:r w:rsidR="009F7B69" w:rsidRPr="00AC2B48">
        <w:t>[</w:t>
      </w:r>
      <w:r w:rsidRPr="00AC2B48">
        <w:t>less than</w:t>
      </w:r>
      <w:r w:rsidR="009F7B69" w:rsidRPr="00AC2B48">
        <w:t>]</w:t>
      </w:r>
      <w:r w:rsidRPr="00AC2B48">
        <w:t xml:space="preserve"> in </w:t>
      </w:r>
      <w:r w:rsidR="0068131A">
        <w:t>Figure</w:t>
      </w:r>
      <w:r w:rsidRPr="00AC2B48">
        <w:t xml:space="preserve"> 1</w:t>
      </w:r>
      <w:r w:rsidR="000906BC" w:rsidRPr="00AC2B48">
        <w:t>.</w:t>
      </w:r>
    </w:p>
    <w:p w14:paraId="074ABF81" w14:textId="77777777" w:rsidR="0023368B" w:rsidRPr="00AC2B48" w:rsidRDefault="0023368B" w:rsidP="00B169BA">
      <w:pPr>
        <w:spacing w:after="0"/>
      </w:pPr>
    </w:p>
    <w:p w14:paraId="335A638E" w14:textId="08573F72" w:rsidR="000906BC" w:rsidRPr="00AC2B48" w:rsidRDefault="003317A6" w:rsidP="00B169BA">
      <w:pPr>
        <w:spacing w:after="0"/>
      </w:pPr>
      <w:r>
        <w:t>A</w:t>
      </w:r>
      <w:r w:rsidR="000906BC" w:rsidRPr="00AC2B48">
        <w:t>ccording to Public Health England (2011), “</w:t>
      </w:r>
      <w:r w:rsidR="003D361E">
        <w:t>i</w:t>
      </w:r>
      <w:r w:rsidR="000906BC" w:rsidRPr="00AC2B48">
        <w:t>t is important to note that Dietary Reference Values (DRVs) should be used to assess the energy requirements for large groups of people and populations but should not be applied to individuals due to the large variation in physical activity and energy expenditure observed between people.” This suggests that every individual may have unique dietary requirements and that these guidelines should be used only as a means of covering the requirements of larger groups or communities rather than being used to suggest the requirements of an individual</w:t>
      </w:r>
      <w:r w:rsidR="00C929CB" w:rsidRPr="00AC2B48">
        <w:t xml:space="preserve">, </w:t>
      </w:r>
      <w:r w:rsidR="00532BD2">
        <w:t>so for example</w:t>
      </w:r>
      <w:r w:rsidR="00C929CB" w:rsidRPr="00AC2B48">
        <w:t xml:space="preserve"> a competitive pro athlete would have a far higher energy expenditure than </w:t>
      </w:r>
      <w:r w:rsidR="00532BD2">
        <w:t>the</w:t>
      </w:r>
      <w:r w:rsidR="00C929CB" w:rsidRPr="00AC2B48">
        <w:t xml:space="preserve"> average office worker who spends the majority of the day in</w:t>
      </w:r>
      <w:r w:rsidR="00361E36">
        <w:t xml:space="preserve"> </w:t>
      </w:r>
      <w:r w:rsidR="00C929CB" w:rsidRPr="00AC2B48">
        <w:t>sedentary behaviour</w:t>
      </w:r>
      <w:r w:rsidR="00361E36">
        <w:t xml:space="preserve"> such as </w:t>
      </w:r>
      <w:r w:rsidR="0083447B">
        <w:t>being seated in a classroom environment</w:t>
      </w:r>
      <w:r w:rsidR="00954237">
        <w:t>;</w:t>
      </w:r>
      <w:r w:rsidR="00C929CB" w:rsidRPr="00AC2B48">
        <w:t xml:space="preserve"> consequently their energy requirements and caloric intake should also be increased </w:t>
      </w:r>
      <w:r w:rsidR="008E066E">
        <w:t xml:space="preserve">relative to </w:t>
      </w:r>
      <w:r w:rsidR="007B18AB">
        <w:t>their energy expenditure</w:t>
      </w:r>
      <w:r w:rsidR="00C929CB" w:rsidRPr="00AC2B48">
        <w:t>.</w:t>
      </w:r>
    </w:p>
    <w:p w14:paraId="2DAA17C1" w14:textId="223991F1" w:rsidR="000906BC" w:rsidRPr="00AC2B48" w:rsidRDefault="000906BC" w:rsidP="00D30F1F">
      <w:pPr>
        <w:spacing w:before="100" w:beforeAutospacing="1" w:after="100" w:afterAutospacing="1"/>
      </w:pPr>
      <w:r w:rsidRPr="00AC2B48">
        <w:t xml:space="preserve">The UK's DRVs </w:t>
      </w:r>
      <w:r w:rsidR="00954237">
        <w:t xml:space="preserve">have </w:t>
      </w:r>
      <w:r w:rsidRPr="00AC2B48">
        <w:t xml:space="preserve">evolved </w:t>
      </w:r>
      <w:r w:rsidR="00954237">
        <w:t>during</w:t>
      </w:r>
      <w:r w:rsidRPr="00AC2B48">
        <w:t xml:space="preserve"> the last century from nutrient recommendations aimed at preventing deficiencies in individuals to broader population-level guidelines</w:t>
      </w:r>
      <w:r w:rsidR="00B46551">
        <w:t>. This</w:t>
      </w:r>
      <w:r w:rsidRPr="00AC2B48">
        <w:t xml:space="preserve"> reflect</w:t>
      </w:r>
      <w:r w:rsidR="00B46551">
        <w:t>s</w:t>
      </w:r>
      <w:r w:rsidRPr="00AC2B48">
        <w:t xml:space="preserve"> </w:t>
      </w:r>
      <w:r w:rsidR="00E4608D">
        <w:t xml:space="preserve">the </w:t>
      </w:r>
      <w:r w:rsidRPr="00AC2B48">
        <w:t xml:space="preserve">average intake levels necessary for optimal health across a diverse population. DRVs are designed to provide evidence-based reference points for nutrient intake </w:t>
      </w:r>
      <w:r w:rsidRPr="00E4608D">
        <w:t>to maintain</w:t>
      </w:r>
      <w:r w:rsidRPr="00AC2B48">
        <w:t xml:space="preserve"> health and prevent the risk of nutritional imbalances in the general population.</w:t>
      </w:r>
    </w:p>
    <w:p w14:paraId="715E006E" w14:textId="17543677" w:rsidR="000906BC" w:rsidRPr="00AC2B48" w:rsidRDefault="000906BC" w:rsidP="00D30F1F">
      <w:pPr>
        <w:spacing w:before="100" w:beforeAutospacing="1" w:after="100" w:afterAutospacing="1"/>
      </w:pPr>
      <w:r w:rsidRPr="00AC2B48">
        <w:t>The foundation</w:t>
      </w:r>
      <w:r w:rsidR="00290F1F">
        <w:t>s</w:t>
      </w:r>
      <w:r w:rsidRPr="00AC2B48">
        <w:t xml:space="preserve"> </w:t>
      </w:r>
      <w:r w:rsidR="00BB3019">
        <w:t>of the</w:t>
      </w:r>
      <w:r w:rsidRPr="00AC2B48">
        <w:t xml:space="preserve"> dietary guidelines in the UK started to </w:t>
      </w:r>
      <w:r w:rsidR="001B0014" w:rsidRPr="00AC2B48">
        <w:t>develop and form</w:t>
      </w:r>
      <w:r w:rsidRPr="00AC2B48">
        <w:t xml:space="preserve"> during the Second World War, </w:t>
      </w:r>
      <w:r w:rsidR="00216E1D" w:rsidRPr="00AC2B48">
        <w:t>primarily due to the growing</w:t>
      </w:r>
      <w:r w:rsidRPr="00AC2B48">
        <w:t xml:space="preserve"> concern over </w:t>
      </w:r>
      <w:r w:rsidR="008A3DD1" w:rsidRPr="00AC2B48">
        <w:t xml:space="preserve">constant </w:t>
      </w:r>
      <w:r w:rsidRPr="00AC2B48">
        <w:t>food shortages</w:t>
      </w:r>
      <w:r w:rsidR="008A3DD1" w:rsidRPr="00AC2B48">
        <w:t xml:space="preserve"> caused by the </w:t>
      </w:r>
      <w:r w:rsidR="001A75A6">
        <w:t>w</w:t>
      </w:r>
      <w:r w:rsidR="008A3DD1" w:rsidRPr="00AC2B48">
        <w:t>ar</w:t>
      </w:r>
      <w:r w:rsidRPr="00AC2B48">
        <w:t xml:space="preserve"> and the knock-on effect they could have </w:t>
      </w:r>
      <w:proofErr w:type="gramStart"/>
      <w:r w:rsidR="00343209" w:rsidRPr="00AC2B48">
        <w:t>concerning</w:t>
      </w:r>
      <w:proofErr w:type="gramEnd"/>
      <w:r w:rsidRPr="00AC2B48">
        <w:t xml:space="preserve"> </w:t>
      </w:r>
      <w:r w:rsidRPr="00AC2B48">
        <w:lastRenderedPageBreak/>
        <w:t>malnutrition</w:t>
      </w:r>
      <w:r w:rsidR="009E1382" w:rsidRPr="00AC2B48">
        <w:t xml:space="preserve">, affecting both military personnel and </w:t>
      </w:r>
      <w:r w:rsidR="008A3DD1" w:rsidRPr="00AC2B48">
        <w:t>the general population</w:t>
      </w:r>
      <w:r w:rsidRPr="00AC2B48">
        <w:t xml:space="preserve">. This </w:t>
      </w:r>
      <w:r w:rsidR="007E0B92" w:rsidRPr="00AC2B48">
        <w:t>put</w:t>
      </w:r>
      <w:r w:rsidR="006209F4" w:rsidRPr="00AC2B48">
        <w:t xml:space="preserve"> </w:t>
      </w:r>
      <w:r w:rsidRPr="00AC2B48">
        <w:t>pressure</w:t>
      </w:r>
      <w:r w:rsidR="006209F4" w:rsidRPr="00AC2B48">
        <w:t xml:space="preserve"> on</w:t>
      </w:r>
      <w:r w:rsidRPr="00AC2B48">
        <w:t xml:space="preserve"> the Medical Research Council (MRC) to issue the first official dietary recommendations in 1941,</w:t>
      </w:r>
      <w:r w:rsidR="000D605D" w:rsidRPr="00AC2B48">
        <w:t xml:space="preserve"> which inevitably served</w:t>
      </w:r>
      <w:r w:rsidR="007E0B92" w:rsidRPr="00AC2B48">
        <w:t xml:space="preserve"> as</w:t>
      </w:r>
      <w:r w:rsidRPr="00AC2B48">
        <w:t xml:space="preserve"> the precursor to our </w:t>
      </w:r>
      <w:r w:rsidR="00014585" w:rsidRPr="00AC2B48">
        <w:t>modern-day</w:t>
      </w:r>
      <w:r w:rsidRPr="00AC2B48">
        <w:t xml:space="preserve"> DRVs. These guidelines focus</w:t>
      </w:r>
      <w:r w:rsidR="00CE6F89">
        <w:t>s</w:t>
      </w:r>
      <w:r w:rsidRPr="00AC2B48">
        <w:t>ed on preventing the effects of wartime austerity</w:t>
      </w:r>
      <w:r w:rsidR="00D2556B">
        <w:t xml:space="preserve"> and a</w:t>
      </w:r>
      <w:r w:rsidRPr="00AC2B48">
        <w:t>t this stage in the development of the DRVs</w:t>
      </w:r>
      <w:r w:rsidR="001F7D91">
        <w:t>,</w:t>
      </w:r>
      <w:r w:rsidR="00EB4FC9">
        <w:t xml:space="preserve"> </w:t>
      </w:r>
      <w:r w:rsidRPr="00AC2B48">
        <w:t xml:space="preserve">the </w:t>
      </w:r>
      <w:r w:rsidR="00427645" w:rsidRPr="00AC2B48">
        <w:t>primary objective</w:t>
      </w:r>
      <w:r w:rsidR="000F665D" w:rsidRPr="00AC2B48">
        <w:t xml:space="preserve"> of the </w:t>
      </w:r>
      <w:r w:rsidRPr="00AC2B48">
        <w:t>nutrition recommendations</w:t>
      </w:r>
      <w:r w:rsidR="000F665D" w:rsidRPr="00AC2B48">
        <w:t xml:space="preserve"> </w:t>
      </w:r>
      <w:r w:rsidRPr="00AC2B48">
        <w:t>was to avoid war-related deficiency diseases</w:t>
      </w:r>
      <w:r w:rsidR="000F665D" w:rsidRPr="00AC2B48">
        <w:t xml:space="preserve"> </w:t>
      </w:r>
      <w:r w:rsidR="00EB4FC9">
        <w:t>including</w:t>
      </w:r>
      <w:r w:rsidRPr="00AC2B48">
        <w:t xml:space="preserve"> scurvy and rickets (MRC, 1941)</w:t>
      </w:r>
      <w:r w:rsidR="00D57703">
        <w:t>.</w:t>
      </w:r>
    </w:p>
    <w:p w14:paraId="3E437A71" w14:textId="02DCCA64" w:rsidR="000906BC" w:rsidRPr="00AC2B48" w:rsidRDefault="000906BC" w:rsidP="00D30F1F">
      <w:pPr>
        <w:spacing w:before="100" w:beforeAutospacing="1" w:after="100" w:afterAutospacing="1"/>
      </w:pPr>
      <w:r w:rsidRPr="00AC2B48">
        <w:t>In the 1960s and 1970s</w:t>
      </w:r>
      <w:r w:rsidR="0009302A" w:rsidRPr="00AC2B48">
        <w:t xml:space="preserve"> </w:t>
      </w:r>
      <w:r w:rsidR="0009302A" w:rsidRPr="00AC2B48">
        <w:t>as the understanding of nutrition grew</w:t>
      </w:r>
      <w:r w:rsidRPr="00AC2B48">
        <w:t xml:space="preserve">, the UK began to look </w:t>
      </w:r>
      <w:r w:rsidR="00EA0FEA" w:rsidRPr="00AC2B48">
        <w:t>beyond the realms of</w:t>
      </w:r>
      <w:r w:rsidRPr="00AC2B48">
        <w:t xml:space="preserve"> deficiency disease prevention</w:t>
      </w:r>
      <w:r w:rsidR="0009302A" w:rsidRPr="00AC2B48">
        <w:t xml:space="preserve"> and started to</w:t>
      </w:r>
      <w:r w:rsidRPr="00AC2B48">
        <w:t xml:space="preserve"> incorporate</w:t>
      </w:r>
      <w:r w:rsidR="0009302A" w:rsidRPr="00AC2B48">
        <w:t xml:space="preserve"> recommendations for</w:t>
      </w:r>
      <w:r w:rsidRPr="00AC2B48">
        <w:t xml:space="preserve"> chronic disease prevention. During this time the Department of Health and Social Security (DHSS) published more detailed dietary guidelines which emphasi</w:t>
      </w:r>
      <w:r w:rsidR="00E7732A" w:rsidRPr="00AC2B48">
        <w:t>s</w:t>
      </w:r>
      <w:r w:rsidRPr="00AC2B48">
        <w:t>ed the</w:t>
      </w:r>
      <w:r w:rsidR="00A7748B" w:rsidRPr="00AC2B48">
        <w:t xml:space="preserve"> importance of the</w:t>
      </w:r>
      <w:r w:rsidRPr="00AC2B48">
        <w:t xml:space="preserve"> balance of nutrients and energy required to promote overall health.</w:t>
      </w:r>
      <w:r w:rsidR="000344D3">
        <w:t xml:space="preserve"> The publication was </w:t>
      </w:r>
      <w:r w:rsidR="00EC5828">
        <w:t>commissioned</w:t>
      </w:r>
      <w:r w:rsidRPr="00AC2B48">
        <w:t xml:space="preserve"> </w:t>
      </w:r>
      <w:r w:rsidR="00002AB9" w:rsidRPr="00AC2B48">
        <w:t xml:space="preserve">to address a much broader range of nutrients and to ensure the general population </w:t>
      </w:r>
      <w:r w:rsidR="004E489C">
        <w:t>was</w:t>
      </w:r>
      <w:r w:rsidR="00002AB9" w:rsidRPr="00AC2B48">
        <w:t xml:space="preserve"> meeting their dietary requirements</w:t>
      </w:r>
      <w:r w:rsidR="00A22E68">
        <w:t xml:space="preserve">. </w:t>
      </w:r>
      <w:r w:rsidR="00A7748B" w:rsidRPr="00AC2B48">
        <w:t>(</w:t>
      </w:r>
      <w:r w:rsidRPr="00AC2B48">
        <w:t>Department of Health and Social Security, 1979)</w:t>
      </w:r>
      <w:r w:rsidR="00874D2D">
        <w:t>.</w:t>
      </w:r>
    </w:p>
    <w:p w14:paraId="3DBD0BE8" w14:textId="01505BC2" w:rsidR="000906BC" w:rsidRPr="00AC2B48" w:rsidRDefault="000906BC" w:rsidP="00D30F1F">
      <w:pPr>
        <w:spacing w:before="100" w:beforeAutospacing="1" w:after="100" w:afterAutospacing="1"/>
      </w:pPr>
      <w:r w:rsidRPr="00AC2B48">
        <w:t xml:space="preserve">In the 1980s, the UK adopted the concept of Recommended Dietary Allowances (RDAs) in accordance with international standards, which were designed to meet the nutritional requirements of most of the population. These RDAs, based on research conducted </w:t>
      </w:r>
      <w:r w:rsidR="002E6254">
        <w:t>in the US</w:t>
      </w:r>
      <w:r w:rsidR="00773826">
        <w:t>A</w:t>
      </w:r>
      <w:r w:rsidRPr="00AC2B48">
        <w:t xml:space="preserve">, provided more specific guidelines for </w:t>
      </w:r>
      <w:r w:rsidR="00773826">
        <w:t xml:space="preserve">such </w:t>
      </w:r>
      <w:r w:rsidRPr="00AC2B48">
        <w:t>key nutrients as vitamins, minerals and macronutrients (</w:t>
      </w:r>
      <w:r w:rsidR="00773826">
        <w:t>HM</w:t>
      </w:r>
      <w:r w:rsidRPr="00AC2B48">
        <w:t xml:space="preserve"> Stationery Office, 1989)</w:t>
      </w:r>
      <w:r w:rsidR="00874D2D">
        <w:t>.</w:t>
      </w:r>
    </w:p>
    <w:p w14:paraId="187E885E" w14:textId="0846D740" w:rsidR="000906BC" w:rsidRPr="00AC2B48" w:rsidRDefault="000906BC" w:rsidP="00D30F1F">
      <w:pPr>
        <w:spacing w:before="100" w:beforeAutospacing="1" w:after="100" w:afterAutospacing="1"/>
      </w:pPr>
      <w:r w:rsidRPr="00AC2B48">
        <w:t>In the 1990s, the UK converted from RDAs to Reference Nutrient Intakes (RNIs). The Food Standards Agency (FSA), established in 2000, adopted the responsibility of reviewing and updating dietary recommendations. The shift from RDAs to RNIs focused on average nutrient intake requirements that would meet the needs of a suggested 97.5% of the population. This change also reflected a more nuanced understanding of how nutrients are utili</w:t>
      </w:r>
      <w:r w:rsidR="00AC1592">
        <w:t>s</w:t>
      </w:r>
      <w:r w:rsidRPr="00AC2B48">
        <w:t>ed across diverse populations. (Food Standards Agency, 2001)</w:t>
      </w:r>
    </w:p>
    <w:p w14:paraId="33B50F1E" w14:textId="062401C7" w:rsidR="00783972" w:rsidRPr="00AC2B48" w:rsidRDefault="000906BC" w:rsidP="00D30F1F">
      <w:pPr>
        <w:spacing w:before="100" w:beforeAutospacing="1" w:after="100" w:afterAutospacing="1"/>
      </w:pPr>
      <w:r w:rsidRPr="00AC2B48">
        <w:t xml:space="preserve">Since the early 2000s, DRVs have evolved to include not just vitamins and minerals, but also broader health considerations, including </w:t>
      </w:r>
      <w:r w:rsidR="00512E0E" w:rsidRPr="00AC2B48">
        <w:t xml:space="preserve">macronutrient intakes such as </w:t>
      </w:r>
      <w:r w:rsidRPr="00AC2B48">
        <w:t>energy</w:t>
      </w:r>
      <w:r w:rsidR="00512E0E" w:rsidRPr="00AC2B48">
        <w:t xml:space="preserve">, </w:t>
      </w:r>
      <w:r w:rsidRPr="00AC2B48">
        <w:t xml:space="preserve">fat, protein, and carbohydrate balance. The DRVs </w:t>
      </w:r>
      <w:r w:rsidR="00E654EE" w:rsidRPr="00AC2B48">
        <w:t xml:space="preserve">have now adapted to </w:t>
      </w:r>
      <w:r w:rsidRPr="00AC2B48">
        <w:t xml:space="preserve">aim to prevent malnutrition for not only a lack of nutrition but also an excess. This shows a pattern </w:t>
      </w:r>
      <w:r w:rsidR="00103A08" w:rsidRPr="00AC2B48">
        <w:t xml:space="preserve">which is </w:t>
      </w:r>
      <w:r w:rsidRPr="00AC2B48">
        <w:t>consistent with the growing concerns for public health regarding obesity, diabetes, and cardiovascular disease</w:t>
      </w:r>
      <w:r w:rsidR="00025EAA" w:rsidRPr="00AC2B48">
        <w:t>, also known as non-communicable diseases (NCDs)</w:t>
      </w:r>
      <w:r w:rsidRPr="00AC2B48">
        <w:t xml:space="preserve"> in the UK. The Scientific Advisory Committee on Nutrition (SACN) reports regularly review the latest</w:t>
      </w:r>
      <w:r w:rsidR="008575BA" w:rsidRPr="00AC2B48">
        <w:t xml:space="preserve"> available</w:t>
      </w:r>
      <w:r w:rsidRPr="00AC2B48">
        <w:t xml:space="preserve"> scientific evidence to ensure the guidelines are based on the</w:t>
      </w:r>
      <w:r w:rsidR="00025EAA" w:rsidRPr="00AC2B48">
        <w:t xml:space="preserve"> m</w:t>
      </w:r>
      <w:r w:rsidR="00405DCC" w:rsidRPr="00AC2B48">
        <w:t xml:space="preserve">ost up-to-date </w:t>
      </w:r>
      <w:r w:rsidR="00C35ABA" w:rsidRPr="00AC2B48">
        <w:t>information</w:t>
      </w:r>
      <w:r w:rsidRPr="00AC2B48">
        <w:t xml:space="preserve"> and continue to play a key role in updating these values through data obtained from this research.</w:t>
      </w:r>
      <w:r w:rsidR="002672FE" w:rsidRPr="00AC2B48">
        <w:t xml:space="preserve"> </w:t>
      </w:r>
      <w:r w:rsidRPr="00AC2B48">
        <w:t>(Department of Health, 2011)</w:t>
      </w:r>
    </w:p>
    <w:p w14:paraId="4BD769F4" w14:textId="77777777" w:rsidR="00355B2F" w:rsidRDefault="00355B2F">
      <w:r>
        <w:br w:type="page"/>
      </w:r>
    </w:p>
    <w:p w14:paraId="134E99AD" w14:textId="6A4DC4A2" w:rsidR="00E31225" w:rsidRPr="00AC2B48" w:rsidRDefault="00E31225" w:rsidP="00D30F1F">
      <w:pPr>
        <w:spacing w:before="100" w:beforeAutospacing="1" w:after="100" w:afterAutospacing="1"/>
      </w:pPr>
      <w:r w:rsidRPr="00AC2B48">
        <w:lastRenderedPageBreak/>
        <w:t>Figure 2</w:t>
      </w:r>
      <w:r w:rsidR="003830AC" w:rsidRPr="00AC2B48">
        <w:t xml:space="preserve"> </w:t>
      </w:r>
      <w:r w:rsidR="00F7611C">
        <w:t xml:space="preserve">- </w:t>
      </w:r>
      <w:r w:rsidR="00C41C98" w:rsidRPr="00AC2B48">
        <w:t xml:space="preserve">The Balance </w:t>
      </w:r>
      <w:r w:rsidR="00355B2F">
        <w:t>of</w:t>
      </w:r>
      <w:r w:rsidR="00C41C98" w:rsidRPr="00AC2B48">
        <w:t xml:space="preserve"> Good Health</w:t>
      </w:r>
      <w:r w:rsidR="00726B6B">
        <w:t xml:space="preserve"> </w:t>
      </w:r>
      <w:r w:rsidR="0096098D">
        <w:t>(1994)</w:t>
      </w:r>
    </w:p>
    <w:p w14:paraId="250A0D95" w14:textId="7F2CDC33" w:rsidR="0026550B" w:rsidRPr="00AC2B48" w:rsidRDefault="003F015C" w:rsidP="00AC1592">
      <w:pPr>
        <w:spacing w:before="100" w:beforeAutospacing="1" w:after="100" w:afterAutospacing="1"/>
        <w:jc w:val="center"/>
      </w:pPr>
      <w:r w:rsidRPr="00AC2B48">
        <w:rPr>
          <w:noProof/>
        </w:rPr>
        <w:drawing>
          <wp:inline distT="0" distB="0" distL="0" distR="0" wp14:anchorId="71C524A8" wp14:editId="22D4DEA3">
            <wp:extent cx="4102100" cy="2931635"/>
            <wp:effectExtent l="0" t="0" r="0" b="2540"/>
            <wp:docPr id="395481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3853" cy="2990061"/>
                    </a:xfrm>
                    <a:prstGeom prst="rect">
                      <a:avLst/>
                    </a:prstGeom>
                    <a:noFill/>
                  </pic:spPr>
                </pic:pic>
              </a:graphicData>
            </a:graphic>
          </wp:inline>
        </w:drawing>
      </w:r>
    </w:p>
    <w:p w14:paraId="5D5B31F1" w14:textId="2300A30D" w:rsidR="003F015C" w:rsidRPr="00AC2B48" w:rsidRDefault="003F015C" w:rsidP="00D30F1F">
      <w:pPr>
        <w:spacing w:before="100" w:beforeAutospacing="1" w:after="100" w:afterAutospacing="1"/>
      </w:pPr>
      <w:r w:rsidRPr="00AC2B48">
        <w:t>Source: (</w:t>
      </w:r>
      <w:r w:rsidR="00653D2A" w:rsidRPr="00AC2B48">
        <w:t>Henderson, 2023)</w:t>
      </w:r>
    </w:p>
    <w:p w14:paraId="22C1E337" w14:textId="77777777" w:rsidR="00044AA9" w:rsidRPr="00AC2B48" w:rsidRDefault="00044AA9" w:rsidP="00D30F1F">
      <w:pPr>
        <w:spacing w:before="100" w:beforeAutospacing="1" w:after="100" w:afterAutospacing="1"/>
      </w:pPr>
    </w:p>
    <w:p w14:paraId="4F02117E" w14:textId="74D08EED" w:rsidR="0039706D" w:rsidRPr="00AC2B48" w:rsidRDefault="0039706D" w:rsidP="00D30F1F">
      <w:pPr>
        <w:spacing w:before="100" w:beforeAutospacing="1" w:after="100" w:afterAutospacing="1"/>
      </w:pPr>
      <w:r w:rsidRPr="00AC2B48">
        <w:t>Figure 3</w:t>
      </w:r>
      <w:r w:rsidR="00C41C98" w:rsidRPr="00AC2B48">
        <w:t xml:space="preserve"> </w:t>
      </w:r>
      <w:r w:rsidR="00814920" w:rsidRPr="00AC2B48">
        <w:t>-</w:t>
      </w:r>
      <w:r w:rsidR="000D7CE0" w:rsidRPr="00AC2B48">
        <w:t xml:space="preserve"> the</w:t>
      </w:r>
      <w:r w:rsidR="00814920" w:rsidRPr="00AC2B48">
        <w:t xml:space="preserve"> Eat Well Plate</w:t>
      </w:r>
      <w:r w:rsidR="0096098D">
        <w:t xml:space="preserve"> (2007)</w:t>
      </w:r>
    </w:p>
    <w:p w14:paraId="64D175FE" w14:textId="32D29B53" w:rsidR="006E76FC" w:rsidRPr="00AC2B48" w:rsidRDefault="00A81DCA" w:rsidP="00B87F0B">
      <w:pPr>
        <w:spacing w:before="100" w:beforeAutospacing="1" w:after="100" w:afterAutospacing="1"/>
        <w:jc w:val="center"/>
      </w:pPr>
      <w:r w:rsidRPr="00AC2B48">
        <w:rPr>
          <w:noProof/>
        </w:rPr>
        <w:drawing>
          <wp:inline distT="0" distB="0" distL="0" distR="0" wp14:anchorId="10915C47" wp14:editId="25E85FB2">
            <wp:extent cx="4013200" cy="2868100"/>
            <wp:effectExtent l="0" t="0" r="6350" b="8890"/>
            <wp:docPr id="8222334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0512" cy="2901912"/>
                    </a:xfrm>
                    <a:prstGeom prst="rect">
                      <a:avLst/>
                    </a:prstGeom>
                    <a:noFill/>
                  </pic:spPr>
                </pic:pic>
              </a:graphicData>
            </a:graphic>
          </wp:inline>
        </w:drawing>
      </w:r>
    </w:p>
    <w:p w14:paraId="3B4EF8B0" w14:textId="7A4BE576" w:rsidR="00A81DCA" w:rsidRPr="00AC2B48" w:rsidRDefault="00A81DCA" w:rsidP="00D30F1F">
      <w:pPr>
        <w:spacing w:before="100" w:beforeAutospacing="1" w:after="100" w:afterAutospacing="1"/>
      </w:pPr>
      <w:r w:rsidRPr="00AC2B48">
        <w:t>Source: (</w:t>
      </w:r>
      <w:r w:rsidR="00123C8D" w:rsidRPr="00AC2B48">
        <w:t>Henderson</w:t>
      </w:r>
      <w:r w:rsidR="00653D2A" w:rsidRPr="00AC2B48">
        <w:t>, 2023)</w:t>
      </w:r>
    </w:p>
    <w:p w14:paraId="148A7F4D" w14:textId="77777777" w:rsidR="00B87F0B" w:rsidRDefault="00B87F0B">
      <w:r>
        <w:br w:type="page"/>
      </w:r>
    </w:p>
    <w:p w14:paraId="7129FB22" w14:textId="2CCB766A" w:rsidR="00A81DCA" w:rsidRPr="00AC2B48" w:rsidRDefault="00A81DCA" w:rsidP="00D30F1F">
      <w:pPr>
        <w:spacing w:before="100" w:beforeAutospacing="1" w:after="100" w:afterAutospacing="1"/>
      </w:pPr>
      <w:r w:rsidRPr="00AC2B48">
        <w:lastRenderedPageBreak/>
        <w:t>Figure 4</w:t>
      </w:r>
      <w:r w:rsidR="00814920" w:rsidRPr="00AC2B48">
        <w:t xml:space="preserve"> </w:t>
      </w:r>
      <w:r w:rsidR="00726B6B">
        <w:t xml:space="preserve">- </w:t>
      </w:r>
      <w:r w:rsidR="000D7CE0" w:rsidRPr="00AC2B48">
        <w:t>The Eat Well Guide</w:t>
      </w:r>
      <w:r w:rsidR="0096098D">
        <w:t xml:space="preserve"> (2016)</w:t>
      </w:r>
    </w:p>
    <w:p w14:paraId="6279C67C" w14:textId="68D0CC62" w:rsidR="00EB3B18" w:rsidRPr="00AC2B48" w:rsidRDefault="008067EF" w:rsidP="00B87F0B">
      <w:pPr>
        <w:spacing w:before="100" w:beforeAutospacing="1" w:after="100" w:afterAutospacing="1"/>
        <w:jc w:val="center"/>
      </w:pPr>
      <w:r w:rsidRPr="00AC2B48">
        <w:rPr>
          <w:noProof/>
        </w:rPr>
        <w:drawing>
          <wp:inline distT="0" distB="0" distL="0" distR="0" wp14:anchorId="36AD6AAB" wp14:editId="19188B51">
            <wp:extent cx="4159250" cy="2972477"/>
            <wp:effectExtent l="0" t="0" r="0" b="0"/>
            <wp:docPr id="17221696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71305" cy="2981092"/>
                    </a:xfrm>
                    <a:prstGeom prst="rect">
                      <a:avLst/>
                    </a:prstGeom>
                    <a:noFill/>
                  </pic:spPr>
                </pic:pic>
              </a:graphicData>
            </a:graphic>
          </wp:inline>
        </w:drawing>
      </w:r>
    </w:p>
    <w:p w14:paraId="16FC6F09" w14:textId="2D0040DF" w:rsidR="00C7029F" w:rsidRPr="00AC2B48" w:rsidRDefault="00EB3B18" w:rsidP="00D30F1F">
      <w:pPr>
        <w:spacing w:before="100" w:beforeAutospacing="1" w:after="100" w:afterAutospacing="1"/>
      </w:pPr>
      <w:r w:rsidRPr="00AC2B48">
        <w:t>Source: (</w:t>
      </w:r>
      <w:r w:rsidR="00123C8D" w:rsidRPr="00AC2B48">
        <w:t>Henderson, 2023)</w:t>
      </w:r>
    </w:p>
    <w:p w14:paraId="10D29900" w14:textId="77777777" w:rsidR="001F721E" w:rsidRDefault="00BE082C" w:rsidP="00D30F1F">
      <w:pPr>
        <w:pStyle w:val="NormalWeb"/>
        <w:rPr>
          <w:rFonts w:asciiTheme="minorHAnsi" w:hAnsiTheme="minorHAnsi"/>
        </w:rPr>
      </w:pPr>
      <w:r w:rsidRPr="00AC2B48">
        <w:rPr>
          <w:rFonts w:asciiTheme="minorHAnsi" w:hAnsiTheme="minorHAnsi"/>
        </w:rPr>
        <w:t>The</w:t>
      </w:r>
      <w:r w:rsidR="00E43DC2" w:rsidRPr="00AC2B48">
        <w:rPr>
          <w:rFonts w:asciiTheme="minorHAnsi" w:hAnsiTheme="minorHAnsi"/>
        </w:rPr>
        <w:t xml:space="preserve"> </w:t>
      </w:r>
      <w:r w:rsidR="00C35ABA" w:rsidRPr="00AC2B48">
        <w:rPr>
          <w:rFonts w:asciiTheme="minorHAnsi" w:hAnsiTheme="minorHAnsi"/>
        </w:rPr>
        <w:t xml:space="preserve">main </w:t>
      </w:r>
      <w:r w:rsidR="00E43DC2" w:rsidRPr="00AC2B48">
        <w:rPr>
          <w:rFonts w:asciiTheme="minorHAnsi" w:hAnsiTheme="minorHAnsi"/>
        </w:rPr>
        <w:t>purpose of the</w:t>
      </w:r>
      <w:r w:rsidRPr="00AC2B48">
        <w:rPr>
          <w:rFonts w:asciiTheme="minorHAnsi" w:hAnsiTheme="minorHAnsi"/>
        </w:rPr>
        <w:t xml:space="preserve"> Eat Well Guide</w:t>
      </w:r>
      <w:r w:rsidR="00F83CC1" w:rsidRPr="00AC2B48">
        <w:rPr>
          <w:rFonts w:asciiTheme="minorHAnsi" w:hAnsiTheme="minorHAnsi"/>
        </w:rPr>
        <w:t xml:space="preserve"> shown in </w:t>
      </w:r>
      <w:r w:rsidR="00EC2728">
        <w:rPr>
          <w:rFonts w:asciiTheme="minorHAnsi" w:hAnsiTheme="minorHAnsi"/>
        </w:rPr>
        <w:t>Figure</w:t>
      </w:r>
      <w:r w:rsidR="00F83CC1" w:rsidRPr="00AC2B48">
        <w:rPr>
          <w:rFonts w:asciiTheme="minorHAnsi" w:hAnsiTheme="minorHAnsi"/>
        </w:rPr>
        <w:t xml:space="preserve"> 4</w:t>
      </w:r>
      <w:r w:rsidR="00E43DC2" w:rsidRPr="00AC2B48">
        <w:rPr>
          <w:rFonts w:asciiTheme="minorHAnsi" w:hAnsiTheme="minorHAnsi"/>
        </w:rPr>
        <w:t xml:space="preserve"> is to</w:t>
      </w:r>
      <w:r w:rsidRPr="00AC2B48">
        <w:rPr>
          <w:rFonts w:asciiTheme="minorHAnsi" w:hAnsiTheme="minorHAnsi"/>
        </w:rPr>
        <w:t xml:space="preserve"> </w:t>
      </w:r>
      <w:r w:rsidR="00E03A33" w:rsidRPr="00AC2B48">
        <w:rPr>
          <w:rFonts w:asciiTheme="minorHAnsi" w:hAnsiTheme="minorHAnsi"/>
        </w:rPr>
        <w:t>promote</w:t>
      </w:r>
      <w:r w:rsidRPr="00AC2B48">
        <w:rPr>
          <w:rFonts w:asciiTheme="minorHAnsi" w:hAnsiTheme="minorHAnsi"/>
        </w:rPr>
        <w:t xml:space="preserve"> healthy eating habits within the</w:t>
      </w:r>
      <w:r w:rsidR="00520D00" w:rsidRPr="00AC2B48">
        <w:rPr>
          <w:rFonts w:asciiTheme="minorHAnsi" w:hAnsiTheme="minorHAnsi"/>
        </w:rPr>
        <w:t xml:space="preserve"> general population in the</w:t>
      </w:r>
      <w:r w:rsidRPr="00AC2B48">
        <w:rPr>
          <w:rFonts w:asciiTheme="minorHAnsi" w:hAnsiTheme="minorHAnsi"/>
        </w:rPr>
        <w:t xml:space="preserve"> U</w:t>
      </w:r>
      <w:r w:rsidR="00E03A33" w:rsidRPr="00AC2B48">
        <w:rPr>
          <w:rFonts w:asciiTheme="minorHAnsi" w:hAnsiTheme="minorHAnsi"/>
        </w:rPr>
        <w:t>K</w:t>
      </w:r>
      <w:r w:rsidRPr="00AC2B48">
        <w:rPr>
          <w:rFonts w:asciiTheme="minorHAnsi" w:hAnsiTheme="minorHAnsi"/>
        </w:rPr>
        <w:t xml:space="preserve">. </w:t>
      </w:r>
      <w:r w:rsidR="00E03A33" w:rsidRPr="00AC2B48">
        <w:rPr>
          <w:rFonts w:asciiTheme="minorHAnsi" w:hAnsiTheme="minorHAnsi"/>
        </w:rPr>
        <w:t>It was designed and d</w:t>
      </w:r>
      <w:r w:rsidRPr="00AC2B48">
        <w:rPr>
          <w:rFonts w:asciiTheme="minorHAnsi" w:hAnsiTheme="minorHAnsi"/>
        </w:rPr>
        <w:t>eveloped to replace the earlier Eatwell Plate</w:t>
      </w:r>
      <w:r w:rsidR="00F83CC1" w:rsidRPr="00AC2B48">
        <w:rPr>
          <w:rFonts w:asciiTheme="minorHAnsi" w:hAnsiTheme="minorHAnsi"/>
        </w:rPr>
        <w:t xml:space="preserve"> shown in </w:t>
      </w:r>
      <w:r w:rsidR="00EC2728">
        <w:rPr>
          <w:rFonts w:asciiTheme="minorHAnsi" w:hAnsiTheme="minorHAnsi"/>
        </w:rPr>
        <w:t>Figure</w:t>
      </w:r>
      <w:r w:rsidR="00F83CC1" w:rsidRPr="00AC2B48">
        <w:rPr>
          <w:rFonts w:asciiTheme="minorHAnsi" w:hAnsiTheme="minorHAnsi"/>
        </w:rPr>
        <w:t xml:space="preserve"> 3</w:t>
      </w:r>
      <w:r w:rsidRPr="00AC2B48">
        <w:rPr>
          <w:rFonts w:asciiTheme="minorHAnsi" w:hAnsiTheme="minorHAnsi"/>
        </w:rPr>
        <w:t xml:space="preserve"> </w:t>
      </w:r>
      <w:r w:rsidR="009E24F3" w:rsidRPr="00AC2B48">
        <w:rPr>
          <w:rFonts w:asciiTheme="minorHAnsi" w:hAnsiTheme="minorHAnsi"/>
        </w:rPr>
        <w:t xml:space="preserve">and </w:t>
      </w:r>
      <w:r w:rsidRPr="00AC2B48">
        <w:rPr>
          <w:rFonts w:asciiTheme="minorHAnsi" w:hAnsiTheme="minorHAnsi"/>
        </w:rPr>
        <w:t>represents a balanced diet through five main food group</w:t>
      </w:r>
      <w:r w:rsidR="0065083E" w:rsidRPr="00AC2B48">
        <w:rPr>
          <w:rFonts w:asciiTheme="minorHAnsi" w:hAnsiTheme="minorHAnsi"/>
        </w:rPr>
        <w:t>s including</w:t>
      </w:r>
      <w:r w:rsidRPr="00AC2B48">
        <w:rPr>
          <w:rFonts w:asciiTheme="minorHAnsi" w:hAnsiTheme="minorHAnsi"/>
        </w:rPr>
        <w:t xml:space="preserve"> fruits and vegetables, starchy foods, proteins, dairy alternatives, and oils and spreads. </w:t>
      </w:r>
    </w:p>
    <w:p w14:paraId="01CAFF9D" w14:textId="3C1F1E1A" w:rsidR="00212766" w:rsidRPr="00AC2B48" w:rsidRDefault="00BE082C" w:rsidP="00D30F1F">
      <w:pPr>
        <w:pStyle w:val="NormalWeb"/>
        <w:rPr>
          <w:rFonts w:asciiTheme="minorHAnsi" w:hAnsiTheme="minorHAnsi"/>
        </w:rPr>
      </w:pPr>
      <w:r w:rsidRPr="00AC2B48">
        <w:rPr>
          <w:rFonts w:asciiTheme="minorHAnsi" w:hAnsiTheme="minorHAnsi"/>
        </w:rPr>
        <w:t>This evolution</w:t>
      </w:r>
      <w:r w:rsidR="006C115B" w:rsidRPr="00AC2B48">
        <w:rPr>
          <w:rFonts w:asciiTheme="minorHAnsi" w:hAnsiTheme="minorHAnsi"/>
        </w:rPr>
        <w:t xml:space="preserve"> of the Eat Well Guide</w:t>
      </w:r>
      <w:r w:rsidRPr="00AC2B48">
        <w:rPr>
          <w:rFonts w:asciiTheme="minorHAnsi" w:hAnsiTheme="minorHAnsi"/>
        </w:rPr>
        <w:t xml:space="preserve"> not only</w:t>
      </w:r>
      <w:r w:rsidR="008169B0" w:rsidRPr="00AC2B48">
        <w:rPr>
          <w:rFonts w:asciiTheme="minorHAnsi" w:hAnsiTheme="minorHAnsi"/>
        </w:rPr>
        <w:t xml:space="preserve"> reflects </w:t>
      </w:r>
      <w:r w:rsidRPr="00AC2B48">
        <w:rPr>
          <w:rFonts w:asciiTheme="minorHAnsi" w:hAnsiTheme="minorHAnsi"/>
        </w:rPr>
        <w:t>changes in dietary recommendations but also</w:t>
      </w:r>
      <w:r w:rsidR="008169B0" w:rsidRPr="00AC2B48">
        <w:rPr>
          <w:rFonts w:asciiTheme="minorHAnsi" w:hAnsiTheme="minorHAnsi"/>
        </w:rPr>
        <w:t xml:space="preserve"> demonstrates</w:t>
      </w:r>
      <w:r w:rsidRPr="00AC2B48">
        <w:rPr>
          <w:rFonts w:asciiTheme="minorHAnsi" w:hAnsiTheme="minorHAnsi"/>
        </w:rPr>
        <w:t xml:space="preserve"> a growing awareness of health issues related to nutrition. The guidance aims to foster healthy eating patterns among diverse populations while addressing public health challenges such as obesity and malnutrition (Medici, 2023). </w:t>
      </w:r>
      <w:r w:rsidR="009139E9" w:rsidRPr="00AC2B48">
        <w:rPr>
          <w:rFonts w:asciiTheme="minorHAnsi" w:hAnsiTheme="minorHAnsi"/>
        </w:rPr>
        <w:t>T</w:t>
      </w:r>
      <w:r w:rsidRPr="00AC2B48">
        <w:rPr>
          <w:rFonts w:asciiTheme="minorHAnsi" w:hAnsiTheme="minorHAnsi"/>
        </w:rPr>
        <w:t>he guide underscores the importance of portion control and variety in diet to ensure individuals receive essential nutrients</w:t>
      </w:r>
      <w:r w:rsidR="009139E9" w:rsidRPr="00AC2B48">
        <w:rPr>
          <w:rFonts w:asciiTheme="minorHAnsi" w:hAnsiTheme="minorHAnsi"/>
        </w:rPr>
        <w:t xml:space="preserve"> and serves as </w:t>
      </w:r>
      <w:r w:rsidR="006B19C2" w:rsidRPr="00AC2B48">
        <w:rPr>
          <w:rFonts w:asciiTheme="minorHAnsi" w:hAnsiTheme="minorHAnsi"/>
        </w:rPr>
        <w:t>an educational tool.</w:t>
      </w:r>
    </w:p>
    <w:p w14:paraId="203D3DAA" w14:textId="018495FF" w:rsidR="00BE082C" w:rsidRPr="00AC2B48" w:rsidRDefault="00BE082C" w:rsidP="00D30F1F">
      <w:pPr>
        <w:pStyle w:val="NormalWeb"/>
        <w:rPr>
          <w:rFonts w:asciiTheme="minorHAnsi" w:hAnsiTheme="minorHAnsi"/>
        </w:rPr>
      </w:pPr>
      <w:r w:rsidRPr="00AC2B48">
        <w:rPr>
          <w:rFonts w:asciiTheme="minorHAnsi" w:hAnsiTheme="minorHAnsi"/>
        </w:rPr>
        <w:t xml:space="preserve">Over time, the Eat Well Guide has undergone significant modifications based on emerging nutritional science and public health needs. Initially introduced in </w:t>
      </w:r>
      <w:r w:rsidR="00A64233" w:rsidRPr="00AC2B48">
        <w:rPr>
          <w:rFonts w:asciiTheme="minorHAnsi" w:hAnsiTheme="minorHAnsi"/>
        </w:rPr>
        <w:t xml:space="preserve">1994 as the </w:t>
      </w:r>
      <w:r w:rsidR="0074364A" w:rsidRPr="00AC2B48">
        <w:rPr>
          <w:rFonts w:asciiTheme="minorHAnsi" w:hAnsiTheme="minorHAnsi"/>
        </w:rPr>
        <w:t xml:space="preserve">Balance </w:t>
      </w:r>
      <w:r w:rsidR="0096098D" w:rsidRPr="00AC2B48">
        <w:rPr>
          <w:rFonts w:asciiTheme="minorHAnsi" w:hAnsiTheme="minorHAnsi"/>
        </w:rPr>
        <w:t>of</w:t>
      </w:r>
      <w:r w:rsidR="0074364A" w:rsidRPr="00AC2B48">
        <w:rPr>
          <w:rFonts w:asciiTheme="minorHAnsi" w:hAnsiTheme="minorHAnsi"/>
        </w:rPr>
        <w:t xml:space="preserve"> Good Health (shown in </w:t>
      </w:r>
      <w:r w:rsidR="00235366">
        <w:rPr>
          <w:rFonts w:asciiTheme="minorHAnsi" w:hAnsiTheme="minorHAnsi"/>
        </w:rPr>
        <w:t>Figure</w:t>
      </w:r>
      <w:r w:rsidR="0074364A" w:rsidRPr="00AC2B48">
        <w:rPr>
          <w:rFonts w:asciiTheme="minorHAnsi" w:hAnsiTheme="minorHAnsi"/>
        </w:rPr>
        <w:t xml:space="preserve"> 2) and then </w:t>
      </w:r>
      <w:r w:rsidR="00D200BE" w:rsidRPr="00AC2B48">
        <w:rPr>
          <w:rFonts w:asciiTheme="minorHAnsi" w:hAnsiTheme="minorHAnsi"/>
        </w:rPr>
        <w:t xml:space="preserve">in </w:t>
      </w:r>
      <w:r w:rsidRPr="00AC2B48">
        <w:rPr>
          <w:rFonts w:asciiTheme="minorHAnsi" w:hAnsiTheme="minorHAnsi"/>
        </w:rPr>
        <w:t xml:space="preserve">2007 as the Eatwell Plate, its </w:t>
      </w:r>
      <w:r w:rsidR="00D200BE" w:rsidRPr="00AC2B48">
        <w:rPr>
          <w:rFonts w:asciiTheme="minorHAnsi" w:hAnsiTheme="minorHAnsi"/>
        </w:rPr>
        <w:t xml:space="preserve">gradual </w:t>
      </w:r>
      <w:r w:rsidRPr="00AC2B48">
        <w:rPr>
          <w:rFonts w:asciiTheme="minorHAnsi" w:hAnsiTheme="minorHAnsi"/>
        </w:rPr>
        <w:t xml:space="preserve">transformation into the current guide illustrates a shift towards integrating sustainability with health considerations (Leslie et al., 2013). The updated guide </w:t>
      </w:r>
      <w:r w:rsidR="006F4DB0" w:rsidRPr="00AC2B48">
        <w:rPr>
          <w:rFonts w:asciiTheme="minorHAnsi" w:hAnsiTheme="minorHAnsi"/>
        </w:rPr>
        <w:t>not only</w:t>
      </w:r>
      <w:r w:rsidR="005F669A" w:rsidRPr="00AC2B48">
        <w:rPr>
          <w:rFonts w:asciiTheme="minorHAnsi" w:hAnsiTheme="minorHAnsi"/>
        </w:rPr>
        <w:t xml:space="preserve"> puts</w:t>
      </w:r>
      <w:r w:rsidR="006F4DB0" w:rsidRPr="00AC2B48">
        <w:rPr>
          <w:rFonts w:asciiTheme="minorHAnsi" w:hAnsiTheme="minorHAnsi"/>
        </w:rPr>
        <w:t xml:space="preserve"> </w:t>
      </w:r>
      <w:r w:rsidR="00184CAA" w:rsidRPr="00AC2B48">
        <w:rPr>
          <w:rFonts w:asciiTheme="minorHAnsi" w:hAnsiTheme="minorHAnsi"/>
        </w:rPr>
        <w:t>emphasi</w:t>
      </w:r>
      <w:r w:rsidR="005F669A" w:rsidRPr="00AC2B48">
        <w:rPr>
          <w:rFonts w:asciiTheme="minorHAnsi" w:hAnsiTheme="minorHAnsi"/>
        </w:rPr>
        <w:t>s on</w:t>
      </w:r>
      <w:r w:rsidRPr="00AC2B48">
        <w:rPr>
          <w:rFonts w:asciiTheme="minorHAnsi" w:hAnsiTheme="minorHAnsi"/>
        </w:rPr>
        <w:t xml:space="preserve"> what constitutes a balanced diet but also</w:t>
      </w:r>
      <w:r w:rsidR="000F110F" w:rsidRPr="00AC2B48">
        <w:rPr>
          <w:rFonts w:asciiTheme="minorHAnsi" w:hAnsiTheme="minorHAnsi"/>
        </w:rPr>
        <w:t xml:space="preserve"> demonstrates</w:t>
      </w:r>
      <w:r w:rsidRPr="00AC2B48">
        <w:rPr>
          <w:rFonts w:asciiTheme="minorHAnsi" w:hAnsiTheme="minorHAnsi"/>
        </w:rPr>
        <w:t xml:space="preserve"> how food choices impact environmental sustainability. This dual focus is increasingly relevant in today’s context where climate change poses critical challenges</w:t>
      </w:r>
      <w:r w:rsidR="00873B05">
        <w:rPr>
          <w:rFonts w:asciiTheme="minorHAnsi" w:hAnsiTheme="minorHAnsi"/>
        </w:rPr>
        <w:t xml:space="preserve"> </w:t>
      </w:r>
      <w:r w:rsidR="003233A7">
        <w:rPr>
          <w:rFonts w:asciiTheme="minorHAnsi" w:hAnsiTheme="minorHAnsi"/>
        </w:rPr>
        <w:t xml:space="preserve">to the integration of </w:t>
      </w:r>
      <w:r w:rsidRPr="00AC2B48">
        <w:rPr>
          <w:rFonts w:asciiTheme="minorHAnsi" w:hAnsiTheme="minorHAnsi"/>
        </w:rPr>
        <w:t xml:space="preserve">sustainable food practices </w:t>
      </w:r>
      <w:r w:rsidR="003233A7">
        <w:rPr>
          <w:rFonts w:asciiTheme="minorHAnsi" w:hAnsiTheme="minorHAnsi"/>
        </w:rPr>
        <w:t>into</w:t>
      </w:r>
      <w:r w:rsidRPr="00AC2B48">
        <w:rPr>
          <w:rFonts w:asciiTheme="minorHAnsi" w:hAnsiTheme="minorHAnsi"/>
        </w:rPr>
        <w:t xml:space="preserve"> dietary recommendations.</w:t>
      </w:r>
    </w:p>
    <w:p w14:paraId="432C95C3" w14:textId="0919C13E" w:rsidR="00C77CEF" w:rsidRPr="00AC2B48" w:rsidRDefault="00C77CEF" w:rsidP="00D30F1F">
      <w:pPr>
        <w:pStyle w:val="NormalWeb"/>
        <w:rPr>
          <w:rFonts w:asciiTheme="minorHAnsi" w:hAnsiTheme="minorHAnsi"/>
        </w:rPr>
      </w:pPr>
      <w:r w:rsidRPr="00AC2B48">
        <w:rPr>
          <w:rFonts w:asciiTheme="minorHAnsi" w:hAnsiTheme="minorHAnsi"/>
        </w:rPr>
        <w:t xml:space="preserve">An article </w:t>
      </w:r>
      <w:r w:rsidR="0092380D" w:rsidRPr="00AC2B48">
        <w:rPr>
          <w:rFonts w:asciiTheme="minorHAnsi" w:hAnsiTheme="minorHAnsi"/>
        </w:rPr>
        <w:t>by Henderson</w:t>
      </w:r>
      <w:r w:rsidR="00786D82" w:rsidRPr="00AC2B48">
        <w:rPr>
          <w:rFonts w:asciiTheme="minorHAnsi" w:hAnsiTheme="minorHAnsi"/>
        </w:rPr>
        <w:t xml:space="preserve"> (2023) available </w:t>
      </w:r>
      <w:r w:rsidR="003C6C71" w:rsidRPr="00AC2B48">
        <w:rPr>
          <w:rFonts w:asciiTheme="minorHAnsi" w:hAnsiTheme="minorHAnsi"/>
        </w:rPr>
        <w:t>at</w:t>
      </w:r>
      <w:r w:rsidR="00F76F29" w:rsidRPr="00AC2B48">
        <w:rPr>
          <w:rFonts w:asciiTheme="minorHAnsi" w:hAnsiTheme="minorHAnsi"/>
        </w:rPr>
        <w:t xml:space="preserve"> </w:t>
      </w:r>
      <w:r w:rsidR="00694BCF" w:rsidRPr="00AC2B48">
        <w:rPr>
          <w:rFonts w:asciiTheme="minorHAnsi" w:hAnsiTheme="minorHAnsi"/>
        </w:rPr>
        <w:t xml:space="preserve">my-bmi.co.uk </w:t>
      </w:r>
      <w:r w:rsidR="008023B4" w:rsidRPr="00AC2B48">
        <w:rPr>
          <w:rFonts w:asciiTheme="minorHAnsi" w:hAnsiTheme="minorHAnsi"/>
        </w:rPr>
        <w:t xml:space="preserve">states that </w:t>
      </w:r>
      <w:r w:rsidR="00BB73C9" w:rsidRPr="00AC2B48">
        <w:rPr>
          <w:rFonts w:asciiTheme="minorHAnsi" w:hAnsiTheme="minorHAnsi"/>
        </w:rPr>
        <w:t>“</w:t>
      </w:r>
      <w:r w:rsidR="002C5DA8">
        <w:rPr>
          <w:rFonts w:asciiTheme="minorHAnsi" w:hAnsiTheme="minorHAnsi"/>
          <w:shd w:val="clear" w:color="auto" w:fill="FFFFFF"/>
        </w:rPr>
        <w:t>o</w:t>
      </w:r>
      <w:r w:rsidR="00BB73C9" w:rsidRPr="00AC2B48">
        <w:rPr>
          <w:rFonts w:asciiTheme="minorHAnsi" w:hAnsiTheme="minorHAnsi"/>
          <w:shd w:val="clear" w:color="auto" w:fill="FFFFFF"/>
        </w:rPr>
        <w:t xml:space="preserve">ver the last few decades, dietary recommendations have changed and revisions to the original design </w:t>
      </w:r>
      <w:r w:rsidR="00BB73C9" w:rsidRPr="00AC2B48">
        <w:rPr>
          <w:rFonts w:asciiTheme="minorHAnsi" w:hAnsiTheme="minorHAnsi"/>
          <w:shd w:val="clear" w:color="auto" w:fill="FFFFFF"/>
        </w:rPr>
        <w:lastRenderedPageBreak/>
        <w:t>of a segmented plate have been made twice in recent times</w:t>
      </w:r>
      <w:r w:rsidR="00BB73C9" w:rsidRPr="00AC2B48">
        <w:rPr>
          <w:rFonts w:asciiTheme="minorHAnsi" w:hAnsiTheme="minorHAnsi"/>
          <w:shd w:val="clear" w:color="auto" w:fill="FFFFFF"/>
        </w:rPr>
        <w:t xml:space="preserve">” </w:t>
      </w:r>
      <w:r w:rsidR="00C130AE">
        <w:rPr>
          <w:rFonts w:asciiTheme="minorHAnsi" w:hAnsiTheme="minorHAnsi"/>
          <w:shd w:val="clear" w:color="auto" w:fill="FFFFFF"/>
        </w:rPr>
        <w:t>a</w:t>
      </w:r>
      <w:r w:rsidR="00FF25FA" w:rsidRPr="00AC2B48">
        <w:rPr>
          <w:rFonts w:asciiTheme="minorHAnsi" w:hAnsiTheme="minorHAnsi"/>
          <w:shd w:val="clear" w:color="auto" w:fill="FFFFFF"/>
        </w:rPr>
        <w:t xml:space="preserve">nd refers to the </w:t>
      </w:r>
      <w:r w:rsidR="00282DF0" w:rsidRPr="00AC2B48">
        <w:rPr>
          <w:rFonts w:asciiTheme="minorHAnsi" w:hAnsiTheme="minorHAnsi"/>
          <w:shd w:val="clear" w:color="auto" w:fill="FFFFFF"/>
        </w:rPr>
        <w:t xml:space="preserve">changes made throughout </w:t>
      </w:r>
      <w:r w:rsidR="00E60585" w:rsidRPr="00AC2B48">
        <w:rPr>
          <w:rFonts w:asciiTheme="minorHAnsi" w:hAnsiTheme="minorHAnsi"/>
          <w:shd w:val="clear" w:color="auto" w:fill="FFFFFF"/>
        </w:rPr>
        <w:t>the evolutions of the Eat Well Guide. These changes include</w:t>
      </w:r>
      <w:r w:rsidR="00AD49E5" w:rsidRPr="00AC2B48">
        <w:rPr>
          <w:rFonts w:asciiTheme="minorHAnsi" w:hAnsiTheme="minorHAnsi"/>
          <w:shd w:val="clear" w:color="auto" w:fill="FFFFFF"/>
        </w:rPr>
        <w:t xml:space="preserve"> but are not limited to;</w:t>
      </w:r>
      <w:r w:rsidR="00E60585" w:rsidRPr="00AC2B48">
        <w:rPr>
          <w:rFonts w:asciiTheme="minorHAnsi" w:hAnsiTheme="minorHAnsi"/>
          <w:shd w:val="clear" w:color="auto" w:fill="FFFFFF"/>
        </w:rPr>
        <w:t xml:space="preserve"> </w:t>
      </w:r>
      <w:r w:rsidR="007258D8" w:rsidRPr="00AC2B48">
        <w:rPr>
          <w:rFonts w:asciiTheme="minorHAnsi" w:hAnsiTheme="minorHAnsi"/>
          <w:shd w:val="clear" w:color="auto" w:fill="FFFFFF"/>
        </w:rPr>
        <w:t>the use of a knife and fork in the illustration</w:t>
      </w:r>
      <w:r w:rsidR="00E237A1" w:rsidRPr="00AC2B48">
        <w:rPr>
          <w:rFonts w:asciiTheme="minorHAnsi" w:hAnsiTheme="minorHAnsi"/>
          <w:shd w:val="clear" w:color="auto" w:fill="FFFFFF"/>
        </w:rPr>
        <w:t xml:space="preserve">s for </w:t>
      </w:r>
      <w:r w:rsidR="00007B2C" w:rsidRPr="00AC2B48">
        <w:rPr>
          <w:rFonts w:asciiTheme="minorHAnsi" w:hAnsiTheme="minorHAnsi"/>
          <w:shd w:val="clear" w:color="auto" w:fill="FFFFFF"/>
        </w:rPr>
        <w:t xml:space="preserve">both </w:t>
      </w:r>
      <w:r w:rsidR="00E237A1" w:rsidRPr="00AC2B48">
        <w:rPr>
          <w:rFonts w:asciiTheme="minorHAnsi" w:hAnsiTheme="minorHAnsi"/>
          <w:shd w:val="clear" w:color="auto" w:fill="FFFFFF"/>
        </w:rPr>
        <w:t xml:space="preserve">the </w:t>
      </w:r>
      <w:r w:rsidR="005630DA" w:rsidRPr="00AC2B48">
        <w:rPr>
          <w:rFonts w:asciiTheme="minorHAnsi" w:hAnsiTheme="minorHAnsi"/>
          <w:shd w:val="clear" w:color="auto" w:fill="FFFFFF"/>
        </w:rPr>
        <w:t xml:space="preserve">initial Balance </w:t>
      </w:r>
      <w:r w:rsidR="0096098D" w:rsidRPr="00AC2B48">
        <w:rPr>
          <w:rFonts w:asciiTheme="minorHAnsi" w:hAnsiTheme="minorHAnsi"/>
          <w:shd w:val="clear" w:color="auto" w:fill="FFFFFF"/>
        </w:rPr>
        <w:t>of</w:t>
      </w:r>
      <w:r w:rsidR="005630DA" w:rsidRPr="00AC2B48">
        <w:rPr>
          <w:rFonts w:asciiTheme="minorHAnsi" w:hAnsiTheme="minorHAnsi"/>
          <w:shd w:val="clear" w:color="auto" w:fill="FFFFFF"/>
        </w:rPr>
        <w:t xml:space="preserve"> Good Health</w:t>
      </w:r>
      <w:r w:rsidR="004E75F8" w:rsidRPr="00AC2B48">
        <w:rPr>
          <w:rFonts w:asciiTheme="minorHAnsi" w:hAnsiTheme="minorHAnsi"/>
          <w:shd w:val="clear" w:color="auto" w:fill="FFFFFF"/>
        </w:rPr>
        <w:t xml:space="preserve"> (1994)</w:t>
      </w:r>
      <w:r w:rsidR="00007B2C" w:rsidRPr="00AC2B48">
        <w:rPr>
          <w:rFonts w:asciiTheme="minorHAnsi" w:hAnsiTheme="minorHAnsi"/>
          <w:shd w:val="clear" w:color="auto" w:fill="FFFFFF"/>
        </w:rPr>
        <w:t xml:space="preserve"> and the following </w:t>
      </w:r>
      <w:r w:rsidR="00AD49E5" w:rsidRPr="00AC2B48">
        <w:rPr>
          <w:rFonts w:asciiTheme="minorHAnsi" w:hAnsiTheme="minorHAnsi"/>
          <w:shd w:val="clear" w:color="auto" w:fill="FFFFFF"/>
        </w:rPr>
        <w:t>Eat Wel</w:t>
      </w:r>
      <w:r w:rsidR="00351971" w:rsidRPr="00AC2B48">
        <w:rPr>
          <w:rFonts w:asciiTheme="minorHAnsi" w:hAnsiTheme="minorHAnsi"/>
          <w:shd w:val="clear" w:color="auto" w:fill="FFFFFF"/>
        </w:rPr>
        <w:t>l</w:t>
      </w:r>
      <w:r w:rsidR="00AD49E5" w:rsidRPr="00AC2B48">
        <w:rPr>
          <w:rFonts w:asciiTheme="minorHAnsi" w:hAnsiTheme="minorHAnsi"/>
          <w:shd w:val="clear" w:color="auto" w:fill="FFFFFF"/>
        </w:rPr>
        <w:t xml:space="preserve"> Plate</w:t>
      </w:r>
      <w:r w:rsidR="004E75F8" w:rsidRPr="00AC2B48">
        <w:rPr>
          <w:rFonts w:asciiTheme="minorHAnsi" w:hAnsiTheme="minorHAnsi"/>
          <w:shd w:val="clear" w:color="auto" w:fill="FFFFFF"/>
        </w:rPr>
        <w:t xml:space="preserve"> (</w:t>
      </w:r>
      <w:r w:rsidR="00915294" w:rsidRPr="00AC2B48">
        <w:rPr>
          <w:rFonts w:asciiTheme="minorHAnsi" w:hAnsiTheme="minorHAnsi"/>
          <w:shd w:val="clear" w:color="auto" w:fill="FFFFFF"/>
        </w:rPr>
        <w:t>2007)</w:t>
      </w:r>
      <w:r w:rsidR="00351971" w:rsidRPr="00AC2B48">
        <w:rPr>
          <w:rFonts w:asciiTheme="minorHAnsi" w:hAnsiTheme="minorHAnsi"/>
          <w:shd w:val="clear" w:color="auto" w:fill="FFFFFF"/>
        </w:rPr>
        <w:t xml:space="preserve">, which was later removed in the </w:t>
      </w:r>
      <w:r w:rsidR="004E75F8" w:rsidRPr="00AC2B48">
        <w:rPr>
          <w:rFonts w:asciiTheme="minorHAnsi" w:hAnsiTheme="minorHAnsi"/>
          <w:shd w:val="clear" w:color="auto" w:fill="FFFFFF"/>
        </w:rPr>
        <w:t xml:space="preserve">Eat Well Guide </w:t>
      </w:r>
      <w:r w:rsidR="00373206" w:rsidRPr="00AC2B48">
        <w:rPr>
          <w:rFonts w:asciiTheme="minorHAnsi" w:hAnsiTheme="minorHAnsi"/>
          <w:shd w:val="clear" w:color="auto" w:fill="FFFFFF"/>
        </w:rPr>
        <w:t>(</w:t>
      </w:r>
      <w:r w:rsidR="00971668" w:rsidRPr="00AC2B48">
        <w:rPr>
          <w:rFonts w:asciiTheme="minorHAnsi" w:hAnsiTheme="minorHAnsi"/>
          <w:shd w:val="clear" w:color="auto" w:fill="FFFFFF"/>
        </w:rPr>
        <w:t xml:space="preserve">2016) as it was intended to represent </w:t>
      </w:r>
      <w:r w:rsidR="00110D3C" w:rsidRPr="00AC2B48">
        <w:rPr>
          <w:rFonts w:asciiTheme="minorHAnsi" w:hAnsiTheme="minorHAnsi"/>
          <w:shd w:val="clear" w:color="auto" w:fill="FFFFFF"/>
        </w:rPr>
        <w:t>overall diet and not individual meals.</w:t>
      </w:r>
      <w:r w:rsidR="00B052DB" w:rsidRPr="00AC2B48">
        <w:rPr>
          <w:rFonts w:asciiTheme="minorHAnsi" w:hAnsiTheme="minorHAnsi"/>
          <w:shd w:val="clear" w:color="auto" w:fill="FFFFFF"/>
        </w:rPr>
        <w:t xml:space="preserve"> </w:t>
      </w:r>
      <w:r w:rsidR="0026274A" w:rsidRPr="00AC2B48">
        <w:rPr>
          <w:rFonts w:asciiTheme="minorHAnsi" w:hAnsiTheme="minorHAnsi"/>
          <w:shd w:val="clear" w:color="auto" w:fill="FFFFFF"/>
        </w:rPr>
        <w:t xml:space="preserve">The </w:t>
      </w:r>
      <w:r w:rsidR="00EF19F0" w:rsidRPr="00AC2B48">
        <w:rPr>
          <w:rFonts w:asciiTheme="minorHAnsi" w:hAnsiTheme="minorHAnsi"/>
          <w:shd w:val="clear" w:color="auto" w:fill="FFFFFF"/>
        </w:rPr>
        <w:t xml:space="preserve">graphics changed with each evolution </w:t>
      </w:r>
      <w:proofErr w:type="gramStart"/>
      <w:r w:rsidR="00EF19F0" w:rsidRPr="00AC2B48">
        <w:rPr>
          <w:rFonts w:asciiTheme="minorHAnsi" w:hAnsiTheme="minorHAnsi"/>
          <w:shd w:val="clear" w:color="auto" w:fill="FFFFFF"/>
        </w:rPr>
        <w:t>in an attempt to</w:t>
      </w:r>
      <w:proofErr w:type="gramEnd"/>
      <w:r w:rsidR="00EF19F0" w:rsidRPr="00AC2B48">
        <w:rPr>
          <w:rFonts w:asciiTheme="minorHAnsi" w:hAnsiTheme="minorHAnsi"/>
          <w:shd w:val="clear" w:color="auto" w:fill="FFFFFF"/>
        </w:rPr>
        <w:t xml:space="preserve"> </w:t>
      </w:r>
      <w:r w:rsidR="00A04F4E" w:rsidRPr="00AC2B48">
        <w:rPr>
          <w:rFonts w:asciiTheme="minorHAnsi" w:hAnsiTheme="minorHAnsi"/>
          <w:shd w:val="clear" w:color="auto" w:fill="FFFFFF"/>
        </w:rPr>
        <w:t>make it more appealing to the general population</w:t>
      </w:r>
      <w:r w:rsidR="0011619C" w:rsidRPr="00AC2B48">
        <w:rPr>
          <w:rFonts w:asciiTheme="minorHAnsi" w:hAnsiTheme="minorHAnsi"/>
          <w:shd w:val="clear" w:color="auto" w:fill="FFFFFF"/>
        </w:rPr>
        <w:t xml:space="preserve"> and </w:t>
      </w:r>
      <w:r w:rsidR="004C5F72" w:rsidRPr="00AC2B48">
        <w:rPr>
          <w:rFonts w:asciiTheme="minorHAnsi" w:hAnsiTheme="minorHAnsi"/>
          <w:shd w:val="clear" w:color="auto" w:fill="FFFFFF"/>
        </w:rPr>
        <w:t>be more tempting for</w:t>
      </w:r>
      <w:r w:rsidR="0011619C" w:rsidRPr="00AC2B48">
        <w:rPr>
          <w:rFonts w:asciiTheme="minorHAnsi" w:hAnsiTheme="minorHAnsi"/>
          <w:shd w:val="clear" w:color="auto" w:fill="FFFFFF"/>
        </w:rPr>
        <w:t xml:space="preserve"> </w:t>
      </w:r>
      <w:r w:rsidR="00562179" w:rsidRPr="00AC2B48">
        <w:rPr>
          <w:rFonts w:asciiTheme="minorHAnsi" w:hAnsiTheme="minorHAnsi"/>
          <w:shd w:val="clear" w:color="auto" w:fill="FFFFFF"/>
        </w:rPr>
        <w:t xml:space="preserve">them to follow the </w:t>
      </w:r>
      <w:r w:rsidR="004C5F72" w:rsidRPr="00AC2B48">
        <w:rPr>
          <w:rFonts w:asciiTheme="minorHAnsi" w:hAnsiTheme="minorHAnsi"/>
          <w:shd w:val="clear" w:color="auto" w:fill="FFFFFF"/>
        </w:rPr>
        <w:t>recommendations.</w:t>
      </w:r>
    </w:p>
    <w:p w14:paraId="0186CC9D" w14:textId="5D8A30A5" w:rsidR="0068036F" w:rsidRPr="00477128" w:rsidRDefault="0068036F" w:rsidP="0068036F">
      <w:pPr>
        <w:pStyle w:val="NormalWeb"/>
        <w:spacing w:before="105" w:beforeAutospacing="0" w:after="0" w:afterAutospacing="0"/>
        <w:rPr>
          <w:rFonts w:asciiTheme="minorHAnsi" w:hAnsiTheme="minorHAnsi"/>
        </w:rPr>
      </w:pPr>
      <w:r w:rsidRPr="00477128">
        <w:rPr>
          <w:rFonts w:asciiTheme="minorHAnsi" w:hAnsiTheme="minorHAnsi"/>
        </w:rPr>
        <w:t xml:space="preserve">In terms of its specific role with adolescents aged 13-18 years old, the Eat Well Guide plays a crucial part in addressing their unique nutritional needs during this critical developmental phase. Adolescence is </w:t>
      </w:r>
      <w:r w:rsidR="00231F25">
        <w:rPr>
          <w:rFonts w:asciiTheme="minorHAnsi" w:hAnsiTheme="minorHAnsi"/>
        </w:rPr>
        <w:t>characterised</w:t>
      </w:r>
      <w:r w:rsidRPr="00477128">
        <w:rPr>
          <w:rFonts w:asciiTheme="minorHAnsi" w:hAnsiTheme="minorHAnsi"/>
        </w:rPr>
        <w:t xml:space="preserve"> by rapid growth and increased energy demands due to physical development; thus, proper nutrition is essential for overall well-being (</w:t>
      </w:r>
      <w:proofErr w:type="spellStart"/>
      <w:r w:rsidRPr="00477128">
        <w:rPr>
          <w:rFonts w:asciiTheme="minorHAnsi" w:hAnsiTheme="minorHAnsi"/>
        </w:rPr>
        <w:t>nidirect</w:t>
      </w:r>
      <w:proofErr w:type="spellEnd"/>
      <w:r w:rsidRPr="00477128">
        <w:rPr>
          <w:rFonts w:asciiTheme="minorHAnsi" w:hAnsiTheme="minorHAnsi"/>
        </w:rPr>
        <w:t xml:space="preserve">, 2023). </w:t>
      </w:r>
      <w:r w:rsidRPr="00477128">
        <w:rPr>
          <w:rFonts w:asciiTheme="minorHAnsi" w:hAnsiTheme="minorHAnsi"/>
        </w:rPr>
        <w:t>At</w:t>
      </w:r>
      <w:r w:rsidRPr="00477128">
        <w:rPr>
          <w:rFonts w:asciiTheme="minorHAnsi" w:hAnsiTheme="minorHAnsi"/>
        </w:rPr>
        <w:t xml:space="preserve"> this stage</w:t>
      </w:r>
      <w:r w:rsidR="00472861" w:rsidRPr="00477128">
        <w:rPr>
          <w:rFonts w:asciiTheme="minorHAnsi" w:hAnsiTheme="minorHAnsi"/>
        </w:rPr>
        <w:t xml:space="preserve"> in development</w:t>
      </w:r>
      <w:r w:rsidRPr="00477128">
        <w:rPr>
          <w:rFonts w:asciiTheme="minorHAnsi" w:hAnsiTheme="minorHAnsi"/>
        </w:rPr>
        <w:t>, teenagers require a balanced intake of macronutrients</w:t>
      </w:r>
      <w:r w:rsidR="00573254" w:rsidRPr="00477128">
        <w:rPr>
          <w:rFonts w:asciiTheme="minorHAnsi" w:hAnsiTheme="minorHAnsi"/>
        </w:rPr>
        <w:t xml:space="preserve"> </w:t>
      </w:r>
      <w:r w:rsidR="00A17282" w:rsidRPr="00477128">
        <w:rPr>
          <w:rFonts w:asciiTheme="minorHAnsi" w:hAnsiTheme="minorHAnsi"/>
        </w:rPr>
        <w:t xml:space="preserve">which include </w:t>
      </w:r>
      <w:r w:rsidRPr="00477128">
        <w:rPr>
          <w:rFonts w:asciiTheme="minorHAnsi" w:hAnsiTheme="minorHAnsi"/>
        </w:rPr>
        <w:t>proteins, carbohydrates and fats</w:t>
      </w:r>
      <w:r w:rsidR="00A17282" w:rsidRPr="00477128">
        <w:rPr>
          <w:rFonts w:asciiTheme="minorHAnsi" w:hAnsiTheme="minorHAnsi"/>
        </w:rPr>
        <w:t xml:space="preserve">, </w:t>
      </w:r>
      <w:r w:rsidRPr="00477128">
        <w:rPr>
          <w:rFonts w:asciiTheme="minorHAnsi" w:hAnsiTheme="minorHAnsi"/>
        </w:rPr>
        <w:t xml:space="preserve">as well as essential vitamins and minerals to support bone density, muscle growth, and cognitive function. The guide also </w:t>
      </w:r>
      <w:r w:rsidR="00231F25">
        <w:rPr>
          <w:rFonts w:asciiTheme="minorHAnsi" w:hAnsiTheme="minorHAnsi"/>
        </w:rPr>
        <w:t>emphasises</w:t>
      </w:r>
      <w:r w:rsidRPr="00477128">
        <w:rPr>
          <w:rFonts w:asciiTheme="minorHAnsi" w:hAnsiTheme="minorHAnsi"/>
        </w:rPr>
        <w:t xml:space="preserve"> the importance of </w:t>
      </w:r>
      <w:r w:rsidR="00EE60E1">
        <w:rPr>
          <w:rFonts w:asciiTheme="minorHAnsi" w:hAnsiTheme="minorHAnsi"/>
        </w:rPr>
        <w:t xml:space="preserve">instilling </w:t>
      </w:r>
      <w:r w:rsidRPr="00477128">
        <w:rPr>
          <w:rFonts w:asciiTheme="minorHAnsi" w:hAnsiTheme="minorHAnsi"/>
        </w:rPr>
        <w:t xml:space="preserve">healthy eating habits </w:t>
      </w:r>
      <w:r w:rsidR="001F4B3D">
        <w:rPr>
          <w:rFonts w:asciiTheme="minorHAnsi" w:hAnsiTheme="minorHAnsi"/>
        </w:rPr>
        <w:t xml:space="preserve">such as </w:t>
      </w:r>
      <w:r w:rsidRPr="00477128">
        <w:rPr>
          <w:rFonts w:asciiTheme="minorHAnsi" w:hAnsiTheme="minorHAnsi"/>
        </w:rPr>
        <w:t xml:space="preserve">lifelong nutrition literacy, </w:t>
      </w:r>
      <w:r w:rsidR="00472A4C">
        <w:rPr>
          <w:rFonts w:asciiTheme="minorHAnsi" w:hAnsiTheme="minorHAnsi"/>
        </w:rPr>
        <w:t>combating</w:t>
      </w:r>
      <w:r w:rsidRPr="00477128">
        <w:rPr>
          <w:rFonts w:asciiTheme="minorHAnsi" w:hAnsiTheme="minorHAnsi"/>
        </w:rPr>
        <w:t xml:space="preserve"> lifestyle-related issues</w:t>
      </w:r>
      <w:r w:rsidR="00E165C6">
        <w:rPr>
          <w:rFonts w:asciiTheme="minorHAnsi" w:hAnsiTheme="minorHAnsi"/>
        </w:rPr>
        <w:t>,</w:t>
      </w:r>
      <w:r w:rsidRPr="00477128">
        <w:rPr>
          <w:rFonts w:asciiTheme="minorHAnsi" w:hAnsiTheme="minorHAnsi"/>
        </w:rPr>
        <w:t xml:space="preserve"> such as obesity</w:t>
      </w:r>
      <w:r w:rsidR="00A922E5">
        <w:rPr>
          <w:rFonts w:asciiTheme="minorHAnsi" w:hAnsiTheme="minorHAnsi"/>
        </w:rPr>
        <w:t>,</w:t>
      </w:r>
      <w:r w:rsidRPr="00477128">
        <w:rPr>
          <w:rFonts w:asciiTheme="minorHAnsi" w:hAnsiTheme="minorHAnsi"/>
        </w:rPr>
        <w:t xml:space="preserve"> and </w:t>
      </w:r>
      <w:r w:rsidR="00472A4C">
        <w:rPr>
          <w:rFonts w:asciiTheme="minorHAnsi" w:hAnsiTheme="minorHAnsi"/>
        </w:rPr>
        <w:t>promoting</w:t>
      </w:r>
      <w:r w:rsidRPr="00477128">
        <w:rPr>
          <w:rFonts w:asciiTheme="minorHAnsi" w:hAnsiTheme="minorHAnsi"/>
        </w:rPr>
        <w:t xml:space="preserve"> mental health, ensuring adolescents thrive during this </w:t>
      </w:r>
      <w:r w:rsidR="00A108B7">
        <w:rPr>
          <w:rFonts w:asciiTheme="minorHAnsi" w:hAnsiTheme="minorHAnsi"/>
        </w:rPr>
        <w:t>developmental stage</w:t>
      </w:r>
      <w:r w:rsidRPr="00477128">
        <w:rPr>
          <w:rFonts w:asciiTheme="minorHAnsi" w:hAnsiTheme="minorHAnsi"/>
        </w:rPr>
        <w:t>.</w:t>
      </w:r>
    </w:p>
    <w:p w14:paraId="47DF15CC" w14:textId="69D19DD3" w:rsidR="00477128" w:rsidRPr="009014A3" w:rsidRDefault="00AC2B48" w:rsidP="00D30F1F">
      <w:pPr>
        <w:spacing w:before="100" w:beforeAutospacing="1" w:after="100" w:afterAutospacing="1"/>
      </w:pPr>
      <w:r>
        <w:t>Word count:</w:t>
      </w:r>
      <w:r w:rsidR="00334911">
        <w:t>1</w:t>
      </w:r>
      <w:r w:rsidR="00063A81">
        <w:t>45</w:t>
      </w:r>
      <w:r w:rsidR="008C7F45">
        <w:t>1</w:t>
      </w:r>
      <w:r w:rsidR="00F23CC4">
        <w:t xml:space="preserve"> (not including</w:t>
      </w:r>
      <w:r w:rsidR="00514CE5">
        <w:t xml:space="preserve"> assignment brief </w:t>
      </w:r>
      <w:r w:rsidR="00E51F13">
        <w:t>and</w:t>
      </w:r>
      <w:r w:rsidR="00F23CC4">
        <w:t xml:space="preserve"> text within table shown in Figure 1)</w:t>
      </w:r>
    </w:p>
    <w:p w14:paraId="0DB19E5C" w14:textId="77777777" w:rsidR="00213886" w:rsidRPr="003A21E5" w:rsidRDefault="00213886" w:rsidP="00D30F1F">
      <w:pPr>
        <w:pStyle w:val="NormalWeb"/>
        <w:spacing w:line="360" w:lineRule="atLeast"/>
        <w:rPr>
          <w:rFonts w:asciiTheme="minorHAnsi" w:hAnsiTheme="minorHAnsi"/>
          <w:color w:val="2C3E50"/>
          <w:shd w:val="clear" w:color="auto" w:fill="FFFFFF"/>
        </w:rPr>
      </w:pPr>
    </w:p>
    <w:p w14:paraId="6C5C82A8" w14:textId="129CBE07" w:rsidR="004D00FB" w:rsidRPr="003A21E5" w:rsidRDefault="00734483" w:rsidP="00B169BA">
      <w:pPr>
        <w:tabs>
          <w:tab w:val="left" w:pos="5923"/>
        </w:tabs>
        <w:spacing w:after="0" w:line="240" w:lineRule="auto"/>
        <w:divId w:val="119348207"/>
        <w:rPr>
          <w:rFonts w:eastAsia="Times New Roman" w:cs="Times New Roman"/>
          <w:color w:val="000000" w:themeColor="text1"/>
          <w:kern w:val="0"/>
          <w:lang w:eastAsia="en-GB"/>
          <w14:ligatures w14:val="none"/>
        </w:rPr>
      </w:pPr>
      <w:r w:rsidRPr="003A21E5">
        <w:rPr>
          <w:rFonts w:eastAsia="Times New Roman" w:cs="Times New Roman"/>
          <w:color w:val="000000" w:themeColor="text1"/>
          <w:kern w:val="0"/>
          <w:lang w:eastAsia="en-GB"/>
          <w14:ligatures w14:val="none"/>
        </w:rPr>
        <w:tab/>
      </w:r>
    </w:p>
    <w:p w14:paraId="331DBEF1"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17F9707B"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1FD4969C"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30EC7E04"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7040C0C1"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62A1F4CB"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756E6543"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6DDB8E00"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232972B6"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2F4CF69A"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47FEB765"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389B9047"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299E7DD0"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70EE0C80"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16B877DF"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2629BDDF"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22DE5BD1"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76F4C787" w14:textId="77777777" w:rsidR="00AC2B48" w:rsidRDefault="00AC2B48" w:rsidP="00B169BA">
      <w:pPr>
        <w:spacing w:after="0" w:line="240" w:lineRule="auto"/>
        <w:divId w:val="119348207"/>
        <w:rPr>
          <w:rFonts w:eastAsia="Times New Roman" w:cs="Times New Roman"/>
          <w:color w:val="FF0000"/>
          <w:kern w:val="0"/>
          <w:lang w:eastAsia="en-GB"/>
          <w14:ligatures w14:val="none"/>
        </w:rPr>
      </w:pPr>
    </w:p>
    <w:p w14:paraId="0C8E2E7D" w14:textId="77777777" w:rsidR="00D00508" w:rsidRDefault="00D00508" w:rsidP="00B169BA">
      <w:pPr>
        <w:spacing w:after="0" w:line="240" w:lineRule="auto"/>
        <w:divId w:val="119348207"/>
        <w:rPr>
          <w:rFonts w:eastAsia="Times New Roman" w:cs="Times New Roman"/>
          <w:color w:val="FF0000"/>
          <w:kern w:val="0"/>
          <w:lang w:eastAsia="en-GB"/>
          <w14:ligatures w14:val="none"/>
        </w:rPr>
      </w:pPr>
    </w:p>
    <w:p w14:paraId="7DAD2FFD" w14:textId="77777777" w:rsidR="001054C8" w:rsidRDefault="001054C8" w:rsidP="00B169BA">
      <w:pPr>
        <w:spacing w:after="0" w:line="240" w:lineRule="auto"/>
        <w:divId w:val="119348207"/>
        <w:rPr>
          <w:rFonts w:eastAsia="Times New Roman" w:cs="Times New Roman"/>
          <w:kern w:val="0"/>
          <w:lang w:eastAsia="en-GB"/>
          <w14:ligatures w14:val="none"/>
        </w:rPr>
      </w:pPr>
    </w:p>
    <w:p w14:paraId="481DEC43" w14:textId="77777777" w:rsidR="00D00508" w:rsidRDefault="00D00508" w:rsidP="00B169BA">
      <w:pPr>
        <w:spacing w:after="0" w:line="240" w:lineRule="auto"/>
        <w:divId w:val="119348207"/>
        <w:rPr>
          <w:rFonts w:eastAsia="Times New Roman" w:cs="Times New Roman"/>
          <w:kern w:val="0"/>
          <w:lang w:eastAsia="en-GB"/>
          <w14:ligatures w14:val="none"/>
        </w:rPr>
      </w:pPr>
    </w:p>
    <w:p w14:paraId="4957804A" w14:textId="459A3632" w:rsidR="00F476D4" w:rsidRPr="003A21E5" w:rsidRDefault="00F476D4" w:rsidP="00B169BA">
      <w:pPr>
        <w:spacing w:after="0" w:line="240" w:lineRule="auto"/>
        <w:divId w:val="119348207"/>
        <w:rPr>
          <w:rFonts w:eastAsia="Times New Roman" w:cs="Times New Roman"/>
          <w:kern w:val="0"/>
          <w:lang w:eastAsia="en-GB"/>
          <w14:ligatures w14:val="none"/>
        </w:rPr>
      </w:pPr>
      <w:r w:rsidRPr="003A21E5">
        <w:rPr>
          <w:rFonts w:eastAsia="Times New Roman" w:cs="Times New Roman"/>
          <w:kern w:val="0"/>
          <w:lang w:eastAsia="en-GB"/>
          <w14:ligatures w14:val="none"/>
        </w:rPr>
        <mc:AlternateContent>
          <mc:Choice Requires="wps">
            <w:drawing>
              <wp:inline distT="0" distB="0" distL="0" distR="0" wp14:anchorId="44AE3A2F" wp14:editId="6AFB0393">
                <wp:extent cx="5731510" cy="1270"/>
                <wp:effectExtent l="0" t="31750" r="0" b="36830"/>
                <wp:docPr id="4365556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FEC56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" fillcolor="black" stroked="f">
                <o:lock v:ext="edit" aspectratio="t"/>
                <w10:anchorlock/>
              </v:rect>
            </w:pict>
          </mc:Fallback>
        </mc:AlternateContent>
      </w:r>
    </w:p>
    <w:p w14:paraId="3CE16123" w14:textId="77777777" w:rsidR="00F476D4" w:rsidRPr="003A21E5" w:rsidRDefault="00F476D4" w:rsidP="00B169BA">
      <w:pPr>
        <w:spacing w:after="0" w:line="240" w:lineRule="auto"/>
        <w:outlineLvl w:val="2"/>
        <w:divId w:val="119348207"/>
        <w:rPr>
          <w:rFonts w:eastAsia="Times New Roman" w:cs="Times New Roman"/>
          <w:color w:val="000000"/>
          <w:kern w:val="0"/>
          <w:lang w:eastAsia="en-GB"/>
          <w14:ligatures w14:val="none"/>
        </w:rPr>
      </w:pPr>
      <w:r w:rsidRPr="003A21E5">
        <w:rPr>
          <w:rFonts w:eastAsia="Times New Roman" w:cs="Times New Roman"/>
          <w:color w:val="000000"/>
          <w:kern w:val="0"/>
          <w:lang w:eastAsia="en-GB"/>
          <w14:ligatures w14:val="none"/>
        </w:rPr>
        <w:t>References</w:t>
      </w:r>
    </w:p>
    <w:p w14:paraId="4F4652D8" w14:textId="6C32E7D5" w:rsidR="00481F5F" w:rsidRPr="00D91F9F" w:rsidRDefault="00653D2A" w:rsidP="00481F5F">
      <w:pPr>
        <w:pStyle w:val="NormalWeb"/>
        <w:numPr>
          <w:ilvl w:val="0"/>
          <w:numId w:val="8"/>
        </w:numPr>
        <w:spacing w:before="105" w:beforeAutospacing="0" w:after="0" w:afterAutospacing="0"/>
        <w:rPr>
          <w:rFonts w:asciiTheme="minorHAnsi" w:hAnsiTheme="minorHAnsi"/>
        </w:rPr>
      </w:pPr>
      <w:r w:rsidRPr="003A21E5">
        <w:rPr>
          <w:rFonts w:asciiTheme="minorHAnsi" w:hAnsiTheme="minorHAnsi" w:cs="Calibri"/>
          <w:color w:val="000000"/>
        </w:rPr>
        <w:t>‌</w:t>
      </w:r>
      <w:r w:rsidR="00481F5F" w:rsidRPr="00D91F9F">
        <w:rPr>
          <w:rFonts w:asciiTheme="minorHAnsi" w:hAnsiTheme="minorHAnsi"/>
        </w:rPr>
        <w:t xml:space="preserve"> </w:t>
      </w:r>
      <w:r w:rsidR="00481F5F" w:rsidRPr="00D91F9F">
        <w:rPr>
          <w:rFonts w:asciiTheme="minorHAnsi" w:hAnsiTheme="minorHAnsi"/>
        </w:rPr>
        <w:t xml:space="preserve">Department of Health, 1989. </w:t>
      </w:r>
      <w:r w:rsidR="00481F5F" w:rsidRPr="00D91F9F">
        <w:rPr>
          <w:rFonts w:asciiTheme="minorHAnsi" w:hAnsiTheme="minorHAnsi"/>
          <w:i/>
          <w:iCs/>
        </w:rPr>
        <w:t>Report on the Nutritional Aspects of Cardiovascular Disease</w:t>
      </w:r>
      <w:r w:rsidR="00481F5F" w:rsidRPr="00D91F9F">
        <w:rPr>
          <w:rFonts w:asciiTheme="minorHAnsi" w:hAnsiTheme="minorHAnsi"/>
        </w:rPr>
        <w:t>. Her Majesty’s Stationery Office.</w:t>
      </w:r>
      <w:r w:rsidR="00C42204">
        <w:rPr>
          <w:rFonts w:asciiTheme="minorHAnsi" w:hAnsiTheme="minorHAnsi"/>
        </w:rPr>
        <w:t xml:space="preserve"> [</w:t>
      </w:r>
      <w:r w:rsidR="005A71FC">
        <w:rPr>
          <w:rFonts w:asciiTheme="minorHAnsi" w:hAnsiTheme="minorHAnsi"/>
        </w:rPr>
        <w:t>Accessed 19 Nov. 2024]</w:t>
      </w:r>
    </w:p>
    <w:p w14:paraId="57E50DD8" w14:textId="7948DC78"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Department of Health and Social Security, 1979. </w:t>
      </w:r>
      <w:r w:rsidRPr="00481F5F">
        <w:rPr>
          <w:rFonts w:eastAsia="Times New Roman" w:cs="Times New Roman"/>
          <w:i/>
          <w:iCs/>
          <w:kern w:val="0"/>
          <w:lang w:eastAsia="en-GB"/>
          <w14:ligatures w14:val="none"/>
        </w:rPr>
        <w:t>Dietary and Nutritional Aspects of Cardiovascular Disease</w:t>
      </w:r>
      <w:r w:rsidRPr="00481F5F">
        <w:rPr>
          <w:rFonts w:eastAsia="Times New Roman" w:cs="Times New Roman"/>
          <w:kern w:val="0"/>
          <w:lang w:eastAsia="en-GB"/>
          <w14:ligatures w14:val="none"/>
        </w:rPr>
        <w:t>. Department of Health and Social Security.</w:t>
      </w:r>
      <w:r w:rsidR="001955DE">
        <w:rPr>
          <w:rFonts w:eastAsia="Times New Roman" w:cs="Times New Roman"/>
          <w:kern w:val="0"/>
          <w:lang w:eastAsia="en-GB"/>
          <w14:ligatures w14:val="none"/>
        </w:rPr>
        <w:t xml:space="preserve"> [Accessed </w:t>
      </w:r>
      <w:r w:rsidR="00B70006">
        <w:rPr>
          <w:rFonts w:eastAsia="Times New Roman" w:cs="Times New Roman"/>
          <w:kern w:val="0"/>
          <w:lang w:eastAsia="en-GB"/>
          <w14:ligatures w14:val="none"/>
        </w:rPr>
        <w:t>22 Nov. 2024]</w:t>
      </w:r>
    </w:p>
    <w:p w14:paraId="09510E75" w14:textId="6805C06A"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Food Standards Agency (FSA), 2001. </w:t>
      </w:r>
      <w:r w:rsidRPr="00481F5F">
        <w:rPr>
          <w:rFonts w:eastAsia="Times New Roman" w:cs="Times New Roman"/>
          <w:i/>
          <w:iCs/>
          <w:kern w:val="0"/>
          <w:lang w:eastAsia="en-GB"/>
          <w14:ligatures w14:val="none"/>
        </w:rPr>
        <w:t>The Role of Nutritional Guidelines in Preventing Diet-Related Diseases</w:t>
      </w:r>
      <w:r w:rsidRPr="00481F5F">
        <w:rPr>
          <w:rFonts w:eastAsia="Times New Roman" w:cs="Times New Roman"/>
          <w:kern w:val="0"/>
          <w:lang w:eastAsia="en-GB"/>
          <w14:ligatures w14:val="none"/>
        </w:rPr>
        <w:t xml:space="preserve">. Available at: </w:t>
      </w:r>
      <w:hyperlink r:id="rId13" w:tgtFrame="_blank" w:tooltip="undefined" w:history="1">
        <w:r w:rsidRPr="00481F5F">
          <w:rPr>
            <w:rFonts w:eastAsia="Times New Roman" w:cs="Times New Roman"/>
            <w:kern w:val="0"/>
            <w:u w:val="single"/>
            <w:lang w:eastAsia="en-GB"/>
            <w14:ligatures w14:val="none"/>
          </w:rPr>
          <w:t>https://www.food.gov.uk</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91600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05A46311" w14:textId="0499F59C"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Henderson, L., 2023. </w:t>
      </w:r>
      <w:r w:rsidRPr="00481F5F">
        <w:rPr>
          <w:rFonts w:eastAsia="Times New Roman" w:cs="Times New Roman"/>
          <w:i/>
          <w:iCs/>
          <w:kern w:val="0"/>
          <w:lang w:eastAsia="en-GB"/>
          <w14:ligatures w14:val="none"/>
        </w:rPr>
        <w:t>The History of the Eatwell Guide | Diet &amp; Weight Loss Advice</w:t>
      </w:r>
      <w:r w:rsidRPr="00481F5F">
        <w:rPr>
          <w:rFonts w:eastAsia="Times New Roman" w:cs="Times New Roman"/>
          <w:kern w:val="0"/>
          <w:lang w:eastAsia="en-GB"/>
          <w14:ligatures w14:val="none"/>
        </w:rPr>
        <w:t xml:space="preserve">. Available at: </w:t>
      </w:r>
      <w:hyperlink r:id="rId14" w:tgtFrame="_blank" w:tooltip="undefined" w:history="1">
        <w:r w:rsidRPr="00481F5F">
          <w:rPr>
            <w:rFonts w:eastAsia="Times New Roman" w:cs="Times New Roman"/>
            <w:kern w:val="0"/>
            <w:u w:val="single"/>
            <w:lang w:eastAsia="en-GB"/>
            <w14:ligatures w14:val="none"/>
          </w:rPr>
          <w:t>https://my-bmi.co.uk/education/the-history-of-the-eatwell-guide/</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91600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0E793E5F" w14:textId="49948F71"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Leslie, A., Thompson, R., and Edwards, J., 2013. 'Evolution of the Eatwell Plate to the Eat Well Guide: addressing nutrition and sustainability', </w:t>
      </w:r>
      <w:r w:rsidRPr="00481F5F">
        <w:rPr>
          <w:rFonts w:eastAsia="Times New Roman" w:cs="Times New Roman"/>
          <w:i/>
          <w:iCs/>
          <w:kern w:val="0"/>
          <w:lang w:eastAsia="en-GB"/>
          <w14:ligatures w14:val="none"/>
        </w:rPr>
        <w:t>Journal of Public Health Nutrition</w:t>
      </w:r>
      <w:r w:rsidRPr="00481F5F">
        <w:rPr>
          <w:rFonts w:eastAsia="Times New Roman" w:cs="Times New Roman"/>
          <w:kern w:val="0"/>
          <w:lang w:eastAsia="en-GB"/>
          <w14:ligatures w14:val="none"/>
        </w:rPr>
        <w:t>, 16(7), pp. 1234-1240.</w:t>
      </w:r>
      <w:r w:rsidR="00B70006">
        <w:rPr>
          <w:rFonts w:eastAsia="Times New Roman" w:cs="Times New Roman"/>
          <w:kern w:val="0"/>
          <w:lang w:eastAsia="en-GB"/>
          <w14:ligatures w14:val="none"/>
        </w:rPr>
        <w:t xml:space="preserve"> [Accessed </w:t>
      </w:r>
      <w:r w:rsidR="006C2AB1">
        <w:rPr>
          <w:rFonts w:eastAsia="Times New Roman" w:cs="Times New Roman"/>
          <w:kern w:val="0"/>
          <w:lang w:eastAsia="en-GB"/>
          <w14:ligatures w14:val="none"/>
        </w:rPr>
        <w:t>19 Nov. 2024]</w:t>
      </w:r>
    </w:p>
    <w:p w14:paraId="5C5A8905" w14:textId="01304D18"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Medici, A., 2023. 'The purpose of the Eat Well Guide: promoting healthy eating habits in the UK', </w:t>
      </w:r>
      <w:r w:rsidRPr="00481F5F">
        <w:rPr>
          <w:rFonts w:eastAsia="Times New Roman" w:cs="Times New Roman"/>
          <w:i/>
          <w:iCs/>
          <w:kern w:val="0"/>
          <w:lang w:eastAsia="en-GB"/>
          <w14:ligatures w14:val="none"/>
        </w:rPr>
        <w:t>Nutritional Science Review</w:t>
      </w:r>
      <w:r w:rsidRPr="00481F5F">
        <w:rPr>
          <w:rFonts w:eastAsia="Times New Roman" w:cs="Times New Roman"/>
          <w:kern w:val="0"/>
          <w:lang w:eastAsia="en-GB"/>
          <w14:ligatures w14:val="none"/>
        </w:rPr>
        <w:t>, 12(4), pp. 45-58.</w:t>
      </w:r>
      <w:r w:rsidR="006C2AB1">
        <w:rPr>
          <w:rFonts w:eastAsia="Times New Roman" w:cs="Times New Roman"/>
          <w:kern w:val="0"/>
          <w:lang w:eastAsia="en-GB"/>
          <w14:ligatures w14:val="none"/>
        </w:rPr>
        <w:t xml:space="preserve"> [Accessed </w:t>
      </w:r>
      <w:r w:rsidR="00113455">
        <w:rPr>
          <w:rFonts w:eastAsia="Times New Roman" w:cs="Times New Roman"/>
          <w:kern w:val="0"/>
          <w:lang w:eastAsia="en-GB"/>
          <w14:ligatures w14:val="none"/>
        </w:rPr>
        <w:t>24 Nov. 2024]</w:t>
      </w:r>
    </w:p>
    <w:p w14:paraId="18475BBC" w14:textId="02764BA7"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Medical Research Council, 1941. </w:t>
      </w:r>
      <w:r w:rsidRPr="00481F5F">
        <w:rPr>
          <w:rFonts w:eastAsia="Times New Roman" w:cs="Times New Roman"/>
          <w:i/>
          <w:iCs/>
          <w:kern w:val="0"/>
          <w:lang w:eastAsia="en-GB"/>
          <w14:ligatures w14:val="none"/>
        </w:rPr>
        <w:t>The Nutritional Status of the Population: A Report on the Deficiency Diseases During Wartime</w:t>
      </w:r>
      <w:r w:rsidRPr="00481F5F">
        <w:rPr>
          <w:rFonts w:eastAsia="Times New Roman" w:cs="Times New Roman"/>
          <w:kern w:val="0"/>
          <w:lang w:eastAsia="en-GB"/>
          <w14:ligatures w14:val="none"/>
        </w:rPr>
        <w:t>. MRC.</w:t>
      </w:r>
      <w:r w:rsidR="00113455">
        <w:rPr>
          <w:rFonts w:eastAsia="Times New Roman" w:cs="Times New Roman"/>
          <w:kern w:val="0"/>
          <w:lang w:eastAsia="en-GB"/>
          <w14:ligatures w14:val="none"/>
        </w:rPr>
        <w:t xml:space="preserve"> [</w:t>
      </w:r>
      <w:r w:rsidR="00A944BA">
        <w:rPr>
          <w:rFonts w:eastAsia="Times New Roman" w:cs="Times New Roman"/>
          <w:kern w:val="0"/>
          <w:lang w:eastAsia="en-GB"/>
          <w14:ligatures w14:val="none"/>
        </w:rPr>
        <w:t>Accessed 19 Nov. 2024]</w:t>
      </w:r>
    </w:p>
    <w:p w14:paraId="049709C0" w14:textId="6F6344A1"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proofErr w:type="spellStart"/>
      <w:r w:rsidRPr="00481F5F">
        <w:rPr>
          <w:rFonts w:eastAsia="Times New Roman" w:cs="Times New Roman"/>
          <w:kern w:val="0"/>
          <w:lang w:eastAsia="en-GB"/>
          <w14:ligatures w14:val="none"/>
        </w:rPr>
        <w:t>nidirect</w:t>
      </w:r>
      <w:proofErr w:type="spellEnd"/>
      <w:r w:rsidRPr="00481F5F">
        <w:rPr>
          <w:rFonts w:eastAsia="Times New Roman" w:cs="Times New Roman"/>
          <w:kern w:val="0"/>
          <w:lang w:eastAsia="en-GB"/>
          <w14:ligatures w14:val="none"/>
        </w:rPr>
        <w:t xml:space="preserve">, 2023. 'Nutrition for adolescents: the Eat Well Guide and dietary recommendations'. Available at: </w:t>
      </w:r>
      <w:hyperlink r:id="rId15" w:tgtFrame="_blank" w:tooltip="undefined" w:history="1">
        <w:r w:rsidRPr="00481F5F">
          <w:rPr>
            <w:rFonts w:eastAsia="Times New Roman" w:cs="Times New Roman"/>
            <w:kern w:val="0"/>
            <w:u w:val="single"/>
            <w:lang w:eastAsia="en-GB"/>
            <w14:ligatures w14:val="none"/>
          </w:rPr>
          <w:t>https://www.nidirect.gov.uk/articles/nutrition-adolescents</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91600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315DC50C" w14:textId="3E4CB5F8"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Public Health England, 2011. </w:t>
      </w:r>
      <w:r w:rsidRPr="00481F5F">
        <w:rPr>
          <w:rFonts w:eastAsia="Times New Roman" w:cs="Times New Roman"/>
          <w:i/>
          <w:iCs/>
          <w:kern w:val="0"/>
          <w:lang w:eastAsia="en-GB"/>
          <w14:ligatures w14:val="none"/>
        </w:rPr>
        <w:t>SACN Dietary Reference Values for Energy</w:t>
      </w:r>
      <w:r w:rsidRPr="00481F5F">
        <w:rPr>
          <w:rFonts w:eastAsia="Times New Roman" w:cs="Times New Roman"/>
          <w:kern w:val="0"/>
          <w:lang w:eastAsia="en-GB"/>
          <w14:ligatures w14:val="none"/>
        </w:rPr>
        <w:t xml:space="preserve">. Available at: </w:t>
      </w:r>
      <w:hyperlink r:id="rId16" w:tgtFrame="_blank" w:tooltip="undefined" w:history="1">
        <w:r w:rsidRPr="00481F5F">
          <w:rPr>
            <w:rFonts w:eastAsia="Times New Roman" w:cs="Times New Roman"/>
            <w:kern w:val="0"/>
            <w:u w:val="single"/>
            <w:lang w:eastAsia="en-GB"/>
            <w14:ligatures w14:val="none"/>
          </w:rPr>
          <w:t>https://www.gov.uk/government/publications/sacn-dietary-reference-values-for-energy</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91600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755D1CF8" w14:textId="6F4EFEEB"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Public Health England, 2016. </w:t>
      </w:r>
      <w:r w:rsidRPr="00481F5F">
        <w:rPr>
          <w:rFonts w:eastAsia="Times New Roman" w:cs="Times New Roman"/>
          <w:i/>
          <w:iCs/>
          <w:kern w:val="0"/>
          <w:lang w:eastAsia="en-GB"/>
          <w14:ligatures w14:val="none"/>
        </w:rPr>
        <w:t>Government Dietary Recommendations Government Recommendations for Energy and Nutrients for Males and Females Aged 1 - 18 Years and 19+ Years</w:t>
      </w:r>
      <w:r w:rsidRPr="00481F5F">
        <w:rPr>
          <w:rFonts w:eastAsia="Times New Roman" w:cs="Times New Roman"/>
          <w:kern w:val="0"/>
          <w:lang w:eastAsia="en-GB"/>
          <w14:ligatures w14:val="none"/>
        </w:rPr>
        <w:t xml:space="preserve">. [online] GOV.UK. Available at: </w:t>
      </w:r>
      <w:hyperlink r:id="rId17" w:tgtFrame="_blank" w:tooltip="undefined" w:history="1">
        <w:r w:rsidRPr="00481F5F">
          <w:rPr>
            <w:rFonts w:eastAsia="Times New Roman" w:cs="Times New Roman"/>
            <w:kern w:val="0"/>
            <w:u w:val="single"/>
            <w:lang w:eastAsia="en-GB"/>
            <w14:ligatures w14:val="none"/>
          </w:rPr>
          <w:t>https://assets.publishing.service.gov.uk/government/uploads/system/uploads/attachment_data/file/618167/government_dietary_recommendations.pdf</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91600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102D5E77" w14:textId="3A7E4C09" w:rsidR="00481F5F" w:rsidRP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Scientific Advisory Committee on Nutrition (SACN), 2011. </w:t>
      </w:r>
      <w:r w:rsidRPr="00481F5F">
        <w:rPr>
          <w:rFonts w:eastAsia="Times New Roman" w:cs="Times New Roman"/>
          <w:i/>
          <w:iCs/>
          <w:kern w:val="0"/>
          <w:lang w:eastAsia="en-GB"/>
          <w14:ligatures w14:val="none"/>
        </w:rPr>
        <w:t>Dietary Reference Values for Energy and Nutrients for the United Kingdom</w:t>
      </w:r>
      <w:r w:rsidRPr="00481F5F">
        <w:rPr>
          <w:rFonts w:eastAsia="Times New Roman" w:cs="Times New Roman"/>
          <w:kern w:val="0"/>
          <w:lang w:eastAsia="en-GB"/>
          <w14:ligatures w14:val="none"/>
        </w:rPr>
        <w:t xml:space="preserve">. Department of Health. </w:t>
      </w:r>
      <w:r w:rsidR="00A944BA">
        <w:rPr>
          <w:rFonts w:eastAsia="Times New Roman" w:cs="Times New Roman"/>
          <w:kern w:val="0"/>
          <w:lang w:eastAsia="en-GB"/>
          <w14:ligatures w14:val="none"/>
        </w:rPr>
        <w:t>[</w:t>
      </w:r>
      <w:r w:rsidR="005365B0">
        <w:rPr>
          <w:rFonts w:eastAsia="Times New Roman" w:cs="Times New Roman"/>
          <w:kern w:val="0"/>
          <w:lang w:eastAsia="en-GB"/>
          <w14:ligatures w14:val="none"/>
        </w:rPr>
        <w:t>Accessed 22 Nov. 2024]</w:t>
      </w:r>
    </w:p>
    <w:p w14:paraId="378DC52F" w14:textId="68CD8152" w:rsidR="00481F5F" w:rsidRDefault="00481F5F" w:rsidP="00481F5F">
      <w:pPr>
        <w:numPr>
          <w:ilvl w:val="0"/>
          <w:numId w:val="8"/>
        </w:numPr>
        <w:spacing w:before="105" w:after="0" w:line="240" w:lineRule="auto"/>
        <w:rPr>
          <w:rFonts w:eastAsia="Times New Roman" w:cs="Times New Roman"/>
          <w:kern w:val="0"/>
          <w:lang w:eastAsia="en-GB"/>
          <w14:ligatures w14:val="none"/>
        </w:rPr>
      </w:pPr>
      <w:r w:rsidRPr="00481F5F">
        <w:rPr>
          <w:rFonts w:eastAsia="Times New Roman" w:cs="Times New Roman"/>
          <w:kern w:val="0"/>
          <w:lang w:eastAsia="en-GB"/>
          <w14:ligatures w14:val="none"/>
        </w:rPr>
        <w:t xml:space="preserve">Scientific Advisory Committee on Nutrition, 2011. </w:t>
      </w:r>
      <w:r w:rsidRPr="00481F5F">
        <w:rPr>
          <w:rFonts w:eastAsia="Times New Roman" w:cs="Times New Roman"/>
          <w:i/>
          <w:iCs/>
          <w:kern w:val="0"/>
          <w:lang w:eastAsia="en-GB"/>
          <w14:ligatures w14:val="none"/>
        </w:rPr>
        <w:t>Dietary Reference Values for Energy 2011</w:t>
      </w:r>
      <w:r w:rsidRPr="00481F5F">
        <w:rPr>
          <w:rFonts w:eastAsia="Times New Roman" w:cs="Times New Roman"/>
          <w:kern w:val="0"/>
          <w:lang w:eastAsia="en-GB"/>
          <w14:ligatures w14:val="none"/>
        </w:rPr>
        <w:t xml:space="preserve">. Available at: </w:t>
      </w:r>
      <w:hyperlink r:id="rId18" w:tgtFrame="_blank" w:tooltip="undefined" w:history="1">
        <w:r w:rsidRPr="00481F5F">
          <w:rPr>
            <w:rFonts w:eastAsia="Times New Roman" w:cs="Times New Roman"/>
            <w:kern w:val="0"/>
            <w:u w:val="single"/>
            <w:lang w:eastAsia="en-GB"/>
            <w14:ligatures w14:val="none"/>
          </w:rPr>
          <w:t>https://assets.publishing.service.gov.uk/media/5a7edb37ed915d74e33f2d8f/SACN_Dietary_Reference_Values_for_Energy.pdf</w:t>
        </w:r>
      </w:hyperlink>
      <w:r w:rsidRPr="00481F5F">
        <w:rPr>
          <w:rFonts w:eastAsia="Times New Roman" w:cs="Times New Roman"/>
          <w:kern w:val="0"/>
          <w:lang w:eastAsia="en-GB"/>
          <w14:ligatures w14:val="none"/>
        </w:rPr>
        <w:t xml:space="preserve"> [Accessed 14 </w:t>
      </w:r>
      <w:r w:rsidR="0091600B">
        <w:rPr>
          <w:rFonts w:eastAsia="Times New Roman" w:cs="Times New Roman"/>
          <w:kern w:val="0"/>
          <w:lang w:eastAsia="en-GB"/>
          <w14:ligatures w14:val="none"/>
        </w:rPr>
        <w:t>Nov</w:t>
      </w:r>
      <w:r w:rsidRPr="00481F5F">
        <w:rPr>
          <w:rFonts w:eastAsia="Times New Roman" w:cs="Times New Roman"/>
          <w:kern w:val="0"/>
          <w:lang w:eastAsia="en-GB"/>
          <w14:ligatures w14:val="none"/>
        </w:rPr>
        <w:t>. 202</w:t>
      </w:r>
      <w:r w:rsidR="00BD534B">
        <w:rPr>
          <w:rFonts w:eastAsia="Times New Roman" w:cs="Times New Roman"/>
          <w:kern w:val="0"/>
          <w:lang w:eastAsia="en-GB"/>
          <w14:ligatures w14:val="none"/>
        </w:rPr>
        <w:t>4</w:t>
      </w:r>
      <w:r w:rsidRPr="00481F5F">
        <w:rPr>
          <w:rFonts w:eastAsia="Times New Roman" w:cs="Times New Roman"/>
          <w:kern w:val="0"/>
          <w:lang w:eastAsia="en-GB"/>
          <w14:ligatures w14:val="none"/>
        </w:rPr>
        <w:t>].</w:t>
      </w:r>
    </w:p>
    <w:p w14:paraId="160D1556" w14:textId="579EE32B" w:rsidR="00912499" w:rsidRPr="00E04031" w:rsidRDefault="001642C8" w:rsidP="00B169BA">
      <w:pPr>
        <w:numPr>
          <w:ilvl w:val="0"/>
          <w:numId w:val="8"/>
        </w:numPr>
        <w:spacing w:before="105" w:after="0" w:line="240" w:lineRule="auto"/>
        <w:rPr>
          <w:rFonts w:eastAsia="Times New Roman" w:cs="Times New Roman"/>
          <w:kern w:val="0"/>
          <w:lang w:eastAsia="en-GB"/>
          <w14:ligatures w14:val="none"/>
        </w:rPr>
      </w:pPr>
      <w:r w:rsidRPr="00E04031">
        <w:rPr>
          <w:rFonts w:eastAsia="Times New Roman" w:cs="Times New Roman"/>
          <w:kern w:val="0"/>
          <w:lang w:eastAsia="en-GB"/>
          <w14:ligatures w14:val="none"/>
        </w:rPr>
        <w:lastRenderedPageBreak/>
        <w:t xml:space="preserve">team, D. </w:t>
      </w:r>
      <w:proofErr w:type="spellStart"/>
      <w:r w:rsidRPr="00E04031">
        <w:rPr>
          <w:rFonts w:eastAsia="Times New Roman" w:cs="Times New Roman"/>
          <w:kern w:val="0"/>
          <w:lang w:eastAsia="en-GB"/>
          <w14:ligatures w14:val="none"/>
        </w:rPr>
        <w:t>editiorial</w:t>
      </w:r>
      <w:proofErr w:type="spellEnd"/>
      <w:r w:rsidRPr="00E04031">
        <w:rPr>
          <w:rFonts w:eastAsia="Times New Roman" w:cs="Times New Roman"/>
          <w:kern w:val="0"/>
          <w:lang w:eastAsia="en-GB"/>
          <w14:ligatures w14:val="none"/>
        </w:rPr>
        <w:t xml:space="preserve"> (2023). Scientific Advisory Committee on Nutrition (SACN). [online] Digicomply.com. Available at: https://www.digicomply.com/food-regulatory-bodies-standards-and-authorities/scientific-advisory-committee-on-nutrition-sacn [Accessed 28 Nov. 2024].</w:t>
      </w:r>
    </w:p>
    <w:sectPr w:rsidR="00912499" w:rsidRPr="00E04031">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4EC40" w14:textId="77777777" w:rsidR="00AC2B48" w:rsidRDefault="00AC2B48" w:rsidP="00AC2B48">
      <w:pPr>
        <w:spacing w:after="0" w:line="240" w:lineRule="auto"/>
      </w:pPr>
      <w:r>
        <w:separator/>
      </w:r>
    </w:p>
  </w:endnote>
  <w:endnote w:type="continuationSeparator" w:id="0">
    <w:p w14:paraId="5983C59A" w14:textId="77777777" w:rsidR="00AC2B48" w:rsidRDefault="00AC2B48" w:rsidP="00AC2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2957603"/>
      <w:docPartObj>
        <w:docPartGallery w:val="Page Numbers (Bottom of Page)"/>
        <w:docPartUnique/>
      </w:docPartObj>
    </w:sdtPr>
    <w:sdtEndPr>
      <w:rPr>
        <w:color w:val="7F7F7F" w:themeColor="background1" w:themeShade="7F"/>
        <w:spacing w:val="60"/>
        <w:sz w:val="18"/>
        <w:szCs w:val="18"/>
      </w:rPr>
    </w:sdtEndPr>
    <w:sdtContent>
      <w:p w14:paraId="7B894E1A" w14:textId="7FE21589" w:rsidR="00794E59" w:rsidRPr="00ED5B52" w:rsidRDefault="00794E59">
        <w:pPr>
          <w:pStyle w:val="Footer"/>
          <w:pBdr>
            <w:top w:val="single" w:sz="4" w:space="1" w:color="D9D9D9" w:themeColor="background1" w:themeShade="D9"/>
          </w:pBdr>
          <w:jc w:val="right"/>
          <w:rPr>
            <w:sz w:val="18"/>
            <w:szCs w:val="18"/>
          </w:rPr>
        </w:pPr>
        <w:r w:rsidRPr="00ED5B52">
          <w:rPr>
            <w:sz w:val="18"/>
            <w:szCs w:val="18"/>
          </w:rPr>
          <w:fldChar w:fldCharType="begin"/>
        </w:r>
        <w:r w:rsidRPr="00ED5B52">
          <w:rPr>
            <w:sz w:val="18"/>
            <w:szCs w:val="18"/>
          </w:rPr>
          <w:instrText>PAGE   \* MERGEFORMAT</w:instrText>
        </w:r>
        <w:r w:rsidRPr="00ED5B52">
          <w:rPr>
            <w:sz w:val="18"/>
            <w:szCs w:val="18"/>
          </w:rPr>
          <w:fldChar w:fldCharType="separate"/>
        </w:r>
        <w:r w:rsidRPr="00ED5B52">
          <w:rPr>
            <w:sz w:val="18"/>
            <w:szCs w:val="18"/>
          </w:rPr>
          <w:t>2</w:t>
        </w:r>
        <w:r w:rsidRPr="00ED5B52">
          <w:rPr>
            <w:sz w:val="18"/>
            <w:szCs w:val="18"/>
          </w:rPr>
          <w:fldChar w:fldCharType="end"/>
        </w:r>
        <w:r w:rsidRPr="00ED5B52">
          <w:rPr>
            <w:sz w:val="18"/>
            <w:szCs w:val="18"/>
          </w:rPr>
          <w:t xml:space="preserve"> | </w:t>
        </w:r>
        <w:r w:rsidRPr="00ED5B52">
          <w:rPr>
            <w:color w:val="7F7F7F" w:themeColor="background1" w:themeShade="7F"/>
            <w:spacing w:val="60"/>
            <w:sz w:val="18"/>
            <w:szCs w:val="18"/>
          </w:rPr>
          <w:t>Page</w:t>
        </w:r>
      </w:p>
    </w:sdtContent>
  </w:sdt>
  <w:p w14:paraId="2F79C281" w14:textId="77777777" w:rsidR="00794E59" w:rsidRDefault="00794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7F3FC" w14:textId="77777777" w:rsidR="00AC2B48" w:rsidRDefault="00AC2B48" w:rsidP="00AC2B48">
      <w:pPr>
        <w:spacing w:after="0" w:line="240" w:lineRule="auto"/>
      </w:pPr>
      <w:r>
        <w:separator/>
      </w:r>
    </w:p>
  </w:footnote>
  <w:footnote w:type="continuationSeparator" w:id="0">
    <w:p w14:paraId="6DB26641" w14:textId="77777777" w:rsidR="00AC2B48" w:rsidRDefault="00AC2B48" w:rsidP="00AC2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85755" w14:textId="7EA537D7" w:rsidR="002E047B" w:rsidRPr="00F04BC8" w:rsidRDefault="002E047B">
    <w:pPr>
      <w:pStyle w:val="Header"/>
      <w:rPr>
        <w:sz w:val="18"/>
        <w:szCs w:val="18"/>
      </w:rPr>
    </w:pPr>
    <w:r w:rsidRPr="00F04BC8">
      <w:rPr>
        <w:sz w:val="18"/>
        <w:szCs w:val="18"/>
      </w:rPr>
      <w:t>Zac Ashburner</w:t>
    </w:r>
    <w:r w:rsidR="00F04BC8" w:rsidRPr="00F04BC8">
      <w:rPr>
        <w:sz w:val="18"/>
        <w:szCs w:val="18"/>
      </w:rPr>
      <w:t>, 2407497</w:t>
    </w:r>
  </w:p>
  <w:p w14:paraId="300E56E9" w14:textId="50326F05" w:rsidR="002E047B" w:rsidRPr="00F04BC8" w:rsidRDefault="00B046B3">
    <w:pPr>
      <w:pStyle w:val="Header"/>
      <w:rPr>
        <w:sz w:val="18"/>
        <w:szCs w:val="18"/>
      </w:rPr>
    </w:pPr>
    <w:r w:rsidRPr="00F04BC8">
      <w:rPr>
        <w:sz w:val="18"/>
        <w:szCs w:val="18"/>
      </w:rPr>
      <w:t>BSc Sport and Exercise</w:t>
    </w:r>
  </w:p>
  <w:p w14:paraId="61338FA9" w14:textId="4A5143A8" w:rsidR="00B046B3" w:rsidRPr="00F04BC8" w:rsidRDefault="00014C24">
    <w:pPr>
      <w:pStyle w:val="Header"/>
      <w:rPr>
        <w:sz w:val="18"/>
        <w:szCs w:val="18"/>
      </w:rPr>
    </w:pPr>
    <w:r w:rsidRPr="00F04BC8">
      <w:rPr>
        <w:sz w:val="18"/>
        <w:szCs w:val="18"/>
      </w:rPr>
      <w:t>Nutrition for Health BMSS4010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97A64"/>
    <w:multiLevelType w:val="multilevel"/>
    <w:tmpl w:val="46965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C078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B541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8448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140DD6"/>
    <w:multiLevelType w:val="multilevel"/>
    <w:tmpl w:val="D8C22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001C6E"/>
    <w:multiLevelType w:val="multilevel"/>
    <w:tmpl w:val="DAF6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ED31FD"/>
    <w:multiLevelType w:val="hybridMultilevel"/>
    <w:tmpl w:val="A95E3074"/>
    <w:lvl w:ilvl="0" w:tplc="A5E0F2B4">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7C3C42"/>
    <w:multiLevelType w:val="multilevel"/>
    <w:tmpl w:val="E9D65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C972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2640947">
    <w:abstractNumId w:val="4"/>
  </w:num>
  <w:num w:numId="2" w16cid:durableId="1952661783">
    <w:abstractNumId w:val="6"/>
  </w:num>
  <w:num w:numId="3" w16cid:durableId="1059549555">
    <w:abstractNumId w:val="8"/>
  </w:num>
  <w:num w:numId="4" w16cid:durableId="248539759">
    <w:abstractNumId w:val="1"/>
  </w:num>
  <w:num w:numId="5" w16cid:durableId="220361866">
    <w:abstractNumId w:val="3"/>
  </w:num>
  <w:num w:numId="6" w16cid:durableId="942810481">
    <w:abstractNumId w:val="2"/>
  </w:num>
  <w:num w:numId="7" w16cid:durableId="1704666902">
    <w:abstractNumId w:val="0"/>
  </w:num>
  <w:num w:numId="8" w16cid:durableId="1952589878">
    <w:abstractNumId w:val="7"/>
  </w:num>
  <w:num w:numId="9" w16cid:durableId="1747461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80"/>
    <w:rsid w:val="00002AB9"/>
    <w:rsid w:val="00007B2C"/>
    <w:rsid w:val="0001398D"/>
    <w:rsid w:val="00014585"/>
    <w:rsid w:val="00014C24"/>
    <w:rsid w:val="000238C7"/>
    <w:rsid w:val="00025EAA"/>
    <w:rsid w:val="000344D3"/>
    <w:rsid w:val="00044AA9"/>
    <w:rsid w:val="000511A2"/>
    <w:rsid w:val="000552F7"/>
    <w:rsid w:val="00063A81"/>
    <w:rsid w:val="00074931"/>
    <w:rsid w:val="000827E5"/>
    <w:rsid w:val="000903AF"/>
    <w:rsid w:val="000906BC"/>
    <w:rsid w:val="0009302A"/>
    <w:rsid w:val="000A0345"/>
    <w:rsid w:val="000A3DC6"/>
    <w:rsid w:val="000A5011"/>
    <w:rsid w:val="000C032A"/>
    <w:rsid w:val="000D485F"/>
    <w:rsid w:val="000D605D"/>
    <w:rsid w:val="000D7CE0"/>
    <w:rsid w:val="000F110F"/>
    <w:rsid w:val="000F665D"/>
    <w:rsid w:val="00103A08"/>
    <w:rsid w:val="00104C23"/>
    <w:rsid w:val="00104C8C"/>
    <w:rsid w:val="001054C8"/>
    <w:rsid w:val="00110D3C"/>
    <w:rsid w:val="00113455"/>
    <w:rsid w:val="0011619C"/>
    <w:rsid w:val="00117030"/>
    <w:rsid w:val="00123C8D"/>
    <w:rsid w:val="001302C5"/>
    <w:rsid w:val="001318B4"/>
    <w:rsid w:val="001379E5"/>
    <w:rsid w:val="00150B18"/>
    <w:rsid w:val="001553B6"/>
    <w:rsid w:val="00161140"/>
    <w:rsid w:val="001621E6"/>
    <w:rsid w:val="001642C8"/>
    <w:rsid w:val="001744E5"/>
    <w:rsid w:val="0017471F"/>
    <w:rsid w:val="001848F5"/>
    <w:rsid w:val="00184CAA"/>
    <w:rsid w:val="00187F51"/>
    <w:rsid w:val="001955DE"/>
    <w:rsid w:val="001A75A6"/>
    <w:rsid w:val="001B0014"/>
    <w:rsid w:val="001C254F"/>
    <w:rsid w:val="001D2300"/>
    <w:rsid w:val="001E0E4D"/>
    <w:rsid w:val="001E7166"/>
    <w:rsid w:val="001F4B3D"/>
    <w:rsid w:val="001F721E"/>
    <w:rsid w:val="001F7D91"/>
    <w:rsid w:val="00212766"/>
    <w:rsid w:val="00213886"/>
    <w:rsid w:val="00216E1D"/>
    <w:rsid w:val="00231511"/>
    <w:rsid w:val="00231F25"/>
    <w:rsid w:val="0023368B"/>
    <w:rsid w:val="0023494C"/>
    <w:rsid w:val="00235366"/>
    <w:rsid w:val="00254301"/>
    <w:rsid w:val="002611BF"/>
    <w:rsid w:val="0026274A"/>
    <w:rsid w:val="002636D6"/>
    <w:rsid w:val="002650EB"/>
    <w:rsid w:val="0026550B"/>
    <w:rsid w:val="002672FE"/>
    <w:rsid w:val="0027492C"/>
    <w:rsid w:val="00282DF0"/>
    <w:rsid w:val="00290F1F"/>
    <w:rsid w:val="002A55E5"/>
    <w:rsid w:val="002C1932"/>
    <w:rsid w:val="002C5760"/>
    <w:rsid w:val="002C5DA8"/>
    <w:rsid w:val="002D59EB"/>
    <w:rsid w:val="002E047B"/>
    <w:rsid w:val="002E18DD"/>
    <w:rsid w:val="002E6254"/>
    <w:rsid w:val="002F361B"/>
    <w:rsid w:val="003078FA"/>
    <w:rsid w:val="0031038B"/>
    <w:rsid w:val="00311FD4"/>
    <w:rsid w:val="00315EF1"/>
    <w:rsid w:val="003233A7"/>
    <w:rsid w:val="003240D4"/>
    <w:rsid w:val="003317A6"/>
    <w:rsid w:val="00334911"/>
    <w:rsid w:val="003426FD"/>
    <w:rsid w:val="00343209"/>
    <w:rsid w:val="00351971"/>
    <w:rsid w:val="00355B2F"/>
    <w:rsid w:val="0035663A"/>
    <w:rsid w:val="00361E36"/>
    <w:rsid w:val="00373206"/>
    <w:rsid w:val="0038067A"/>
    <w:rsid w:val="003830AC"/>
    <w:rsid w:val="00391008"/>
    <w:rsid w:val="0039706D"/>
    <w:rsid w:val="003976B4"/>
    <w:rsid w:val="003A15F2"/>
    <w:rsid w:val="003A21E5"/>
    <w:rsid w:val="003A6EAF"/>
    <w:rsid w:val="003B7D8A"/>
    <w:rsid w:val="003C2AC6"/>
    <w:rsid w:val="003C4C21"/>
    <w:rsid w:val="003C6C71"/>
    <w:rsid w:val="003D361E"/>
    <w:rsid w:val="003F015C"/>
    <w:rsid w:val="003F1160"/>
    <w:rsid w:val="003F47E0"/>
    <w:rsid w:val="003F7E3A"/>
    <w:rsid w:val="003F7FE7"/>
    <w:rsid w:val="004018F9"/>
    <w:rsid w:val="00405DCC"/>
    <w:rsid w:val="0040756E"/>
    <w:rsid w:val="004154DD"/>
    <w:rsid w:val="004216EB"/>
    <w:rsid w:val="004226A5"/>
    <w:rsid w:val="00423DE7"/>
    <w:rsid w:val="00427645"/>
    <w:rsid w:val="004527DD"/>
    <w:rsid w:val="00465DEB"/>
    <w:rsid w:val="00472861"/>
    <w:rsid w:val="004729C4"/>
    <w:rsid w:val="00472A4C"/>
    <w:rsid w:val="00477128"/>
    <w:rsid w:val="00481F5F"/>
    <w:rsid w:val="00486773"/>
    <w:rsid w:val="0049692A"/>
    <w:rsid w:val="004B4023"/>
    <w:rsid w:val="004C5F72"/>
    <w:rsid w:val="004D00FB"/>
    <w:rsid w:val="004E489C"/>
    <w:rsid w:val="004E75F8"/>
    <w:rsid w:val="004F33D4"/>
    <w:rsid w:val="00507D12"/>
    <w:rsid w:val="00512E0E"/>
    <w:rsid w:val="00514CE5"/>
    <w:rsid w:val="00520D00"/>
    <w:rsid w:val="00523929"/>
    <w:rsid w:val="00526F2E"/>
    <w:rsid w:val="00532BD2"/>
    <w:rsid w:val="005365B0"/>
    <w:rsid w:val="00541B67"/>
    <w:rsid w:val="00547A31"/>
    <w:rsid w:val="00562179"/>
    <w:rsid w:val="005630DA"/>
    <w:rsid w:val="00571C74"/>
    <w:rsid w:val="00573254"/>
    <w:rsid w:val="00587772"/>
    <w:rsid w:val="005A0F85"/>
    <w:rsid w:val="005A59EC"/>
    <w:rsid w:val="005A71FC"/>
    <w:rsid w:val="005B0DB9"/>
    <w:rsid w:val="005B777A"/>
    <w:rsid w:val="005F2089"/>
    <w:rsid w:val="005F669A"/>
    <w:rsid w:val="005F6B71"/>
    <w:rsid w:val="005F6FEC"/>
    <w:rsid w:val="00606968"/>
    <w:rsid w:val="00610422"/>
    <w:rsid w:val="006209F4"/>
    <w:rsid w:val="006452B7"/>
    <w:rsid w:val="0065083E"/>
    <w:rsid w:val="00653D2A"/>
    <w:rsid w:val="00654A06"/>
    <w:rsid w:val="00663040"/>
    <w:rsid w:val="0067679C"/>
    <w:rsid w:val="0068036F"/>
    <w:rsid w:val="0068131A"/>
    <w:rsid w:val="00694BCF"/>
    <w:rsid w:val="006B0CA1"/>
    <w:rsid w:val="006B19C2"/>
    <w:rsid w:val="006B602F"/>
    <w:rsid w:val="006C115B"/>
    <w:rsid w:val="006C2AB1"/>
    <w:rsid w:val="006C67B2"/>
    <w:rsid w:val="006E76FC"/>
    <w:rsid w:val="006F4DB0"/>
    <w:rsid w:val="0071262B"/>
    <w:rsid w:val="00715975"/>
    <w:rsid w:val="007258D8"/>
    <w:rsid w:val="00726B6B"/>
    <w:rsid w:val="0073049B"/>
    <w:rsid w:val="0073300E"/>
    <w:rsid w:val="00734483"/>
    <w:rsid w:val="0073483D"/>
    <w:rsid w:val="00735CF5"/>
    <w:rsid w:val="0074364A"/>
    <w:rsid w:val="00773826"/>
    <w:rsid w:val="00783972"/>
    <w:rsid w:val="00786D82"/>
    <w:rsid w:val="007931BD"/>
    <w:rsid w:val="007935D5"/>
    <w:rsid w:val="00794CD7"/>
    <w:rsid w:val="00794E59"/>
    <w:rsid w:val="007B18AB"/>
    <w:rsid w:val="007B3D80"/>
    <w:rsid w:val="007B7B88"/>
    <w:rsid w:val="007C5B20"/>
    <w:rsid w:val="007C5EB1"/>
    <w:rsid w:val="007D5B79"/>
    <w:rsid w:val="007E0B92"/>
    <w:rsid w:val="007E5852"/>
    <w:rsid w:val="007F1D95"/>
    <w:rsid w:val="00800F9B"/>
    <w:rsid w:val="008023B4"/>
    <w:rsid w:val="008067EF"/>
    <w:rsid w:val="00811351"/>
    <w:rsid w:val="00812AE5"/>
    <w:rsid w:val="008145F9"/>
    <w:rsid w:val="00814920"/>
    <w:rsid w:val="008169B0"/>
    <w:rsid w:val="00824C85"/>
    <w:rsid w:val="0083447B"/>
    <w:rsid w:val="008409E4"/>
    <w:rsid w:val="00844925"/>
    <w:rsid w:val="00851541"/>
    <w:rsid w:val="00855238"/>
    <w:rsid w:val="008575BA"/>
    <w:rsid w:val="00861730"/>
    <w:rsid w:val="00870803"/>
    <w:rsid w:val="00873B05"/>
    <w:rsid w:val="00874D2D"/>
    <w:rsid w:val="00876033"/>
    <w:rsid w:val="00876C1F"/>
    <w:rsid w:val="008807A7"/>
    <w:rsid w:val="008A064F"/>
    <w:rsid w:val="008A0B24"/>
    <w:rsid w:val="008A3DD1"/>
    <w:rsid w:val="008A5B50"/>
    <w:rsid w:val="008B444E"/>
    <w:rsid w:val="008C086E"/>
    <w:rsid w:val="008C7F45"/>
    <w:rsid w:val="008D156F"/>
    <w:rsid w:val="008D192A"/>
    <w:rsid w:val="008D65CF"/>
    <w:rsid w:val="008E066E"/>
    <w:rsid w:val="008E2355"/>
    <w:rsid w:val="008E32FE"/>
    <w:rsid w:val="008F0F15"/>
    <w:rsid w:val="008F4A65"/>
    <w:rsid w:val="009014A3"/>
    <w:rsid w:val="00906441"/>
    <w:rsid w:val="00912499"/>
    <w:rsid w:val="009139E9"/>
    <w:rsid w:val="00915294"/>
    <w:rsid w:val="0091600B"/>
    <w:rsid w:val="0092380D"/>
    <w:rsid w:val="00925520"/>
    <w:rsid w:val="00926950"/>
    <w:rsid w:val="0093177E"/>
    <w:rsid w:val="00942AD2"/>
    <w:rsid w:val="00946DEC"/>
    <w:rsid w:val="00952EF6"/>
    <w:rsid w:val="00954237"/>
    <w:rsid w:val="0095460F"/>
    <w:rsid w:val="00955D61"/>
    <w:rsid w:val="00957321"/>
    <w:rsid w:val="0096098D"/>
    <w:rsid w:val="009678D3"/>
    <w:rsid w:val="00971668"/>
    <w:rsid w:val="009839EC"/>
    <w:rsid w:val="0099707C"/>
    <w:rsid w:val="00997EB6"/>
    <w:rsid w:val="009A5A57"/>
    <w:rsid w:val="009B0E36"/>
    <w:rsid w:val="009B64D4"/>
    <w:rsid w:val="009C6CDA"/>
    <w:rsid w:val="009D1548"/>
    <w:rsid w:val="009E009D"/>
    <w:rsid w:val="009E1382"/>
    <w:rsid w:val="009E24F3"/>
    <w:rsid w:val="009E4172"/>
    <w:rsid w:val="009F7B69"/>
    <w:rsid w:val="00A00607"/>
    <w:rsid w:val="00A03189"/>
    <w:rsid w:val="00A04F4E"/>
    <w:rsid w:val="00A06DB3"/>
    <w:rsid w:val="00A108B7"/>
    <w:rsid w:val="00A1655F"/>
    <w:rsid w:val="00A17282"/>
    <w:rsid w:val="00A22E68"/>
    <w:rsid w:val="00A27BCB"/>
    <w:rsid w:val="00A531FD"/>
    <w:rsid w:val="00A54564"/>
    <w:rsid w:val="00A57D43"/>
    <w:rsid w:val="00A64233"/>
    <w:rsid w:val="00A7748B"/>
    <w:rsid w:val="00A81DCA"/>
    <w:rsid w:val="00A83693"/>
    <w:rsid w:val="00A922E5"/>
    <w:rsid w:val="00A944BA"/>
    <w:rsid w:val="00A95F9D"/>
    <w:rsid w:val="00AA00CC"/>
    <w:rsid w:val="00AA7A2A"/>
    <w:rsid w:val="00AC1592"/>
    <w:rsid w:val="00AC2B48"/>
    <w:rsid w:val="00AC778C"/>
    <w:rsid w:val="00AD49E5"/>
    <w:rsid w:val="00B046B3"/>
    <w:rsid w:val="00B052DB"/>
    <w:rsid w:val="00B116DA"/>
    <w:rsid w:val="00B169BA"/>
    <w:rsid w:val="00B20F7A"/>
    <w:rsid w:val="00B309D3"/>
    <w:rsid w:val="00B447AC"/>
    <w:rsid w:val="00B46551"/>
    <w:rsid w:val="00B5698F"/>
    <w:rsid w:val="00B61E52"/>
    <w:rsid w:val="00B61F1F"/>
    <w:rsid w:val="00B70006"/>
    <w:rsid w:val="00B83D7B"/>
    <w:rsid w:val="00B87F0B"/>
    <w:rsid w:val="00B96451"/>
    <w:rsid w:val="00B970FA"/>
    <w:rsid w:val="00BB2986"/>
    <w:rsid w:val="00BB3019"/>
    <w:rsid w:val="00BB73C9"/>
    <w:rsid w:val="00BC2E48"/>
    <w:rsid w:val="00BD534B"/>
    <w:rsid w:val="00BE082C"/>
    <w:rsid w:val="00BE5D62"/>
    <w:rsid w:val="00BE64AE"/>
    <w:rsid w:val="00C130AE"/>
    <w:rsid w:val="00C220F0"/>
    <w:rsid w:val="00C342A7"/>
    <w:rsid w:val="00C35ABA"/>
    <w:rsid w:val="00C41C98"/>
    <w:rsid w:val="00C42204"/>
    <w:rsid w:val="00C425D6"/>
    <w:rsid w:val="00C45F8C"/>
    <w:rsid w:val="00C54419"/>
    <w:rsid w:val="00C5483A"/>
    <w:rsid w:val="00C6017E"/>
    <w:rsid w:val="00C7029F"/>
    <w:rsid w:val="00C77CEF"/>
    <w:rsid w:val="00C929CB"/>
    <w:rsid w:val="00C95234"/>
    <w:rsid w:val="00CE4476"/>
    <w:rsid w:val="00CE49D9"/>
    <w:rsid w:val="00CE6F89"/>
    <w:rsid w:val="00CF4F9B"/>
    <w:rsid w:val="00CF5240"/>
    <w:rsid w:val="00CF5AFA"/>
    <w:rsid w:val="00D00508"/>
    <w:rsid w:val="00D11710"/>
    <w:rsid w:val="00D200BE"/>
    <w:rsid w:val="00D2556B"/>
    <w:rsid w:val="00D30F1F"/>
    <w:rsid w:val="00D41815"/>
    <w:rsid w:val="00D56E57"/>
    <w:rsid w:val="00D57703"/>
    <w:rsid w:val="00D62571"/>
    <w:rsid w:val="00D71C67"/>
    <w:rsid w:val="00D77B9D"/>
    <w:rsid w:val="00D91F9F"/>
    <w:rsid w:val="00D9383E"/>
    <w:rsid w:val="00D959E7"/>
    <w:rsid w:val="00DB0977"/>
    <w:rsid w:val="00DC37B0"/>
    <w:rsid w:val="00DD37E9"/>
    <w:rsid w:val="00DE643E"/>
    <w:rsid w:val="00DF1BA8"/>
    <w:rsid w:val="00E03A33"/>
    <w:rsid w:val="00E04031"/>
    <w:rsid w:val="00E04A10"/>
    <w:rsid w:val="00E13669"/>
    <w:rsid w:val="00E144B9"/>
    <w:rsid w:val="00E165C6"/>
    <w:rsid w:val="00E178C2"/>
    <w:rsid w:val="00E20798"/>
    <w:rsid w:val="00E237A1"/>
    <w:rsid w:val="00E2420D"/>
    <w:rsid w:val="00E31225"/>
    <w:rsid w:val="00E43DC2"/>
    <w:rsid w:val="00E4608D"/>
    <w:rsid w:val="00E50C8B"/>
    <w:rsid w:val="00E51F13"/>
    <w:rsid w:val="00E60585"/>
    <w:rsid w:val="00E6305C"/>
    <w:rsid w:val="00E654EE"/>
    <w:rsid w:val="00E7584E"/>
    <w:rsid w:val="00E7732A"/>
    <w:rsid w:val="00EA0FEA"/>
    <w:rsid w:val="00EB2DD6"/>
    <w:rsid w:val="00EB3B18"/>
    <w:rsid w:val="00EB4FC9"/>
    <w:rsid w:val="00EC2728"/>
    <w:rsid w:val="00EC5828"/>
    <w:rsid w:val="00ED5B52"/>
    <w:rsid w:val="00ED7844"/>
    <w:rsid w:val="00EE60E1"/>
    <w:rsid w:val="00EF0330"/>
    <w:rsid w:val="00EF19F0"/>
    <w:rsid w:val="00EF5A47"/>
    <w:rsid w:val="00EF5FDA"/>
    <w:rsid w:val="00EF641C"/>
    <w:rsid w:val="00F04BC8"/>
    <w:rsid w:val="00F0650B"/>
    <w:rsid w:val="00F14D76"/>
    <w:rsid w:val="00F21481"/>
    <w:rsid w:val="00F23648"/>
    <w:rsid w:val="00F23CC4"/>
    <w:rsid w:val="00F476D4"/>
    <w:rsid w:val="00F50478"/>
    <w:rsid w:val="00F65060"/>
    <w:rsid w:val="00F6675A"/>
    <w:rsid w:val="00F7611C"/>
    <w:rsid w:val="00F76F29"/>
    <w:rsid w:val="00F77023"/>
    <w:rsid w:val="00F80066"/>
    <w:rsid w:val="00F83CC1"/>
    <w:rsid w:val="00F83DE0"/>
    <w:rsid w:val="00F86AAE"/>
    <w:rsid w:val="00F93906"/>
    <w:rsid w:val="00FD48DA"/>
    <w:rsid w:val="00FE144D"/>
    <w:rsid w:val="00FF2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5CF686CF"/>
  <w15:chartTrackingRefBased/>
  <w15:docId w15:val="{6BA179FC-C0A7-4F91-82E2-A499034B0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3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3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D80"/>
    <w:rPr>
      <w:rFonts w:eastAsiaTheme="majorEastAsia" w:cstheme="majorBidi"/>
      <w:color w:val="272727" w:themeColor="text1" w:themeTint="D8"/>
    </w:rPr>
  </w:style>
  <w:style w:type="paragraph" w:styleId="Title">
    <w:name w:val="Title"/>
    <w:basedOn w:val="Normal"/>
    <w:next w:val="Normal"/>
    <w:link w:val="TitleChar"/>
    <w:uiPriority w:val="10"/>
    <w:qFormat/>
    <w:rsid w:val="007B3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D80"/>
    <w:pPr>
      <w:spacing w:before="160"/>
      <w:jc w:val="center"/>
    </w:pPr>
    <w:rPr>
      <w:i/>
      <w:iCs/>
      <w:color w:val="404040" w:themeColor="text1" w:themeTint="BF"/>
    </w:rPr>
  </w:style>
  <w:style w:type="character" w:customStyle="1" w:styleId="QuoteChar">
    <w:name w:val="Quote Char"/>
    <w:basedOn w:val="DefaultParagraphFont"/>
    <w:link w:val="Quote"/>
    <w:uiPriority w:val="29"/>
    <w:rsid w:val="007B3D80"/>
    <w:rPr>
      <w:i/>
      <w:iCs/>
      <w:color w:val="404040" w:themeColor="text1" w:themeTint="BF"/>
    </w:rPr>
  </w:style>
  <w:style w:type="paragraph" w:styleId="ListParagraph">
    <w:name w:val="List Paragraph"/>
    <w:basedOn w:val="Normal"/>
    <w:uiPriority w:val="34"/>
    <w:qFormat/>
    <w:rsid w:val="007B3D80"/>
    <w:pPr>
      <w:ind w:left="720"/>
      <w:contextualSpacing/>
    </w:pPr>
  </w:style>
  <w:style w:type="character" w:styleId="IntenseEmphasis">
    <w:name w:val="Intense Emphasis"/>
    <w:basedOn w:val="DefaultParagraphFont"/>
    <w:uiPriority w:val="21"/>
    <w:qFormat/>
    <w:rsid w:val="007B3D80"/>
    <w:rPr>
      <w:i/>
      <w:iCs/>
      <w:color w:val="0F4761" w:themeColor="accent1" w:themeShade="BF"/>
    </w:rPr>
  </w:style>
  <w:style w:type="paragraph" w:styleId="IntenseQuote">
    <w:name w:val="Intense Quote"/>
    <w:basedOn w:val="Normal"/>
    <w:next w:val="Normal"/>
    <w:link w:val="IntenseQuoteChar"/>
    <w:uiPriority w:val="30"/>
    <w:qFormat/>
    <w:rsid w:val="007B3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D80"/>
    <w:rPr>
      <w:i/>
      <w:iCs/>
      <w:color w:val="0F4761" w:themeColor="accent1" w:themeShade="BF"/>
    </w:rPr>
  </w:style>
  <w:style w:type="character" w:styleId="IntenseReference">
    <w:name w:val="Intense Reference"/>
    <w:basedOn w:val="DefaultParagraphFont"/>
    <w:uiPriority w:val="32"/>
    <w:qFormat/>
    <w:rsid w:val="007B3D80"/>
    <w:rPr>
      <w:b/>
      <w:bCs/>
      <w:smallCaps/>
      <w:color w:val="0F4761" w:themeColor="accent1" w:themeShade="BF"/>
      <w:spacing w:val="5"/>
    </w:rPr>
  </w:style>
  <w:style w:type="table" w:styleId="TableGrid">
    <w:name w:val="Table Grid"/>
    <w:basedOn w:val="TableNormal"/>
    <w:uiPriority w:val="39"/>
    <w:rsid w:val="002749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138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531FD"/>
  </w:style>
  <w:style w:type="character" w:styleId="Strong">
    <w:name w:val="Strong"/>
    <w:basedOn w:val="DefaultParagraphFont"/>
    <w:uiPriority w:val="22"/>
    <w:qFormat/>
    <w:rsid w:val="00A531FD"/>
    <w:rPr>
      <w:b/>
      <w:bCs/>
    </w:rPr>
  </w:style>
  <w:style w:type="character" w:styleId="Emphasis">
    <w:name w:val="Emphasis"/>
    <w:basedOn w:val="DefaultParagraphFont"/>
    <w:uiPriority w:val="20"/>
    <w:qFormat/>
    <w:rsid w:val="00A531FD"/>
    <w:rPr>
      <w:i/>
      <w:iCs/>
    </w:rPr>
  </w:style>
  <w:style w:type="character" w:styleId="Hyperlink">
    <w:name w:val="Hyperlink"/>
    <w:basedOn w:val="DefaultParagraphFont"/>
    <w:uiPriority w:val="99"/>
    <w:semiHidden/>
    <w:unhideWhenUsed/>
    <w:rsid w:val="005F6B71"/>
    <w:rPr>
      <w:color w:val="0000FF"/>
      <w:u w:val="single"/>
    </w:rPr>
  </w:style>
  <w:style w:type="paragraph" w:styleId="Header">
    <w:name w:val="header"/>
    <w:basedOn w:val="Normal"/>
    <w:link w:val="HeaderChar"/>
    <w:uiPriority w:val="99"/>
    <w:unhideWhenUsed/>
    <w:rsid w:val="00AC2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B48"/>
  </w:style>
  <w:style w:type="paragraph" w:styleId="Footer">
    <w:name w:val="footer"/>
    <w:basedOn w:val="Normal"/>
    <w:link w:val="FooterChar"/>
    <w:uiPriority w:val="99"/>
    <w:unhideWhenUsed/>
    <w:rsid w:val="00AC2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086274">
      <w:bodyDiv w:val="1"/>
      <w:marLeft w:val="0"/>
      <w:marRight w:val="0"/>
      <w:marTop w:val="0"/>
      <w:marBottom w:val="0"/>
      <w:divBdr>
        <w:top w:val="none" w:sz="0" w:space="0" w:color="auto"/>
        <w:left w:val="none" w:sz="0" w:space="0" w:color="auto"/>
        <w:bottom w:val="none" w:sz="0" w:space="0" w:color="auto"/>
        <w:right w:val="none" w:sz="0" w:space="0" w:color="auto"/>
      </w:divBdr>
    </w:div>
    <w:div w:id="119348207">
      <w:bodyDiv w:val="1"/>
      <w:marLeft w:val="0"/>
      <w:marRight w:val="0"/>
      <w:marTop w:val="0"/>
      <w:marBottom w:val="0"/>
      <w:divBdr>
        <w:top w:val="none" w:sz="0" w:space="0" w:color="auto"/>
        <w:left w:val="none" w:sz="0" w:space="0" w:color="auto"/>
        <w:bottom w:val="none" w:sz="0" w:space="0" w:color="auto"/>
        <w:right w:val="none" w:sz="0" w:space="0" w:color="auto"/>
      </w:divBdr>
      <w:divsChild>
        <w:div w:id="596527149">
          <w:marLeft w:val="0"/>
          <w:marRight w:val="0"/>
          <w:marTop w:val="0"/>
          <w:marBottom w:val="0"/>
          <w:divBdr>
            <w:top w:val="none" w:sz="0" w:space="0" w:color="auto"/>
            <w:left w:val="none" w:sz="0" w:space="0" w:color="auto"/>
            <w:bottom w:val="none" w:sz="0" w:space="0" w:color="auto"/>
            <w:right w:val="none" w:sz="0" w:space="0" w:color="auto"/>
          </w:divBdr>
        </w:div>
      </w:divsChild>
    </w:div>
    <w:div w:id="227041092">
      <w:bodyDiv w:val="1"/>
      <w:marLeft w:val="0"/>
      <w:marRight w:val="0"/>
      <w:marTop w:val="0"/>
      <w:marBottom w:val="0"/>
      <w:divBdr>
        <w:top w:val="none" w:sz="0" w:space="0" w:color="auto"/>
        <w:left w:val="none" w:sz="0" w:space="0" w:color="auto"/>
        <w:bottom w:val="none" w:sz="0" w:space="0" w:color="auto"/>
        <w:right w:val="none" w:sz="0" w:space="0" w:color="auto"/>
      </w:divBdr>
      <w:divsChild>
        <w:div w:id="25571519">
          <w:marLeft w:val="0"/>
          <w:marRight w:val="0"/>
          <w:marTop w:val="0"/>
          <w:marBottom w:val="0"/>
          <w:divBdr>
            <w:top w:val="none" w:sz="0" w:space="0" w:color="auto"/>
            <w:left w:val="none" w:sz="0" w:space="0" w:color="auto"/>
            <w:bottom w:val="none" w:sz="0" w:space="0" w:color="auto"/>
            <w:right w:val="none" w:sz="0" w:space="0" w:color="auto"/>
          </w:divBdr>
          <w:divsChild>
            <w:div w:id="101858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372609">
      <w:bodyDiv w:val="1"/>
      <w:marLeft w:val="0"/>
      <w:marRight w:val="0"/>
      <w:marTop w:val="0"/>
      <w:marBottom w:val="0"/>
      <w:divBdr>
        <w:top w:val="none" w:sz="0" w:space="0" w:color="auto"/>
        <w:left w:val="none" w:sz="0" w:space="0" w:color="auto"/>
        <w:bottom w:val="none" w:sz="0" w:space="0" w:color="auto"/>
        <w:right w:val="none" w:sz="0" w:space="0" w:color="auto"/>
      </w:divBdr>
    </w:div>
    <w:div w:id="644624993">
      <w:bodyDiv w:val="1"/>
      <w:marLeft w:val="0"/>
      <w:marRight w:val="0"/>
      <w:marTop w:val="0"/>
      <w:marBottom w:val="0"/>
      <w:divBdr>
        <w:top w:val="none" w:sz="0" w:space="0" w:color="auto"/>
        <w:left w:val="none" w:sz="0" w:space="0" w:color="auto"/>
        <w:bottom w:val="none" w:sz="0" w:space="0" w:color="auto"/>
        <w:right w:val="none" w:sz="0" w:space="0" w:color="auto"/>
      </w:divBdr>
    </w:div>
    <w:div w:id="699011423">
      <w:bodyDiv w:val="1"/>
      <w:marLeft w:val="0"/>
      <w:marRight w:val="0"/>
      <w:marTop w:val="0"/>
      <w:marBottom w:val="0"/>
      <w:divBdr>
        <w:top w:val="none" w:sz="0" w:space="0" w:color="auto"/>
        <w:left w:val="none" w:sz="0" w:space="0" w:color="auto"/>
        <w:bottom w:val="none" w:sz="0" w:space="0" w:color="auto"/>
        <w:right w:val="none" w:sz="0" w:space="0" w:color="auto"/>
      </w:divBdr>
      <w:divsChild>
        <w:div w:id="1653409166">
          <w:marLeft w:val="0"/>
          <w:marRight w:val="0"/>
          <w:marTop w:val="0"/>
          <w:marBottom w:val="150"/>
          <w:divBdr>
            <w:top w:val="none" w:sz="0" w:space="0" w:color="auto"/>
            <w:left w:val="none" w:sz="0" w:space="0" w:color="auto"/>
            <w:bottom w:val="none" w:sz="0" w:space="0" w:color="auto"/>
            <w:right w:val="none" w:sz="0" w:space="0" w:color="auto"/>
          </w:divBdr>
        </w:div>
      </w:divsChild>
    </w:div>
    <w:div w:id="916476066">
      <w:bodyDiv w:val="1"/>
      <w:marLeft w:val="0"/>
      <w:marRight w:val="0"/>
      <w:marTop w:val="0"/>
      <w:marBottom w:val="0"/>
      <w:divBdr>
        <w:top w:val="none" w:sz="0" w:space="0" w:color="auto"/>
        <w:left w:val="none" w:sz="0" w:space="0" w:color="auto"/>
        <w:bottom w:val="none" w:sz="0" w:space="0" w:color="auto"/>
        <w:right w:val="none" w:sz="0" w:space="0" w:color="auto"/>
      </w:divBdr>
    </w:div>
    <w:div w:id="1099715331">
      <w:bodyDiv w:val="1"/>
      <w:marLeft w:val="0"/>
      <w:marRight w:val="0"/>
      <w:marTop w:val="0"/>
      <w:marBottom w:val="0"/>
      <w:divBdr>
        <w:top w:val="none" w:sz="0" w:space="0" w:color="auto"/>
        <w:left w:val="none" w:sz="0" w:space="0" w:color="auto"/>
        <w:bottom w:val="none" w:sz="0" w:space="0" w:color="auto"/>
        <w:right w:val="none" w:sz="0" w:space="0" w:color="auto"/>
      </w:divBdr>
    </w:div>
    <w:div w:id="1248153896">
      <w:bodyDiv w:val="1"/>
      <w:marLeft w:val="0"/>
      <w:marRight w:val="0"/>
      <w:marTop w:val="0"/>
      <w:marBottom w:val="0"/>
      <w:divBdr>
        <w:top w:val="none" w:sz="0" w:space="0" w:color="auto"/>
        <w:left w:val="none" w:sz="0" w:space="0" w:color="auto"/>
        <w:bottom w:val="none" w:sz="0" w:space="0" w:color="auto"/>
        <w:right w:val="none" w:sz="0" w:space="0" w:color="auto"/>
      </w:divBdr>
    </w:div>
    <w:div w:id="1399279764">
      <w:bodyDiv w:val="1"/>
      <w:marLeft w:val="0"/>
      <w:marRight w:val="0"/>
      <w:marTop w:val="0"/>
      <w:marBottom w:val="0"/>
      <w:divBdr>
        <w:top w:val="none" w:sz="0" w:space="0" w:color="auto"/>
        <w:left w:val="none" w:sz="0" w:space="0" w:color="auto"/>
        <w:bottom w:val="none" w:sz="0" w:space="0" w:color="auto"/>
        <w:right w:val="none" w:sz="0" w:space="0" w:color="auto"/>
      </w:divBdr>
    </w:div>
    <w:div w:id="1431508249">
      <w:bodyDiv w:val="1"/>
      <w:marLeft w:val="0"/>
      <w:marRight w:val="0"/>
      <w:marTop w:val="0"/>
      <w:marBottom w:val="0"/>
      <w:divBdr>
        <w:top w:val="none" w:sz="0" w:space="0" w:color="auto"/>
        <w:left w:val="none" w:sz="0" w:space="0" w:color="auto"/>
        <w:bottom w:val="none" w:sz="0" w:space="0" w:color="auto"/>
        <w:right w:val="none" w:sz="0" w:space="0" w:color="auto"/>
      </w:divBdr>
    </w:div>
    <w:div w:id="1508519853">
      <w:bodyDiv w:val="1"/>
      <w:marLeft w:val="0"/>
      <w:marRight w:val="0"/>
      <w:marTop w:val="0"/>
      <w:marBottom w:val="0"/>
      <w:divBdr>
        <w:top w:val="none" w:sz="0" w:space="0" w:color="auto"/>
        <w:left w:val="none" w:sz="0" w:space="0" w:color="auto"/>
        <w:bottom w:val="none" w:sz="0" w:space="0" w:color="auto"/>
        <w:right w:val="none" w:sz="0" w:space="0" w:color="auto"/>
      </w:divBdr>
    </w:div>
    <w:div w:id="1577588254">
      <w:bodyDiv w:val="1"/>
      <w:marLeft w:val="0"/>
      <w:marRight w:val="0"/>
      <w:marTop w:val="0"/>
      <w:marBottom w:val="0"/>
      <w:divBdr>
        <w:top w:val="none" w:sz="0" w:space="0" w:color="auto"/>
        <w:left w:val="none" w:sz="0" w:space="0" w:color="auto"/>
        <w:bottom w:val="none" w:sz="0" w:space="0" w:color="auto"/>
        <w:right w:val="none" w:sz="0" w:space="0" w:color="auto"/>
      </w:divBdr>
    </w:div>
    <w:div w:id="1615097458">
      <w:bodyDiv w:val="1"/>
      <w:marLeft w:val="0"/>
      <w:marRight w:val="0"/>
      <w:marTop w:val="0"/>
      <w:marBottom w:val="0"/>
      <w:divBdr>
        <w:top w:val="none" w:sz="0" w:space="0" w:color="auto"/>
        <w:left w:val="none" w:sz="0" w:space="0" w:color="auto"/>
        <w:bottom w:val="none" w:sz="0" w:space="0" w:color="auto"/>
        <w:right w:val="none" w:sz="0" w:space="0" w:color="auto"/>
      </w:divBdr>
    </w:div>
    <w:div w:id="1635676313">
      <w:bodyDiv w:val="1"/>
      <w:marLeft w:val="0"/>
      <w:marRight w:val="0"/>
      <w:marTop w:val="0"/>
      <w:marBottom w:val="0"/>
      <w:divBdr>
        <w:top w:val="none" w:sz="0" w:space="0" w:color="auto"/>
        <w:left w:val="none" w:sz="0" w:space="0" w:color="auto"/>
        <w:bottom w:val="none" w:sz="0" w:space="0" w:color="auto"/>
        <w:right w:val="none" w:sz="0" w:space="0" w:color="auto"/>
      </w:divBdr>
    </w:div>
    <w:div w:id="1661422741">
      <w:bodyDiv w:val="1"/>
      <w:marLeft w:val="0"/>
      <w:marRight w:val="0"/>
      <w:marTop w:val="0"/>
      <w:marBottom w:val="0"/>
      <w:divBdr>
        <w:top w:val="none" w:sz="0" w:space="0" w:color="auto"/>
        <w:left w:val="none" w:sz="0" w:space="0" w:color="auto"/>
        <w:bottom w:val="none" w:sz="0" w:space="0" w:color="auto"/>
        <w:right w:val="none" w:sz="0" w:space="0" w:color="auto"/>
      </w:divBdr>
    </w:div>
    <w:div w:id="1744063681">
      <w:bodyDiv w:val="1"/>
      <w:marLeft w:val="0"/>
      <w:marRight w:val="0"/>
      <w:marTop w:val="0"/>
      <w:marBottom w:val="0"/>
      <w:divBdr>
        <w:top w:val="none" w:sz="0" w:space="0" w:color="auto"/>
        <w:left w:val="none" w:sz="0" w:space="0" w:color="auto"/>
        <w:bottom w:val="none" w:sz="0" w:space="0" w:color="auto"/>
        <w:right w:val="none" w:sz="0" w:space="0" w:color="auto"/>
      </w:divBdr>
    </w:div>
    <w:div w:id="190541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od.gov.uk/" TargetMode="External"/><Relationship Id="rId18" Type="http://schemas.openxmlformats.org/officeDocument/2006/relationships/hyperlink" Target="https://assets.publishing.service.gov.uk/media/5a7edb37ed915d74e33f2d8f/SACN_Dietary_Reference_Values_for_Energy.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government/uploads/system/uploads/attachment_data/file/618167/government_dietary_recommendations.pdf" TargetMode="External"/><Relationship Id="rId2" Type="http://schemas.openxmlformats.org/officeDocument/2006/relationships/customXml" Target="../customXml/item2.xml"/><Relationship Id="rId16" Type="http://schemas.openxmlformats.org/officeDocument/2006/relationships/hyperlink" Target="https://www.gov.uk/government/publications/sacn-dietary-reference-values-for-energ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nidirect.gov.uk/articles/nutrition-adolescents"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bmi.co.uk/education/the-history-of-the-eatwell-gui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5" ma:contentTypeDescription="Create a new document." ma:contentTypeScope="" ma:versionID="833a70e5b49e91f1a85ff8a6c5dac3c7">
  <xsd:schema xmlns:xsd="http://www.w3.org/2001/XMLSchema" xmlns:xs="http://www.w3.org/2001/XMLSchema" xmlns:p="http://schemas.microsoft.com/office/2006/metadata/properties" xmlns:ns3="170d7878-6d73-463a-a069-a6c57769e00c" targetNamespace="http://schemas.microsoft.com/office/2006/metadata/properties" ma:root="true" ma:fieldsID="fd7a6e80fd221486233f1bad5b1872bf"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3121B3-34A6-4109-8D26-5AB034668384}">
  <ds:schemaRefs>
    <ds:schemaRef ds:uri="http://schemas.microsoft.com/sharepoint/v3/contenttype/forms"/>
  </ds:schemaRefs>
</ds:datastoreItem>
</file>

<file path=customXml/itemProps2.xml><?xml version="1.0" encoding="utf-8"?>
<ds:datastoreItem xmlns:ds="http://schemas.openxmlformats.org/officeDocument/2006/customXml" ds:itemID="{0F9B914D-D097-49A5-A288-2BFCCD0396A8}">
  <ds:schemaRefs>
    <ds:schemaRef ds:uri="http://purl.org/dc/terms/"/>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purl.org/dc/dcmitype/"/>
    <ds:schemaRef ds:uri="http://schemas.openxmlformats.org/package/2006/metadata/core-properties"/>
    <ds:schemaRef ds:uri="170d7878-6d73-463a-a069-a6c57769e00c"/>
  </ds:schemaRefs>
</ds:datastoreItem>
</file>

<file path=customXml/itemProps3.xml><?xml version="1.0" encoding="utf-8"?>
<ds:datastoreItem xmlns:ds="http://schemas.openxmlformats.org/officeDocument/2006/customXml" ds:itemID="{30F65338-B9B4-4010-ADA2-98C123A24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2101</Words>
  <Characters>12296</Characters>
  <Application>Microsoft Office Word</Application>
  <DocSecurity>0</DocSecurity>
  <Lines>315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 Ashburner (2407497)</dc:creator>
  <cp:keywords/>
  <dc:description/>
  <cp:lastModifiedBy>Zac Ashburner</cp:lastModifiedBy>
  <cp:revision>2</cp:revision>
  <dcterms:created xsi:type="dcterms:W3CDTF">2024-11-29T09:54:00Z</dcterms:created>
  <dcterms:modified xsi:type="dcterms:W3CDTF">2024-11-29T09:54:00Z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