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E22C6" w14:textId="6C5F1BE9" w:rsidR="00D01118" w:rsidRPr="00EB0826" w:rsidRDefault="00607479">
      <w:pPr>
        <w:spacing w:after="60"/>
        <w:rPr>
          <w:sz w:val="24"/>
          <w:szCs w:val="24"/>
        </w:rPr>
      </w:pPr>
      <w:r>
        <w:rPr>
          <w:noProof/>
          <w:sz w:val="24"/>
          <w:szCs w:val="24"/>
        </w:rPr>
        <w:drawing>
          <wp:inline distT="0" distB="0" distL="0" distR="0" wp14:anchorId="17BEAA7D" wp14:editId="400A1A18">
            <wp:extent cx="5807075" cy="2247089"/>
            <wp:effectExtent l="0" t="0" r="0" b="1270"/>
            <wp:docPr id="183852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52840" name="Picture 183852840"/>
                    <pic:cNvPicPr/>
                  </pic:nvPicPr>
                  <pic:blipFill>
                    <a:blip r:embed="rId7">
                      <a:extLst>
                        <a:ext uri="{28A0092B-C50C-407E-A947-70E740481C1C}">
                          <a14:useLocalDpi xmlns:a14="http://schemas.microsoft.com/office/drawing/2010/main" val="0"/>
                        </a:ext>
                      </a:extLst>
                    </a:blip>
                    <a:stretch>
                      <a:fillRect/>
                    </a:stretch>
                  </pic:blipFill>
                  <pic:spPr>
                    <a:xfrm>
                      <a:off x="0" y="0"/>
                      <a:ext cx="5814886" cy="2250112"/>
                    </a:xfrm>
                    <a:prstGeom prst="rect">
                      <a:avLst/>
                    </a:prstGeom>
                  </pic:spPr>
                </pic:pic>
              </a:graphicData>
            </a:graphic>
          </wp:inline>
        </w:drawing>
      </w:r>
    </w:p>
    <w:p w14:paraId="04982E95" w14:textId="77777777" w:rsidR="00607479" w:rsidRDefault="00607479" w:rsidP="00363BE2">
      <w:pPr>
        <w:spacing w:after="180"/>
        <w:jc w:val="center"/>
        <w:rPr>
          <w:b/>
          <w:bCs/>
          <w:sz w:val="40"/>
          <w:szCs w:val="40"/>
        </w:rPr>
      </w:pPr>
    </w:p>
    <w:p w14:paraId="084F8122" w14:textId="5E97E77A" w:rsidR="00363BE2" w:rsidRPr="005B2D3C" w:rsidRDefault="00363BE2" w:rsidP="00363BE2">
      <w:pPr>
        <w:spacing w:after="180"/>
        <w:jc w:val="center"/>
        <w:rPr>
          <w:sz w:val="32"/>
          <w:szCs w:val="32"/>
        </w:rPr>
      </w:pPr>
      <w:r w:rsidRPr="005B2D3C">
        <w:rPr>
          <w:b/>
          <w:bCs/>
          <w:sz w:val="40"/>
          <w:szCs w:val="40"/>
        </w:rPr>
        <w:t>Component 2: Analytical Report</w:t>
      </w:r>
    </w:p>
    <w:p w14:paraId="5A05E50B" w14:textId="77777777" w:rsidR="00D01118" w:rsidRPr="00015560" w:rsidRDefault="00D01118">
      <w:pPr>
        <w:spacing w:after="60"/>
      </w:pPr>
    </w:p>
    <w:p w14:paraId="2F30C5BE" w14:textId="3E858A58" w:rsidR="00D01118" w:rsidRPr="005B2D3C" w:rsidRDefault="00F04C12">
      <w:pPr>
        <w:spacing w:after="180"/>
        <w:jc w:val="center"/>
        <w:rPr>
          <w:sz w:val="28"/>
          <w:szCs w:val="28"/>
        </w:rPr>
      </w:pPr>
      <w:r w:rsidRPr="005B2D3C">
        <w:rPr>
          <w:b/>
          <w:bCs/>
          <w:sz w:val="28"/>
          <w:szCs w:val="28"/>
        </w:rPr>
        <w:t xml:space="preserve">Programme: </w:t>
      </w:r>
      <w:r w:rsidR="00B45E27" w:rsidRPr="005B2D3C">
        <w:rPr>
          <w:b/>
          <w:bCs/>
          <w:sz w:val="28"/>
          <w:szCs w:val="28"/>
        </w:rPr>
        <w:t>MSc Public Health and Social Care in Practice</w:t>
      </w:r>
    </w:p>
    <w:p w14:paraId="7D1ECF54" w14:textId="742FF6CB" w:rsidR="00D01118" w:rsidRPr="005B2D3C" w:rsidRDefault="00705428">
      <w:pPr>
        <w:spacing w:after="180"/>
        <w:jc w:val="center"/>
        <w:rPr>
          <w:sz w:val="28"/>
          <w:szCs w:val="28"/>
        </w:rPr>
      </w:pPr>
      <w:r w:rsidRPr="005B2D3C">
        <w:rPr>
          <w:sz w:val="28"/>
          <w:szCs w:val="28"/>
        </w:rPr>
        <w:t xml:space="preserve">Module: </w:t>
      </w:r>
      <w:r w:rsidR="00B45E27" w:rsidRPr="005B2D3C">
        <w:rPr>
          <w:sz w:val="28"/>
          <w:szCs w:val="28"/>
        </w:rPr>
        <w:t>Social Epidemiology and Public Health Development</w:t>
      </w:r>
    </w:p>
    <w:p w14:paraId="620D983C" w14:textId="7ED5E5DF" w:rsidR="00D01118" w:rsidRPr="005B2D3C" w:rsidRDefault="00B45E27" w:rsidP="00363BE2">
      <w:pPr>
        <w:spacing w:after="180"/>
        <w:jc w:val="center"/>
        <w:rPr>
          <w:sz w:val="28"/>
          <w:szCs w:val="28"/>
        </w:rPr>
      </w:pPr>
      <w:r w:rsidRPr="005B2D3C">
        <w:rPr>
          <w:sz w:val="28"/>
          <w:szCs w:val="28"/>
        </w:rPr>
        <w:t>Module Code: LCHS7000</w:t>
      </w:r>
    </w:p>
    <w:p w14:paraId="3E962E82" w14:textId="225DAD1F" w:rsidR="00D01118" w:rsidRPr="005B2D3C" w:rsidRDefault="00B45E27">
      <w:pPr>
        <w:spacing w:after="180"/>
        <w:jc w:val="center"/>
        <w:rPr>
          <w:sz w:val="28"/>
          <w:szCs w:val="28"/>
        </w:rPr>
      </w:pPr>
      <w:r w:rsidRPr="005B2D3C">
        <w:rPr>
          <w:sz w:val="28"/>
          <w:szCs w:val="28"/>
        </w:rPr>
        <w:t>Student Name:   MD SHAMI</w:t>
      </w:r>
      <w:r w:rsidR="00262CD3">
        <w:rPr>
          <w:sz w:val="28"/>
          <w:szCs w:val="28"/>
        </w:rPr>
        <w:t>M</w:t>
      </w:r>
      <w:r w:rsidRPr="005B2D3C">
        <w:rPr>
          <w:sz w:val="28"/>
          <w:szCs w:val="28"/>
        </w:rPr>
        <w:t xml:space="preserve"> OSMAN</w:t>
      </w:r>
    </w:p>
    <w:p w14:paraId="2282FC9B" w14:textId="77777777" w:rsidR="00D01118" w:rsidRPr="005B2D3C" w:rsidRDefault="00B45E27">
      <w:pPr>
        <w:spacing w:after="180"/>
        <w:jc w:val="center"/>
        <w:rPr>
          <w:sz w:val="28"/>
          <w:szCs w:val="28"/>
        </w:rPr>
      </w:pPr>
      <w:r w:rsidRPr="005B2D3C">
        <w:rPr>
          <w:sz w:val="28"/>
          <w:szCs w:val="28"/>
        </w:rPr>
        <w:t>Student ID:   2503961</w:t>
      </w:r>
    </w:p>
    <w:p w14:paraId="162195CF" w14:textId="77777777" w:rsidR="00D01118" w:rsidRPr="005B2D3C" w:rsidRDefault="00B45E27">
      <w:pPr>
        <w:spacing w:after="180"/>
        <w:jc w:val="center"/>
        <w:rPr>
          <w:sz w:val="28"/>
          <w:szCs w:val="28"/>
        </w:rPr>
      </w:pPr>
      <w:r w:rsidRPr="005B2D3C">
        <w:rPr>
          <w:sz w:val="28"/>
          <w:szCs w:val="28"/>
        </w:rPr>
        <w:t>Lecturer:   Itse Olaoye / Brian Mashumba</w:t>
      </w:r>
    </w:p>
    <w:p w14:paraId="41FB6EBC" w14:textId="7ADAE3F0" w:rsidR="00105B8D" w:rsidRPr="005B2D3C" w:rsidRDefault="00105B8D">
      <w:pPr>
        <w:spacing w:after="180"/>
        <w:jc w:val="center"/>
        <w:rPr>
          <w:sz w:val="28"/>
          <w:szCs w:val="28"/>
        </w:rPr>
      </w:pPr>
      <w:r w:rsidRPr="005B2D3C">
        <w:rPr>
          <w:sz w:val="28"/>
          <w:szCs w:val="28"/>
        </w:rPr>
        <w:t>Word count: 2</w:t>
      </w:r>
      <w:r w:rsidR="0094108C" w:rsidRPr="005B2D3C">
        <w:rPr>
          <w:sz w:val="28"/>
          <w:szCs w:val="28"/>
        </w:rPr>
        <w:t>7</w:t>
      </w:r>
      <w:r w:rsidRPr="005B2D3C">
        <w:rPr>
          <w:sz w:val="28"/>
          <w:szCs w:val="28"/>
        </w:rPr>
        <w:t>3</w:t>
      </w:r>
      <w:r w:rsidR="00E33E00" w:rsidRPr="005B2D3C">
        <w:rPr>
          <w:sz w:val="28"/>
          <w:szCs w:val="28"/>
        </w:rPr>
        <w:t>3</w:t>
      </w:r>
    </w:p>
    <w:p w14:paraId="51DC43CC" w14:textId="77777777" w:rsidR="00D01118" w:rsidRPr="00015560" w:rsidRDefault="00B45E27">
      <w:r w:rsidRPr="00015560">
        <w:br w:type="page"/>
      </w:r>
    </w:p>
    <w:p w14:paraId="71EC7BF9" w14:textId="77777777" w:rsidR="003C7B8A" w:rsidRPr="00015560" w:rsidRDefault="003C7B8A">
      <w:pPr>
        <w:pStyle w:val="Heading1"/>
        <w:spacing w:after="160"/>
        <w:rPr>
          <w:color w:val="45B0E1" w:themeColor="accent1" w:themeTint="99"/>
          <w:sz w:val="28"/>
          <w:szCs w:val="28"/>
        </w:rPr>
      </w:pPr>
    </w:p>
    <w:p w14:paraId="3FE6094E" w14:textId="462DE2F3" w:rsidR="003C7B8A" w:rsidRPr="00015560" w:rsidRDefault="003C7B8A">
      <w:pPr>
        <w:pStyle w:val="Heading1"/>
        <w:spacing w:after="160"/>
        <w:rPr>
          <w:color w:val="000000" w:themeColor="text1"/>
          <w:sz w:val="28"/>
          <w:szCs w:val="28"/>
        </w:rPr>
      </w:pPr>
      <w:r w:rsidRPr="00015560">
        <w:rPr>
          <w:color w:val="000000" w:themeColor="text1"/>
          <w:sz w:val="28"/>
          <w:szCs w:val="28"/>
        </w:rPr>
        <w:t xml:space="preserve">Table of Content </w:t>
      </w:r>
    </w:p>
    <w:p w14:paraId="6A53A9F5" w14:textId="77777777" w:rsidR="00465589" w:rsidRPr="00015560" w:rsidRDefault="00465589" w:rsidP="00465589">
      <w:pPr>
        <w:spacing w:after="60"/>
      </w:pPr>
      <w:r w:rsidRPr="00015560">
        <w:rPr>
          <w:b/>
        </w:rPr>
        <w:t>Task 1: Social Epidemiological Analysis</w:t>
      </w:r>
      <w:r w:rsidRPr="00015560">
        <w:rPr>
          <w:color w:val="888888"/>
        </w:rPr>
        <w:t xml:space="preserve"> .............................................. </w:t>
      </w:r>
      <w:r w:rsidRPr="00015560">
        <w:rPr>
          <w:b/>
        </w:rPr>
        <w:t>3</w:t>
      </w:r>
    </w:p>
    <w:p w14:paraId="26AC1BD5" w14:textId="77777777" w:rsidR="00465589" w:rsidRPr="00015560" w:rsidRDefault="00465589" w:rsidP="00465589">
      <w:pPr>
        <w:spacing w:after="60"/>
        <w:ind w:left="360"/>
      </w:pPr>
      <w:r w:rsidRPr="00015560">
        <w:t>Introduction</w:t>
      </w:r>
      <w:r w:rsidRPr="00015560">
        <w:rPr>
          <w:color w:val="888888"/>
        </w:rPr>
        <w:t xml:space="preserve"> ..................................................................... </w:t>
      </w:r>
      <w:r w:rsidRPr="00015560">
        <w:t>3</w:t>
      </w:r>
    </w:p>
    <w:p w14:paraId="33B48F93" w14:textId="77777777" w:rsidR="00465589" w:rsidRPr="00015560" w:rsidRDefault="00465589" w:rsidP="00465589">
      <w:pPr>
        <w:spacing w:after="60"/>
        <w:ind w:left="360"/>
      </w:pPr>
      <w:r w:rsidRPr="00015560">
        <w:t>Contextual Background and Underlying Factors</w:t>
      </w:r>
      <w:r w:rsidRPr="00015560">
        <w:rPr>
          <w:color w:val="888888"/>
        </w:rPr>
        <w:t xml:space="preserve"> ..................................... </w:t>
      </w:r>
      <w:r w:rsidRPr="00015560">
        <w:t>3</w:t>
      </w:r>
    </w:p>
    <w:p w14:paraId="30F4C209" w14:textId="77777777" w:rsidR="00465589" w:rsidRPr="00015560" w:rsidRDefault="00465589" w:rsidP="00465589">
      <w:pPr>
        <w:spacing w:after="60"/>
        <w:ind w:left="720"/>
      </w:pPr>
      <w:r w:rsidRPr="00015560">
        <w:t>1.  Higher Rates of Dementia</w:t>
      </w:r>
      <w:r w:rsidRPr="00015560">
        <w:rPr>
          <w:color w:val="888888"/>
        </w:rPr>
        <w:t xml:space="preserve"> ................................................. </w:t>
      </w:r>
      <w:r w:rsidRPr="00015560">
        <w:t>3</w:t>
      </w:r>
    </w:p>
    <w:p w14:paraId="38C49F9F" w14:textId="77777777" w:rsidR="00465589" w:rsidRPr="00015560" w:rsidRDefault="00465589" w:rsidP="00465589">
      <w:pPr>
        <w:spacing w:after="60"/>
        <w:ind w:left="720"/>
      </w:pPr>
      <w:r w:rsidRPr="00015560">
        <w:t>2.  Cardiovascular Disease</w:t>
      </w:r>
      <w:r w:rsidRPr="00015560">
        <w:rPr>
          <w:color w:val="888888"/>
        </w:rPr>
        <w:t xml:space="preserve"> ................................................... </w:t>
      </w:r>
      <w:r w:rsidRPr="00015560">
        <w:t>3</w:t>
      </w:r>
    </w:p>
    <w:p w14:paraId="6A2C741F" w14:textId="77777777" w:rsidR="00465589" w:rsidRPr="00015560" w:rsidRDefault="00465589" w:rsidP="00465589">
      <w:pPr>
        <w:spacing w:after="60"/>
        <w:ind w:left="720"/>
      </w:pPr>
      <w:r w:rsidRPr="00015560">
        <w:t>3.  Depression and Anxiety</w:t>
      </w:r>
      <w:r w:rsidRPr="00015560">
        <w:rPr>
          <w:color w:val="888888"/>
        </w:rPr>
        <w:t xml:space="preserve"> ................................................... </w:t>
      </w:r>
      <w:r w:rsidRPr="00015560">
        <w:t>4</w:t>
      </w:r>
    </w:p>
    <w:p w14:paraId="466FAF8A" w14:textId="77777777" w:rsidR="00465589" w:rsidRPr="00015560" w:rsidRDefault="00465589" w:rsidP="00465589">
      <w:pPr>
        <w:spacing w:after="60"/>
        <w:ind w:left="720"/>
      </w:pPr>
      <w:r w:rsidRPr="00015560">
        <w:t>4.  Social Isolation and Loneliness</w:t>
      </w:r>
      <w:r w:rsidRPr="00015560">
        <w:rPr>
          <w:color w:val="888888"/>
        </w:rPr>
        <w:t xml:space="preserve"> .......................................... </w:t>
      </w:r>
      <w:r w:rsidRPr="00015560">
        <w:t>4</w:t>
      </w:r>
    </w:p>
    <w:p w14:paraId="45AE18A6" w14:textId="77777777" w:rsidR="00465589" w:rsidRPr="00015560" w:rsidRDefault="00465589" w:rsidP="00465589">
      <w:pPr>
        <w:spacing w:after="60"/>
        <w:ind w:left="720"/>
      </w:pPr>
      <w:r w:rsidRPr="00015560">
        <w:t>5.  Poverty and Financial Insecurity</w:t>
      </w:r>
      <w:r w:rsidRPr="00015560">
        <w:rPr>
          <w:color w:val="888888"/>
        </w:rPr>
        <w:t xml:space="preserve"> ......................................... </w:t>
      </w:r>
      <w:r w:rsidRPr="00015560">
        <w:t>4</w:t>
      </w:r>
    </w:p>
    <w:p w14:paraId="42F47823" w14:textId="77777777" w:rsidR="00465589" w:rsidRPr="00015560" w:rsidRDefault="00465589" w:rsidP="00465589">
      <w:pPr>
        <w:spacing w:after="60"/>
        <w:ind w:left="720"/>
      </w:pPr>
      <w:r w:rsidRPr="00015560">
        <w:t>6.  Housing and Cold Homes</w:t>
      </w:r>
      <w:r w:rsidRPr="00015560">
        <w:rPr>
          <w:color w:val="888888"/>
        </w:rPr>
        <w:t xml:space="preserve"> ................................................... </w:t>
      </w:r>
      <w:r w:rsidRPr="00015560">
        <w:t>4</w:t>
      </w:r>
    </w:p>
    <w:p w14:paraId="37B1BCC5" w14:textId="77777777" w:rsidR="00465589" w:rsidRPr="00015560" w:rsidRDefault="00465589" w:rsidP="00465589">
      <w:pPr>
        <w:spacing w:after="60"/>
        <w:ind w:left="360"/>
      </w:pPr>
      <w:r w:rsidRPr="00015560">
        <w:t>National Response to Health Inequalities in Older Adults</w:t>
      </w:r>
      <w:r w:rsidRPr="00015560">
        <w:rPr>
          <w:color w:val="888888"/>
        </w:rPr>
        <w:t xml:space="preserve"> ......................... </w:t>
      </w:r>
      <w:r w:rsidRPr="00015560">
        <w:t>5</w:t>
      </w:r>
    </w:p>
    <w:p w14:paraId="38A3942E" w14:textId="77777777" w:rsidR="00465589" w:rsidRPr="00015560" w:rsidRDefault="00465589" w:rsidP="00465589">
      <w:pPr>
        <w:spacing w:after="60"/>
        <w:ind w:left="360"/>
      </w:pPr>
      <w:r w:rsidRPr="00015560">
        <w:t>Voluntary Sector Response: Age UK</w:t>
      </w:r>
      <w:r w:rsidRPr="00015560">
        <w:rPr>
          <w:color w:val="888888"/>
        </w:rPr>
        <w:t xml:space="preserve"> ................................................ </w:t>
      </w:r>
      <w:r w:rsidRPr="00015560">
        <w:t>5</w:t>
      </w:r>
    </w:p>
    <w:p w14:paraId="76786E8B" w14:textId="77777777" w:rsidR="00465589" w:rsidRPr="00015560" w:rsidRDefault="00465589" w:rsidP="00465589">
      <w:pPr>
        <w:spacing w:after="60"/>
        <w:ind w:left="360"/>
      </w:pPr>
      <w:r w:rsidRPr="00015560">
        <w:t>Conclusion</w:t>
      </w:r>
      <w:r w:rsidRPr="00015560">
        <w:rPr>
          <w:color w:val="888888"/>
        </w:rPr>
        <w:t xml:space="preserve"> ....................................................................... </w:t>
      </w:r>
      <w:r w:rsidRPr="00015560">
        <w:t>5</w:t>
      </w:r>
    </w:p>
    <w:p w14:paraId="0535AF6E" w14:textId="77777777" w:rsidR="00465589" w:rsidRPr="00015560" w:rsidRDefault="00465589" w:rsidP="00465589">
      <w:pPr>
        <w:spacing w:after="60"/>
      </w:pPr>
      <w:r w:rsidRPr="00015560">
        <w:rPr>
          <w:b/>
        </w:rPr>
        <w:t>Task 2: Epidemiological Analysis of CVD in Tower Hamlets</w:t>
      </w:r>
      <w:r w:rsidRPr="00015560">
        <w:rPr>
          <w:color w:val="888888"/>
        </w:rPr>
        <w:t xml:space="preserve"> ............................. </w:t>
      </w:r>
      <w:r w:rsidRPr="00015560">
        <w:rPr>
          <w:b/>
        </w:rPr>
        <w:t>6</w:t>
      </w:r>
    </w:p>
    <w:p w14:paraId="7797B5D8" w14:textId="77777777" w:rsidR="00465589" w:rsidRPr="00015560" w:rsidRDefault="00465589" w:rsidP="00465589">
      <w:pPr>
        <w:spacing w:after="60"/>
        <w:ind w:left="360"/>
      </w:pPr>
      <w:r w:rsidRPr="00015560">
        <w:t>Introduction: Definition, Prevalence and Significance</w:t>
      </w:r>
      <w:r w:rsidRPr="00015560">
        <w:rPr>
          <w:color w:val="888888"/>
        </w:rPr>
        <w:t xml:space="preserve"> ............................ </w:t>
      </w:r>
      <w:r w:rsidRPr="00015560">
        <w:t>6</w:t>
      </w:r>
    </w:p>
    <w:p w14:paraId="12282A17" w14:textId="77777777" w:rsidR="00465589" w:rsidRPr="00015560" w:rsidRDefault="00465589" w:rsidP="00465589">
      <w:pPr>
        <w:spacing w:after="60"/>
        <w:ind w:left="360"/>
      </w:pPr>
      <w:r w:rsidRPr="00015560">
        <w:t>Key Determinants and Risk Factors</w:t>
      </w:r>
      <w:r w:rsidRPr="00015560">
        <w:rPr>
          <w:color w:val="888888"/>
        </w:rPr>
        <w:t xml:space="preserve"> ................................................ </w:t>
      </w:r>
      <w:r w:rsidRPr="00015560">
        <w:t>6</w:t>
      </w:r>
    </w:p>
    <w:p w14:paraId="29E3692E" w14:textId="77777777" w:rsidR="00465589" w:rsidRPr="00015560" w:rsidRDefault="00465589" w:rsidP="00465589">
      <w:pPr>
        <w:spacing w:after="60"/>
        <w:ind w:left="360"/>
      </w:pPr>
      <w:r w:rsidRPr="00015560">
        <w:t>Public Health Measures: Prevention, Protection and Health Promotion</w:t>
      </w:r>
      <w:r w:rsidRPr="00015560">
        <w:rPr>
          <w:color w:val="888888"/>
        </w:rPr>
        <w:t xml:space="preserve"> .............. </w:t>
      </w:r>
      <w:r w:rsidRPr="00015560">
        <w:t>7</w:t>
      </w:r>
    </w:p>
    <w:p w14:paraId="1446E5BA" w14:textId="77777777" w:rsidR="00465589" w:rsidRPr="00015560" w:rsidRDefault="00465589" w:rsidP="00465589">
      <w:pPr>
        <w:spacing w:after="60"/>
        <w:ind w:left="360"/>
      </w:pPr>
      <w:r w:rsidRPr="00015560">
        <w:t>Epidemiological Studies and Health Needs Assessment</w:t>
      </w:r>
      <w:r w:rsidRPr="00015560">
        <w:rPr>
          <w:color w:val="888888"/>
        </w:rPr>
        <w:t xml:space="preserve"> .............................. </w:t>
      </w:r>
      <w:r w:rsidRPr="00015560">
        <w:t>7</w:t>
      </w:r>
    </w:p>
    <w:p w14:paraId="7EE7C624" w14:textId="77777777" w:rsidR="00465589" w:rsidRPr="00015560" w:rsidRDefault="00465589" w:rsidP="00465589">
      <w:pPr>
        <w:spacing w:after="60"/>
        <w:ind w:left="360"/>
      </w:pPr>
      <w:r w:rsidRPr="00015560">
        <w:t>Monitoring and Surveillance</w:t>
      </w:r>
      <w:r w:rsidRPr="00015560">
        <w:rPr>
          <w:color w:val="888888"/>
        </w:rPr>
        <w:t xml:space="preserve"> ...................................................... </w:t>
      </w:r>
      <w:r w:rsidRPr="00015560">
        <w:t>7</w:t>
      </w:r>
    </w:p>
    <w:p w14:paraId="1CA94E6A" w14:textId="77777777" w:rsidR="00465589" w:rsidRPr="00015560" w:rsidRDefault="00465589" w:rsidP="00465589">
      <w:pPr>
        <w:spacing w:after="60"/>
        <w:ind w:left="360"/>
      </w:pPr>
      <w:r w:rsidRPr="00015560">
        <w:t>Public Health Impact: Short- and Long-Term Consequences</w:t>
      </w:r>
      <w:r w:rsidRPr="00015560">
        <w:rPr>
          <w:color w:val="888888"/>
        </w:rPr>
        <w:t xml:space="preserve"> .......................... </w:t>
      </w:r>
      <w:r w:rsidRPr="00015560">
        <w:t>8</w:t>
      </w:r>
    </w:p>
    <w:p w14:paraId="2631EB3C" w14:textId="77777777" w:rsidR="00465589" w:rsidRPr="00015560" w:rsidRDefault="00465589" w:rsidP="00465589">
      <w:pPr>
        <w:spacing w:after="60"/>
        <w:ind w:left="360"/>
      </w:pPr>
      <w:r w:rsidRPr="00015560">
        <w:t>Proposed Intervention: THCHEP</w:t>
      </w:r>
      <w:r w:rsidRPr="00015560">
        <w:rPr>
          <w:color w:val="888888"/>
        </w:rPr>
        <w:t xml:space="preserve"> .................................................... </w:t>
      </w:r>
      <w:r w:rsidRPr="00015560">
        <w:t>8</w:t>
      </w:r>
    </w:p>
    <w:p w14:paraId="641A3583" w14:textId="77777777" w:rsidR="00465589" w:rsidRPr="00015560" w:rsidRDefault="00465589" w:rsidP="00465589">
      <w:pPr>
        <w:spacing w:after="60"/>
        <w:ind w:left="360"/>
      </w:pPr>
      <w:r w:rsidRPr="00015560">
        <w:t>Strengths and Limitations of the Epidemiological Approach</w:t>
      </w:r>
      <w:r w:rsidRPr="00015560">
        <w:rPr>
          <w:color w:val="888888"/>
        </w:rPr>
        <w:t xml:space="preserve"> ........................ </w:t>
      </w:r>
      <w:r w:rsidRPr="00015560">
        <w:t>9</w:t>
      </w:r>
    </w:p>
    <w:p w14:paraId="5C83BED3" w14:textId="77777777" w:rsidR="00465589" w:rsidRPr="00015560" w:rsidRDefault="00465589" w:rsidP="00465589">
      <w:pPr>
        <w:spacing w:after="60"/>
        <w:ind w:left="360"/>
      </w:pPr>
      <w:r w:rsidRPr="00015560">
        <w:t>Conclusion</w:t>
      </w:r>
      <w:r w:rsidRPr="00015560">
        <w:rPr>
          <w:color w:val="888888"/>
        </w:rPr>
        <w:t xml:space="preserve"> ....................................................................... </w:t>
      </w:r>
      <w:r w:rsidRPr="00015560">
        <w:t>9</w:t>
      </w:r>
    </w:p>
    <w:p w14:paraId="453C957F" w14:textId="77777777" w:rsidR="00465589" w:rsidRPr="00015560" w:rsidRDefault="00465589" w:rsidP="00465589">
      <w:pPr>
        <w:spacing w:after="60"/>
      </w:pPr>
      <w:r w:rsidRPr="00015560">
        <w:rPr>
          <w:b/>
        </w:rPr>
        <w:t>References</w:t>
      </w:r>
      <w:r w:rsidRPr="00015560">
        <w:rPr>
          <w:color w:val="888888"/>
        </w:rPr>
        <w:t xml:space="preserve"> ........................................................................... </w:t>
      </w:r>
      <w:r w:rsidRPr="00015560">
        <w:rPr>
          <w:b/>
        </w:rPr>
        <w:t>10</w:t>
      </w:r>
    </w:p>
    <w:p w14:paraId="403FF1BE" w14:textId="77777777" w:rsidR="00465589" w:rsidRPr="00015560" w:rsidRDefault="00465589" w:rsidP="00465589">
      <w:r w:rsidRPr="00015560">
        <w:br w:type="page"/>
      </w:r>
    </w:p>
    <w:p w14:paraId="4C68BDCA" w14:textId="77777777" w:rsidR="003C7B8A" w:rsidRPr="00015560" w:rsidRDefault="003C7B8A">
      <w:pPr>
        <w:pStyle w:val="Heading1"/>
        <w:spacing w:after="160"/>
        <w:rPr>
          <w:color w:val="45B0E1" w:themeColor="accent1" w:themeTint="99"/>
          <w:sz w:val="28"/>
          <w:szCs w:val="28"/>
        </w:rPr>
      </w:pPr>
    </w:p>
    <w:p w14:paraId="0A21D05D" w14:textId="76FFBFA9" w:rsidR="00D01118" w:rsidRPr="00015560" w:rsidRDefault="00B45E27">
      <w:pPr>
        <w:pStyle w:val="Heading1"/>
        <w:spacing w:after="160"/>
        <w:rPr>
          <w:color w:val="45B0E1" w:themeColor="accent1" w:themeTint="99"/>
          <w:sz w:val="28"/>
          <w:szCs w:val="28"/>
        </w:rPr>
      </w:pPr>
      <w:r w:rsidRPr="00015560">
        <w:rPr>
          <w:color w:val="45B0E1" w:themeColor="accent1" w:themeTint="99"/>
          <w:sz w:val="28"/>
          <w:szCs w:val="28"/>
        </w:rPr>
        <w:t>Task 1: Social Epidemiological Analysis</w:t>
      </w:r>
    </w:p>
    <w:p w14:paraId="4E433ECD" w14:textId="77777777" w:rsidR="00D01118" w:rsidRPr="00015560" w:rsidRDefault="00B45E27">
      <w:pPr>
        <w:pStyle w:val="Heading2"/>
        <w:rPr>
          <w:color w:val="45B0E1" w:themeColor="accent1" w:themeTint="99"/>
          <w:sz w:val="28"/>
          <w:szCs w:val="28"/>
        </w:rPr>
      </w:pPr>
      <w:r w:rsidRPr="00015560">
        <w:rPr>
          <w:color w:val="45B0E1" w:themeColor="accent1" w:themeTint="99"/>
          <w:sz w:val="28"/>
          <w:szCs w:val="28"/>
        </w:rPr>
        <w:t>Title: Age and Health Inequality: Examining Disparities Among Older Adults in the UK</w:t>
      </w:r>
    </w:p>
    <w:p w14:paraId="04CD0F19" w14:textId="77777777" w:rsidR="00D01118" w:rsidRPr="00015560" w:rsidRDefault="00D01118">
      <w:pPr>
        <w:spacing w:after="60"/>
        <w:rPr>
          <w:color w:val="45B0E1" w:themeColor="accent1" w:themeTint="99"/>
          <w:sz w:val="28"/>
          <w:szCs w:val="28"/>
        </w:rPr>
      </w:pPr>
    </w:p>
    <w:p w14:paraId="6077212E" w14:textId="10448DDF" w:rsidR="006830EF" w:rsidRDefault="00B45E27" w:rsidP="00B868F2">
      <w:pPr>
        <w:pStyle w:val="Heading2"/>
        <w:rPr>
          <w:color w:val="45B0E1" w:themeColor="accent1" w:themeTint="99"/>
          <w:sz w:val="28"/>
          <w:szCs w:val="28"/>
        </w:rPr>
      </w:pPr>
      <w:r w:rsidRPr="00015560">
        <w:rPr>
          <w:color w:val="45B0E1" w:themeColor="accent1" w:themeTint="99"/>
          <w:sz w:val="28"/>
          <w:szCs w:val="28"/>
        </w:rPr>
        <w:t>Introduction</w:t>
      </w:r>
    </w:p>
    <w:p w14:paraId="5BD26218" w14:textId="77777777" w:rsidR="005B2D3C" w:rsidRPr="00015560" w:rsidRDefault="005B2D3C" w:rsidP="00B868F2">
      <w:pPr>
        <w:pStyle w:val="Heading2"/>
        <w:rPr>
          <w:color w:val="45B0E1" w:themeColor="accent1" w:themeTint="99"/>
          <w:sz w:val="28"/>
          <w:szCs w:val="28"/>
        </w:rPr>
      </w:pPr>
    </w:p>
    <w:p w14:paraId="637756A4" w14:textId="4E0584C2" w:rsidR="00F33907" w:rsidRPr="00015560" w:rsidRDefault="006830EF" w:rsidP="00540ABA">
      <w:pPr>
        <w:spacing w:after="60"/>
        <w:jc w:val="both"/>
        <w:rPr>
          <w:color w:val="000000"/>
        </w:rPr>
      </w:pPr>
      <w:r w:rsidRPr="00015560">
        <w:rPr>
          <w:color w:val="000000"/>
        </w:rPr>
        <w:t>The United Kingdom had around 12.7 million people who were older than 65</w:t>
      </w:r>
      <w:r w:rsidR="00CC1622" w:rsidRPr="00015560">
        <w:rPr>
          <w:color w:val="000000"/>
        </w:rPr>
        <w:t xml:space="preserve"> years in 2023. This number is about 19% of </w:t>
      </w:r>
      <w:r w:rsidR="009F0BA1" w:rsidRPr="00015560">
        <w:rPr>
          <w:color w:val="000000"/>
        </w:rPr>
        <w:t xml:space="preserve">the </w:t>
      </w:r>
      <w:r w:rsidR="00CC1622" w:rsidRPr="00015560">
        <w:rPr>
          <w:color w:val="000000"/>
        </w:rPr>
        <w:t xml:space="preserve">entire population and </w:t>
      </w:r>
      <w:r w:rsidR="009F0BA1" w:rsidRPr="00015560">
        <w:rPr>
          <w:color w:val="000000"/>
        </w:rPr>
        <w:t xml:space="preserve">is </w:t>
      </w:r>
      <w:r w:rsidR="00CC1622" w:rsidRPr="00015560">
        <w:rPr>
          <w:color w:val="000000"/>
        </w:rPr>
        <w:t xml:space="preserve">expected to grow </w:t>
      </w:r>
      <w:r w:rsidR="009F0BA1" w:rsidRPr="00015560">
        <w:rPr>
          <w:color w:val="000000"/>
        </w:rPr>
        <w:t>by about</w:t>
      </w:r>
      <w:r w:rsidR="00F33907" w:rsidRPr="00015560">
        <w:rPr>
          <w:color w:val="000000"/>
        </w:rPr>
        <w:t xml:space="preserve"> 24% </w:t>
      </w:r>
      <w:r w:rsidR="009F0BA1" w:rsidRPr="00015560">
        <w:rPr>
          <w:color w:val="000000"/>
        </w:rPr>
        <w:t>in</w:t>
      </w:r>
      <w:r w:rsidR="00F33907" w:rsidRPr="00015560">
        <w:rPr>
          <w:color w:val="000000"/>
        </w:rPr>
        <w:t xml:space="preserve"> 2042 (ONS, 2023). Health inequality is defined as systematic and avoidable differences in health outcomes arising from social conditions, </w:t>
      </w:r>
      <w:r w:rsidR="001C0C2D" w:rsidRPr="00015560">
        <w:rPr>
          <w:color w:val="000000"/>
        </w:rPr>
        <w:t xml:space="preserve">rather </w:t>
      </w:r>
      <w:r w:rsidR="00F33907" w:rsidRPr="00015560">
        <w:rPr>
          <w:color w:val="000000"/>
        </w:rPr>
        <w:t>than biological ageing (WHO, 2023a). Marmot et al. (2010) showed a clear relationship between social class and health status in Britain. Marmot et al. (2020) concluded a decade later that the gap had widened, with more deprived people aged 65+ suffering from greater avoidable ill health than a decade prior.</w:t>
      </w:r>
    </w:p>
    <w:p w14:paraId="5D72AC39" w14:textId="77777777" w:rsidR="00D01118" w:rsidRPr="00015560" w:rsidRDefault="00D01118">
      <w:pPr>
        <w:spacing w:after="60"/>
      </w:pPr>
    </w:p>
    <w:p w14:paraId="1345DDA0" w14:textId="77777777" w:rsidR="00D01118" w:rsidRPr="00015560" w:rsidRDefault="00B45E27">
      <w:pPr>
        <w:pStyle w:val="Heading2"/>
        <w:rPr>
          <w:color w:val="45B0E1" w:themeColor="accent1" w:themeTint="99"/>
          <w:sz w:val="28"/>
          <w:szCs w:val="28"/>
        </w:rPr>
      </w:pPr>
      <w:r w:rsidRPr="00015560">
        <w:rPr>
          <w:color w:val="45B0E1" w:themeColor="accent1" w:themeTint="99"/>
          <w:sz w:val="28"/>
          <w:szCs w:val="28"/>
        </w:rPr>
        <w:t>Contextual Background and Underlying Factors</w:t>
      </w:r>
    </w:p>
    <w:p w14:paraId="06331510" w14:textId="616C7DFF" w:rsidR="00D01118" w:rsidRPr="00015560" w:rsidRDefault="00B45E27" w:rsidP="009F0BA1">
      <w:pPr>
        <w:spacing w:after="150" w:line="414" w:lineRule="auto"/>
        <w:jc w:val="both"/>
      </w:pPr>
      <w:r w:rsidRPr="00015560">
        <w:t>The following six sections examine key health and social inequalities affecting older adults in the UK</w:t>
      </w:r>
      <w:r w:rsidR="001D0A38" w:rsidRPr="00015560">
        <w:t>.</w:t>
      </w:r>
    </w:p>
    <w:p w14:paraId="70BBC66D" w14:textId="77777777" w:rsidR="00D01118" w:rsidRPr="00015560" w:rsidRDefault="00B45E27">
      <w:pPr>
        <w:pStyle w:val="Heading3"/>
        <w:rPr>
          <w:color w:val="45B0E1" w:themeColor="accent1" w:themeTint="99"/>
          <w:sz w:val="28"/>
          <w:szCs w:val="28"/>
        </w:rPr>
      </w:pPr>
      <w:r w:rsidRPr="00015560">
        <w:rPr>
          <w:color w:val="45B0E1" w:themeColor="accent1" w:themeTint="99"/>
          <w:sz w:val="28"/>
          <w:szCs w:val="28"/>
        </w:rPr>
        <w:t>1.  Higher Rates of Dementia</w:t>
      </w:r>
    </w:p>
    <w:p w14:paraId="039B0901" w14:textId="72439BED" w:rsidR="001A4543" w:rsidRPr="00015560" w:rsidRDefault="009F0BA1" w:rsidP="00425400">
      <w:pPr>
        <w:pStyle w:val="NormalWeb"/>
        <w:jc w:val="both"/>
        <w:rPr>
          <w:rFonts w:ascii="Arial" w:hAnsi="Arial" w:cs="Arial"/>
          <w:color w:val="000000"/>
          <w:sz w:val="22"/>
          <w:szCs w:val="22"/>
        </w:rPr>
      </w:pPr>
      <w:r w:rsidRPr="00015560">
        <w:rPr>
          <w:rFonts w:ascii="Arial" w:hAnsi="Arial" w:cs="Arial"/>
          <w:color w:val="000000"/>
          <w:sz w:val="22"/>
          <w:szCs w:val="22"/>
        </w:rPr>
        <w:t xml:space="preserve">There are approximately 940000 dementia </w:t>
      </w:r>
      <w:r w:rsidR="009D74EA" w:rsidRPr="00015560">
        <w:rPr>
          <w:rFonts w:ascii="Arial" w:hAnsi="Arial" w:cs="Arial"/>
          <w:color w:val="000000"/>
          <w:sz w:val="22"/>
          <w:szCs w:val="22"/>
        </w:rPr>
        <w:t>patients</w:t>
      </w:r>
      <w:r w:rsidRPr="00015560">
        <w:rPr>
          <w:rFonts w:ascii="Arial" w:hAnsi="Arial" w:cs="Arial"/>
          <w:color w:val="000000"/>
          <w:sz w:val="22"/>
          <w:szCs w:val="22"/>
        </w:rPr>
        <w:t xml:space="preserve"> in the UK</w:t>
      </w:r>
      <w:r w:rsidR="009D74EA" w:rsidRPr="00015560">
        <w:rPr>
          <w:rFonts w:ascii="Arial" w:hAnsi="Arial" w:cs="Arial"/>
          <w:color w:val="000000"/>
          <w:sz w:val="22"/>
          <w:szCs w:val="22"/>
        </w:rPr>
        <w:t>. 1 out</w:t>
      </w:r>
      <w:r w:rsidR="00B72F54" w:rsidRPr="00015560">
        <w:rPr>
          <w:rFonts w:ascii="Arial" w:hAnsi="Arial" w:cs="Arial"/>
          <w:color w:val="000000"/>
          <w:sz w:val="22"/>
          <w:szCs w:val="22"/>
        </w:rPr>
        <w:t xml:space="preserve"> of 6 people </w:t>
      </w:r>
      <w:r w:rsidR="009D74EA" w:rsidRPr="00015560">
        <w:rPr>
          <w:rFonts w:ascii="Arial" w:hAnsi="Arial" w:cs="Arial"/>
          <w:color w:val="000000"/>
          <w:sz w:val="22"/>
          <w:szCs w:val="22"/>
        </w:rPr>
        <w:t xml:space="preserve">who are around 80 years </w:t>
      </w:r>
      <w:r w:rsidR="00B72F54" w:rsidRPr="00015560">
        <w:rPr>
          <w:rFonts w:ascii="Arial" w:hAnsi="Arial" w:cs="Arial"/>
          <w:color w:val="000000"/>
          <w:sz w:val="22"/>
          <w:szCs w:val="22"/>
        </w:rPr>
        <w:t>have dementia</w:t>
      </w:r>
      <w:r w:rsidR="00BA05B9" w:rsidRPr="00015560">
        <w:rPr>
          <w:rFonts w:ascii="Arial" w:hAnsi="Arial" w:cs="Arial"/>
          <w:color w:val="000000"/>
          <w:sz w:val="22"/>
          <w:szCs w:val="22"/>
        </w:rPr>
        <w:t>,</w:t>
      </w:r>
      <w:r w:rsidR="00B72F54" w:rsidRPr="00015560">
        <w:rPr>
          <w:rFonts w:ascii="Arial" w:hAnsi="Arial" w:cs="Arial"/>
          <w:color w:val="000000"/>
          <w:sz w:val="22"/>
          <w:szCs w:val="22"/>
        </w:rPr>
        <w:t xml:space="preserve"> </w:t>
      </w:r>
      <w:r w:rsidR="0088486C" w:rsidRPr="00015560">
        <w:rPr>
          <w:rFonts w:ascii="Arial" w:hAnsi="Arial" w:cs="Arial"/>
          <w:color w:val="000000"/>
          <w:sz w:val="22"/>
          <w:szCs w:val="22"/>
        </w:rPr>
        <w:t>whereas the number</w:t>
      </w:r>
      <w:r w:rsidR="00B72F54" w:rsidRPr="00015560">
        <w:rPr>
          <w:rFonts w:ascii="Arial" w:hAnsi="Arial" w:cs="Arial"/>
          <w:color w:val="000000"/>
          <w:sz w:val="22"/>
          <w:szCs w:val="22"/>
        </w:rPr>
        <w:t xml:space="preserve"> will </w:t>
      </w:r>
      <w:r w:rsidR="0088486C" w:rsidRPr="00015560">
        <w:rPr>
          <w:rFonts w:ascii="Arial" w:hAnsi="Arial" w:cs="Arial"/>
          <w:color w:val="000000"/>
          <w:sz w:val="22"/>
          <w:szCs w:val="22"/>
        </w:rPr>
        <w:t>reach</w:t>
      </w:r>
      <w:r w:rsidR="00B72F54" w:rsidRPr="00015560">
        <w:rPr>
          <w:rFonts w:ascii="Arial" w:hAnsi="Arial" w:cs="Arial"/>
          <w:color w:val="000000"/>
          <w:sz w:val="22"/>
          <w:szCs w:val="22"/>
        </w:rPr>
        <w:t xml:space="preserve"> 139 million by </w:t>
      </w:r>
      <w:r w:rsidR="0088486C" w:rsidRPr="00015560">
        <w:rPr>
          <w:rFonts w:ascii="Arial" w:hAnsi="Arial" w:cs="Arial"/>
          <w:color w:val="000000"/>
          <w:sz w:val="22"/>
          <w:szCs w:val="22"/>
        </w:rPr>
        <w:t>2025 across the world</w:t>
      </w:r>
      <w:r w:rsidR="00B72F54" w:rsidRPr="00015560">
        <w:rPr>
          <w:rFonts w:ascii="Arial" w:hAnsi="Arial" w:cs="Arial"/>
          <w:color w:val="000000"/>
          <w:sz w:val="22"/>
          <w:szCs w:val="22"/>
        </w:rPr>
        <w:t xml:space="preserve"> (Alzheimer's Research UK 2023, WHO 2021). </w:t>
      </w:r>
      <w:r w:rsidR="001B6E00" w:rsidRPr="00015560">
        <w:rPr>
          <w:rFonts w:ascii="Arial" w:hAnsi="Arial" w:cs="Arial"/>
        </w:rPr>
        <w:t xml:space="preserve">This is </w:t>
      </w:r>
      <w:r w:rsidR="00B72F54" w:rsidRPr="00015560">
        <w:rPr>
          <w:rFonts w:ascii="Arial" w:hAnsi="Arial" w:cs="Arial"/>
        </w:rPr>
        <w:t xml:space="preserve">not </w:t>
      </w:r>
      <w:r w:rsidR="001B6E00" w:rsidRPr="00015560">
        <w:rPr>
          <w:rFonts w:ascii="Arial" w:hAnsi="Arial" w:cs="Arial"/>
        </w:rPr>
        <w:t xml:space="preserve">simply an inevitable consequence of ageing. </w:t>
      </w:r>
      <w:r w:rsidR="00B72F54" w:rsidRPr="00015560">
        <w:rPr>
          <w:rFonts w:ascii="Arial" w:hAnsi="Arial" w:cs="Arial"/>
          <w:color w:val="000000"/>
          <w:sz w:val="22"/>
          <w:szCs w:val="22"/>
        </w:rPr>
        <w:t xml:space="preserve"> </w:t>
      </w:r>
      <w:r w:rsidR="00982D00" w:rsidRPr="00015560">
        <w:rPr>
          <w:rFonts w:ascii="Arial" w:hAnsi="Arial" w:cs="Arial"/>
          <w:color w:val="000000"/>
          <w:sz w:val="22"/>
          <w:szCs w:val="22"/>
        </w:rPr>
        <w:t>T</w:t>
      </w:r>
      <w:r w:rsidR="00B72F54" w:rsidRPr="00015560">
        <w:rPr>
          <w:rFonts w:ascii="Arial" w:hAnsi="Arial" w:cs="Arial"/>
          <w:color w:val="000000"/>
          <w:sz w:val="22"/>
          <w:szCs w:val="22"/>
        </w:rPr>
        <w:t xml:space="preserve">he 40% of dementia risks </w:t>
      </w:r>
      <w:r w:rsidR="00BA05B9" w:rsidRPr="00015560">
        <w:rPr>
          <w:rFonts w:ascii="Arial" w:hAnsi="Arial" w:cs="Arial"/>
          <w:color w:val="000000"/>
          <w:sz w:val="22"/>
          <w:szCs w:val="22"/>
        </w:rPr>
        <w:t xml:space="preserve">are </w:t>
      </w:r>
      <w:r w:rsidR="00B72F54" w:rsidRPr="00015560">
        <w:rPr>
          <w:rFonts w:ascii="Arial" w:hAnsi="Arial" w:cs="Arial"/>
          <w:color w:val="000000"/>
          <w:sz w:val="22"/>
          <w:szCs w:val="22"/>
        </w:rPr>
        <w:t xml:space="preserve">linked to 12 modifiable risks reported by Livingston et al. (2020), especially if they're found more in poorer communities. NICE (2018) suggests that we can treat dementia in 90% of cases as a first - line treatment in </w:t>
      </w:r>
      <w:r w:rsidR="00A05EE1" w:rsidRPr="00015560">
        <w:rPr>
          <w:rFonts w:ascii="Arial" w:hAnsi="Arial" w:cs="Arial"/>
          <w:color w:val="000000"/>
          <w:sz w:val="22"/>
          <w:szCs w:val="22"/>
        </w:rPr>
        <w:t xml:space="preserve">the </w:t>
      </w:r>
      <w:r w:rsidR="00B72F54" w:rsidRPr="00015560">
        <w:rPr>
          <w:rFonts w:ascii="Arial" w:hAnsi="Arial" w:cs="Arial"/>
          <w:color w:val="000000"/>
          <w:sz w:val="22"/>
          <w:szCs w:val="22"/>
        </w:rPr>
        <w:t xml:space="preserve">form of cognitive stimulation therapy (CST), yet poorer elderly adults tend to be diagnosed late, thus having lost their chance at having received timely intervention. </w:t>
      </w:r>
    </w:p>
    <w:p w14:paraId="75161FAB" w14:textId="77777777" w:rsidR="00396D00" w:rsidRPr="00015560" w:rsidRDefault="00396D00" w:rsidP="00425400">
      <w:pPr>
        <w:pStyle w:val="NormalWeb"/>
        <w:jc w:val="both"/>
        <w:rPr>
          <w:rFonts w:ascii="Arial" w:hAnsi="Arial" w:cs="Arial"/>
          <w:color w:val="000000"/>
          <w:sz w:val="22"/>
          <w:szCs w:val="22"/>
        </w:rPr>
      </w:pPr>
    </w:p>
    <w:p w14:paraId="4CAA6FF8" w14:textId="6A933872" w:rsidR="00D01118" w:rsidRPr="00015560" w:rsidRDefault="00B45E27">
      <w:pPr>
        <w:pStyle w:val="Heading3"/>
        <w:rPr>
          <w:color w:val="45B0E1" w:themeColor="accent1" w:themeTint="99"/>
          <w:sz w:val="28"/>
          <w:szCs w:val="28"/>
        </w:rPr>
      </w:pPr>
      <w:r w:rsidRPr="00015560">
        <w:rPr>
          <w:color w:val="45B0E1" w:themeColor="accent1" w:themeTint="99"/>
          <w:sz w:val="28"/>
          <w:szCs w:val="28"/>
        </w:rPr>
        <w:t>2.  Cardiovascular Disease</w:t>
      </w:r>
    </w:p>
    <w:p w14:paraId="1EAC0307" w14:textId="79DFC0E4" w:rsidR="00BA05D2" w:rsidRPr="00015560" w:rsidRDefault="00C7681A" w:rsidP="004B06DE">
      <w:pPr>
        <w:pStyle w:val="Heading3"/>
        <w:jc w:val="both"/>
        <w:rPr>
          <w:b w:val="0"/>
          <w:bCs w:val="0"/>
          <w:color w:val="000000"/>
        </w:rPr>
      </w:pPr>
      <w:r w:rsidRPr="00015560">
        <w:rPr>
          <w:b w:val="0"/>
          <w:bCs w:val="0"/>
        </w:rPr>
        <w:t xml:space="preserve">CVD is the </w:t>
      </w:r>
      <w:r w:rsidR="00A57C38" w:rsidRPr="00015560">
        <w:rPr>
          <w:b w:val="0"/>
          <w:bCs w:val="0"/>
        </w:rPr>
        <w:t xml:space="preserve">principal reason for 24% of all deaths in the UK. </w:t>
      </w:r>
      <w:r w:rsidR="004B06DE" w:rsidRPr="00015560">
        <w:rPr>
          <w:b w:val="0"/>
          <w:bCs w:val="0"/>
          <w:color w:val="000000"/>
        </w:rPr>
        <w:t xml:space="preserve">PHE (2021) and BHF (2023) reported that </w:t>
      </w:r>
      <w:r w:rsidR="004D1E04" w:rsidRPr="00015560">
        <w:rPr>
          <w:b w:val="0"/>
          <w:bCs w:val="0"/>
        </w:rPr>
        <w:t>Hospital admissions for</w:t>
      </w:r>
      <w:r w:rsidR="00BA05D2" w:rsidRPr="00015560">
        <w:rPr>
          <w:b w:val="0"/>
          <w:bCs w:val="0"/>
        </w:rPr>
        <w:t xml:space="preserve"> heart failure </w:t>
      </w:r>
      <w:r w:rsidR="004D1E04" w:rsidRPr="00015560">
        <w:rPr>
          <w:b w:val="0"/>
          <w:bCs w:val="0"/>
        </w:rPr>
        <w:t xml:space="preserve">are more </w:t>
      </w:r>
      <w:r w:rsidR="00BA05D2" w:rsidRPr="00015560">
        <w:rPr>
          <w:b w:val="0"/>
          <w:bCs w:val="0"/>
        </w:rPr>
        <w:t xml:space="preserve">than </w:t>
      </w:r>
      <w:r w:rsidR="004D1E04" w:rsidRPr="00015560">
        <w:rPr>
          <w:b w:val="0"/>
          <w:bCs w:val="0"/>
        </w:rPr>
        <w:t xml:space="preserve">ten times higher in </w:t>
      </w:r>
      <w:r w:rsidR="00BA05D2" w:rsidRPr="00015560">
        <w:rPr>
          <w:b w:val="0"/>
          <w:bCs w:val="0"/>
        </w:rPr>
        <w:t xml:space="preserve">those </w:t>
      </w:r>
      <w:r w:rsidR="004D1E04" w:rsidRPr="00015560">
        <w:rPr>
          <w:b w:val="0"/>
          <w:bCs w:val="0"/>
        </w:rPr>
        <w:t>aged 75 and over than in those aged</w:t>
      </w:r>
      <w:r w:rsidR="00DB75D8" w:rsidRPr="00015560">
        <w:rPr>
          <w:b w:val="0"/>
          <w:bCs w:val="0"/>
        </w:rPr>
        <w:t xml:space="preserve"> </w:t>
      </w:r>
      <w:r w:rsidR="00BA05D2" w:rsidRPr="00015560">
        <w:rPr>
          <w:b w:val="0"/>
          <w:bCs w:val="0"/>
        </w:rPr>
        <w:t xml:space="preserve">45 </w:t>
      </w:r>
      <w:r w:rsidR="004D1E04" w:rsidRPr="00015560">
        <w:rPr>
          <w:b w:val="0"/>
          <w:bCs w:val="0"/>
        </w:rPr>
        <w:t>to</w:t>
      </w:r>
      <w:r w:rsidR="00BA05D2" w:rsidRPr="00015560">
        <w:rPr>
          <w:b w:val="0"/>
          <w:bCs w:val="0"/>
        </w:rPr>
        <w:t xml:space="preserve"> 54</w:t>
      </w:r>
      <w:r w:rsidR="004D1E04" w:rsidRPr="00015560">
        <w:rPr>
          <w:b w:val="0"/>
          <w:bCs w:val="0"/>
        </w:rPr>
        <w:t xml:space="preserve"> in 2020</w:t>
      </w:r>
      <w:r w:rsidR="00BA05D2" w:rsidRPr="00015560">
        <w:rPr>
          <w:b w:val="0"/>
          <w:bCs w:val="0"/>
          <w:color w:val="000000"/>
        </w:rPr>
        <w:t>. Townsend and colleagues (2022) discovered that the odds of death from coronary heart disease for adults in deprived neighbourhoods are 2.4 times higher compared to those living in affluent districts. Cardiac rehabilitation can reduce deaths from CVD by up to 26%</w:t>
      </w:r>
      <w:r w:rsidR="00B241FB" w:rsidRPr="00015560">
        <w:rPr>
          <w:b w:val="0"/>
          <w:bCs w:val="0"/>
          <w:color w:val="000000"/>
        </w:rPr>
        <w:t>;</w:t>
      </w:r>
      <w:r w:rsidR="00BA05D2" w:rsidRPr="00015560">
        <w:rPr>
          <w:b w:val="0"/>
          <w:bCs w:val="0"/>
          <w:color w:val="000000"/>
        </w:rPr>
        <w:t xml:space="preserve"> however, in deprived communities, fewer people access such services owing to transport issues, a lack of awareness and having too many things to do. NHS Health Checks should be provided proactively; there should be access to an increased number of cardiac rehabilitation classes and better prescriptions of statins (Anderson et al. 2016).</w:t>
      </w:r>
    </w:p>
    <w:p w14:paraId="16166821" w14:textId="77777777" w:rsidR="00695440" w:rsidRPr="00015560" w:rsidRDefault="00695440">
      <w:pPr>
        <w:spacing w:after="60"/>
      </w:pPr>
    </w:p>
    <w:p w14:paraId="0AFDFC00" w14:textId="2B71F3C5" w:rsidR="00BA05D2" w:rsidRPr="00015560" w:rsidRDefault="00B45E27">
      <w:pPr>
        <w:pStyle w:val="Heading3"/>
        <w:rPr>
          <w:color w:val="45B0E1" w:themeColor="accent1" w:themeTint="99"/>
          <w:sz w:val="28"/>
          <w:szCs w:val="28"/>
        </w:rPr>
      </w:pPr>
      <w:r w:rsidRPr="00015560">
        <w:rPr>
          <w:color w:val="45B0E1" w:themeColor="accent1" w:themeTint="99"/>
          <w:sz w:val="28"/>
          <w:szCs w:val="28"/>
        </w:rPr>
        <w:t>3.  Depression and Anxiety</w:t>
      </w:r>
    </w:p>
    <w:p w14:paraId="3DF04113" w14:textId="294489A0" w:rsidR="004871B2" w:rsidRPr="0000649E" w:rsidRDefault="0033072D" w:rsidP="00CB32E2">
      <w:pPr>
        <w:pStyle w:val="Heading3"/>
        <w:jc w:val="both"/>
        <w:rPr>
          <w:b w:val="0"/>
          <w:bCs w:val="0"/>
          <w:color w:val="000000"/>
        </w:rPr>
      </w:pPr>
      <w:r w:rsidRPr="0000649E">
        <w:rPr>
          <w:b w:val="0"/>
          <w:bCs w:val="0"/>
        </w:rPr>
        <w:t xml:space="preserve">Depression has become the most concerning area. The study shows </w:t>
      </w:r>
      <w:r w:rsidR="00CB32E2" w:rsidRPr="0000649E">
        <w:rPr>
          <w:b w:val="0"/>
          <w:bCs w:val="0"/>
        </w:rPr>
        <w:t xml:space="preserve">that </w:t>
      </w:r>
      <w:r w:rsidRPr="0000649E">
        <w:rPr>
          <w:b w:val="0"/>
          <w:bCs w:val="0"/>
        </w:rPr>
        <w:t>about</w:t>
      </w:r>
      <w:r w:rsidR="004871B2" w:rsidRPr="0000649E">
        <w:rPr>
          <w:b w:val="0"/>
          <w:bCs w:val="0"/>
        </w:rPr>
        <w:t xml:space="preserve"> 1.4 million adults </w:t>
      </w:r>
      <w:r w:rsidR="00CB32E2" w:rsidRPr="0000649E">
        <w:rPr>
          <w:b w:val="0"/>
          <w:bCs w:val="0"/>
        </w:rPr>
        <w:t>aged</w:t>
      </w:r>
      <w:r w:rsidR="004871B2" w:rsidRPr="0000649E">
        <w:rPr>
          <w:b w:val="0"/>
          <w:bCs w:val="0"/>
        </w:rPr>
        <w:t xml:space="preserve"> 50 live with depression</w:t>
      </w:r>
      <w:r w:rsidR="00CB32E2" w:rsidRPr="0000649E">
        <w:rPr>
          <w:b w:val="0"/>
          <w:bCs w:val="0"/>
        </w:rPr>
        <w:t xml:space="preserve"> in England.</w:t>
      </w:r>
      <w:r w:rsidR="004871B2" w:rsidRPr="0000649E">
        <w:rPr>
          <w:b w:val="0"/>
          <w:bCs w:val="0"/>
        </w:rPr>
        <w:t xml:space="preserve"> </w:t>
      </w:r>
      <w:r w:rsidR="004871B2" w:rsidRPr="0000649E">
        <w:rPr>
          <w:b w:val="0"/>
          <w:bCs w:val="0"/>
          <w:color w:val="000000"/>
        </w:rPr>
        <w:t xml:space="preserve">The figure rises above 40% for those in care homes. The </w:t>
      </w:r>
      <w:proofErr w:type="spellStart"/>
      <w:r w:rsidR="004871B2" w:rsidRPr="0000649E">
        <w:rPr>
          <w:b w:val="0"/>
          <w:bCs w:val="0"/>
        </w:rPr>
        <w:t>RCPsych</w:t>
      </w:r>
      <w:proofErr w:type="spellEnd"/>
      <w:r w:rsidR="004871B2" w:rsidRPr="0000649E">
        <w:rPr>
          <w:b w:val="0"/>
          <w:bCs w:val="0"/>
        </w:rPr>
        <w:t xml:space="preserve"> </w:t>
      </w:r>
      <w:r w:rsidR="00CF22B5" w:rsidRPr="0000649E">
        <w:rPr>
          <w:b w:val="0"/>
          <w:bCs w:val="0"/>
        </w:rPr>
        <w:t>(2018</w:t>
      </w:r>
      <w:r w:rsidR="004558B9" w:rsidRPr="0000649E">
        <w:rPr>
          <w:b w:val="0"/>
          <w:bCs w:val="0"/>
        </w:rPr>
        <w:t xml:space="preserve">) </w:t>
      </w:r>
      <w:r w:rsidR="004871B2" w:rsidRPr="0000649E">
        <w:rPr>
          <w:b w:val="0"/>
          <w:bCs w:val="0"/>
          <w:color w:val="000000"/>
        </w:rPr>
        <w:t>said there</w:t>
      </w:r>
      <w:r w:rsidR="00EE3CA0" w:rsidRPr="0000649E">
        <w:rPr>
          <w:b w:val="0"/>
          <w:bCs w:val="0"/>
          <w:color w:val="000000"/>
        </w:rPr>
        <w:t xml:space="preserve"> i</w:t>
      </w:r>
      <w:r w:rsidR="004871B2" w:rsidRPr="0000649E">
        <w:rPr>
          <w:b w:val="0"/>
          <w:bCs w:val="0"/>
          <w:color w:val="000000"/>
        </w:rPr>
        <w:t>s still a systemic age bias in referrals to psychological therapy services. However, according to Layard and Clark (2014), the quickest, cheapest response is to expand the Improving Access to Psychological Therapies (IAPT) services. For others, the roots of late life depression are rooted more firmly in loss, bereavement and the sense of being isolated or no longer having any purpose in life and suggest these problems are</w:t>
      </w:r>
      <w:r w:rsidR="00FB1C9F" w:rsidRPr="0000649E">
        <w:rPr>
          <w:b w:val="0"/>
          <w:bCs w:val="0"/>
          <w:color w:val="000000"/>
        </w:rPr>
        <w:t xml:space="preserve"> not</w:t>
      </w:r>
      <w:r w:rsidR="004871B2" w:rsidRPr="0000649E">
        <w:rPr>
          <w:b w:val="0"/>
          <w:bCs w:val="0"/>
          <w:color w:val="000000"/>
        </w:rPr>
        <w:t xml:space="preserve"> solely medical and require community responses, alongside medical ones, to tackle them. </w:t>
      </w:r>
      <w:r w:rsidR="00286DF8" w:rsidRPr="0000649E">
        <w:rPr>
          <w:b w:val="0"/>
          <w:bCs w:val="0"/>
          <w:color w:val="000000"/>
        </w:rPr>
        <w:t>R</w:t>
      </w:r>
      <w:r w:rsidR="004871B2" w:rsidRPr="0000649E">
        <w:rPr>
          <w:b w:val="0"/>
          <w:bCs w:val="0"/>
          <w:color w:val="000000"/>
        </w:rPr>
        <w:t xml:space="preserve">outinely screening older people </w:t>
      </w:r>
      <w:r w:rsidR="00480999" w:rsidRPr="0000649E">
        <w:rPr>
          <w:b w:val="0"/>
          <w:bCs w:val="0"/>
          <w:color w:val="000000"/>
        </w:rPr>
        <w:t xml:space="preserve">during </w:t>
      </w:r>
      <w:r w:rsidR="004871B2" w:rsidRPr="0000649E">
        <w:rPr>
          <w:b w:val="0"/>
          <w:bCs w:val="0"/>
          <w:color w:val="000000"/>
        </w:rPr>
        <w:t xml:space="preserve">their annual GP reviews, </w:t>
      </w:r>
      <w:r w:rsidR="00480999" w:rsidRPr="0000649E">
        <w:rPr>
          <w:b w:val="0"/>
          <w:bCs w:val="0"/>
          <w:color w:val="000000"/>
        </w:rPr>
        <w:t xml:space="preserve">as recommended in </w:t>
      </w:r>
      <w:r w:rsidR="004871B2" w:rsidRPr="0000649E">
        <w:rPr>
          <w:b w:val="0"/>
          <w:bCs w:val="0"/>
          <w:color w:val="000000"/>
        </w:rPr>
        <w:t>the NICE guidelines for depression in older people</w:t>
      </w:r>
      <w:r w:rsidR="00480999" w:rsidRPr="0000649E">
        <w:rPr>
          <w:b w:val="0"/>
          <w:bCs w:val="0"/>
          <w:color w:val="000000"/>
        </w:rPr>
        <w:t xml:space="preserve"> (</w:t>
      </w:r>
      <w:r w:rsidR="004871B2" w:rsidRPr="0000649E">
        <w:rPr>
          <w:b w:val="0"/>
          <w:bCs w:val="0"/>
          <w:color w:val="000000"/>
        </w:rPr>
        <w:t>NICE</w:t>
      </w:r>
      <w:r w:rsidR="00480999" w:rsidRPr="0000649E">
        <w:rPr>
          <w:b w:val="0"/>
          <w:bCs w:val="0"/>
          <w:color w:val="000000"/>
        </w:rPr>
        <w:t xml:space="preserve">, </w:t>
      </w:r>
      <w:r w:rsidR="004871B2" w:rsidRPr="0000649E">
        <w:rPr>
          <w:b w:val="0"/>
          <w:bCs w:val="0"/>
          <w:color w:val="000000"/>
        </w:rPr>
        <w:t>2016), is a sensible</w:t>
      </w:r>
      <w:r w:rsidR="00480999" w:rsidRPr="0000649E">
        <w:rPr>
          <w:b w:val="0"/>
          <w:bCs w:val="0"/>
          <w:color w:val="000000"/>
        </w:rPr>
        <w:t xml:space="preserve"> and</w:t>
      </w:r>
      <w:r w:rsidR="004871B2" w:rsidRPr="0000649E">
        <w:rPr>
          <w:b w:val="0"/>
          <w:bCs w:val="0"/>
          <w:color w:val="000000"/>
        </w:rPr>
        <w:t xml:space="preserve"> relatively </w:t>
      </w:r>
      <w:r w:rsidR="00480999" w:rsidRPr="0000649E">
        <w:rPr>
          <w:b w:val="0"/>
          <w:bCs w:val="0"/>
          <w:color w:val="000000"/>
        </w:rPr>
        <w:t>inexpensive</w:t>
      </w:r>
      <w:r w:rsidR="004871B2" w:rsidRPr="0000649E">
        <w:rPr>
          <w:b w:val="0"/>
          <w:bCs w:val="0"/>
          <w:color w:val="000000"/>
        </w:rPr>
        <w:t xml:space="preserve"> initial step.</w:t>
      </w:r>
    </w:p>
    <w:p w14:paraId="26330B1F" w14:textId="77777777" w:rsidR="00D01118" w:rsidRPr="00015560" w:rsidRDefault="00D01118">
      <w:pPr>
        <w:spacing w:after="60"/>
      </w:pPr>
    </w:p>
    <w:p w14:paraId="414784C9" w14:textId="4DC28BB9" w:rsidR="004871B2" w:rsidRPr="00015560" w:rsidRDefault="00B45E27" w:rsidP="0091142B">
      <w:pPr>
        <w:pStyle w:val="Heading3"/>
        <w:rPr>
          <w:color w:val="45B0E1" w:themeColor="accent1" w:themeTint="99"/>
          <w:sz w:val="28"/>
          <w:szCs w:val="28"/>
        </w:rPr>
      </w:pPr>
      <w:r w:rsidRPr="00015560">
        <w:rPr>
          <w:color w:val="45B0E1" w:themeColor="accent1" w:themeTint="99"/>
          <w:sz w:val="28"/>
          <w:szCs w:val="28"/>
        </w:rPr>
        <w:t>4.  Social Isolation and Loneliness</w:t>
      </w:r>
    </w:p>
    <w:p w14:paraId="5DD2793D" w14:textId="609791B5" w:rsidR="00D01118" w:rsidRPr="00015560" w:rsidRDefault="007E79E1" w:rsidP="00ED7FC5">
      <w:pPr>
        <w:pStyle w:val="NormalWeb"/>
        <w:jc w:val="both"/>
        <w:rPr>
          <w:rFonts w:ascii="Arial" w:hAnsi="Arial" w:cs="Arial"/>
        </w:rPr>
      </w:pPr>
      <w:r w:rsidRPr="00015560">
        <w:rPr>
          <w:rFonts w:ascii="Arial" w:hAnsi="Arial" w:cs="Arial"/>
          <w:color w:val="000000"/>
          <w:sz w:val="22"/>
          <w:szCs w:val="22"/>
        </w:rPr>
        <w:t>Over 2 million people age 75+ live alone in England</w:t>
      </w:r>
      <w:r w:rsidR="00170E91" w:rsidRPr="00015560">
        <w:rPr>
          <w:rFonts w:ascii="Arial" w:hAnsi="Arial" w:cs="Arial"/>
          <w:color w:val="000000"/>
          <w:sz w:val="22"/>
          <w:szCs w:val="22"/>
        </w:rPr>
        <w:t>,</w:t>
      </w:r>
      <w:r w:rsidRPr="00015560">
        <w:rPr>
          <w:rFonts w:ascii="Arial" w:hAnsi="Arial" w:cs="Arial"/>
          <w:color w:val="000000"/>
          <w:sz w:val="22"/>
          <w:szCs w:val="22"/>
        </w:rPr>
        <w:t xml:space="preserve"> and 1.4 million feel chronically lonely (Campaign to End Loneliness, 2023). Holt - </w:t>
      </w:r>
      <w:proofErr w:type="spellStart"/>
      <w:r w:rsidRPr="00015560">
        <w:rPr>
          <w:rFonts w:ascii="Arial" w:hAnsi="Arial" w:cs="Arial"/>
          <w:color w:val="000000"/>
          <w:sz w:val="22"/>
          <w:szCs w:val="22"/>
        </w:rPr>
        <w:t>Lunstad</w:t>
      </w:r>
      <w:proofErr w:type="spellEnd"/>
      <w:r w:rsidRPr="00015560">
        <w:rPr>
          <w:rFonts w:ascii="Arial" w:hAnsi="Arial" w:cs="Arial"/>
          <w:color w:val="000000"/>
          <w:sz w:val="22"/>
          <w:szCs w:val="22"/>
        </w:rPr>
        <w:t xml:space="preserve"> et al. (2015) estimated the impact of loneliness and social isolation as having a 26% higher risk of premature death than smoking. Victor and Bowling (2012) discovered that, independent of the actual social situation, both loneliness and objective isolation predict depression and cognitive decline. Cacioppo and Hawkley (2010) suggest that the perceived feeling of loneliness (social isolation and lack of connection) is the most damaging driver. Social prescribing has been piloted as an initiative that connects older people with various community groups and befriending services to address the isolation they face</w:t>
      </w:r>
      <w:r w:rsidR="00B82A6C" w:rsidRPr="00015560">
        <w:rPr>
          <w:rFonts w:ascii="Arial" w:hAnsi="Arial" w:cs="Arial"/>
          <w:color w:val="000000"/>
          <w:sz w:val="22"/>
          <w:szCs w:val="22"/>
        </w:rPr>
        <w:t>.</w:t>
      </w:r>
    </w:p>
    <w:p w14:paraId="1F21EA49" w14:textId="77777777" w:rsidR="008B1667" w:rsidRPr="00015560" w:rsidRDefault="008B1667" w:rsidP="00ED7FC5">
      <w:pPr>
        <w:pStyle w:val="NormalWeb"/>
        <w:jc w:val="both"/>
        <w:rPr>
          <w:rFonts w:ascii="Arial" w:hAnsi="Arial" w:cs="Arial"/>
          <w:color w:val="000000"/>
          <w:sz w:val="22"/>
          <w:szCs w:val="22"/>
        </w:rPr>
      </w:pPr>
    </w:p>
    <w:p w14:paraId="6E821098" w14:textId="144466A1" w:rsidR="00D01118" w:rsidRPr="00015560" w:rsidRDefault="00B45E27">
      <w:pPr>
        <w:pStyle w:val="Heading3"/>
        <w:rPr>
          <w:color w:val="45B0E1" w:themeColor="accent1" w:themeTint="99"/>
          <w:sz w:val="28"/>
          <w:szCs w:val="28"/>
        </w:rPr>
      </w:pPr>
      <w:r w:rsidRPr="00015560">
        <w:rPr>
          <w:color w:val="45B0E1" w:themeColor="accent1" w:themeTint="99"/>
          <w:sz w:val="28"/>
          <w:szCs w:val="28"/>
        </w:rPr>
        <w:t>5.  Poverty and Financial Insecurity</w:t>
      </w:r>
    </w:p>
    <w:p w14:paraId="0EC38597" w14:textId="2493DDDA" w:rsidR="00D01118" w:rsidRPr="00015560" w:rsidRDefault="007605F7" w:rsidP="00BA7BAF">
      <w:pPr>
        <w:pStyle w:val="Heading3"/>
        <w:jc w:val="both"/>
        <w:rPr>
          <w:b w:val="0"/>
          <w:bCs w:val="0"/>
        </w:rPr>
      </w:pPr>
      <w:r w:rsidRPr="00015560">
        <w:rPr>
          <w:b w:val="0"/>
          <w:bCs w:val="0"/>
        </w:rPr>
        <w:t>DWP</w:t>
      </w:r>
      <w:r w:rsidR="006B4E25" w:rsidRPr="00015560">
        <w:rPr>
          <w:b w:val="0"/>
          <w:bCs w:val="0"/>
        </w:rPr>
        <w:t xml:space="preserve"> (2023) reported that about 2.1 million people </w:t>
      </w:r>
      <w:r w:rsidR="007F784C" w:rsidRPr="00015560">
        <w:rPr>
          <w:b w:val="0"/>
          <w:bCs w:val="0"/>
        </w:rPr>
        <w:t xml:space="preserve">above 65 years old live under poverty, meanwhile JRF (2023) </w:t>
      </w:r>
      <w:r w:rsidR="00D00929" w:rsidRPr="00015560">
        <w:rPr>
          <w:b w:val="0"/>
          <w:bCs w:val="0"/>
        </w:rPr>
        <w:t xml:space="preserve">stated that 880000 people are </w:t>
      </w:r>
      <w:r w:rsidR="004F46FD" w:rsidRPr="00015560">
        <w:rPr>
          <w:b w:val="0"/>
          <w:bCs w:val="0"/>
        </w:rPr>
        <w:t>eligible</w:t>
      </w:r>
      <w:r w:rsidR="00D00929" w:rsidRPr="00015560">
        <w:rPr>
          <w:b w:val="0"/>
          <w:bCs w:val="0"/>
        </w:rPr>
        <w:t xml:space="preserve"> for household </w:t>
      </w:r>
      <w:r w:rsidR="00BA7BAF" w:rsidRPr="00015560">
        <w:rPr>
          <w:b w:val="0"/>
          <w:bCs w:val="0"/>
        </w:rPr>
        <w:t xml:space="preserve">but do not </w:t>
      </w:r>
      <w:r w:rsidR="004F46FD" w:rsidRPr="00015560">
        <w:rPr>
          <w:b w:val="0"/>
          <w:bCs w:val="0"/>
        </w:rPr>
        <w:t>receive</w:t>
      </w:r>
      <w:r w:rsidR="00BA7BAF" w:rsidRPr="00015560">
        <w:rPr>
          <w:b w:val="0"/>
          <w:bCs w:val="0"/>
        </w:rPr>
        <w:t xml:space="preserve"> their </w:t>
      </w:r>
      <w:r w:rsidR="004F46FD" w:rsidRPr="00015560">
        <w:rPr>
          <w:b w:val="0"/>
          <w:bCs w:val="0"/>
        </w:rPr>
        <w:t>pension</w:t>
      </w:r>
      <w:r w:rsidR="00BA7BAF" w:rsidRPr="00015560">
        <w:rPr>
          <w:b w:val="0"/>
          <w:bCs w:val="0"/>
        </w:rPr>
        <w:t xml:space="preserve"> credit allowance.</w:t>
      </w:r>
      <w:r w:rsidR="00B16FA2" w:rsidRPr="00015560">
        <w:rPr>
          <w:b w:val="0"/>
          <w:bCs w:val="0"/>
          <w:color w:val="000000"/>
        </w:rPr>
        <w:t xml:space="preserve"> </w:t>
      </w:r>
      <w:r w:rsidR="00B16FA2" w:rsidRPr="00015560">
        <w:rPr>
          <w:b w:val="0"/>
          <w:bCs w:val="0"/>
        </w:rPr>
        <w:t xml:space="preserve">Marmot et al. </w:t>
      </w:r>
      <w:r w:rsidR="00606150" w:rsidRPr="00015560">
        <w:rPr>
          <w:b w:val="0"/>
          <w:bCs w:val="0"/>
        </w:rPr>
        <w:t>(2020)</w:t>
      </w:r>
      <w:r w:rsidR="00451E1C" w:rsidRPr="00015560">
        <w:rPr>
          <w:b w:val="0"/>
          <w:bCs w:val="0"/>
        </w:rPr>
        <w:t xml:space="preserve"> </w:t>
      </w:r>
      <w:r w:rsidR="00BA43EE" w:rsidRPr="00015560">
        <w:rPr>
          <w:b w:val="0"/>
          <w:bCs w:val="0"/>
          <w:color w:val="000000"/>
        </w:rPr>
        <w:t>highlight</w:t>
      </w:r>
      <w:r w:rsidR="00B16FA2" w:rsidRPr="00015560">
        <w:rPr>
          <w:b w:val="0"/>
          <w:bCs w:val="0"/>
          <w:color w:val="000000"/>
        </w:rPr>
        <w:t xml:space="preserve"> inequalities that </w:t>
      </w:r>
      <w:r w:rsidR="00955F9A" w:rsidRPr="00015560">
        <w:rPr>
          <w:b w:val="0"/>
          <w:bCs w:val="0"/>
          <w:color w:val="000000"/>
        </w:rPr>
        <w:t>a</w:t>
      </w:r>
      <w:r w:rsidR="00955F9A">
        <w:rPr>
          <w:b w:val="0"/>
          <w:bCs w:val="0"/>
          <w:color w:val="000000"/>
        </w:rPr>
        <w:t>ccumulated</w:t>
      </w:r>
      <w:r w:rsidR="00B16FA2" w:rsidRPr="00015560">
        <w:rPr>
          <w:b w:val="0"/>
          <w:bCs w:val="0"/>
          <w:color w:val="000000"/>
        </w:rPr>
        <w:t xml:space="preserve"> over a working lifetime</w:t>
      </w:r>
      <w:r w:rsidR="007B5EF4" w:rsidRPr="00015560">
        <w:rPr>
          <w:b w:val="0"/>
          <w:bCs w:val="0"/>
          <w:color w:val="000000"/>
        </w:rPr>
        <w:t>,</w:t>
      </w:r>
      <w:r w:rsidR="00B16FA2" w:rsidRPr="00015560">
        <w:rPr>
          <w:b w:val="0"/>
          <w:bCs w:val="0"/>
          <w:color w:val="000000"/>
        </w:rPr>
        <w:t xml:space="preserve"> especially the accumulation of disadvantages such as low pay, taking breaks to care for family members or insecure work among women and people from minority ethnic groups</w:t>
      </w:r>
      <w:r w:rsidR="00AD1B1A" w:rsidRPr="00015560">
        <w:rPr>
          <w:b w:val="0"/>
          <w:bCs w:val="0"/>
          <w:color w:val="000000"/>
        </w:rPr>
        <w:t>,</w:t>
      </w:r>
      <w:r w:rsidR="00B16FA2" w:rsidRPr="00015560">
        <w:rPr>
          <w:b w:val="0"/>
          <w:bCs w:val="0"/>
          <w:color w:val="000000"/>
        </w:rPr>
        <w:t xml:space="preserve"> the social care White Paper proposes to cap lifetime care costs at £86,000. Critics claim this threshold is too high to adequately shield people living on modest incomes and those with high costs, stating that any effective solution requires extensive Pension Credit campaigning, automating benefits</w:t>
      </w:r>
      <w:r w:rsidR="00B45E27" w:rsidRPr="00015560">
        <w:rPr>
          <w:b w:val="0"/>
          <w:bCs w:val="0"/>
        </w:rPr>
        <w:t>.</w:t>
      </w:r>
    </w:p>
    <w:p w14:paraId="7DE8BAC2" w14:textId="231CBECF" w:rsidR="00D01118" w:rsidRPr="00015560" w:rsidRDefault="00D01118">
      <w:pPr>
        <w:spacing w:after="60"/>
        <w:rPr>
          <w:color w:val="156082" w:themeColor="accent1"/>
          <w:sz w:val="28"/>
          <w:szCs w:val="28"/>
        </w:rPr>
      </w:pPr>
    </w:p>
    <w:p w14:paraId="14708FEB" w14:textId="3F1ECBB7" w:rsidR="00B16FA2" w:rsidRPr="00015560" w:rsidRDefault="00B45E27">
      <w:pPr>
        <w:pStyle w:val="Heading3"/>
        <w:rPr>
          <w:color w:val="45B0E1" w:themeColor="accent1" w:themeTint="99"/>
          <w:sz w:val="28"/>
          <w:szCs w:val="28"/>
        </w:rPr>
      </w:pPr>
      <w:r w:rsidRPr="00015560">
        <w:rPr>
          <w:color w:val="45B0E1" w:themeColor="accent1" w:themeTint="99"/>
          <w:sz w:val="28"/>
          <w:szCs w:val="28"/>
        </w:rPr>
        <w:t>6.  Housing and Cold Homes</w:t>
      </w:r>
    </w:p>
    <w:p w14:paraId="29A36A58" w14:textId="1BA2C7FC" w:rsidR="00D01118" w:rsidRPr="00015560" w:rsidRDefault="000057B4" w:rsidP="00175BC3">
      <w:pPr>
        <w:pStyle w:val="NormalWeb"/>
        <w:jc w:val="both"/>
        <w:rPr>
          <w:rFonts w:ascii="Arial" w:hAnsi="Arial" w:cs="Arial"/>
        </w:rPr>
      </w:pPr>
      <w:r w:rsidRPr="00015560">
        <w:rPr>
          <w:rFonts w:ascii="Arial" w:hAnsi="Arial" w:cs="Arial"/>
          <w:color w:val="000000"/>
          <w:sz w:val="22"/>
          <w:szCs w:val="22"/>
        </w:rPr>
        <w:t>More than four million English homes are now not deemed to have a Decent Home. Of these, a number far greater than that of older households will have at least one over-75 homeowner and renter (DHLUC, 2022). Both studies conclude there are at least 40 excess deaths per 100 people a year from cold homes alone</w:t>
      </w:r>
      <w:r w:rsidR="00F17687" w:rsidRPr="00015560">
        <w:rPr>
          <w:rFonts w:ascii="Arial" w:hAnsi="Arial" w:cs="Arial"/>
          <w:color w:val="000000"/>
          <w:sz w:val="22"/>
          <w:szCs w:val="22"/>
        </w:rPr>
        <w:t>,</w:t>
      </w:r>
      <w:r w:rsidRPr="00015560">
        <w:rPr>
          <w:rFonts w:ascii="Arial" w:hAnsi="Arial" w:cs="Arial"/>
          <w:color w:val="000000"/>
          <w:sz w:val="22"/>
          <w:szCs w:val="22"/>
        </w:rPr>
        <w:t xml:space="preserve"> and Liddell &amp; Morris (2010) showed it</w:t>
      </w:r>
      <w:r w:rsidR="00995E9C" w:rsidRPr="00015560">
        <w:rPr>
          <w:rFonts w:ascii="Arial" w:hAnsi="Arial" w:cs="Arial"/>
          <w:color w:val="000000"/>
          <w:sz w:val="22"/>
          <w:szCs w:val="22"/>
        </w:rPr>
        <w:t xml:space="preserve"> is</w:t>
      </w:r>
      <w:r w:rsidRPr="00015560">
        <w:rPr>
          <w:rFonts w:ascii="Arial" w:hAnsi="Arial" w:cs="Arial"/>
          <w:color w:val="000000"/>
          <w:sz w:val="22"/>
          <w:szCs w:val="22"/>
        </w:rPr>
        <w:t xml:space="preserve"> an independent predictor of respiratory diseases, cardiovascular diseases and poorer mental health. The ONS (2023) figures show there are typically well over 10,000 a year. Most occur among people aged 75 and older. For some assistance, older people with an </w:t>
      </w:r>
      <w:r w:rsidR="00AB6DD2" w:rsidRPr="00015560">
        <w:rPr>
          <w:rFonts w:ascii="Arial" w:hAnsi="Arial" w:cs="Arial"/>
          <w:color w:val="000000"/>
          <w:sz w:val="22"/>
          <w:szCs w:val="22"/>
        </w:rPr>
        <w:t>income</w:t>
      </w:r>
      <w:r w:rsidRPr="00015560">
        <w:rPr>
          <w:rFonts w:ascii="Arial" w:hAnsi="Arial" w:cs="Arial"/>
          <w:color w:val="000000"/>
          <w:sz w:val="22"/>
          <w:szCs w:val="22"/>
        </w:rPr>
        <w:t xml:space="preserve"> of at least one of these seven factors are offered support by Age UK's Warm Homes Discount scheme. Age UK (2023) said that because only 2% of households qualified</w:t>
      </w:r>
      <w:r w:rsidR="00EE3DE2" w:rsidRPr="00015560">
        <w:rPr>
          <w:rFonts w:ascii="Arial" w:hAnsi="Arial" w:cs="Arial"/>
          <w:color w:val="000000"/>
          <w:sz w:val="22"/>
          <w:szCs w:val="22"/>
        </w:rPr>
        <w:t>,</w:t>
      </w:r>
      <w:r w:rsidRPr="00015560">
        <w:rPr>
          <w:rFonts w:ascii="Arial" w:hAnsi="Arial" w:cs="Arial"/>
          <w:color w:val="000000"/>
          <w:sz w:val="22"/>
          <w:szCs w:val="22"/>
        </w:rPr>
        <w:t xml:space="preserve"> and mostly among retired people</w:t>
      </w:r>
      <w:r w:rsidR="001D0A38" w:rsidRPr="00015560">
        <w:rPr>
          <w:rFonts w:ascii="Arial" w:hAnsi="Arial" w:cs="Arial"/>
        </w:rPr>
        <w:t>.</w:t>
      </w:r>
    </w:p>
    <w:p w14:paraId="7D34D10F" w14:textId="77777777" w:rsidR="00D01118" w:rsidRPr="00015560" w:rsidRDefault="00D01118">
      <w:pPr>
        <w:spacing w:after="60"/>
      </w:pPr>
    </w:p>
    <w:p w14:paraId="5AEEB1C4" w14:textId="723F9B43" w:rsidR="000057B4" w:rsidRPr="00015560" w:rsidRDefault="00B45E27" w:rsidP="0091142B">
      <w:pPr>
        <w:pStyle w:val="Heading2"/>
        <w:rPr>
          <w:color w:val="45B0E1" w:themeColor="accent1" w:themeTint="99"/>
          <w:sz w:val="28"/>
          <w:szCs w:val="28"/>
        </w:rPr>
      </w:pPr>
      <w:r w:rsidRPr="00015560">
        <w:rPr>
          <w:color w:val="45B0E1" w:themeColor="accent1" w:themeTint="99"/>
          <w:sz w:val="28"/>
          <w:szCs w:val="28"/>
        </w:rPr>
        <w:t>National Response to Health Inequalities in Older Adults</w:t>
      </w:r>
    </w:p>
    <w:p w14:paraId="535AE9BD" w14:textId="0B354324" w:rsidR="00083CC7" w:rsidRDefault="00816554" w:rsidP="00F8038D">
      <w:pPr>
        <w:pStyle w:val="NormalWeb"/>
        <w:jc w:val="both"/>
        <w:rPr>
          <w:rFonts w:ascii="Arial" w:hAnsi="Arial" w:cs="Arial"/>
        </w:rPr>
      </w:pPr>
      <w:r w:rsidRPr="00015560">
        <w:rPr>
          <w:rFonts w:ascii="Arial" w:hAnsi="Arial" w:cs="Arial"/>
          <w:color w:val="000000"/>
          <w:sz w:val="22"/>
          <w:szCs w:val="22"/>
        </w:rPr>
        <w:t>The NHS Long Term Plan (NHS England, 2019) promises to advance personalised care, increase the reach of social prescribing and encourage better integration between health and social care through Integrated Care Systems to improve premature mortality from CVD and respiratory causes. The Ageing Well Programme translates this into practice, stratifying patients by frailty risk and providing them with tailored, proactive care within the community</w:t>
      </w:r>
      <w:r w:rsidR="00267310" w:rsidRPr="00015560">
        <w:rPr>
          <w:rFonts w:ascii="Arial" w:hAnsi="Arial" w:cs="Arial"/>
          <w:color w:val="000000"/>
          <w:sz w:val="22"/>
          <w:szCs w:val="22"/>
        </w:rPr>
        <w:t>,</w:t>
      </w:r>
      <w:r w:rsidRPr="00015560">
        <w:rPr>
          <w:rFonts w:ascii="Arial" w:hAnsi="Arial" w:cs="Arial"/>
          <w:color w:val="000000"/>
          <w:sz w:val="22"/>
          <w:szCs w:val="22"/>
        </w:rPr>
        <w:t xml:space="preserve"> exactly the "upstream" focus on social determinants of health championed by Marmot (2010) in preventing ill health in the first place. The Adult Social Care Reform White Paper (DHSC, 2021) addressed the inherent inequity of older people spending all their life savings to pay for care </w:t>
      </w:r>
      <w:r w:rsidR="00024803" w:rsidRPr="00015560">
        <w:rPr>
          <w:rFonts w:ascii="Arial" w:hAnsi="Arial" w:cs="Arial"/>
          <w:color w:val="000000"/>
          <w:sz w:val="22"/>
          <w:szCs w:val="22"/>
        </w:rPr>
        <w:t>by</w:t>
      </w:r>
      <w:r w:rsidRPr="00015560">
        <w:rPr>
          <w:rFonts w:ascii="Arial" w:hAnsi="Arial" w:cs="Arial"/>
          <w:color w:val="000000"/>
          <w:sz w:val="22"/>
          <w:szCs w:val="22"/>
        </w:rPr>
        <w:t xml:space="preserve"> proposing a cap on care costs to be paid over an individual's lifetime, along with increased funding for local authorities</w:t>
      </w:r>
      <w:r w:rsidR="005229D4" w:rsidRPr="00015560">
        <w:rPr>
          <w:rFonts w:ascii="Arial" w:hAnsi="Arial" w:cs="Arial"/>
          <w:color w:val="000000"/>
          <w:sz w:val="22"/>
          <w:szCs w:val="22"/>
        </w:rPr>
        <w:t>.</w:t>
      </w:r>
    </w:p>
    <w:p w14:paraId="3A4E8620" w14:textId="77777777" w:rsidR="005B2D3C" w:rsidRPr="005B2D3C" w:rsidRDefault="005B2D3C" w:rsidP="00F8038D">
      <w:pPr>
        <w:pStyle w:val="NormalWeb"/>
        <w:jc w:val="both"/>
        <w:rPr>
          <w:rFonts w:ascii="Arial" w:hAnsi="Arial" w:cs="Arial"/>
        </w:rPr>
      </w:pPr>
    </w:p>
    <w:p w14:paraId="5938E99A" w14:textId="5700C38D" w:rsidR="00D01118" w:rsidRPr="00015560" w:rsidRDefault="00B45E27">
      <w:pPr>
        <w:pStyle w:val="Heading2"/>
        <w:rPr>
          <w:color w:val="45B0E1" w:themeColor="accent1" w:themeTint="99"/>
          <w:sz w:val="28"/>
          <w:szCs w:val="28"/>
        </w:rPr>
      </w:pPr>
      <w:r w:rsidRPr="00015560">
        <w:rPr>
          <w:color w:val="45B0E1" w:themeColor="accent1" w:themeTint="99"/>
          <w:sz w:val="28"/>
          <w:szCs w:val="28"/>
        </w:rPr>
        <w:t>Voluntary Sector Response: Age UK</w:t>
      </w:r>
    </w:p>
    <w:p w14:paraId="343CBBA7" w14:textId="3F55E4F7" w:rsidR="00D01118" w:rsidRPr="00015560" w:rsidRDefault="00331D05" w:rsidP="00953D55">
      <w:pPr>
        <w:pStyle w:val="Heading2"/>
        <w:jc w:val="both"/>
        <w:rPr>
          <w:b w:val="0"/>
          <w:bCs w:val="0"/>
          <w:color w:val="000000" w:themeColor="text1"/>
        </w:rPr>
      </w:pPr>
      <w:r w:rsidRPr="00015560">
        <w:rPr>
          <w:b w:val="0"/>
          <w:bCs w:val="0"/>
          <w:color w:val="000000" w:themeColor="text1"/>
        </w:rPr>
        <w:t xml:space="preserve">Age </w:t>
      </w:r>
      <w:r w:rsidR="00953D55" w:rsidRPr="00015560">
        <w:rPr>
          <w:b w:val="0"/>
          <w:bCs w:val="0"/>
          <w:color w:val="000000" w:themeColor="text1"/>
        </w:rPr>
        <w:t>is the largest charity in the UK that help older people.</w:t>
      </w:r>
      <w:r w:rsidR="00E91483" w:rsidRPr="00015560">
        <w:rPr>
          <w:b w:val="0"/>
          <w:bCs w:val="0"/>
          <w:color w:val="000000" w:themeColor="text1"/>
          <w:sz w:val="22"/>
          <w:szCs w:val="22"/>
        </w:rPr>
        <w:t xml:space="preserve"> They provide advice on benefits, pensions to more than six million people each year (Age UK, 2023). Their objectives are to reduce poverty, loneliness and poorer health</w:t>
      </w:r>
      <w:r w:rsidR="002478C1" w:rsidRPr="00015560">
        <w:rPr>
          <w:b w:val="0"/>
          <w:bCs w:val="0"/>
          <w:color w:val="000000" w:themeColor="text1"/>
          <w:sz w:val="22"/>
          <w:szCs w:val="22"/>
        </w:rPr>
        <w:t xml:space="preserve">, and </w:t>
      </w:r>
      <w:r w:rsidR="00E91483" w:rsidRPr="00015560">
        <w:rPr>
          <w:b w:val="0"/>
          <w:bCs w:val="0"/>
          <w:color w:val="000000" w:themeColor="text1"/>
          <w:sz w:val="22"/>
          <w:szCs w:val="22"/>
        </w:rPr>
        <w:t xml:space="preserve">pushing back against the ageism that fuels discrimination and inequality. The </w:t>
      </w:r>
      <w:r w:rsidR="00E81D19" w:rsidRPr="00015560">
        <w:rPr>
          <w:b w:val="0"/>
          <w:bCs w:val="0"/>
          <w:color w:val="000000" w:themeColor="text1"/>
          <w:sz w:val="22"/>
          <w:szCs w:val="22"/>
        </w:rPr>
        <w:t>organisation</w:t>
      </w:r>
      <w:r w:rsidR="00E91483" w:rsidRPr="00015560">
        <w:rPr>
          <w:b w:val="0"/>
          <w:bCs w:val="0"/>
          <w:color w:val="000000" w:themeColor="text1"/>
          <w:sz w:val="22"/>
          <w:szCs w:val="22"/>
        </w:rPr>
        <w:t xml:space="preserve"> has also published a lot of independent research, including </w:t>
      </w:r>
      <w:r w:rsidR="003808AD" w:rsidRPr="00015560">
        <w:rPr>
          <w:b w:val="0"/>
          <w:bCs w:val="0"/>
          <w:color w:val="000000" w:themeColor="text1"/>
          <w:sz w:val="22"/>
          <w:szCs w:val="22"/>
        </w:rPr>
        <w:t>fact sheets</w:t>
      </w:r>
      <w:r w:rsidR="00E91483" w:rsidRPr="00015560">
        <w:rPr>
          <w:b w:val="0"/>
          <w:bCs w:val="0"/>
          <w:color w:val="000000" w:themeColor="text1"/>
          <w:sz w:val="22"/>
          <w:szCs w:val="22"/>
        </w:rPr>
        <w:t>, for example</w:t>
      </w:r>
      <w:r w:rsidR="00623C59" w:rsidRPr="00015560">
        <w:rPr>
          <w:b w:val="0"/>
          <w:bCs w:val="0"/>
          <w:color w:val="000000" w:themeColor="text1"/>
          <w:sz w:val="22"/>
          <w:szCs w:val="22"/>
        </w:rPr>
        <w:t>,</w:t>
      </w:r>
      <w:r w:rsidR="00E91483" w:rsidRPr="00015560">
        <w:rPr>
          <w:b w:val="0"/>
          <w:bCs w:val="0"/>
          <w:color w:val="000000" w:themeColor="text1"/>
          <w:sz w:val="22"/>
          <w:szCs w:val="22"/>
        </w:rPr>
        <w:t xml:space="preserve"> the yearly 'Later Life in the United Kingdom' fact sheet, used by many professionals within and outside of local government and </w:t>
      </w:r>
      <w:r w:rsidR="00101BE4" w:rsidRPr="00015560">
        <w:rPr>
          <w:b w:val="0"/>
          <w:bCs w:val="0"/>
          <w:color w:val="000000" w:themeColor="text1"/>
          <w:sz w:val="22"/>
          <w:szCs w:val="22"/>
        </w:rPr>
        <w:t xml:space="preserve">the </w:t>
      </w:r>
      <w:r w:rsidR="00E91483" w:rsidRPr="00015560">
        <w:rPr>
          <w:b w:val="0"/>
          <w:bCs w:val="0"/>
          <w:color w:val="000000" w:themeColor="text1"/>
          <w:sz w:val="22"/>
          <w:szCs w:val="22"/>
        </w:rPr>
        <w:t xml:space="preserve">government </w:t>
      </w:r>
      <w:r w:rsidR="001B42D2" w:rsidRPr="00015560">
        <w:rPr>
          <w:b w:val="0"/>
          <w:bCs w:val="0"/>
          <w:color w:val="000000" w:themeColor="text1"/>
          <w:sz w:val="22"/>
          <w:szCs w:val="22"/>
        </w:rPr>
        <w:t>itself</w:t>
      </w:r>
      <w:r w:rsidR="00E91483" w:rsidRPr="00015560">
        <w:rPr>
          <w:b w:val="0"/>
          <w:bCs w:val="0"/>
          <w:color w:val="000000" w:themeColor="text1"/>
          <w:sz w:val="22"/>
          <w:szCs w:val="22"/>
        </w:rPr>
        <w:t xml:space="preserve">. In terms of services, </w:t>
      </w:r>
      <w:r w:rsidR="007B230D" w:rsidRPr="00015560">
        <w:rPr>
          <w:b w:val="0"/>
          <w:bCs w:val="0"/>
          <w:color w:val="000000" w:themeColor="text1"/>
          <w:sz w:val="22"/>
          <w:szCs w:val="22"/>
        </w:rPr>
        <w:t>they have</w:t>
      </w:r>
      <w:r w:rsidR="00E91483" w:rsidRPr="00015560">
        <w:rPr>
          <w:b w:val="0"/>
          <w:bCs w:val="0"/>
          <w:color w:val="000000" w:themeColor="text1"/>
          <w:sz w:val="22"/>
          <w:szCs w:val="22"/>
        </w:rPr>
        <w:t xml:space="preserve"> several befriending schemes</w:t>
      </w:r>
      <w:r w:rsidR="009E3F0F" w:rsidRPr="00015560">
        <w:rPr>
          <w:b w:val="0"/>
          <w:bCs w:val="0"/>
          <w:color w:val="000000" w:themeColor="text1"/>
          <w:sz w:val="22"/>
          <w:szCs w:val="22"/>
        </w:rPr>
        <w:t>,</w:t>
      </w:r>
      <w:r w:rsidR="00E91483" w:rsidRPr="00015560">
        <w:rPr>
          <w:b w:val="0"/>
          <w:bCs w:val="0"/>
          <w:color w:val="000000" w:themeColor="text1"/>
          <w:sz w:val="22"/>
          <w:szCs w:val="22"/>
        </w:rPr>
        <w:t xml:space="preserve"> including phone friends, along with initiatives such as No Friends Nearby. Age UK, supported by NHS England, developed Personalised Integrated Care. Trials suggested that the outreach performed reduces the number of emergency admissions to </w:t>
      </w:r>
      <w:r w:rsidR="002859C0" w:rsidRPr="00015560">
        <w:rPr>
          <w:b w:val="0"/>
          <w:bCs w:val="0"/>
          <w:color w:val="000000" w:themeColor="text1"/>
          <w:sz w:val="22"/>
          <w:szCs w:val="22"/>
        </w:rPr>
        <w:t xml:space="preserve">the </w:t>
      </w:r>
      <w:r w:rsidR="00E91483" w:rsidRPr="00015560">
        <w:rPr>
          <w:b w:val="0"/>
          <w:bCs w:val="0"/>
          <w:color w:val="000000" w:themeColor="text1"/>
          <w:sz w:val="22"/>
          <w:szCs w:val="22"/>
        </w:rPr>
        <w:t>hospital</w:t>
      </w:r>
      <w:r w:rsidR="00BE1661" w:rsidRPr="00015560">
        <w:rPr>
          <w:b w:val="0"/>
          <w:bCs w:val="0"/>
          <w:color w:val="000000" w:themeColor="text1"/>
          <w:sz w:val="22"/>
          <w:szCs w:val="22"/>
        </w:rPr>
        <w:t>.</w:t>
      </w:r>
    </w:p>
    <w:p w14:paraId="4D8A4341" w14:textId="77777777" w:rsidR="00DD30EC" w:rsidRPr="00015560" w:rsidRDefault="00DD30EC" w:rsidP="007D6436">
      <w:pPr>
        <w:pStyle w:val="NormalWeb"/>
        <w:jc w:val="both"/>
        <w:rPr>
          <w:rFonts w:ascii="Arial" w:hAnsi="Arial" w:cs="Arial"/>
          <w:color w:val="000000"/>
          <w:sz w:val="22"/>
          <w:szCs w:val="22"/>
        </w:rPr>
      </w:pPr>
    </w:p>
    <w:p w14:paraId="3714A96A" w14:textId="732E001C" w:rsidR="00E91483" w:rsidRPr="00015560" w:rsidRDefault="00B45E27">
      <w:pPr>
        <w:pStyle w:val="Heading2"/>
        <w:rPr>
          <w:color w:val="45B0E1" w:themeColor="accent1" w:themeTint="99"/>
          <w:sz w:val="28"/>
          <w:szCs w:val="28"/>
        </w:rPr>
      </w:pPr>
      <w:r w:rsidRPr="00015560">
        <w:rPr>
          <w:color w:val="45B0E1" w:themeColor="accent1" w:themeTint="99"/>
          <w:sz w:val="28"/>
          <w:szCs w:val="28"/>
        </w:rPr>
        <w:t>Conclusion</w:t>
      </w:r>
    </w:p>
    <w:p w14:paraId="345328BB" w14:textId="5706A9F5" w:rsidR="00A202EE" w:rsidRPr="00015560" w:rsidRDefault="00223F4F" w:rsidP="00A202EE">
      <w:pPr>
        <w:pStyle w:val="NormalWeb"/>
        <w:jc w:val="both"/>
        <w:rPr>
          <w:rFonts w:ascii="Arial" w:hAnsi="Arial" w:cs="Arial"/>
          <w:color w:val="000000"/>
          <w:sz w:val="22"/>
          <w:szCs w:val="22"/>
        </w:rPr>
      </w:pPr>
      <w:r w:rsidRPr="00015560">
        <w:rPr>
          <w:rFonts w:ascii="Arial" w:hAnsi="Arial" w:cs="Arial"/>
          <w:color w:val="000000"/>
          <w:sz w:val="22"/>
          <w:szCs w:val="22"/>
        </w:rPr>
        <w:t xml:space="preserve">Britain's older people are facing considerable, linked health problems concerning dementia, heart disease, mental wellbeing, social loneliness, destitution, as well as poor quality housing - all of which are products of their living environments, not ageing. </w:t>
      </w:r>
      <w:r w:rsidR="00184D6C" w:rsidRPr="00015560">
        <w:rPr>
          <w:rFonts w:ascii="Arial" w:hAnsi="Arial" w:cs="Arial"/>
          <w:color w:val="000000"/>
          <w:sz w:val="22"/>
          <w:szCs w:val="22"/>
        </w:rPr>
        <w:t xml:space="preserve">NHS’s </w:t>
      </w:r>
      <w:r w:rsidR="00A202EE" w:rsidRPr="00015560">
        <w:rPr>
          <w:rFonts w:ascii="Arial" w:hAnsi="Arial" w:cs="Arial"/>
          <w:color w:val="000000"/>
          <w:sz w:val="22"/>
          <w:szCs w:val="22"/>
        </w:rPr>
        <w:t>long-lasting</w:t>
      </w:r>
      <w:r w:rsidR="00184D6C" w:rsidRPr="00015560">
        <w:rPr>
          <w:rFonts w:ascii="Arial" w:hAnsi="Arial" w:cs="Arial"/>
          <w:color w:val="000000"/>
          <w:sz w:val="22"/>
          <w:szCs w:val="22"/>
        </w:rPr>
        <w:t xml:space="preserve"> mission </w:t>
      </w:r>
      <w:r w:rsidR="00A202EE" w:rsidRPr="00015560">
        <w:rPr>
          <w:rFonts w:ascii="Arial" w:hAnsi="Arial" w:cs="Arial"/>
          <w:color w:val="000000"/>
          <w:sz w:val="22"/>
          <w:szCs w:val="22"/>
        </w:rPr>
        <w:t>aims to address disparities, politicians across Whitehall, not only in the NHS, must commit to a permanent effort to remove the gap in health.</w:t>
      </w:r>
    </w:p>
    <w:p w14:paraId="6BE46AA1" w14:textId="77777777" w:rsidR="00D01118" w:rsidRPr="00015560" w:rsidRDefault="00B45E27" w:rsidP="00223F4F">
      <w:pPr>
        <w:jc w:val="both"/>
        <w:rPr>
          <w:sz w:val="21"/>
          <w:szCs w:val="21"/>
        </w:rPr>
      </w:pPr>
      <w:r w:rsidRPr="00015560">
        <w:rPr>
          <w:sz w:val="21"/>
          <w:szCs w:val="21"/>
        </w:rPr>
        <w:br w:type="page"/>
      </w:r>
    </w:p>
    <w:p w14:paraId="34DB9BA6" w14:textId="77777777" w:rsidR="00D01118" w:rsidRPr="00015560" w:rsidRDefault="00B45E27">
      <w:pPr>
        <w:pStyle w:val="Heading1"/>
        <w:spacing w:after="160"/>
        <w:rPr>
          <w:color w:val="45B0E1" w:themeColor="accent1" w:themeTint="99"/>
          <w:sz w:val="28"/>
          <w:szCs w:val="28"/>
        </w:rPr>
      </w:pPr>
      <w:r w:rsidRPr="00015560">
        <w:rPr>
          <w:color w:val="45B0E1" w:themeColor="accent1" w:themeTint="99"/>
          <w:sz w:val="28"/>
          <w:szCs w:val="28"/>
        </w:rPr>
        <w:t>Task 2: Epidemiological Analysis of Cardiovascular Disease in Tower Hamlets, London</w:t>
      </w:r>
    </w:p>
    <w:p w14:paraId="67EEFE34" w14:textId="77777777" w:rsidR="00D01118" w:rsidRPr="00015560" w:rsidRDefault="00D01118">
      <w:pPr>
        <w:spacing w:after="60"/>
        <w:rPr>
          <w:color w:val="45B0E1" w:themeColor="accent1" w:themeTint="99"/>
          <w:sz w:val="28"/>
          <w:szCs w:val="28"/>
        </w:rPr>
      </w:pPr>
    </w:p>
    <w:p w14:paraId="66B1A4EF" w14:textId="7622208F" w:rsidR="008B12C1" w:rsidRPr="00015560" w:rsidRDefault="00B45E27">
      <w:pPr>
        <w:pStyle w:val="Heading2"/>
        <w:rPr>
          <w:color w:val="45B0E1" w:themeColor="accent1" w:themeTint="99"/>
          <w:sz w:val="28"/>
          <w:szCs w:val="28"/>
        </w:rPr>
      </w:pPr>
      <w:r w:rsidRPr="00015560">
        <w:rPr>
          <w:color w:val="45B0E1" w:themeColor="accent1" w:themeTint="99"/>
          <w:sz w:val="28"/>
          <w:szCs w:val="28"/>
        </w:rPr>
        <w:t>Introduction: Definition, Prevalence and Significance</w:t>
      </w:r>
    </w:p>
    <w:p w14:paraId="0C9A4213" w14:textId="3515F61C" w:rsidR="00B576A2" w:rsidRPr="00015560" w:rsidRDefault="00B576A2" w:rsidP="00B576A2">
      <w:pPr>
        <w:pStyle w:val="Heading2"/>
        <w:jc w:val="both"/>
        <w:rPr>
          <w:rFonts w:eastAsia="Times New Roman"/>
          <w:b w:val="0"/>
          <w:bCs w:val="0"/>
          <w:color w:val="000000"/>
          <w:sz w:val="22"/>
          <w:szCs w:val="22"/>
        </w:rPr>
      </w:pPr>
      <w:r w:rsidRPr="00015560">
        <w:rPr>
          <w:rFonts w:eastAsia="Times New Roman"/>
          <w:b w:val="0"/>
          <w:bCs w:val="0"/>
          <w:color w:val="000000"/>
          <w:sz w:val="22"/>
          <w:szCs w:val="22"/>
        </w:rPr>
        <w:t xml:space="preserve">CVD disease </w:t>
      </w:r>
      <w:r w:rsidR="008A25D8" w:rsidRPr="00015560">
        <w:rPr>
          <w:rFonts w:eastAsia="Times New Roman"/>
          <w:b w:val="0"/>
          <w:bCs w:val="0"/>
          <w:color w:val="000000"/>
          <w:sz w:val="22"/>
          <w:szCs w:val="22"/>
        </w:rPr>
        <w:t>includes</w:t>
      </w:r>
      <w:r w:rsidR="00516925" w:rsidRPr="00015560">
        <w:rPr>
          <w:rFonts w:eastAsia="Times New Roman"/>
          <w:b w:val="0"/>
          <w:bCs w:val="0"/>
          <w:color w:val="000000"/>
          <w:sz w:val="22"/>
          <w:szCs w:val="22"/>
        </w:rPr>
        <w:t xml:space="preserve"> </w:t>
      </w:r>
      <w:r w:rsidRPr="00015560">
        <w:rPr>
          <w:rFonts w:eastAsia="Times New Roman"/>
          <w:b w:val="0"/>
          <w:bCs w:val="0"/>
          <w:color w:val="000000"/>
          <w:sz w:val="22"/>
          <w:szCs w:val="22"/>
        </w:rPr>
        <w:t>coronary heart disease</w:t>
      </w:r>
      <w:r w:rsidR="00516925" w:rsidRPr="00015560">
        <w:rPr>
          <w:rFonts w:eastAsia="Times New Roman"/>
          <w:b w:val="0"/>
          <w:bCs w:val="0"/>
          <w:color w:val="000000"/>
          <w:sz w:val="22"/>
          <w:szCs w:val="22"/>
        </w:rPr>
        <w:t xml:space="preserve">, </w:t>
      </w:r>
      <w:r w:rsidRPr="00015560">
        <w:rPr>
          <w:rFonts w:eastAsia="Times New Roman"/>
          <w:b w:val="0"/>
          <w:bCs w:val="0"/>
          <w:color w:val="000000"/>
          <w:sz w:val="22"/>
          <w:szCs w:val="22"/>
        </w:rPr>
        <w:t>heart failure</w:t>
      </w:r>
      <w:r w:rsidR="00516925" w:rsidRPr="00015560">
        <w:rPr>
          <w:rFonts w:eastAsia="Times New Roman"/>
          <w:b w:val="0"/>
          <w:bCs w:val="0"/>
          <w:color w:val="000000"/>
          <w:sz w:val="22"/>
          <w:szCs w:val="22"/>
        </w:rPr>
        <w:t xml:space="preserve">, </w:t>
      </w:r>
      <w:r w:rsidRPr="00015560">
        <w:rPr>
          <w:rFonts w:eastAsia="Times New Roman"/>
          <w:b w:val="0"/>
          <w:bCs w:val="0"/>
          <w:color w:val="000000"/>
          <w:sz w:val="22"/>
          <w:szCs w:val="22"/>
        </w:rPr>
        <w:t>stroke</w:t>
      </w:r>
      <w:r w:rsidR="00516925" w:rsidRPr="00015560">
        <w:rPr>
          <w:rFonts w:eastAsia="Times New Roman"/>
          <w:b w:val="0"/>
          <w:bCs w:val="0"/>
          <w:color w:val="000000"/>
          <w:sz w:val="22"/>
          <w:szCs w:val="22"/>
        </w:rPr>
        <w:t xml:space="preserve">, </w:t>
      </w:r>
      <w:r w:rsidRPr="00015560">
        <w:rPr>
          <w:rFonts w:eastAsia="Times New Roman"/>
          <w:b w:val="0"/>
          <w:bCs w:val="0"/>
          <w:color w:val="000000"/>
          <w:sz w:val="22"/>
          <w:szCs w:val="22"/>
        </w:rPr>
        <w:t>peripheral arterial disease</w:t>
      </w:r>
      <w:r w:rsidR="00516925" w:rsidRPr="00015560">
        <w:rPr>
          <w:rFonts w:eastAsia="Times New Roman"/>
          <w:b w:val="0"/>
          <w:bCs w:val="0"/>
          <w:color w:val="000000"/>
          <w:sz w:val="22"/>
          <w:szCs w:val="22"/>
        </w:rPr>
        <w:t xml:space="preserve">, </w:t>
      </w:r>
      <w:r w:rsidRPr="00015560">
        <w:rPr>
          <w:rFonts w:eastAsia="Times New Roman"/>
          <w:b w:val="0"/>
          <w:bCs w:val="0"/>
          <w:color w:val="000000"/>
          <w:sz w:val="22"/>
          <w:szCs w:val="22"/>
        </w:rPr>
        <w:t>arrhythmias</w:t>
      </w:r>
      <w:r w:rsidR="00516925" w:rsidRPr="00015560">
        <w:rPr>
          <w:rFonts w:eastAsia="Times New Roman"/>
          <w:b w:val="0"/>
          <w:bCs w:val="0"/>
          <w:color w:val="000000"/>
          <w:sz w:val="22"/>
          <w:szCs w:val="22"/>
        </w:rPr>
        <w:t xml:space="preserve">, and </w:t>
      </w:r>
      <w:r w:rsidRPr="00015560">
        <w:rPr>
          <w:rFonts w:eastAsia="Times New Roman"/>
          <w:b w:val="0"/>
          <w:bCs w:val="0"/>
          <w:color w:val="000000"/>
          <w:sz w:val="22"/>
          <w:szCs w:val="22"/>
        </w:rPr>
        <w:t>valve disease</w:t>
      </w:r>
      <w:r w:rsidR="00516925" w:rsidRPr="00015560">
        <w:rPr>
          <w:rFonts w:eastAsia="Times New Roman"/>
          <w:b w:val="0"/>
          <w:bCs w:val="0"/>
          <w:color w:val="000000"/>
          <w:sz w:val="22"/>
          <w:szCs w:val="22"/>
        </w:rPr>
        <w:t xml:space="preserve">. </w:t>
      </w:r>
      <w:r w:rsidRPr="00015560">
        <w:rPr>
          <w:rFonts w:eastAsia="Times New Roman"/>
          <w:b w:val="0"/>
          <w:bCs w:val="0"/>
          <w:color w:val="000000"/>
          <w:sz w:val="22"/>
          <w:szCs w:val="22"/>
        </w:rPr>
        <w:t xml:space="preserve">CVD is the </w:t>
      </w:r>
      <w:r w:rsidR="00AF4B63" w:rsidRPr="00015560">
        <w:rPr>
          <w:rFonts w:eastAsia="Times New Roman"/>
          <w:b w:val="0"/>
          <w:bCs w:val="0"/>
          <w:color w:val="000000"/>
          <w:sz w:val="22"/>
          <w:szCs w:val="22"/>
        </w:rPr>
        <w:t xml:space="preserve">main </w:t>
      </w:r>
      <w:r w:rsidR="005D343B" w:rsidRPr="00015560">
        <w:rPr>
          <w:rFonts w:eastAsia="Times New Roman"/>
          <w:b w:val="0"/>
          <w:bCs w:val="0"/>
          <w:color w:val="000000"/>
          <w:sz w:val="22"/>
          <w:szCs w:val="22"/>
        </w:rPr>
        <w:t>Cause</w:t>
      </w:r>
      <w:r w:rsidRPr="00015560">
        <w:rPr>
          <w:rFonts w:eastAsia="Times New Roman"/>
          <w:b w:val="0"/>
          <w:bCs w:val="0"/>
          <w:color w:val="000000"/>
          <w:sz w:val="22"/>
          <w:szCs w:val="22"/>
        </w:rPr>
        <w:t xml:space="preserve"> of death mortality and morbidity globall</w:t>
      </w:r>
      <w:r w:rsidR="00E36180" w:rsidRPr="00015560">
        <w:rPr>
          <w:rFonts w:eastAsia="Times New Roman"/>
          <w:b w:val="0"/>
          <w:bCs w:val="0"/>
          <w:color w:val="000000"/>
          <w:sz w:val="22"/>
          <w:szCs w:val="22"/>
        </w:rPr>
        <w:t>y</w:t>
      </w:r>
      <w:r w:rsidRPr="00015560">
        <w:rPr>
          <w:rFonts w:eastAsia="Times New Roman"/>
          <w:b w:val="0"/>
          <w:bCs w:val="0"/>
          <w:color w:val="000000"/>
          <w:sz w:val="22"/>
          <w:szCs w:val="22"/>
        </w:rPr>
        <w:t xml:space="preserve">, resulting in </w:t>
      </w:r>
      <w:r w:rsidR="00E02E5E" w:rsidRPr="00015560">
        <w:rPr>
          <w:rFonts w:eastAsia="Times New Roman"/>
          <w:b w:val="0"/>
          <w:bCs w:val="0"/>
          <w:color w:val="000000"/>
          <w:sz w:val="22"/>
          <w:szCs w:val="22"/>
        </w:rPr>
        <w:t>about</w:t>
      </w:r>
      <w:r w:rsidRPr="00015560">
        <w:rPr>
          <w:rFonts w:eastAsia="Times New Roman"/>
          <w:b w:val="0"/>
          <w:bCs w:val="0"/>
          <w:color w:val="000000"/>
          <w:sz w:val="22"/>
          <w:szCs w:val="22"/>
        </w:rPr>
        <w:t xml:space="preserve"> 17.9 million deaths per year </w:t>
      </w:r>
      <w:r w:rsidR="00E02E5E" w:rsidRPr="00015560">
        <w:rPr>
          <w:rFonts w:eastAsia="Times New Roman"/>
          <w:b w:val="0"/>
          <w:bCs w:val="0"/>
          <w:color w:val="000000"/>
          <w:sz w:val="22"/>
          <w:szCs w:val="22"/>
        </w:rPr>
        <w:t>across the world</w:t>
      </w:r>
      <w:r w:rsidRPr="00015560">
        <w:rPr>
          <w:rFonts w:eastAsia="Times New Roman"/>
          <w:b w:val="0"/>
          <w:bCs w:val="0"/>
          <w:color w:val="000000"/>
          <w:sz w:val="22"/>
          <w:szCs w:val="22"/>
        </w:rPr>
        <w:t xml:space="preserve"> (WHO, 2023). In the UK</w:t>
      </w:r>
      <w:r w:rsidR="00516925" w:rsidRPr="00015560">
        <w:rPr>
          <w:rFonts w:eastAsia="Times New Roman"/>
          <w:b w:val="0"/>
          <w:bCs w:val="0"/>
          <w:color w:val="000000"/>
          <w:sz w:val="22"/>
          <w:szCs w:val="22"/>
        </w:rPr>
        <w:t>,</w:t>
      </w:r>
      <w:r w:rsidRPr="00015560">
        <w:rPr>
          <w:rFonts w:eastAsia="Times New Roman"/>
          <w:b w:val="0"/>
          <w:bCs w:val="0"/>
          <w:color w:val="000000"/>
          <w:sz w:val="22"/>
          <w:szCs w:val="22"/>
        </w:rPr>
        <w:t xml:space="preserve"> Heart disease and stroke kill approximately </w:t>
      </w:r>
      <w:r w:rsidR="003F0C2F" w:rsidRPr="00015560">
        <w:rPr>
          <w:rFonts w:eastAsia="Times New Roman"/>
          <w:b w:val="0"/>
          <w:bCs w:val="0"/>
          <w:color w:val="000000"/>
          <w:sz w:val="22"/>
          <w:szCs w:val="22"/>
        </w:rPr>
        <w:t>400</w:t>
      </w:r>
      <w:r w:rsidRPr="00015560">
        <w:rPr>
          <w:rFonts w:eastAsia="Times New Roman"/>
          <w:b w:val="0"/>
          <w:bCs w:val="0"/>
          <w:color w:val="000000"/>
          <w:sz w:val="22"/>
          <w:szCs w:val="22"/>
        </w:rPr>
        <w:t xml:space="preserve"> people each day. </w:t>
      </w:r>
      <w:r w:rsidR="00DD14C8" w:rsidRPr="00015560">
        <w:rPr>
          <w:rFonts w:eastAsia="Times New Roman"/>
          <w:b w:val="0"/>
          <w:bCs w:val="0"/>
          <w:color w:val="000000"/>
          <w:sz w:val="22"/>
          <w:szCs w:val="22"/>
        </w:rPr>
        <w:t xml:space="preserve">There are more then 7.6 million currently living with heart or circulatory disease in the UK. </w:t>
      </w:r>
      <w:r w:rsidRPr="00015560">
        <w:rPr>
          <w:rFonts w:eastAsia="Times New Roman"/>
          <w:b w:val="0"/>
          <w:bCs w:val="0"/>
          <w:color w:val="000000"/>
          <w:sz w:val="22"/>
          <w:szCs w:val="22"/>
        </w:rPr>
        <w:t xml:space="preserve">The total cost of heart and circulatory disease is around £19 billion in 2023 (BHF, 2023). For this study, Tower Hamlets is chosen to be our case study population of this study as the population is 306,637. This local authority is home to 32% of Bangladeshi heritage individuals and is classified as the sixth - most deprived local authority in England (IMD, 2019). High rates of poverty and overcrowded housing contribute to the high burden of CVD risk factors that exist within the community. Health inequalities, while related to race, aren't only just explained on a racial basis but also linked to the structure and </w:t>
      </w:r>
      <w:r w:rsidR="00516925" w:rsidRPr="00015560">
        <w:rPr>
          <w:rFonts w:eastAsia="Times New Roman"/>
          <w:b w:val="0"/>
          <w:bCs w:val="0"/>
          <w:color w:val="000000"/>
          <w:sz w:val="22"/>
          <w:szCs w:val="22"/>
        </w:rPr>
        <w:t>wider</w:t>
      </w:r>
      <w:r w:rsidRPr="00015560">
        <w:rPr>
          <w:rFonts w:eastAsia="Times New Roman"/>
          <w:b w:val="0"/>
          <w:bCs w:val="0"/>
          <w:color w:val="000000"/>
          <w:sz w:val="22"/>
          <w:szCs w:val="22"/>
        </w:rPr>
        <w:t xml:space="preserve"> social </w:t>
      </w:r>
      <w:r w:rsidR="00516925" w:rsidRPr="00015560">
        <w:rPr>
          <w:rFonts w:eastAsia="Times New Roman"/>
          <w:b w:val="0"/>
          <w:bCs w:val="0"/>
          <w:color w:val="000000"/>
          <w:sz w:val="22"/>
          <w:szCs w:val="22"/>
        </w:rPr>
        <w:t>conditions (</w:t>
      </w:r>
      <w:proofErr w:type="spellStart"/>
      <w:r w:rsidRPr="00015560">
        <w:rPr>
          <w:rFonts w:eastAsia="Times New Roman"/>
          <w:b w:val="0"/>
          <w:bCs w:val="0"/>
          <w:color w:val="000000"/>
          <w:sz w:val="22"/>
          <w:szCs w:val="22"/>
        </w:rPr>
        <w:t>Nazroo</w:t>
      </w:r>
      <w:proofErr w:type="spellEnd"/>
      <w:r w:rsidR="00516925" w:rsidRPr="00015560">
        <w:rPr>
          <w:rFonts w:eastAsia="Times New Roman"/>
          <w:b w:val="0"/>
          <w:bCs w:val="0"/>
          <w:color w:val="000000"/>
          <w:sz w:val="22"/>
          <w:szCs w:val="22"/>
        </w:rPr>
        <w:t xml:space="preserve">, </w:t>
      </w:r>
      <w:r w:rsidRPr="00015560">
        <w:rPr>
          <w:rFonts w:eastAsia="Times New Roman"/>
          <w:b w:val="0"/>
          <w:bCs w:val="0"/>
          <w:color w:val="000000"/>
          <w:sz w:val="22"/>
          <w:szCs w:val="22"/>
        </w:rPr>
        <w:t>2003).</w:t>
      </w:r>
    </w:p>
    <w:p w14:paraId="798AB981" w14:textId="77777777" w:rsidR="00F33C47" w:rsidRPr="00015560" w:rsidRDefault="00F33C47">
      <w:pPr>
        <w:pStyle w:val="Heading2"/>
      </w:pPr>
    </w:p>
    <w:p w14:paraId="72326FEB" w14:textId="10A73436" w:rsidR="00D01118" w:rsidRPr="00015560" w:rsidRDefault="00B45E27">
      <w:pPr>
        <w:pStyle w:val="Heading2"/>
        <w:rPr>
          <w:color w:val="45B0E1" w:themeColor="accent1" w:themeTint="99"/>
          <w:sz w:val="28"/>
          <w:szCs w:val="28"/>
        </w:rPr>
      </w:pPr>
      <w:r w:rsidRPr="00015560">
        <w:rPr>
          <w:color w:val="45B0E1" w:themeColor="accent1" w:themeTint="99"/>
          <w:sz w:val="28"/>
          <w:szCs w:val="28"/>
        </w:rPr>
        <w:t>Key Determinants and Risk Factors</w:t>
      </w:r>
    </w:p>
    <w:p w14:paraId="56A6F5C7" w14:textId="660488AB" w:rsidR="00D01118" w:rsidRPr="00015560" w:rsidRDefault="00A013ED" w:rsidP="0091142B">
      <w:pPr>
        <w:pStyle w:val="NormalWeb"/>
        <w:jc w:val="both"/>
        <w:rPr>
          <w:rFonts w:ascii="Arial" w:hAnsi="Arial" w:cs="Arial"/>
          <w:color w:val="000000"/>
          <w:sz w:val="22"/>
          <w:szCs w:val="22"/>
        </w:rPr>
      </w:pPr>
      <w:r w:rsidRPr="00015560">
        <w:rPr>
          <w:rFonts w:ascii="Arial" w:hAnsi="Arial" w:cs="Arial"/>
          <w:color w:val="000000"/>
          <w:sz w:val="22"/>
          <w:szCs w:val="22"/>
        </w:rPr>
        <w:t xml:space="preserve">CVD risk can be altered by genetics, lifestyle </w:t>
      </w:r>
      <w:r w:rsidR="00460EC6" w:rsidRPr="00015560">
        <w:rPr>
          <w:rFonts w:ascii="Arial" w:hAnsi="Arial" w:cs="Arial"/>
          <w:color w:val="000000"/>
          <w:sz w:val="22"/>
          <w:szCs w:val="22"/>
        </w:rPr>
        <w:t>behaviours</w:t>
      </w:r>
      <w:r w:rsidRPr="00015560">
        <w:rPr>
          <w:rFonts w:ascii="Arial" w:hAnsi="Arial" w:cs="Arial"/>
          <w:color w:val="000000"/>
          <w:sz w:val="22"/>
          <w:szCs w:val="22"/>
        </w:rPr>
        <w:t xml:space="preserve"> and socioeconomic conditions. With an 8.6% prevalence of type 2 diabetes, which is above the UK average of 6.6% and higher among adults from Bangladesh, Tower Hamlets is prone to higher CVD rates (OHID, 2023</w:t>
      </w:r>
      <w:r w:rsidR="00E016E6" w:rsidRPr="00015560">
        <w:rPr>
          <w:rFonts w:ascii="Arial" w:hAnsi="Arial" w:cs="Arial"/>
          <w:color w:val="000000"/>
          <w:sz w:val="22"/>
          <w:szCs w:val="22"/>
        </w:rPr>
        <w:t>;</w:t>
      </w:r>
      <w:r w:rsidRPr="00015560">
        <w:rPr>
          <w:rFonts w:ascii="Arial" w:hAnsi="Arial" w:cs="Arial"/>
          <w:color w:val="000000"/>
          <w:sz w:val="22"/>
          <w:szCs w:val="22"/>
        </w:rPr>
        <w:t xml:space="preserve"> Goff </w:t>
      </w:r>
      <w:r w:rsidR="00FB5E79" w:rsidRPr="00015560">
        <w:rPr>
          <w:rFonts w:ascii="Arial" w:hAnsi="Arial" w:cs="Arial"/>
          <w:color w:val="000000"/>
          <w:sz w:val="22"/>
          <w:szCs w:val="22"/>
        </w:rPr>
        <w:t>et al.,</w:t>
      </w:r>
      <w:r w:rsidRPr="00015560">
        <w:rPr>
          <w:rFonts w:ascii="Arial" w:hAnsi="Arial" w:cs="Arial"/>
          <w:color w:val="000000"/>
          <w:sz w:val="22"/>
          <w:szCs w:val="22"/>
        </w:rPr>
        <w:t xml:space="preserve"> 2019). Bangladeshi, Indian and Pakistani people have CHD and stroke mortality twice as high as White Europeans (Bhopal </w:t>
      </w:r>
      <w:r w:rsidR="00FB5E79" w:rsidRPr="00015560">
        <w:rPr>
          <w:rFonts w:ascii="Arial" w:hAnsi="Arial" w:cs="Arial"/>
          <w:color w:val="000000"/>
          <w:sz w:val="22"/>
          <w:szCs w:val="22"/>
        </w:rPr>
        <w:t>et al.,</w:t>
      </w:r>
      <w:r w:rsidRPr="00015560">
        <w:rPr>
          <w:rFonts w:ascii="Arial" w:hAnsi="Arial" w:cs="Arial"/>
          <w:color w:val="000000"/>
          <w:sz w:val="22"/>
          <w:szCs w:val="22"/>
        </w:rPr>
        <w:t xml:space="preserve"> 2002). CVD risk is also amplified by high levels of smoking, physical inactivity and dietary changes observed among people when they relocate from overseas to the United Kingdom (Tower Hamlets Council, 2022</w:t>
      </w:r>
      <w:r w:rsidR="00E016E6" w:rsidRPr="00015560">
        <w:rPr>
          <w:rFonts w:ascii="Arial" w:hAnsi="Arial" w:cs="Arial"/>
          <w:color w:val="000000"/>
          <w:sz w:val="22"/>
          <w:szCs w:val="22"/>
        </w:rPr>
        <w:t>;</w:t>
      </w:r>
      <w:r w:rsidRPr="00015560">
        <w:rPr>
          <w:rFonts w:ascii="Arial" w:hAnsi="Arial" w:cs="Arial"/>
          <w:color w:val="000000"/>
          <w:sz w:val="22"/>
          <w:szCs w:val="22"/>
        </w:rPr>
        <w:t xml:space="preserve"> Bhopal, 2019). </w:t>
      </w:r>
      <w:r w:rsidR="00552029" w:rsidRPr="00015560">
        <w:rPr>
          <w:rFonts w:ascii="Arial" w:hAnsi="Arial" w:cs="Arial"/>
          <w:color w:val="000000"/>
          <w:sz w:val="22"/>
          <w:szCs w:val="22"/>
        </w:rPr>
        <w:t>This is only more severely the situation due to a stark socioeconomic disparity in Tower Hamlets, with a CVD mortality rate of 89 people out of 100,000, which is higher than the London average of 74 per 100,000 people (OHID, 2023).</w:t>
      </w:r>
    </w:p>
    <w:p w14:paraId="48F22FDE" w14:textId="77777777" w:rsidR="00D01118" w:rsidRPr="00015560" w:rsidRDefault="00D01118">
      <w:pPr>
        <w:spacing w:after="60"/>
      </w:pPr>
    </w:p>
    <w:p w14:paraId="77A4849F" w14:textId="2E607FD0" w:rsidR="00FB5E79" w:rsidRPr="00015560" w:rsidRDefault="00B45E27">
      <w:pPr>
        <w:pStyle w:val="Heading2"/>
        <w:rPr>
          <w:color w:val="45B0E1" w:themeColor="accent1" w:themeTint="99"/>
          <w:sz w:val="28"/>
          <w:szCs w:val="28"/>
        </w:rPr>
      </w:pPr>
      <w:r w:rsidRPr="00015560">
        <w:rPr>
          <w:color w:val="45B0E1" w:themeColor="accent1" w:themeTint="99"/>
          <w:sz w:val="28"/>
          <w:szCs w:val="28"/>
        </w:rPr>
        <w:t>Public Health Measures: Prevention, Protection and Health Promotion</w:t>
      </w:r>
    </w:p>
    <w:p w14:paraId="54BB6EA1" w14:textId="0460BD55" w:rsidR="003C6B14" w:rsidRPr="00015560" w:rsidRDefault="003C6B14" w:rsidP="005A23B4">
      <w:pPr>
        <w:pStyle w:val="NormalWeb"/>
        <w:jc w:val="both"/>
        <w:rPr>
          <w:rFonts w:ascii="Arial" w:hAnsi="Arial" w:cs="Arial"/>
          <w:color w:val="000000"/>
          <w:sz w:val="22"/>
          <w:szCs w:val="22"/>
        </w:rPr>
      </w:pPr>
      <w:r w:rsidRPr="00015560">
        <w:rPr>
          <w:rFonts w:ascii="Arial" w:hAnsi="Arial" w:cs="Arial"/>
          <w:color w:val="000000"/>
          <w:sz w:val="22"/>
          <w:szCs w:val="22"/>
        </w:rPr>
        <w:t xml:space="preserve">Using these three Ps, we developed targeted CVD interventions. </w:t>
      </w:r>
      <w:r w:rsidR="00225631" w:rsidRPr="00015560">
        <w:rPr>
          <w:rFonts w:ascii="Arial" w:hAnsi="Arial" w:cs="Arial"/>
          <w:sz w:val="22"/>
          <w:szCs w:val="22"/>
        </w:rPr>
        <w:t>Tower Hamlets has developed</w:t>
      </w:r>
      <w:r w:rsidRPr="00015560">
        <w:rPr>
          <w:rFonts w:ascii="Arial" w:hAnsi="Arial" w:cs="Arial"/>
          <w:sz w:val="22"/>
          <w:szCs w:val="22"/>
        </w:rPr>
        <w:t xml:space="preserve"> </w:t>
      </w:r>
      <w:r w:rsidRPr="00015560">
        <w:rPr>
          <w:rFonts w:ascii="Arial" w:hAnsi="Arial" w:cs="Arial"/>
          <w:color w:val="000000"/>
          <w:sz w:val="22"/>
          <w:szCs w:val="22"/>
        </w:rPr>
        <w:t xml:space="preserve">enhanced NHS Health Checks, where patients are proactively targeted through an engagement strategy that reached out to the Bangladeshi community. </w:t>
      </w:r>
      <w:r w:rsidR="005A23B4" w:rsidRPr="00015560">
        <w:rPr>
          <w:rFonts w:ascii="Arial" w:hAnsi="Arial" w:cs="Arial"/>
          <w:color w:val="000000"/>
          <w:sz w:val="22"/>
          <w:szCs w:val="22"/>
        </w:rPr>
        <w:t>Primary care networks have also been set targets to boost the use of statins, blood pressure medication and blood thinners as prevention measures. Evidence from the INTERHEART study, which enrolled 52 countries, has revealed that nine changeable lifestyle factors were blamed for more than 90% of heart attacks</w:t>
      </w:r>
      <w:r w:rsidR="00986F17" w:rsidRPr="00015560">
        <w:rPr>
          <w:rFonts w:ascii="Arial" w:hAnsi="Arial" w:cs="Arial"/>
          <w:color w:val="000000"/>
          <w:sz w:val="22"/>
          <w:szCs w:val="22"/>
        </w:rPr>
        <w:t xml:space="preserve"> </w:t>
      </w:r>
      <w:r w:rsidRPr="00015560">
        <w:rPr>
          <w:rFonts w:ascii="Arial" w:hAnsi="Arial" w:cs="Arial"/>
          <w:color w:val="000000"/>
          <w:sz w:val="22"/>
          <w:szCs w:val="22"/>
        </w:rPr>
        <w:t>(Yusuf et al., 2004</w:t>
      </w:r>
      <w:r w:rsidR="00225631" w:rsidRPr="00015560">
        <w:rPr>
          <w:rFonts w:ascii="Arial" w:hAnsi="Arial" w:cs="Arial"/>
          <w:color w:val="000000"/>
          <w:sz w:val="22"/>
          <w:szCs w:val="22"/>
        </w:rPr>
        <w:t>).</w:t>
      </w:r>
      <w:r w:rsidRPr="00015560">
        <w:rPr>
          <w:rFonts w:ascii="Arial" w:hAnsi="Arial" w:cs="Arial"/>
          <w:color w:val="000000"/>
          <w:sz w:val="22"/>
          <w:szCs w:val="22"/>
        </w:rPr>
        <w:t xml:space="preserve"> Finally, in terms of promotion, </w:t>
      </w:r>
      <w:r w:rsidR="00225631" w:rsidRPr="00015560">
        <w:rPr>
          <w:rFonts w:ascii="Arial" w:hAnsi="Arial" w:cs="Arial"/>
          <w:color w:val="000000"/>
          <w:sz w:val="22"/>
          <w:szCs w:val="22"/>
        </w:rPr>
        <w:t>it</w:t>
      </w:r>
      <w:r w:rsidRPr="00015560">
        <w:rPr>
          <w:rFonts w:ascii="Arial" w:hAnsi="Arial" w:cs="Arial"/>
          <w:color w:val="000000"/>
          <w:sz w:val="22"/>
          <w:szCs w:val="22"/>
        </w:rPr>
        <w:t xml:space="preserve"> developed the Social Prescribing Link Worker programme to help people connect to a range of community resources that address the root upstream social causes of ill health identified by </w:t>
      </w:r>
      <w:r w:rsidR="00986F17" w:rsidRPr="00015560">
        <w:rPr>
          <w:rFonts w:ascii="Arial" w:hAnsi="Arial" w:cs="Arial"/>
          <w:color w:val="000000"/>
          <w:sz w:val="22"/>
          <w:szCs w:val="22"/>
        </w:rPr>
        <w:t>(</w:t>
      </w:r>
      <w:r w:rsidRPr="00015560">
        <w:rPr>
          <w:rFonts w:ascii="Arial" w:hAnsi="Arial" w:cs="Arial"/>
          <w:color w:val="000000"/>
          <w:sz w:val="22"/>
          <w:szCs w:val="22"/>
        </w:rPr>
        <w:t>Marmot</w:t>
      </w:r>
      <w:r w:rsidR="00986F17" w:rsidRPr="00015560">
        <w:rPr>
          <w:rFonts w:ascii="Arial" w:hAnsi="Arial" w:cs="Arial"/>
          <w:color w:val="000000"/>
          <w:sz w:val="22"/>
          <w:szCs w:val="22"/>
        </w:rPr>
        <w:t xml:space="preserve">, </w:t>
      </w:r>
      <w:r w:rsidRPr="00015560">
        <w:rPr>
          <w:rFonts w:ascii="Arial" w:hAnsi="Arial" w:cs="Arial"/>
          <w:color w:val="000000"/>
          <w:sz w:val="22"/>
          <w:szCs w:val="22"/>
        </w:rPr>
        <w:t>2010).</w:t>
      </w:r>
    </w:p>
    <w:p w14:paraId="011E1E5F" w14:textId="77777777" w:rsidR="00D01118" w:rsidRPr="00015560" w:rsidRDefault="00D01118">
      <w:pPr>
        <w:spacing w:after="60"/>
      </w:pPr>
    </w:p>
    <w:p w14:paraId="4F370B61" w14:textId="13C9DEF9" w:rsidR="003C6B14" w:rsidRPr="00015560" w:rsidRDefault="00B45E27">
      <w:pPr>
        <w:pStyle w:val="Heading2"/>
        <w:rPr>
          <w:color w:val="45B0E1" w:themeColor="accent1" w:themeTint="99"/>
          <w:sz w:val="28"/>
          <w:szCs w:val="28"/>
        </w:rPr>
      </w:pPr>
      <w:r w:rsidRPr="00015560">
        <w:rPr>
          <w:color w:val="45B0E1" w:themeColor="accent1" w:themeTint="99"/>
          <w:sz w:val="28"/>
          <w:szCs w:val="28"/>
        </w:rPr>
        <w:t>Epidemiological Studies and Health Needs Assessment</w:t>
      </w:r>
    </w:p>
    <w:p w14:paraId="29D24AD4" w14:textId="7D555E33" w:rsidR="00392C14" w:rsidRPr="00015560" w:rsidRDefault="00A610D4" w:rsidP="00392C14">
      <w:pPr>
        <w:pStyle w:val="NormalWeb"/>
        <w:jc w:val="both"/>
        <w:rPr>
          <w:rFonts w:ascii="Arial" w:hAnsi="Arial" w:cs="Arial"/>
          <w:color w:val="000000"/>
          <w:sz w:val="22"/>
          <w:szCs w:val="22"/>
        </w:rPr>
      </w:pPr>
      <w:r w:rsidRPr="00015560">
        <w:rPr>
          <w:rFonts w:ascii="Arial" w:hAnsi="Arial" w:cs="Arial"/>
          <w:color w:val="000000"/>
          <w:sz w:val="22"/>
          <w:szCs w:val="22"/>
        </w:rPr>
        <w:t>Based on their analysis of QOF, HES and PHOF data, Tower Hamlets Joint Strategic Needs Assessment (Tower Hamlets Council, 2022) concluded that older Bangladeshi women were at higher risk than indicated by the scores computed by Tower Hamlets IGPR</w:t>
      </w:r>
      <w:r w:rsidR="00225631" w:rsidRPr="00015560">
        <w:rPr>
          <w:rFonts w:ascii="Arial" w:hAnsi="Arial" w:cs="Arial"/>
          <w:color w:val="000000"/>
          <w:sz w:val="22"/>
          <w:szCs w:val="22"/>
        </w:rPr>
        <w:t>;</w:t>
      </w:r>
      <w:r w:rsidRPr="00015560">
        <w:rPr>
          <w:rFonts w:ascii="Arial" w:hAnsi="Arial" w:cs="Arial"/>
          <w:color w:val="000000"/>
          <w:sz w:val="22"/>
          <w:szCs w:val="22"/>
        </w:rPr>
        <w:t xml:space="preserve"> they had higher observed rates of CVD than expected when taking account of the clinical indicators used in the computation of QRISK3. Such high levels of underdiagnosis reflect that standard clinical metrics fail to capture high rates of dyslipidaemia and CHD in South Asians (Bhopal et al., 2002</w:t>
      </w:r>
      <w:r w:rsidR="00225631" w:rsidRPr="00015560">
        <w:rPr>
          <w:rFonts w:ascii="Arial" w:hAnsi="Arial" w:cs="Arial"/>
          <w:color w:val="000000"/>
          <w:sz w:val="22"/>
          <w:szCs w:val="22"/>
        </w:rPr>
        <w:t>;</w:t>
      </w:r>
      <w:r w:rsidRPr="00015560">
        <w:rPr>
          <w:rFonts w:ascii="Arial" w:hAnsi="Arial" w:cs="Arial"/>
          <w:color w:val="000000"/>
          <w:sz w:val="22"/>
          <w:szCs w:val="22"/>
        </w:rPr>
        <w:t xml:space="preserve"> Sattar et al., 2019) and that QRISK3 tends to underestimate the CHD risk for these individuals (Hippisley - Cox et al., 2017). It</w:t>
      </w:r>
      <w:r w:rsidR="00225631" w:rsidRPr="00015560">
        <w:rPr>
          <w:rFonts w:ascii="Arial" w:hAnsi="Arial" w:cs="Arial"/>
          <w:color w:val="000000"/>
          <w:sz w:val="22"/>
          <w:szCs w:val="22"/>
        </w:rPr>
        <w:t xml:space="preserve"> i</w:t>
      </w:r>
      <w:r w:rsidRPr="00015560">
        <w:rPr>
          <w:rFonts w:ascii="Arial" w:hAnsi="Arial" w:cs="Arial"/>
          <w:color w:val="000000"/>
          <w:sz w:val="22"/>
          <w:szCs w:val="22"/>
        </w:rPr>
        <w:t>s important, however, to acknowledge that ecological fallacy is an ever - present problem when using area - based risk factors, so individual - level data obtained from the Tower Hamlets IGPR is needed to assess an individual's CVD risk (Diez</w:t>
      </w:r>
      <w:r w:rsidR="00225631" w:rsidRPr="00015560">
        <w:rPr>
          <w:rFonts w:ascii="Arial" w:hAnsi="Arial" w:cs="Arial"/>
          <w:color w:val="000000"/>
          <w:sz w:val="22"/>
          <w:szCs w:val="22"/>
        </w:rPr>
        <w:t>-</w:t>
      </w:r>
      <w:r w:rsidRPr="00015560">
        <w:rPr>
          <w:rFonts w:ascii="Arial" w:hAnsi="Arial" w:cs="Arial"/>
          <w:color w:val="000000"/>
          <w:sz w:val="22"/>
          <w:szCs w:val="22"/>
        </w:rPr>
        <w:t>Roux, 2002).</w:t>
      </w:r>
    </w:p>
    <w:p w14:paraId="694CFE82" w14:textId="77777777" w:rsidR="00D01118" w:rsidRPr="00015560" w:rsidRDefault="00B45E27">
      <w:pPr>
        <w:pStyle w:val="Heading2"/>
        <w:rPr>
          <w:color w:val="45B0E1" w:themeColor="accent1" w:themeTint="99"/>
          <w:sz w:val="28"/>
          <w:szCs w:val="28"/>
        </w:rPr>
      </w:pPr>
      <w:r w:rsidRPr="00015560">
        <w:rPr>
          <w:color w:val="45B0E1" w:themeColor="accent1" w:themeTint="99"/>
          <w:sz w:val="28"/>
          <w:szCs w:val="28"/>
        </w:rPr>
        <w:t>Monitoring and Surveillance</w:t>
      </w:r>
    </w:p>
    <w:p w14:paraId="07FC6ACA" w14:textId="6245E8AA" w:rsidR="00EA3407" w:rsidRPr="00015560" w:rsidRDefault="005D78A2" w:rsidP="0088773A">
      <w:pPr>
        <w:pStyle w:val="NormalWeb"/>
        <w:jc w:val="both"/>
        <w:rPr>
          <w:rFonts w:ascii="Arial" w:hAnsi="Arial" w:cs="Arial"/>
          <w:color w:val="000000"/>
          <w:sz w:val="22"/>
          <w:szCs w:val="22"/>
        </w:rPr>
      </w:pPr>
      <w:r w:rsidRPr="00015560">
        <w:rPr>
          <w:rFonts w:ascii="Arial" w:hAnsi="Arial" w:cs="Arial"/>
          <w:color w:val="000000"/>
          <w:sz w:val="22"/>
          <w:szCs w:val="22"/>
        </w:rPr>
        <w:t>In Tower Hamlets, CVD surveillance draws from multiple linked systems. QOF provides annual practice - level data on CVD prevalence, high blood pressure and diabetes. The Public Health Outcomes Framework monitors borough - level CVD mortality trends over time, along with rates of smoking and emergency admissions. Hospital Episode Statistics are used to estimate the burden of CVD on acute care. Bottle et al. (2006) found that linkage of HES and primary care records leads to better identification of patients at higher risk for CVD than use of HES alone. An integrated GP Patient Record has been implemented in Tower Hamlets, which uses both the above HES data and patient - level data from the GP Patient Survey and analyses of deprivation published by Tower Hamlets Council (2022).</w:t>
      </w:r>
    </w:p>
    <w:p w14:paraId="50098610" w14:textId="77777777" w:rsidR="00D01118" w:rsidRPr="00015560" w:rsidRDefault="00B45E27">
      <w:pPr>
        <w:pStyle w:val="Heading2"/>
        <w:rPr>
          <w:color w:val="45B0E1" w:themeColor="accent1" w:themeTint="99"/>
          <w:sz w:val="28"/>
          <w:szCs w:val="28"/>
        </w:rPr>
      </w:pPr>
      <w:r w:rsidRPr="00015560">
        <w:rPr>
          <w:color w:val="45B0E1" w:themeColor="accent1" w:themeTint="99"/>
          <w:sz w:val="28"/>
          <w:szCs w:val="28"/>
        </w:rPr>
        <w:t>Public Health Impact: Short- and Long-Term Consequences</w:t>
      </w:r>
    </w:p>
    <w:p w14:paraId="52C0E394" w14:textId="77777777" w:rsidR="00DC37F3" w:rsidRPr="00015560" w:rsidRDefault="00DC37F3">
      <w:pPr>
        <w:pStyle w:val="Heading2"/>
      </w:pPr>
    </w:p>
    <w:p w14:paraId="2AE7F5B6" w14:textId="70E01A34" w:rsidR="00CE33F7" w:rsidRPr="00015560" w:rsidRDefault="00B90C19">
      <w:pPr>
        <w:spacing w:after="150" w:line="414" w:lineRule="auto"/>
        <w:jc w:val="both"/>
      </w:pPr>
      <w:r w:rsidRPr="00015560">
        <w:rPr>
          <w:noProof/>
        </w:rPr>
        <w:drawing>
          <wp:inline distT="0" distB="0" distL="0" distR="0" wp14:anchorId="605A3693" wp14:editId="6CDFF6EC">
            <wp:extent cx="5932805" cy="2562446"/>
            <wp:effectExtent l="0" t="0" r="0" b="9525"/>
            <wp:docPr id="652798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798579" name=""/>
                    <pic:cNvPicPr/>
                  </pic:nvPicPr>
                  <pic:blipFill>
                    <a:blip r:embed="rId8"/>
                    <a:stretch>
                      <a:fillRect/>
                    </a:stretch>
                  </pic:blipFill>
                  <pic:spPr>
                    <a:xfrm>
                      <a:off x="0" y="0"/>
                      <a:ext cx="5942326" cy="2566558"/>
                    </a:xfrm>
                    <a:prstGeom prst="rect">
                      <a:avLst/>
                    </a:prstGeom>
                  </pic:spPr>
                </pic:pic>
              </a:graphicData>
            </a:graphic>
          </wp:inline>
        </w:drawing>
      </w:r>
    </w:p>
    <w:p w14:paraId="7758F2C1" w14:textId="2C3D5BA9" w:rsidR="00B90C19" w:rsidRPr="00015560" w:rsidRDefault="00B90C19">
      <w:pPr>
        <w:spacing w:after="60"/>
      </w:pPr>
      <w:r w:rsidRPr="00015560">
        <w:t xml:space="preserve">Figure: Directly standardised CVD premature mortality rate per 100,0000 </w:t>
      </w:r>
      <w:r w:rsidR="0088773A" w:rsidRPr="00015560">
        <w:t>population</w:t>
      </w:r>
      <w:r w:rsidRPr="00015560">
        <w:t xml:space="preserve"> </w:t>
      </w:r>
      <w:r w:rsidR="0088773A" w:rsidRPr="00015560">
        <w:t>deaths</w:t>
      </w:r>
      <w:r w:rsidRPr="00015560">
        <w:t xml:space="preserve"> before 75</w:t>
      </w:r>
      <w:r w:rsidR="0088773A" w:rsidRPr="00015560">
        <w:t xml:space="preserve"> in Tower Hamlets.</w:t>
      </w:r>
    </w:p>
    <w:p w14:paraId="1C6FE5D8" w14:textId="0FEAC745" w:rsidR="0088773A" w:rsidRPr="00015560" w:rsidRDefault="0088773A">
      <w:pPr>
        <w:spacing w:after="60"/>
      </w:pPr>
      <w:r w:rsidRPr="00015560">
        <w:t>Source: OHID Public Health Fingertips (2023)</w:t>
      </w:r>
    </w:p>
    <w:p w14:paraId="509EE8D8" w14:textId="77777777" w:rsidR="0088773A" w:rsidRPr="00015560" w:rsidRDefault="0088773A">
      <w:pPr>
        <w:spacing w:after="60"/>
      </w:pPr>
    </w:p>
    <w:p w14:paraId="1A0631C9" w14:textId="77777777" w:rsidR="00D01118" w:rsidRPr="00015560" w:rsidRDefault="00D01118">
      <w:pPr>
        <w:spacing w:after="60"/>
      </w:pPr>
    </w:p>
    <w:p w14:paraId="0A672ADB" w14:textId="5A04DEDB" w:rsidR="00A93F01" w:rsidRPr="00015560" w:rsidRDefault="00FD2CC1" w:rsidP="00A93F01">
      <w:pPr>
        <w:spacing w:after="60"/>
        <w:jc w:val="both"/>
      </w:pPr>
      <w:r w:rsidRPr="00015560">
        <w:t xml:space="preserve">The above figure demonstrates the scale of CVD discrepancies in Tower Hamlets. Tower Hamlets' premature CVD mortality rate of 89 per 100,000 is 31% above the England average of 68 per 100,000 (OHID, 2023). </w:t>
      </w:r>
      <w:r w:rsidR="00A93F01" w:rsidRPr="00015560">
        <w:t xml:space="preserve">CVD events can lead to immediate events like emergency </w:t>
      </w:r>
      <w:r w:rsidR="00BF2704" w:rsidRPr="00015560">
        <w:t>hospitalisation</w:t>
      </w:r>
      <w:r w:rsidR="00A93F01" w:rsidRPr="00015560">
        <w:t xml:space="preserve">, permanent disability or an early death. As those who survive a CVD event often suffer from ongoing conditions like heart failure or atrial fibrillation and </w:t>
      </w:r>
      <w:r w:rsidR="00BF2704" w:rsidRPr="00015560">
        <w:t>post stroke</w:t>
      </w:r>
      <w:r w:rsidR="00A93F01" w:rsidRPr="00015560">
        <w:t xml:space="preserve"> disabilities that can lead to long - term use of primary and community care. For example, depression is between two and three times more common in those with heart disease than in the general population</w:t>
      </w:r>
      <w:r w:rsidR="00BF2704" w:rsidRPr="00015560">
        <w:t>,</w:t>
      </w:r>
      <w:r w:rsidR="00A93F01" w:rsidRPr="00015560">
        <w:t xml:space="preserve"> and this condition makes the outcomes of CVD worse (Lichtman et al., 2014). CVD disability also impacts participation in the workforce</w:t>
      </w:r>
      <w:r w:rsidR="00BF2704" w:rsidRPr="00015560">
        <w:t>,</w:t>
      </w:r>
      <w:r w:rsidR="00A93F01" w:rsidRPr="00015560">
        <w:t xml:space="preserve"> and reliance on state benefits increases poverty, compounding health inequalities in the borough</w:t>
      </w:r>
      <w:r w:rsidR="00BF2704" w:rsidRPr="00015560">
        <w:t>,</w:t>
      </w:r>
      <w:r w:rsidR="00A93F01" w:rsidRPr="00015560">
        <w:t xml:space="preserve"> which already lies in the worst 10% for multiple indicators of deprivation.</w:t>
      </w:r>
    </w:p>
    <w:p w14:paraId="3FF861CC" w14:textId="77777777" w:rsidR="002B61BA" w:rsidRPr="00015560" w:rsidRDefault="002B61BA">
      <w:pPr>
        <w:spacing w:after="60"/>
      </w:pPr>
    </w:p>
    <w:p w14:paraId="3F953B16" w14:textId="3BC0A7CE" w:rsidR="005D78A2" w:rsidRPr="00015560" w:rsidRDefault="00B45E27">
      <w:pPr>
        <w:pStyle w:val="Heading2"/>
        <w:rPr>
          <w:color w:val="45B0E1" w:themeColor="accent1" w:themeTint="99"/>
          <w:sz w:val="28"/>
          <w:szCs w:val="28"/>
        </w:rPr>
      </w:pPr>
      <w:r w:rsidRPr="00015560">
        <w:rPr>
          <w:color w:val="45B0E1" w:themeColor="accent1" w:themeTint="99"/>
          <w:sz w:val="28"/>
          <w:szCs w:val="28"/>
        </w:rPr>
        <w:t>Proposed Intervention: Tower Hamlets Cardiovascular Health Equity Programme (THCHEP)</w:t>
      </w:r>
    </w:p>
    <w:p w14:paraId="6D540E3B" w14:textId="10F1AB72" w:rsidR="00D01118" w:rsidRPr="00015560" w:rsidRDefault="004422F2" w:rsidP="009B4A15">
      <w:pPr>
        <w:pStyle w:val="NormalWeb"/>
        <w:jc w:val="both"/>
        <w:rPr>
          <w:rFonts w:ascii="Arial" w:hAnsi="Arial" w:cs="Arial"/>
          <w:color w:val="000000"/>
          <w:sz w:val="22"/>
          <w:szCs w:val="22"/>
        </w:rPr>
      </w:pPr>
      <w:r w:rsidRPr="00015560">
        <w:rPr>
          <w:rFonts w:ascii="Arial" w:hAnsi="Arial" w:cs="Arial"/>
          <w:color w:val="000000"/>
          <w:sz w:val="22"/>
          <w:szCs w:val="22"/>
        </w:rPr>
        <w:t>THCHEP is intended as an example of a new multi</w:t>
      </w:r>
      <w:r w:rsidR="00544706" w:rsidRPr="00015560">
        <w:rPr>
          <w:rFonts w:ascii="Arial" w:hAnsi="Arial" w:cs="Arial"/>
          <w:color w:val="000000"/>
          <w:sz w:val="22"/>
          <w:szCs w:val="22"/>
        </w:rPr>
        <w:t>-</w:t>
      </w:r>
      <w:r w:rsidRPr="00015560">
        <w:rPr>
          <w:rFonts w:ascii="Arial" w:hAnsi="Arial" w:cs="Arial"/>
          <w:color w:val="000000"/>
          <w:sz w:val="22"/>
          <w:szCs w:val="22"/>
        </w:rPr>
        <w:t>component CVD prevention programme which operates under Marmot's (2010) guiding principle of proportionate universalism. It has three components. First, community</w:t>
      </w:r>
      <w:r w:rsidR="00544706" w:rsidRPr="00015560">
        <w:rPr>
          <w:rFonts w:ascii="Arial" w:hAnsi="Arial" w:cs="Arial"/>
          <w:color w:val="000000"/>
          <w:sz w:val="22"/>
          <w:szCs w:val="22"/>
        </w:rPr>
        <w:t>-</w:t>
      </w:r>
      <w:r w:rsidRPr="00015560">
        <w:rPr>
          <w:rFonts w:ascii="Arial" w:hAnsi="Arial" w:cs="Arial"/>
          <w:color w:val="000000"/>
          <w:sz w:val="22"/>
          <w:szCs w:val="22"/>
        </w:rPr>
        <w:t xml:space="preserve">based CVD risk screening, which should include community workers (either from NHS community services, a third - sector provider or a partnership) measuring blood pressure, glucose and BMI in the setting of </w:t>
      </w:r>
      <w:r w:rsidR="00544706" w:rsidRPr="00015560">
        <w:rPr>
          <w:rFonts w:ascii="Arial" w:hAnsi="Arial" w:cs="Arial"/>
          <w:color w:val="000000"/>
          <w:sz w:val="22"/>
          <w:szCs w:val="22"/>
        </w:rPr>
        <w:t>mosques</w:t>
      </w:r>
      <w:r w:rsidRPr="00015560">
        <w:rPr>
          <w:rFonts w:ascii="Arial" w:hAnsi="Arial" w:cs="Arial"/>
          <w:color w:val="000000"/>
          <w:sz w:val="22"/>
          <w:szCs w:val="22"/>
        </w:rPr>
        <w:t xml:space="preserve"> and community centres. This would then result in a recommendation to patients that they see their primary care doctor for assessment of their cardiovascular disease risk. We know that South Asian women were effectively reached by a Culturally Sensitive Cardiac Prevention Programme which adopted this approach (Greenhalgh et al</w:t>
      </w:r>
      <w:r w:rsidR="00544706" w:rsidRPr="00015560">
        <w:rPr>
          <w:rFonts w:ascii="Arial" w:hAnsi="Arial" w:cs="Arial"/>
          <w:color w:val="000000"/>
          <w:sz w:val="22"/>
          <w:szCs w:val="22"/>
        </w:rPr>
        <w:t>.,</w:t>
      </w:r>
      <w:r w:rsidRPr="00015560">
        <w:rPr>
          <w:rFonts w:ascii="Arial" w:hAnsi="Arial" w:cs="Arial"/>
          <w:color w:val="000000"/>
          <w:sz w:val="22"/>
          <w:szCs w:val="22"/>
        </w:rPr>
        <w:t xml:space="preserve"> 2011). Second, group lifestyle support which would focus on physical activity, diet and smoking cessation delivered in community languages by peers following the Diabetes Prevention Programme, which found a 58% reduction in incidence of diabetes (Knowler et al., 2002). Third, primary care data optimisation. Data from QOF and IGPR records would be used to find patients with unrecognised CVD risk factors before the patient develops disease.</w:t>
      </w:r>
      <w:r w:rsidR="009B4A15" w:rsidRPr="00015560">
        <w:rPr>
          <w:rFonts w:ascii="Arial" w:hAnsi="Arial" w:cs="Arial"/>
          <w:color w:val="000000"/>
          <w:sz w:val="22"/>
          <w:szCs w:val="22"/>
        </w:rPr>
        <w:t xml:space="preserve"> </w:t>
      </w:r>
      <w:r w:rsidRPr="00015560">
        <w:rPr>
          <w:rFonts w:ascii="Arial" w:hAnsi="Arial" w:cs="Arial"/>
          <w:color w:val="000000"/>
          <w:sz w:val="22"/>
          <w:szCs w:val="22"/>
        </w:rPr>
        <w:t>The evaluation will be conducted according to the RE - AIM framework (Glasgow et al., 1999). It</w:t>
      </w:r>
      <w:r w:rsidR="00544706" w:rsidRPr="00015560">
        <w:rPr>
          <w:rFonts w:ascii="Arial" w:hAnsi="Arial" w:cs="Arial"/>
          <w:color w:val="000000"/>
          <w:sz w:val="22"/>
          <w:szCs w:val="22"/>
        </w:rPr>
        <w:t xml:space="preserve"> will</w:t>
      </w:r>
      <w:r w:rsidRPr="00015560">
        <w:rPr>
          <w:rFonts w:ascii="Arial" w:hAnsi="Arial" w:cs="Arial"/>
          <w:color w:val="000000"/>
          <w:sz w:val="22"/>
          <w:szCs w:val="22"/>
        </w:rPr>
        <w:t xml:space="preserve"> include both quantitative outcome measurements of changes in systolic blood pressure and emergency CVD admission rates. A qualitative process evaluation will be carried out to identify barriers and facilitators to implementation and sustainability. </w:t>
      </w:r>
    </w:p>
    <w:p w14:paraId="712E5A70" w14:textId="77777777" w:rsidR="009B4A15" w:rsidRPr="00015560" w:rsidRDefault="009B4A15" w:rsidP="009B4A15">
      <w:pPr>
        <w:pStyle w:val="NormalWeb"/>
        <w:jc w:val="both"/>
        <w:rPr>
          <w:rFonts w:ascii="Arial" w:hAnsi="Arial" w:cs="Arial"/>
        </w:rPr>
      </w:pPr>
    </w:p>
    <w:p w14:paraId="0D343435" w14:textId="23FB4B09" w:rsidR="004422F2" w:rsidRPr="00015560" w:rsidRDefault="00B45E27">
      <w:pPr>
        <w:pStyle w:val="Heading2"/>
        <w:rPr>
          <w:color w:val="45B0E1" w:themeColor="accent1" w:themeTint="99"/>
          <w:sz w:val="28"/>
          <w:szCs w:val="28"/>
        </w:rPr>
      </w:pPr>
      <w:r w:rsidRPr="00015560">
        <w:rPr>
          <w:color w:val="45B0E1" w:themeColor="accent1" w:themeTint="99"/>
          <w:sz w:val="28"/>
          <w:szCs w:val="28"/>
        </w:rPr>
        <w:t>Strengths and Limitations of the Epidemiological Approach</w:t>
      </w:r>
    </w:p>
    <w:p w14:paraId="06FA3BE6" w14:textId="3EF480E9" w:rsidR="00D01118" w:rsidRPr="00015560" w:rsidRDefault="002E55EB" w:rsidP="002E55EB">
      <w:pPr>
        <w:pStyle w:val="NormalWeb"/>
        <w:jc w:val="both"/>
        <w:rPr>
          <w:rFonts w:ascii="Arial" w:hAnsi="Arial" w:cs="Arial"/>
          <w:color w:val="000000"/>
          <w:sz w:val="22"/>
          <w:szCs w:val="22"/>
        </w:rPr>
      </w:pPr>
      <w:r w:rsidRPr="00015560">
        <w:rPr>
          <w:rFonts w:ascii="Arial" w:hAnsi="Arial" w:cs="Arial"/>
          <w:color w:val="000000"/>
          <w:sz w:val="22"/>
          <w:szCs w:val="22"/>
        </w:rPr>
        <w:t>Multiple diverse datasets will be used, including QOF, HES, PHOF and IGPR. By disaggregating by ethnicity and sex, there's less risk of hidden inequalities masked by population averages. But there's still an ecological fallacy danger to contend with, since, as has been written by Diez - Roux (2002), area trends may not always be valid at the level of the individual. While QOF has been known to underestimate CVD prevalence within areas of low GP registration, relying on mortality as the sole measure risks ignoring the burden of nonfatal cardiovascular disease</w:t>
      </w:r>
      <w:r w:rsidR="00544706" w:rsidRPr="00015560">
        <w:rPr>
          <w:rFonts w:ascii="Arial" w:hAnsi="Arial" w:cs="Arial"/>
          <w:color w:val="000000"/>
          <w:sz w:val="22"/>
          <w:szCs w:val="22"/>
        </w:rPr>
        <w:t>,</w:t>
      </w:r>
      <w:r w:rsidRPr="00015560">
        <w:rPr>
          <w:rFonts w:ascii="Arial" w:hAnsi="Arial" w:cs="Arial"/>
          <w:color w:val="000000"/>
          <w:sz w:val="22"/>
          <w:szCs w:val="22"/>
        </w:rPr>
        <w:t xml:space="preserve"> and interventions in the UK context may differ in a different country.</w:t>
      </w:r>
    </w:p>
    <w:p w14:paraId="48D8A63E" w14:textId="77777777" w:rsidR="00D01118" w:rsidRPr="00015560" w:rsidRDefault="00D01118">
      <w:pPr>
        <w:spacing w:after="60"/>
      </w:pPr>
    </w:p>
    <w:p w14:paraId="1CF5140B" w14:textId="77777777" w:rsidR="0091142B" w:rsidRPr="00015560" w:rsidRDefault="0091142B">
      <w:pPr>
        <w:spacing w:after="60"/>
      </w:pPr>
    </w:p>
    <w:p w14:paraId="61940DAD" w14:textId="77777777" w:rsidR="003F1DFB" w:rsidRPr="00015560" w:rsidRDefault="003F1DFB">
      <w:pPr>
        <w:spacing w:after="60"/>
      </w:pPr>
    </w:p>
    <w:p w14:paraId="2B767D34" w14:textId="77777777" w:rsidR="0091142B" w:rsidRPr="00015560" w:rsidRDefault="0091142B">
      <w:pPr>
        <w:spacing w:after="60"/>
      </w:pPr>
    </w:p>
    <w:p w14:paraId="3D630B1E" w14:textId="6EA43842" w:rsidR="002E55EB" w:rsidRPr="00015560" w:rsidRDefault="00B45E27">
      <w:pPr>
        <w:pStyle w:val="Heading2"/>
        <w:rPr>
          <w:color w:val="45B0E1" w:themeColor="accent1" w:themeTint="99"/>
          <w:sz w:val="28"/>
          <w:szCs w:val="28"/>
        </w:rPr>
      </w:pPr>
      <w:r w:rsidRPr="00015560">
        <w:rPr>
          <w:color w:val="45B0E1" w:themeColor="accent1" w:themeTint="99"/>
          <w:sz w:val="28"/>
          <w:szCs w:val="28"/>
        </w:rPr>
        <w:t>Conclusion</w:t>
      </w:r>
    </w:p>
    <w:p w14:paraId="34031D5C" w14:textId="77777777" w:rsidR="002D1E70" w:rsidRPr="00015560" w:rsidRDefault="002D1E70" w:rsidP="002D1E70">
      <w:pPr>
        <w:pStyle w:val="NormalWeb"/>
        <w:jc w:val="both"/>
        <w:rPr>
          <w:rFonts w:ascii="Arial" w:hAnsi="Arial" w:cs="Arial"/>
          <w:color w:val="000000"/>
          <w:sz w:val="22"/>
          <w:szCs w:val="22"/>
        </w:rPr>
      </w:pPr>
      <w:r w:rsidRPr="00015560">
        <w:rPr>
          <w:rFonts w:ascii="Arial" w:hAnsi="Arial" w:cs="Arial"/>
          <w:color w:val="000000"/>
          <w:sz w:val="22"/>
          <w:szCs w:val="22"/>
        </w:rPr>
        <w:t>CVD remains a large, largely avoidable problem in Tower Hamlets. The local premature death rate is 31% higher than that of England, reflecting levels of structural deprivation, health inequalities faced by ethnic communities and the presence of major barriers to preventative care. THCHEP proposes a proportionate universalism - led approach based on the 'three Ps' (priority groups, primary prevention, promotion) and the Marmot principles (commission appropriate services which tackle inequalities in prevention, early detection, diagnosis, treatment and management, commissioning appropriate services that tackle inequalities, working together, commissioning appropriate services that ensure people aren't discriminated against). However, if we follow Marmot's consistent argument (2010, p.229), clinical programmes aren't sufficient to address the inequalities created by social determinants. A sustained reduction in CVD inequality in Tower Hamlets will require progress in tackling the poverty, poor housing and disadvantages in the labour market that underlie this poorer health.</w:t>
      </w:r>
    </w:p>
    <w:p w14:paraId="68ED8ECE" w14:textId="77777777" w:rsidR="00D01118" w:rsidRPr="00015560" w:rsidRDefault="00B45E27">
      <w:r w:rsidRPr="00015560">
        <w:br w:type="page"/>
      </w:r>
    </w:p>
    <w:p w14:paraId="23AB667E" w14:textId="3AAB39C8" w:rsidR="00CB32E2" w:rsidRDefault="00B45E27" w:rsidP="000966EC">
      <w:pPr>
        <w:pStyle w:val="Heading1"/>
        <w:spacing w:after="160"/>
        <w:rPr>
          <w:color w:val="45B0E1" w:themeColor="accent1" w:themeTint="99"/>
          <w:sz w:val="28"/>
          <w:szCs w:val="28"/>
        </w:rPr>
      </w:pPr>
      <w:r w:rsidRPr="00015560">
        <w:rPr>
          <w:color w:val="45B0E1" w:themeColor="accent1" w:themeTint="99"/>
          <w:sz w:val="28"/>
          <w:szCs w:val="28"/>
        </w:rPr>
        <w:t>References</w:t>
      </w:r>
    </w:p>
    <w:p w14:paraId="1E55138B" w14:textId="77777777" w:rsidR="000966EC" w:rsidRPr="000966EC" w:rsidRDefault="000966EC" w:rsidP="000966EC">
      <w:pPr>
        <w:pStyle w:val="Heading1"/>
        <w:spacing w:after="160"/>
        <w:rPr>
          <w:color w:val="45B0E1" w:themeColor="accent1" w:themeTint="99"/>
          <w:sz w:val="28"/>
          <w:szCs w:val="28"/>
        </w:rPr>
      </w:pPr>
    </w:p>
    <w:p w14:paraId="318D0829" w14:textId="77777777" w:rsidR="00D01118" w:rsidRPr="00015560" w:rsidRDefault="00B45E27" w:rsidP="00CB32E2">
      <w:pPr>
        <w:spacing w:after="140" w:line="276" w:lineRule="auto"/>
        <w:ind w:left="720" w:hanging="720"/>
        <w:jc w:val="both"/>
      </w:pPr>
      <w:r w:rsidRPr="00015560">
        <w:t>Age UK (2023) Later Life in the United Kingdom 2023. London: Age UK. Available at: https://www.ageuk.org.uk/globalassets/age-uk/documents/reports-and-publications/later_life_uk_factsheet.pdf (Accessed: 1 April 2026).</w:t>
      </w:r>
    </w:p>
    <w:p w14:paraId="0A7EEC48" w14:textId="77777777" w:rsidR="00D01118" w:rsidRPr="00015560" w:rsidRDefault="00B45E27" w:rsidP="00CB32E2">
      <w:pPr>
        <w:spacing w:after="140" w:line="276" w:lineRule="auto"/>
        <w:ind w:left="720" w:hanging="720"/>
        <w:jc w:val="both"/>
      </w:pPr>
      <w:r w:rsidRPr="00015560">
        <w:t>Alzheimer's Research UK (2023) Dementia Statistics Hub. Cambridge: Alzheimer's Research UK. Available at: https://www.dementiastatistics.org (Accessed: 1 April 2026).</w:t>
      </w:r>
    </w:p>
    <w:p w14:paraId="423B4266" w14:textId="77777777" w:rsidR="00D01118" w:rsidRPr="00015560" w:rsidRDefault="00B45E27" w:rsidP="00CB32E2">
      <w:pPr>
        <w:spacing w:after="140" w:line="276" w:lineRule="auto"/>
        <w:ind w:left="720" w:hanging="720"/>
        <w:jc w:val="both"/>
      </w:pPr>
      <w:r w:rsidRPr="00015560">
        <w:t>Anderson, L., Oldridge, N., Thompson, D.R., Zwisler, A.D., Rees, K., Martin, N. and Taylor, R.S. (2016) 'Exercise-based cardiac rehabilitation for coronary heart disease', Journal of the American College of Cardiology, 67(1), pp. 1–12.</w:t>
      </w:r>
    </w:p>
    <w:p w14:paraId="1FEDCC47" w14:textId="77777777" w:rsidR="00D01118" w:rsidRPr="00015560" w:rsidRDefault="00B45E27" w:rsidP="00CB32E2">
      <w:pPr>
        <w:spacing w:after="140" w:line="276" w:lineRule="auto"/>
        <w:ind w:left="720" w:hanging="720"/>
        <w:jc w:val="both"/>
      </w:pPr>
      <w:r w:rsidRPr="00015560">
        <w:t>Bhopal, R. (2019) Migration, Ethnicity, Race, and Health in Multicultural Societies. 2nd edn. Oxford: Oxford University Press.</w:t>
      </w:r>
    </w:p>
    <w:p w14:paraId="00C2937E" w14:textId="77777777" w:rsidR="00D01118" w:rsidRPr="00015560" w:rsidRDefault="00B45E27" w:rsidP="00CB32E2">
      <w:pPr>
        <w:spacing w:after="140" w:line="276" w:lineRule="auto"/>
        <w:ind w:left="720" w:hanging="720"/>
        <w:jc w:val="both"/>
      </w:pPr>
      <w:r w:rsidRPr="00015560">
        <w:t>Bhopal, R., Fischbacher, C., Vartiainen, E., Unwin, N., White, M. and Alberti, G. (2002) 'Predicted and observed cardiovascular disease in South Asians: application of FINRISK, Framingham and SCORE models to Newcastle Heart Project data', Journal of Public Health Medicine, 24(4), pp. 306–313.</w:t>
      </w:r>
    </w:p>
    <w:p w14:paraId="43A0F821" w14:textId="77777777" w:rsidR="00D01118" w:rsidRPr="00015560" w:rsidRDefault="00B45E27" w:rsidP="00CB32E2">
      <w:pPr>
        <w:spacing w:after="140" w:line="276" w:lineRule="auto"/>
        <w:ind w:left="720" w:hanging="720"/>
        <w:jc w:val="both"/>
      </w:pPr>
      <w:r w:rsidRPr="00015560">
        <w:t>Blazer, D.G. (2020) 'Depression in late life: review and commentary', Focus, 18(3), pp. 292–299.</w:t>
      </w:r>
    </w:p>
    <w:p w14:paraId="115BDC0A" w14:textId="77777777" w:rsidR="00D01118" w:rsidRPr="00015560" w:rsidRDefault="00B45E27" w:rsidP="00CB32E2">
      <w:pPr>
        <w:spacing w:after="140" w:line="276" w:lineRule="auto"/>
        <w:ind w:left="720" w:hanging="720"/>
        <w:jc w:val="both"/>
      </w:pPr>
      <w:r w:rsidRPr="00015560">
        <w:t>Bottle, A., Aylin, P. and Majeed, A. (2006) 'Identifying patients at high risk of emergency hospital admissions: a logistic regression analysis', Journal of the Royal Society of Medicine, 99(8), pp. 406–414.</w:t>
      </w:r>
    </w:p>
    <w:p w14:paraId="0C15269B" w14:textId="77777777" w:rsidR="00D01118" w:rsidRPr="00015560" w:rsidRDefault="00B45E27" w:rsidP="00CB32E2">
      <w:pPr>
        <w:spacing w:after="140" w:line="276" w:lineRule="auto"/>
        <w:ind w:left="720" w:hanging="720"/>
        <w:jc w:val="both"/>
      </w:pPr>
      <w:r w:rsidRPr="00015560">
        <w:t>British Heart Foundation (BHF) (2023) Heart and Circulatory Disease Statistics 2023. London: BHF. Available at: https://www.bhf.org.uk/what-we-do/our-research/heart-statistics (Accessed: 1 April 2026).</w:t>
      </w:r>
    </w:p>
    <w:p w14:paraId="2276B9EA" w14:textId="77777777" w:rsidR="00D01118" w:rsidRPr="00015560" w:rsidRDefault="00B45E27" w:rsidP="00CB32E2">
      <w:pPr>
        <w:spacing w:after="140" w:line="276" w:lineRule="auto"/>
        <w:ind w:left="720" w:hanging="720"/>
        <w:jc w:val="both"/>
      </w:pPr>
      <w:r w:rsidRPr="00015560">
        <w:t>Cacioppo, J.T. and Hawkley, L.C. (2010) 'Loneliness matters: a theoretical and empirical review of consequences and mechanisms', Annals of Behavioral Medicine, 40(2), pp. 218–227.</w:t>
      </w:r>
    </w:p>
    <w:p w14:paraId="3FC702ED" w14:textId="77777777" w:rsidR="00D01118" w:rsidRPr="00015560" w:rsidRDefault="00B45E27" w:rsidP="00CB32E2">
      <w:pPr>
        <w:spacing w:after="140" w:line="276" w:lineRule="auto"/>
        <w:ind w:left="720" w:hanging="720"/>
        <w:jc w:val="both"/>
      </w:pPr>
      <w:r w:rsidRPr="00015560">
        <w:t>Campaign to End Loneliness (2023) The Facts on Loneliness. London: Campaign to End Loneliness. Available at: https://www.campaigntoendloneliness.org/the-facts-on-loneliness/ (Accessed: 1 April 2026).</w:t>
      </w:r>
    </w:p>
    <w:p w14:paraId="50C80B6C" w14:textId="77777777" w:rsidR="00D01118" w:rsidRPr="00015560" w:rsidRDefault="00B45E27" w:rsidP="00CB32E2">
      <w:pPr>
        <w:spacing w:after="140" w:line="276" w:lineRule="auto"/>
        <w:ind w:left="720" w:hanging="720"/>
        <w:jc w:val="both"/>
      </w:pPr>
      <w:r w:rsidRPr="00015560">
        <w:t>Department for Levelling Up, Housing and Communities (DHLUC) (2022) English Housing Survey 2021–22: Headline Report. London: HMSO. Available at: https://www.gov.uk/government/statistics/english-housing-survey-2021-to-2022-headline-report (Accessed: 1 April 2026).</w:t>
      </w:r>
    </w:p>
    <w:p w14:paraId="256B1975" w14:textId="77777777" w:rsidR="00D01118" w:rsidRPr="00015560" w:rsidRDefault="00B45E27" w:rsidP="00CB32E2">
      <w:pPr>
        <w:spacing w:after="140" w:line="276" w:lineRule="auto"/>
        <w:ind w:left="720" w:hanging="720"/>
        <w:jc w:val="both"/>
      </w:pPr>
      <w:r w:rsidRPr="00015560">
        <w:t>Department of Health and Social Care (DHSC) (2021) People at the Heart of Care: Adult Social Care Reform White Paper. London: HMSO. Available at: https://www.gov.uk/government/publications/people-at-the-heart-of-care-adult-social-care-reform-white-paper (Accessed: 1 April 2026).</w:t>
      </w:r>
    </w:p>
    <w:p w14:paraId="18BC7493" w14:textId="77777777" w:rsidR="00D01118" w:rsidRPr="00015560" w:rsidRDefault="00B45E27" w:rsidP="00CB32E2">
      <w:pPr>
        <w:spacing w:after="140" w:line="276" w:lineRule="auto"/>
        <w:ind w:left="720" w:hanging="720"/>
        <w:jc w:val="both"/>
      </w:pPr>
      <w:r w:rsidRPr="00015560">
        <w:t>Department for Work and Pensions (DWP) (2023) Income-Related Benefits: Estimates of Take-Up, Financial Year 2021 to 2022. London: DWP. Available at: https://www.gov.uk/government/statistics/income-related-benefits-estimates-of-take-up-financial-year-2021-to-2022 (Accessed: 1 April 2026).</w:t>
      </w:r>
    </w:p>
    <w:p w14:paraId="10D0E16E" w14:textId="77777777" w:rsidR="00D01118" w:rsidRPr="00015560" w:rsidRDefault="00B45E27" w:rsidP="00CB32E2">
      <w:pPr>
        <w:spacing w:after="140" w:line="276" w:lineRule="auto"/>
        <w:ind w:left="720" w:hanging="720"/>
        <w:jc w:val="both"/>
      </w:pPr>
      <w:r w:rsidRPr="00015560">
        <w:t>Diez-Roux, A.V. (2002) 'A glossary for multilevel analysis', Journal of Epidemiology and Community Health, 56(8), pp. 588–594.</w:t>
      </w:r>
    </w:p>
    <w:p w14:paraId="3864EB04" w14:textId="77777777" w:rsidR="00D01118" w:rsidRPr="00015560" w:rsidRDefault="00B45E27" w:rsidP="00CB32E2">
      <w:pPr>
        <w:spacing w:after="140" w:line="276" w:lineRule="auto"/>
        <w:ind w:left="720" w:hanging="720"/>
        <w:jc w:val="both"/>
      </w:pPr>
      <w:r w:rsidRPr="00015560">
        <w:t>Glasgow, R.E., Vogt, T.M. and Boles, S.M. (1999) 'Evaluating the public health impact of health promotion interventions: the RE-AIM framework', American Journal of Public Health, 89(9), pp. 1322–1327.</w:t>
      </w:r>
    </w:p>
    <w:p w14:paraId="1298B8D2" w14:textId="77777777" w:rsidR="00D01118" w:rsidRPr="00015560" w:rsidRDefault="00B45E27" w:rsidP="00CB32E2">
      <w:pPr>
        <w:spacing w:after="140" w:line="276" w:lineRule="auto"/>
        <w:ind w:left="720" w:hanging="720"/>
        <w:jc w:val="both"/>
      </w:pPr>
      <w:r w:rsidRPr="00015560">
        <w:t>Goff, L.M., Timbers, L., Style, H. and Knight, A. (2019) 'Dietary patterns and cardiometabolic risk in UK Bangladeshi and Pakistani adults: a cross-sectional study', British Journal of Nutrition, 121(5), pp. 587–598.</w:t>
      </w:r>
    </w:p>
    <w:p w14:paraId="07F704E4" w14:textId="77777777" w:rsidR="00D01118" w:rsidRPr="00015560" w:rsidRDefault="00B45E27" w:rsidP="00CB32E2">
      <w:pPr>
        <w:spacing w:after="140" w:line="276" w:lineRule="auto"/>
        <w:ind w:left="720" w:hanging="720"/>
        <w:jc w:val="both"/>
      </w:pPr>
      <w:r w:rsidRPr="00015560">
        <w:t>Greenhalgh, T., Clinch, M., Afsar, N., Choudhury, Y., Sudra, R., Campbell-Richards, D. and Frostick, C. (2011) 'Socio-cultural influences on the behaviour of South Asian women with diabetes in secondary care: qualitative study using a multi-level theoretical framework', BMC Medicine, 9(1), p. 109.</w:t>
      </w:r>
    </w:p>
    <w:p w14:paraId="2A8365F0" w14:textId="77777777" w:rsidR="00D01118" w:rsidRPr="00015560" w:rsidRDefault="00B45E27" w:rsidP="00CB32E2">
      <w:pPr>
        <w:spacing w:after="140" w:line="276" w:lineRule="auto"/>
        <w:ind w:left="720" w:hanging="720"/>
        <w:jc w:val="both"/>
      </w:pPr>
      <w:r w:rsidRPr="00015560">
        <w:t>Hippisley-Cox, J., Coupland, C., Vinogradova, Y. and Robson, J. (2017) 'Development and validation of QRISK3 risk prediction algorithms to estimate future risk of cardiovascular disease: prospective cohort study', BMJ, 357, j2099.</w:t>
      </w:r>
    </w:p>
    <w:p w14:paraId="0DEA6A21" w14:textId="77777777" w:rsidR="00D01118" w:rsidRPr="00015560" w:rsidRDefault="00B45E27" w:rsidP="00CB32E2">
      <w:pPr>
        <w:spacing w:after="140" w:line="276" w:lineRule="auto"/>
        <w:ind w:left="720" w:hanging="720"/>
        <w:jc w:val="both"/>
      </w:pPr>
      <w:r w:rsidRPr="00015560">
        <w:t>Holt-Lunstad, J., Smith, T.B. and Layton, J.B. (2015) 'Loneliness and social isolation as risk factors for mortality: a meta-analytic review', Perspectives on Psychological Science, 10(2), pp. 227–237.</w:t>
      </w:r>
    </w:p>
    <w:p w14:paraId="74F62178" w14:textId="77777777" w:rsidR="00D01118" w:rsidRPr="00015560" w:rsidRDefault="00B45E27" w:rsidP="00CB32E2">
      <w:pPr>
        <w:spacing w:after="140" w:line="276" w:lineRule="auto"/>
        <w:ind w:left="720" w:hanging="720"/>
        <w:jc w:val="both"/>
      </w:pPr>
      <w:r w:rsidRPr="00015560">
        <w:t>Joseph Rowntree Foundation (JRF) (2023) UK Poverty 2023: The Essential Guide to Understanding Poverty in the UK. York: JRF. Available at: https://www.jrf.org.uk/report/uk-poverty-2023 (Accessed: 1 April 2026).</w:t>
      </w:r>
    </w:p>
    <w:p w14:paraId="216EDC40" w14:textId="77777777" w:rsidR="00D01118" w:rsidRPr="00015560" w:rsidRDefault="00B45E27" w:rsidP="00CB32E2">
      <w:pPr>
        <w:spacing w:after="140" w:line="276" w:lineRule="auto"/>
        <w:ind w:left="720" w:hanging="720"/>
        <w:jc w:val="both"/>
      </w:pPr>
      <w:r w:rsidRPr="00015560">
        <w:t>Knowler, W.C., Barrett-Connor, E., Fowler, S.E. and Hamman, R.F. (2002) 'Reduction in the incidence of type 2 diabetes with lifestyle intervention or metformin', New England Journal of Medicine, 346(6), pp. 393–403.</w:t>
      </w:r>
    </w:p>
    <w:p w14:paraId="35044D0E" w14:textId="77777777" w:rsidR="00D01118" w:rsidRPr="00015560" w:rsidRDefault="00B45E27" w:rsidP="00CB32E2">
      <w:pPr>
        <w:spacing w:after="140" w:line="276" w:lineRule="auto"/>
        <w:ind w:left="720" w:hanging="720"/>
        <w:jc w:val="both"/>
      </w:pPr>
      <w:r w:rsidRPr="00015560">
        <w:t>Layard, R. and Clark, D.M. (2014) Thrive: The Power of Evidence-Based Psychological Therapies. London: Penguin Books.</w:t>
      </w:r>
    </w:p>
    <w:p w14:paraId="010CE8B5" w14:textId="77777777" w:rsidR="00D01118" w:rsidRPr="00015560" w:rsidRDefault="00B45E27" w:rsidP="00CB32E2">
      <w:pPr>
        <w:spacing w:after="140" w:line="276" w:lineRule="auto"/>
        <w:ind w:left="720" w:hanging="720"/>
        <w:jc w:val="both"/>
      </w:pPr>
      <w:r w:rsidRPr="00015560">
        <w:t>Lichtman, J.H., Froelicher, E.S., Blumenthal, J.A., Carney, R.M., Doering, L.V., Frasure-Smith, N. and Vaccarino, V. (2014) 'Depression as a risk factor for poor prognosis among patients with acute coronary syndrome: systematic review and recommendations', Circulation, 129(12), pp. 1350–1369.</w:t>
      </w:r>
    </w:p>
    <w:p w14:paraId="67481A54" w14:textId="77777777" w:rsidR="00D01118" w:rsidRPr="00015560" w:rsidRDefault="00B45E27" w:rsidP="00CB32E2">
      <w:pPr>
        <w:spacing w:after="140" w:line="276" w:lineRule="auto"/>
        <w:ind w:left="720" w:hanging="720"/>
        <w:jc w:val="both"/>
      </w:pPr>
      <w:r w:rsidRPr="00015560">
        <w:t>Liddell, C. and Morris, C. (2010) 'Fuel poverty and human health: a review of recent evidence', Energy Policy, 38(6), pp. 2987–2997.</w:t>
      </w:r>
    </w:p>
    <w:p w14:paraId="5426F9A8" w14:textId="77777777" w:rsidR="00D01118" w:rsidRPr="00015560" w:rsidRDefault="00B45E27" w:rsidP="00CB32E2">
      <w:pPr>
        <w:spacing w:after="140" w:line="276" w:lineRule="auto"/>
        <w:ind w:left="720" w:hanging="720"/>
        <w:jc w:val="both"/>
      </w:pPr>
      <w:r w:rsidRPr="00015560">
        <w:t>Livingston, G., Huntley, J., Sommerlad, A. and Ames, D. (2020) 'Dementia prevention, intervention, and care: 2020 report of the Lancet Commission', The Lancet, 396(10248), pp. 413–446.</w:t>
      </w:r>
    </w:p>
    <w:p w14:paraId="764491F9" w14:textId="77777777" w:rsidR="00D01118" w:rsidRPr="00015560" w:rsidRDefault="00B45E27" w:rsidP="00CB32E2">
      <w:pPr>
        <w:spacing w:after="140" w:line="276" w:lineRule="auto"/>
        <w:ind w:left="720" w:hanging="720"/>
        <w:jc w:val="both"/>
      </w:pPr>
      <w:r w:rsidRPr="00015560">
        <w:t>Marmot, M. (2010) Fair Society, Healthy Lives: The Marmot Review. London: Institute of Health Equity. Available at: https://www.instituteofhealthequity.org/resources-reports/fair-society-healthy-lives-the-marmot-review (Accessed: 1 April 2026).</w:t>
      </w:r>
    </w:p>
    <w:p w14:paraId="3FA0E588" w14:textId="77777777" w:rsidR="00D01118" w:rsidRPr="00015560" w:rsidRDefault="00B45E27" w:rsidP="00CB32E2">
      <w:pPr>
        <w:spacing w:after="140" w:line="276" w:lineRule="auto"/>
        <w:ind w:left="720" w:hanging="720"/>
        <w:jc w:val="both"/>
      </w:pPr>
      <w:r w:rsidRPr="00015560">
        <w:t>Marmot, M., Allen, J., Boyce, T., Goldblatt, P. and Morrison, J. (2020) Health Equity in England: The Marmot Review 10 Years On. London: Institute of Health Equity. Available at: https://www.instituteofhealthequity.org/resources-reports/marmot-review-10-years-on (Accessed: 1 April 2026).</w:t>
      </w:r>
    </w:p>
    <w:p w14:paraId="1A9277C9" w14:textId="77777777" w:rsidR="00D01118" w:rsidRPr="00015560" w:rsidRDefault="00B45E27" w:rsidP="00CB32E2">
      <w:pPr>
        <w:spacing w:after="140" w:line="276" w:lineRule="auto"/>
        <w:ind w:left="720" w:hanging="720"/>
        <w:jc w:val="both"/>
      </w:pPr>
      <w:r w:rsidRPr="00015560">
        <w:t>Marmot, M.G., Smith, G.D., Stansfeld, S., Patel, C., North, F., Head, J. and Feeney, A. (1991) 'Health inequalities among British civil servants: the Whitehall II study', The Lancet, 337(8754), pp. 1387–1393.</w:t>
      </w:r>
    </w:p>
    <w:p w14:paraId="000A2AA6" w14:textId="77777777" w:rsidR="00D01118" w:rsidRPr="00015560" w:rsidRDefault="00B45E27" w:rsidP="00CB32E2">
      <w:pPr>
        <w:spacing w:after="140" w:line="276" w:lineRule="auto"/>
        <w:ind w:left="720" w:hanging="720"/>
        <w:jc w:val="both"/>
      </w:pPr>
      <w:r w:rsidRPr="00015560">
        <w:t>National Institute for Health and Care Excellence (NICE) (2018) Dementia: Assessment, Management and Support for People Living with Dementia and their Carers [NG97]. London: NICE. Available at: https://www.nice.org.uk/guidance/ng97 (Accessed: 1 April 2026).</w:t>
      </w:r>
    </w:p>
    <w:p w14:paraId="676FD00E" w14:textId="77777777" w:rsidR="00D01118" w:rsidRPr="00015560" w:rsidRDefault="00B45E27" w:rsidP="00CB32E2">
      <w:pPr>
        <w:spacing w:after="140" w:line="276" w:lineRule="auto"/>
        <w:ind w:left="720" w:hanging="720"/>
        <w:jc w:val="both"/>
      </w:pPr>
      <w:r w:rsidRPr="00015560">
        <w:t>NHS England (2019) The NHS Long Term Plan. London: NHS England. Available at: https://www.longtermplan.nhs.uk (Accessed: 1 April 2026).</w:t>
      </w:r>
    </w:p>
    <w:p w14:paraId="2112C081" w14:textId="77777777" w:rsidR="00D01118" w:rsidRPr="00015560" w:rsidRDefault="00B45E27" w:rsidP="00CB32E2">
      <w:pPr>
        <w:spacing w:after="140" w:line="276" w:lineRule="auto"/>
        <w:ind w:left="720" w:hanging="720"/>
        <w:jc w:val="both"/>
      </w:pPr>
      <w:r w:rsidRPr="00015560">
        <w:t>Nazroo, J.Y. (2003) 'The structuring of ethnic inequalities in health: economic position, racial discrimination, and racism', American Journal of Public Health, 93(2), pp. 277–284.</w:t>
      </w:r>
    </w:p>
    <w:p w14:paraId="478DA398" w14:textId="77777777" w:rsidR="00D01118" w:rsidRPr="00015560" w:rsidRDefault="00B45E27" w:rsidP="00CB32E2">
      <w:pPr>
        <w:spacing w:after="140" w:line="276" w:lineRule="auto"/>
        <w:ind w:left="720" w:hanging="720"/>
        <w:jc w:val="both"/>
      </w:pPr>
      <w:r w:rsidRPr="00015560">
        <w:t>Office for Health Inequalities and Disparities (OHID) (2023) Public Health Profiles: Tower Hamlets [online]. London: OHID. Available at: https://fingertips.phe.org.uk (Accessed: 1 April 2026).</w:t>
      </w:r>
    </w:p>
    <w:p w14:paraId="1FC9D763" w14:textId="77777777" w:rsidR="00D01118" w:rsidRPr="00015560" w:rsidRDefault="00B45E27" w:rsidP="00CB32E2">
      <w:pPr>
        <w:spacing w:after="140" w:line="276" w:lineRule="auto"/>
        <w:ind w:left="720" w:hanging="720"/>
        <w:jc w:val="both"/>
      </w:pPr>
      <w:r w:rsidRPr="00015560">
        <w:t>Office for National Statistics (ONS) (2021) Census 2021: Tower Hamlets Local Authority Profile. Newport: ONS. Available at: https://www.ons.gov.uk (Accessed: 1 April 2026).</w:t>
      </w:r>
    </w:p>
    <w:p w14:paraId="1D58AA4A" w14:textId="77777777" w:rsidR="00D01118" w:rsidRPr="00015560" w:rsidRDefault="00B45E27" w:rsidP="00CB32E2">
      <w:pPr>
        <w:spacing w:after="140" w:line="276" w:lineRule="auto"/>
        <w:ind w:left="720" w:hanging="720"/>
        <w:jc w:val="both"/>
      </w:pPr>
      <w:r w:rsidRPr="00015560">
        <w:t>Office for National Statistics (ONS) (2023) Overview of the UK Population: 2023. Newport: ONS. Available at: https://www.ons.gov.uk/peoplepopulationandcommunity/populationandmigration/populationestimates/articles/overviewoftheukpopulation/2023 (Accessed: 1 April 2026).</w:t>
      </w:r>
    </w:p>
    <w:p w14:paraId="6D898AA2" w14:textId="77777777" w:rsidR="00D01118" w:rsidRPr="00015560" w:rsidRDefault="00B45E27" w:rsidP="00CB32E2">
      <w:pPr>
        <w:spacing w:after="140" w:line="276" w:lineRule="auto"/>
        <w:ind w:left="720" w:hanging="720"/>
        <w:jc w:val="both"/>
      </w:pPr>
      <w:r w:rsidRPr="00015560">
        <w:t>Public Health England (2021) Cardiovascular Disease Prevention: Returning to a Healthier Nation. London: PHE. Available at: https://www.gov.uk/government/publications/cardiovascular-disease-prevention-return-to-a-healthier-nation (Accessed: 1 April 2026).</w:t>
      </w:r>
    </w:p>
    <w:p w14:paraId="50985A11" w14:textId="77777777" w:rsidR="00D01118" w:rsidRPr="00015560" w:rsidRDefault="00B45E27" w:rsidP="00CB32E2">
      <w:pPr>
        <w:spacing w:after="140" w:line="276" w:lineRule="auto"/>
        <w:ind w:left="720" w:hanging="720"/>
        <w:jc w:val="both"/>
      </w:pPr>
      <w:r w:rsidRPr="00015560">
        <w:t>Royal College of Psychiatrists (RCPsych) (2018) Suffering in Silence: Age Inequality in Older People's Mental Health Care. London: RCPsych. Available at: https://www.rcpsych.ac.uk/docs/default-source/improving-care/better-mh-policy/reports/suffering-in-silence.pdf (Accessed: 1 April 2026).</w:t>
      </w:r>
    </w:p>
    <w:p w14:paraId="7FC429B2" w14:textId="77777777" w:rsidR="00D01118" w:rsidRPr="00015560" w:rsidRDefault="00B45E27" w:rsidP="00CB32E2">
      <w:pPr>
        <w:spacing w:after="140" w:line="276" w:lineRule="auto"/>
        <w:ind w:left="720" w:hanging="720"/>
        <w:jc w:val="both"/>
      </w:pPr>
      <w:r w:rsidRPr="00015560">
        <w:t>Sattar, N., Gill, J.M.R. and Alazawi, W. (2019) 'Improving prevention strategies for cardiometabolic disease in South Asians: a background paper for healthcare professionals', Heart, 105(14), pp. 1065–1066.</w:t>
      </w:r>
    </w:p>
    <w:p w14:paraId="2380849B" w14:textId="77777777" w:rsidR="00D01118" w:rsidRPr="00015560" w:rsidRDefault="00B45E27" w:rsidP="00CB32E2">
      <w:pPr>
        <w:spacing w:after="140" w:line="276" w:lineRule="auto"/>
        <w:ind w:left="720" w:hanging="720"/>
        <w:jc w:val="both"/>
      </w:pPr>
      <w:r w:rsidRPr="00015560">
        <w:t>Tower Hamlets Council (2022) Tower Hamlets Joint Strategic Needs Assessment 2022. London: Tower Hamlets Council. Available at: https://www.towerhamlets.gov.uk/lgnl/health_and_social_care/jsna.aspx (Accessed: 1 April 2026).</w:t>
      </w:r>
    </w:p>
    <w:p w14:paraId="146BFA37" w14:textId="77777777" w:rsidR="00D01118" w:rsidRPr="00015560" w:rsidRDefault="00B45E27" w:rsidP="00CB32E2">
      <w:pPr>
        <w:spacing w:after="140" w:line="276" w:lineRule="auto"/>
        <w:ind w:left="720" w:hanging="720"/>
        <w:jc w:val="both"/>
      </w:pPr>
      <w:r w:rsidRPr="00015560">
        <w:t>Townsend, N., Guzman-Castillo, M., Nichols, M. and Scarborough, P. (2022) Cardiovascular Disease Statistics 2022. London: British Heart Foundation. Available at: https://www.bhf.org.uk/what-we-do/our-research/heart-statistics (Accessed: 1 April 2026).</w:t>
      </w:r>
    </w:p>
    <w:p w14:paraId="0D6AC389" w14:textId="77777777" w:rsidR="00D01118" w:rsidRPr="00015560" w:rsidRDefault="00B45E27" w:rsidP="00CB32E2">
      <w:pPr>
        <w:spacing w:after="140" w:line="276" w:lineRule="auto"/>
        <w:ind w:left="720" w:hanging="720"/>
        <w:jc w:val="both"/>
      </w:pPr>
      <w:r w:rsidRPr="00015560">
        <w:t>Victor, C.R. and Bowling, A. (2012) 'A longitudinal analysis of loneliness among older people in Great Britain', Journal of Psychology, 146(3), pp. 313–331.</w:t>
      </w:r>
    </w:p>
    <w:p w14:paraId="53DC110C" w14:textId="77777777" w:rsidR="00D01118" w:rsidRPr="00015560" w:rsidRDefault="00B45E27" w:rsidP="00CB32E2">
      <w:pPr>
        <w:spacing w:after="140" w:line="276" w:lineRule="auto"/>
        <w:ind w:left="720" w:hanging="720"/>
        <w:jc w:val="both"/>
      </w:pPr>
      <w:r w:rsidRPr="00015560">
        <w:t>World Health Organization (WHO) (2021) Global Status Report on the Public Health Response to Dementia. Geneva: WHO. Available at: https://www.who.int/publications/i/item/9789240033245 (Accessed: 1 April 2026).</w:t>
      </w:r>
    </w:p>
    <w:p w14:paraId="3C86CEA1" w14:textId="77777777" w:rsidR="00D01118" w:rsidRPr="00015560" w:rsidRDefault="00B45E27" w:rsidP="00CB32E2">
      <w:pPr>
        <w:spacing w:after="140" w:line="276" w:lineRule="auto"/>
        <w:ind w:left="720" w:hanging="720"/>
        <w:jc w:val="both"/>
      </w:pPr>
      <w:r w:rsidRPr="00015560">
        <w:t>World Health Organization (WHO) (2023a) Health Inequalities [online]. Geneva: WHO. Available at: https://www.who.int/news-room/facts-in-pictures/detail/health-inequities-and-their-causes (Accessed: 1 April 2026).</w:t>
      </w:r>
    </w:p>
    <w:p w14:paraId="1AB1C517" w14:textId="77777777" w:rsidR="00D01118" w:rsidRPr="00015560" w:rsidRDefault="00B45E27" w:rsidP="00CB32E2">
      <w:pPr>
        <w:spacing w:after="140" w:line="276" w:lineRule="auto"/>
        <w:ind w:left="720" w:hanging="720"/>
        <w:jc w:val="both"/>
      </w:pPr>
      <w:r w:rsidRPr="00015560">
        <w:t>World Health Organization (WHO) (2023b) Cardiovascular Diseases Fact Sheet. Geneva: WHO. Available at: https://www.who.int/news-room/fact-sheets/detail/cardiovascular-diseases-(cvds) (Accessed: 1 April 2026).</w:t>
      </w:r>
    </w:p>
    <w:p w14:paraId="30E2CB96" w14:textId="77777777" w:rsidR="00D01118" w:rsidRPr="00015560" w:rsidRDefault="00B45E27" w:rsidP="00CB32E2">
      <w:pPr>
        <w:spacing w:after="140" w:line="276" w:lineRule="auto"/>
        <w:ind w:left="720" w:hanging="720"/>
        <w:jc w:val="both"/>
      </w:pPr>
      <w:r w:rsidRPr="00015560">
        <w:t>Yusuf, S., Hawken, S., Ounpuu, S., Dans, T., Avezum, A., Lanas, F. and Lisheng, L. (2004) 'Effect of potentially modifiable risk factors associated with myocardial infarction in 52 countries (the INTERHEART study): case-control study', The Lancet, 364(9438), pp. 937–952.</w:t>
      </w:r>
    </w:p>
    <w:sectPr w:rsidR="00D01118" w:rsidRPr="0001556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0259D" w14:textId="77777777" w:rsidR="00096AB4" w:rsidRDefault="00096AB4" w:rsidP="00552E04">
      <w:r>
        <w:separator/>
      </w:r>
    </w:p>
  </w:endnote>
  <w:endnote w:type="continuationSeparator" w:id="0">
    <w:p w14:paraId="766FDEFD" w14:textId="77777777" w:rsidR="00096AB4" w:rsidRDefault="00096AB4" w:rsidP="00552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80590" w14:textId="77777777" w:rsidR="00096AB4" w:rsidRDefault="00096AB4" w:rsidP="00552E04">
      <w:r>
        <w:separator/>
      </w:r>
    </w:p>
  </w:footnote>
  <w:footnote w:type="continuationSeparator" w:id="0">
    <w:p w14:paraId="48287D44" w14:textId="77777777" w:rsidR="00096AB4" w:rsidRDefault="00096AB4" w:rsidP="00552E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C063B6"/>
    <w:multiLevelType w:val="multilevel"/>
    <w:tmpl w:val="F8B25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8F0B8E"/>
    <w:multiLevelType w:val="hybridMultilevel"/>
    <w:tmpl w:val="F5241CC2"/>
    <w:lvl w:ilvl="0" w:tplc="8CEA8D56">
      <w:start w:val="1"/>
      <w:numFmt w:val="bullet"/>
      <w:lvlText w:val="●"/>
      <w:lvlJc w:val="left"/>
      <w:pPr>
        <w:ind w:left="720" w:hanging="360"/>
      </w:pPr>
    </w:lvl>
    <w:lvl w:ilvl="1" w:tplc="9EE2E630">
      <w:start w:val="1"/>
      <w:numFmt w:val="bullet"/>
      <w:lvlText w:val="○"/>
      <w:lvlJc w:val="left"/>
      <w:pPr>
        <w:ind w:left="1440" w:hanging="360"/>
      </w:pPr>
    </w:lvl>
    <w:lvl w:ilvl="2" w:tplc="70DC180E">
      <w:start w:val="1"/>
      <w:numFmt w:val="bullet"/>
      <w:lvlText w:val="■"/>
      <w:lvlJc w:val="left"/>
      <w:pPr>
        <w:ind w:left="2160" w:hanging="360"/>
      </w:pPr>
    </w:lvl>
    <w:lvl w:ilvl="3" w:tplc="18305BEE">
      <w:start w:val="1"/>
      <w:numFmt w:val="bullet"/>
      <w:lvlText w:val="●"/>
      <w:lvlJc w:val="left"/>
      <w:pPr>
        <w:ind w:left="2880" w:hanging="360"/>
      </w:pPr>
    </w:lvl>
    <w:lvl w:ilvl="4" w:tplc="0B729A6E">
      <w:start w:val="1"/>
      <w:numFmt w:val="bullet"/>
      <w:lvlText w:val="○"/>
      <w:lvlJc w:val="left"/>
      <w:pPr>
        <w:ind w:left="3600" w:hanging="360"/>
      </w:pPr>
    </w:lvl>
    <w:lvl w:ilvl="5" w:tplc="0C9C3086">
      <w:start w:val="1"/>
      <w:numFmt w:val="bullet"/>
      <w:lvlText w:val="■"/>
      <w:lvlJc w:val="left"/>
      <w:pPr>
        <w:ind w:left="4320" w:hanging="360"/>
      </w:pPr>
    </w:lvl>
    <w:lvl w:ilvl="6" w:tplc="D40C6876">
      <w:start w:val="1"/>
      <w:numFmt w:val="bullet"/>
      <w:lvlText w:val="●"/>
      <w:lvlJc w:val="left"/>
      <w:pPr>
        <w:ind w:left="5040" w:hanging="360"/>
      </w:pPr>
    </w:lvl>
    <w:lvl w:ilvl="7" w:tplc="DFEE700A">
      <w:start w:val="1"/>
      <w:numFmt w:val="bullet"/>
      <w:lvlText w:val="●"/>
      <w:lvlJc w:val="left"/>
      <w:pPr>
        <w:ind w:left="5760" w:hanging="360"/>
      </w:pPr>
    </w:lvl>
    <w:lvl w:ilvl="8" w:tplc="9862856A">
      <w:start w:val="1"/>
      <w:numFmt w:val="bullet"/>
      <w:lvlText w:val="●"/>
      <w:lvlJc w:val="left"/>
      <w:pPr>
        <w:ind w:left="6480" w:hanging="360"/>
      </w:pPr>
    </w:lvl>
  </w:abstractNum>
  <w:num w:numId="1" w16cid:durableId="1914463278">
    <w:abstractNumId w:val="1"/>
    <w:lvlOverride w:ilvl="0">
      <w:startOverride w:val="1"/>
    </w:lvlOverride>
  </w:num>
  <w:num w:numId="2" w16cid:durableId="1174681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displayBackgroundShap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118"/>
    <w:rsid w:val="000057B4"/>
    <w:rsid w:val="0000649E"/>
    <w:rsid w:val="00015560"/>
    <w:rsid w:val="00024803"/>
    <w:rsid w:val="00031AEC"/>
    <w:rsid w:val="0003725B"/>
    <w:rsid w:val="0007193E"/>
    <w:rsid w:val="0008318E"/>
    <w:rsid w:val="00083CC7"/>
    <w:rsid w:val="000966EC"/>
    <w:rsid w:val="00096AB4"/>
    <w:rsid w:val="000F5167"/>
    <w:rsid w:val="00101BE4"/>
    <w:rsid w:val="00105B8D"/>
    <w:rsid w:val="00134419"/>
    <w:rsid w:val="001648E7"/>
    <w:rsid w:val="00170E91"/>
    <w:rsid w:val="00175BC3"/>
    <w:rsid w:val="00184D6C"/>
    <w:rsid w:val="00196718"/>
    <w:rsid w:val="001A4543"/>
    <w:rsid w:val="001B42D2"/>
    <w:rsid w:val="001B6E00"/>
    <w:rsid w:val="001C0C2D"/>
    <w:rsid w:val="001D0A38"/>
    <w:rsid w:val="001E5229"/>
    <w:rsid w:val="00200FB3"/>
    <w:rsid w:val="002017A7"/>
    <w:rsid w:val="00223F4F"/>
    <w:rsid w:val="00225631"/>
    <w:rsid w:val="002478C1"/>
    <w:rsid w:val="00262CD3"/>
    <w:rsid w:val="00267310"/>
    <w:rsid w:val="00282131"/>
    <w:rsid w:val="002859C0"/>
    <w:rsid w:val="00286DF8"/>
    <w:rsid w:val="002B214D"/>
    <w:rsid w:val="002B61BA"/>
    <w:rsid w:val="002B6A1A"/>
    <w:rsid w:val="002D1E70"/>
    <w:rsid w:val="002D719B"/>
    <w:rsid w:val="002D7C6A"/>
    <w:rsid w:val="002D7F81"/>
    <w:rsid w:val="002E55EB"/>
    <w:rsid w:val="00302B60"/>
    <w:rsid w:val="00306EE7"/>
    <w:rsid w:val="0033072D"/>
    <w:rsid w:val="00331D05"/>
    <w:rsid w:val="00357653"/>
    <w:rsid w:val="00363BE2"/>
    <w:rsid w:val="00365791"/>
    <w:rsid w:val="00372402"/>
    <w:rsid w:val="003808AD"/>
    <w:rsid w:val="00392C14"/>
    <w:rsid w:val="00396D00"/>
    <w:rsid w:val="00397EA0"/>
    <w:rsid w:val="003A1776"/>
    <w:rsid w:val="003A26D5"/>
    <w:rsid w:val="003B5458"/>
    <w:rsid w:val="003C38B3"/>
    <w:rsid w:val="003C6B14"/>
    <w:rsid w:val="003C7B8A"/>
    <w:rsid w:val="003E4CDC"/>
    <w:rsid w:val="003E68AA"/>
    <w:rsid w:val="003F0C2F"/>
    <w:rsid w:val="003F1DFB"/>
    <w:rsid w:val="00404F4A"/>
    <w:rsid w:val="00406289"/>
    <w:rsid w:val="00410C45"/>
    <w:rsid w:val="00425400"/>
    <w:rsid w:val="004417C0"/>
    <w:rsid w:val="004422F2"/>
    <w:rsid w:val="00451E1C"/>
    <w:rsid w:val="004558B9"/>
    <w:rsid w:val="00460EC6"/>
    <w:rsid w:val="00465589"/>
    <w:rsid w:val="00480999"/>
    <w:rsid w:val="004871B2"/>
    <w:rsid w:val="004B06DE"/>
    <w:rsid w:val="004B74BF"/>
    <w:rsid w:val="004C5422"/>
    <w:rsid w:val="004C6E0E"/>
    <w:rsid w:val="004D1E04"/>
    <w:rsid w:val="004D2E47"/>
    <w:rsid w:val="004F0349"/>
    <w:rsid w:val="004F46FD"/>
    <w:rsid w:val="004F4793"/>
    <w:rsid w:val="00511EED"/>
    <w:rsid w:val="00516925"/>
    <w:rsid w:val="005229D4"/>
    <w:rsid w:val="00531DEA"/>
    <w:rsid w:val="00534F0E"/>
    <w:rsid w:val="00540ABA"/>
    <w:rsid w:val="00544706"/>
    <w:rsid w:val="00552029"/>
    <w:rsid w:val="00552E04"/>
    <w:rsid w:val="00553064"/>
    <w:rsid w:val="00561091"/>
    <w:rsid w:val="00597980"/>
    <w:rsid w:val="005A23B4"/>
    <w:rsid w:val="005A2435"/>
    <w:rsid w:val="005A44FB"/>
    <w:rsid w:val="005B2D3C"/>
    <w:rsid w:val="005B5E94"/>
    <w:rsid w:val="005C7A92"/>
    <w:rsid w:val="005D16D0"/>
    <w:rsid w:val="005D343B"/>
    <w:rsid w:val="005D78A2"/>
    <w:rsid w:val="005E2BF6"/>
    <w:rsid w:val="005E4FEB"/>
    <w:rsid w:val="00606150"/>
    <w:rsid w:val="00607479"/>
    <w:rsid w:val="006218F6"/>
    <w:rsid w:val="006239E3"/>
    <w:rsid w:val="00623C59"/>
    <w:rsid w:val="006830EF"/>
    <w:rsid w:val="006839E3"/>
    <w:rsid w:val="0068755C"/>
    <w:rsid w:val="00687F72"/>
    <w:rsid w:val="00695440"/>
    <w:rsid w:val="006B4E25"/>
    <w:rsid w:val="006D3A77"/>
    <w:rsid w:val="006E7900"/>
    <w:rsid w:val="006F1C3D"/>
    <w:rsid w:val="00705428"/>
    <w:rsid w:val="00706998"/>
    <w:rsid w:val="00710278"/>
    <w:rsid w:val="00740ECB"/>
    <w:rsid w:val="00745C25"/>
    <w:rsid w:val="007567B4"/>
    <w:rsid w:val="007605F7"/>
    <w:rsid w:val="007629AA"/>
    <w:rsid w:val="0076615C"/>
    <w:rsid w:val="00771E3E"/>
    <w:rsid w:val="00776990"/>
    <w:rsid w:val="0079471F"/>
    <w:rsid w:val="007A6BCA"/>
    <w:rsid w:val="007B1329"/>
    <w:rsid w:val="007B1F23"/>
    <w:rsid w:val="007B230D"/>
    <w:rsid w:val="007B5EF4"/>
    <w:rsid w:val="007C6A15"/>
    <w:rsid w:val="007D21C4"/>
    <w:rsid w:val="007D6436"/>
    <w:rsid w:val="007E79E1"/>
    <w:rsid w:val="007F784C"/>
    <w:rsid w:val="0080333F"/>
    <w:rsid w:val="00807675"/>
    <w:rsid w:val="008114D3"/>
    <w:rsid w:val="00816554"/>
    <w:rsid w:val="00835CD8"/>
    <w:rsid w:val="008534B2"/>
    <w:rsid w:val="00872F74"/>
    <w:rsid w:val="00876D48"/>
    <w:rsid w:val="008820BA"/>
    <w:rsid w:val="0088486C"/>
    <w:rsid w:val="0088773A"/>
    <w:rsid w:val="008A25D8"/>
    <w:rsid w:val="008A6A27"/>
    <w:rsid w:val="008B12C1"/>
    <w:rsid w:val="008B1667"/>
    <w:rsid w:val="008C7D05"/>
    <w:rsid w:val="008D0845"/>
    <w:rsid w:val="0090768B"/>
    <w:rsid w:val="0091142B"/>
    <w:rsid w:val="0094108C"/>
    <w:rsid w:val="0094125C"/>
    <w:rsid w:val="0094187E"/>
    <w:rsid w:val="00953D55"/>
    <w:rsid w:val="00955F9A"/>
    <w:rsid w:val="009765EC"/>
    <w:rsid w:val="00982D00"/>
    <w:rsid w:val="00986F17"/>
    <w:rsid w:val="00995E9C"/>
    <w:rsid w:val="009A5ED7"/>
    <w:rsid w:val="009B4A15"/>
    <w:rsid w:val="009B7EC1"/>
    <w:rsid w:val="009C0D3D"/>
    <w:rsid w:val="009D5537"/>
    <w:rsid w:val="009D74EA"/>
    <w:rsid w:val="009E3F0F"/>
    <w:rsid w:val="009F0BA1"/>
    <w:rsid w:val="009F2605"/>
    <w:rsid w:val="009F6FEC"/>
    <w:rsid w:val="00A00F7E"/>
    <w:rsid w:val="00A013ED"/>
    <w:rsid w:val="00A05EE1"/>
    <w:rsid w:val="00A202EE"/>
    <w:rsid w:val="00A273BC"/>
    <w:rsid w:val="00A419E7"/>
    <w:rsid w:val="00A50BFC"/>
    <w:rsid w:val="00A555EA"/>
    <w:rsid w:val="00A57C38"/>
    <w:rsid w:val="00A610D4"/>
    <w:rsid w:val="00A67DEF"/>
    <w:rsid w:val="00A84145"/>
    <w:rsid w:val="00A91918"/>
    <w:rsid w:val="00A93F01"/>
    <w:rsid w:val="00AB5452"/>
    <w:rsid w:val="00AB6DD2"/>
    <w:rsid w:val="00AD1B1A"/>
    <w:rsid w:val="00AD7305"/>
    <w:rsid w:val="00AF4B63"/>
    <w:rsid w:val="00B16FA2"/>
    <w:rsid w:val="00B22248"/>
    <w:rsid w:val="00B2323F"/>
    <w:rsid w:val="00B241FB"/>
    <w:rsid w:val="00B45E27"/>
    <w:rsid w:val="00B576A2"/>
    <w:rsid w:val="00B72F54"/>
    <w:rsid w:val="00B8256D"/>
    <w:rsid w:val="00B82A6C"/>
    <w:rsid w:val="00B868F2"/>
    <w:rsid w:val="00B90C19"/>
    <w:rsid w:val="00BA05B9"/>
    <w:rsid w:val="00BA05D2"/>
    <w:rsid w:val="00BA1F20"/>
    <w:rsid w:val="00BA43EE"/>
    <w:rsid w:val="00BA7BAF"/>
    <w:rsid w:val="00BC11FC"/>
    <w:rsid w:val="00BC1FF7"/>
    <w:rsid w:val="00BD0B23"/>
    <w:rsid w:val="00BE1661"/>
    <w:rsid w:val="00BF2704"/>
    <w:rsid w:val="00BF5F9D"/>
    <w:rsid w:val="00C05DC8"/>
    <w:rsid w:val="00C437B3"/>
    <w:rsid w:val="00C56D0E"/>
    <w:rsid w:val="00C6017C"/>
    <w:rsid w:val="00C6027E"/>
    <w:rsid w:val="00C7681A"/>
    <w:rsid w:val="00CA3CA4"/>
    <w:rsid w:val="00CB32E2"/>
    <w:rsid w:val="00CC1622"/>
    <w:rsid w:val="00CE33F7"/>
    <w:rsid w:val="00CF22B5"/>
    <w:rsid w:val="00D00929"/>
    <w:rsid w:val="00D01118"/>
    <w:rsid w:val="00D10229"/>
    <w:rsid w:val="00D1719B"/>
    <w:rsid w:val="00D20127"/>
    <w:rsid w:val="00DA389C"/>
    <w:rsid w:val="00DA6944"/>
    <w:rsid w:val="00DB75D8"/>
    <w:rsid w:val="00DC37F3"/>
    <w:rsid w:val="00DD14C8"/>
    <w:rsid w:val="00DD30EC"/>
    <w:rsid w:val="00DE48B2"/>
    <w:rsid w:val="00DF6EF4"/>
    <w:rsid w:val="00E016E6"/>
    <w:rsid w:val="00E02E5E"/>
    <w:rsid w:val="00E23C0B"/>
    <w:rsid w:val="00E25A0A"/>
    <w:rsid w:val="00E33E00"/>
    <w:rsid w:val="00E36180"/>
    <w:rsid w:val="00E40A86"/>
    <w:rsid w:val="00E41AD2"/>
    <w:rsid w:val="00E575E8"/>
    <w:rsid w:val="00E6433E"/>
    <w:rsid w:val="00E726BB"/>
    <w:rsid w:val="00E81D19"/>
    <w:rsid w:val="00E82B2F"/>
    <w:rsid w:val="00E82B62"/>
    <w:rsid w:val="00E91483"/>
    <w:rsid w:val="00EA1621"/>
    <w:rsid w:val="00EA3257"/>
    <w:rsid w:val="00EA3407"/>
    <w:rsid w:val="00EA3B1C"/>
    <w:rsid w:val="00EA696A"/>
    <w:rsid w:val="00EB0826"/>
    <w:rsid w:val="00EB0C45"/>
    <w:rsid w:val="00EB4E9D"/>
    <w:rsid w:val="00EC6AE8"/>
    <w:rsid w:val="00ED7FC5"/>
    <w:rsid w:val="00EE3CA0"/>
    <w:rsid w:val="00EE3DE2"/>
    <w:rsid w:val="00F04C12"/>
    <w:rsid w:val="00F06E67"/>
    <w:rsid w:val="00F17687"/>
    <w:rsid w:val="00F261AB"/>
    <w:rsid w:val="00F30930"/>
    <w:rsid w:val="00F33907"/>
    <w:rsid w:val="00F33C47"/>
    <w:rsid w:val="00F36805"/>
    <w:rsid w:val="00F37558"/>
    <w:rsid w:val="00F54145"/>
    <w:rsid w:val="00F556C4"/>
    <w:rsid w:val="00F60568"/>
    <w:rsid w:val="00F76372"/>
    <w:rsid w:val="00F8038D"/>
    <w:rsid w:val="00F93E45"/>
    <w:rsid w:val="00FB0CC1"/>
    <w:rsid w:val="00FB1C9F"/>
    <w:rsid w:val="00FB5E79"/>
    <w:rsid w:val="00FD2CC1"/>
    <w:rsid w:val="00FD3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747B8"/>
  <w15:docId w15:val="{D3F7A317-1E08-2D4F-B72D-36D3C2404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180"/>
      <w:outlineLvl w:val="0"/>
    </w:pPr>
    <w:rPr>
      <w:b/>
      <w:bCs/>
      <w:color w:val="1F3864"/>
      <w:sz w:val="26"/>
      <w:szCs w:val="26"/>
    </w:rPr>
  </w:style>
  <w:style w:type="paragraph" w:styleId="Heading2">
    <w:name w:val="heading 2"/>
    <w:uiPriority w:val="9"/>
    <w:unhideWhenUsed/>
    <w:qFormat/>
    <w:pPr>
      <w:spacing w:before="220" w:after="110"/>
      <w:outlineLvl w:val="1"/>
    </w:pPr>
    <w:rPr>
      <w:b/>
      <w:bCs/>
      <w:color w:val="2E75B6"/>
      <w:sz w:val="24"/>
      <w:szCs w:val="24"/>
    </w:rPr>
  </w:style>
  <w:style w:type="paragraph" w:styleId="Heading3">
    <w:name w:val="heading 3"/>
    <w:uiPriority w:val="9"/>
    <w:unhideWhenUsed/>
    <w:qFormat/>
    <w:pPr>
      <w:spacing w:before="180" w:after="90"/>
      <w:outlineLvl w:val="2"/>
    </w:pPr>
    <w:rPr>
      <w:b/>
      <w:bCs/>
      <w:color w:val="33333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unhideWhenUsed/>
    <w:rsid w:val="003A1776"/>
    <w:pPr>
      <w:spacing w:before="100" w:beforeAutospacing="1" w:after="100" w:afterAutospacing="1"/>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52E04"/>
    <w:pPr>
      <w:tabs>
        <w:tab w:val="center" w:pos="4513"/>
        <w:tab w:val="right" w:pos="9026"/>
      </w:tabs>
    </w:pPr>
  </w:style>
  <w:style w:type="character" w:customStyle="1" w:styleId="FooterChar">
    <w:name w:val="Footer Char"/>
    <w:basedOn w:val="DefaultParagraphFont"/>
    <w:link w:val="Footer"/>
    <w:uiPriority w:val="99"/>
    <w:rsid w:val="00552E04"/>
  </w:style>
  <w:style w:type="character" w:styleId="PageNumber">
    <w:name w:val="page number"/>
    <w:basedOn w:val="DefaultParagraphFont"/>
    <w:uiPriority w:val="99"/>
    <w:semiHidden/>
    <w:unhideWhenUsed/>
    <w:rsid w:val="00552E04"/>
  </w:style>
  <w:style w:type="paragraph" w:styleId="Header">
    <w:name w:val="header"/>
    <w:basedOn w:val="Normal"/>
    <w:link w:val="HeaderChar"/>
    <w:uiPriority w:val="99"/>
    <w:unhideWhenUsed/>
    <w:rsid w:val="00872F74"/>
    <w:pPr>
      <w:tabs>
        <w:tab w:val="center" w:pos="4513"/>
        <w:tab w:val="right" w:pos="9026"/>
      </w:tabs>
    </w:pPr>
  </w:style>
  <w:style w:type="character" w:customStyle="1" w:styleId="HeaderChar">
    <w:name w:val="Header Char"/>
    <w:basedOn w:val="DefaultParagraphFont"/>
    <w:link w:val="Header"/>
    <w:uiPriority w:val="99"/>
    <w:rsid w:val="00872F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4070</Words>
  <Characters>25278</Characters>
  <Application>Microsoft Office Word</Application>
  <DocSecurity>0</DocSecurity>
  <Lines>428</Lines>
  <Paragraphs>141</Paragraphs>
  <ScaleCrop>false</ScaleCrop>
  <Company/>
  <LinksUpToDate>false</LinksUpToDate>
  <CharactersWithSpaces>29207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Md Didar Alam</cp:lastModifiedBy>
  <cp:revision>4</cp:revision>
  <dcterms:created xsi:type="dcterms:W3CDTF">2026-04-28T17:15:00Z</dcterms:created>
  <dcterms:modified xsi:type="dcterms:W3CDTF">2026-04-29T05:51:00Z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0f5f9727-40e5-4976-8476-ca5be8b51494</vt:lpwstr>
  </property>
</Properties>
</file>