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B0FA25" w14:textId="287D8334" w:rsidR="005F3E2C" w:rsidRDefault="000C5B65" w:rsidP="0002534D">
      <w:pPr>
        <w:spacing w:line="360" w:lineRule="auto"/>
        <w:jc w:val="center"/>
      </w:pPr>
      <w:r w:rsidRPr="000C5B65">
        <w:rPr>
          <w:b/>
          <w:bCs/>
          <w:u w:val="single"/>
        </w:rPr>
        <w:t>A Commentary On Extracts From The Domesday Book</w:t>
      </w:r>
    </w:p>
    <w:p w14:paraId="721F2F70" w14:textId="10BB4B60" w:rsidR="000C5B65" w:rsidRDefault="000C5B65" w:rsidP="0002534D">
      <w:pPr>
        <w:spacing w:line="360" w:lineRule="auto"/>
        <w:jc w:val="both"/>
      </w:pPr>
      <w:r>
        <w:tab/>
        <w:t xml:space="preserve">The </w:t>
      </w:r>
      <w:r w:rsidR="00BA3F86">
        <w:t xml:space="preserve">second volume of the </w:t>
      </w:r>
      <w:r w:rsidR="00BA3F86">
        <w:rPr>
          <w:i/>
          <w:iCs/>
        </w:rPr>
        <w:t xml:space="preserve">Domesday </w:t>
      </w:r>
      <w:r w:rsidR="00BA3F86" w:rsidRPr="00BA3F86">
        <w:t>Book</w:t>
      </w:r>
      <w:r w:rsidR="00BA3F86">
        <w:t xml:space="preserve">, often called the </w:t>
      </w:r>
      <w:r w:rsidR="00DE3167" w:rsidRPr="00BA3F86">
        <w:rPr>
          <w:i/>
          <w:iCs/>
        </w:rPr>
        <w:t>Little</w:t>
      </w:r>
      <w:r w:rsidR="00DE3167" w:rsidRPr="009075F5">
        <w:rPr>
          <w:i/>
          <w:iCs/>
        </w:rPr>
        <w:t xml:space="preserve"> </w:t>
      </w:r>
      <w:r w:rsidRPr="009075F5">
        <w:rPr>
          <w:i/>
          <w:iCs/>
        </w:rPr>
        <w:t>Domesday Book</w:t>
      </w:r>
      <w:r w:rsidR="00BA3F86">
        <w:t xml:space="preserve"> (the title this commentary shall use for the brevity)</w:t>
      </w:r>
      <w:r>
        <w:t xml:space="preserve">, as seen in the extracts from the </w:t>
      </w:r>
      <w:r w:rsidR="00533729" w:rsidRPr="00533729">
        <w:rPr>
          <w:i/>
          <w:iCs/>
        </w:rPr>
        <w:t>Translations and Reprints from the Original Sources of European History</w:t>
      </w:r>
      <w:r w:rsidR="00533729">
        <w:t xml:space="preserve"> is, essentially, a survey into the settlements of England, compiling mostly economic data, for the benefit of its recent conqueror William the Bastard</w:t>
      </w:r>
      <w:r w:rsidR="00F74CF6">
        <w:t>, and his Norman vassals</w:t>
      </w:r>
      <w:r w:rsidR="00533729">
        <w:rPr>
          <w:rStyle w:val="FootnoteReference"/>
        </w:rPr>
        <w:footnoteReference w:id="1"/>
      </w:r>
      <w:r w:rsidR="00F74CF6">
        <w:t xml:space="preserve">. </w:t>
      </w:r>
      <w:r w:rsidR="00803811">
        <w:t>It is a</w:t>
      </w:r>
      <w:r w:rsidR="00F74CF6">
        <w:t xml:space="preserve"> detailed guide to assist the new, relative to the of this book’s writing in the early-mid-1080s, administration, with information on debts, rents, and some local customs</w:t>
      </w:r>
      <w:r w:rsidR="00803811">
        <w:rPr>
          <w:rStyle w:val="FootnoteReference"/>
        </w:rPr>
        <w:footnoteReference w:id="2"/>
      </w:r>
      <w:r w:rsidR="00803811">
        <w:t xml:space="preserve">. </w:t>
      </w:r>
    </w:p>
    <w:p w14:paraId="2E4B2026" w14:textId="5FFFA7AB" w:rsidR="00803811" w:rsidRDefault="00C64F7A" w:rsidP="0002534D">
      <w:pPr>
        <w:spacing w:line="360" w:lineRule="auto"/>
        <w:jc w:val="both"/>
      </w:pPr>
      <w:r>
        <w:tab/>
        <w:t xml:space="preserve">This function, as a book of dry facts, being apparent, the </w:t>
      </w:r>
      <w:r w:rsidR="00DE3167" w:rsidRPr="009075F5">
        <w:rPr>
          <w:i/>
          <w:iCs/>
        </w:rPr>
        <w:t xml:space="preserve">Little </w:t>
      </w:r>
      <w:r w:rsidRPr="009075F5">
        <w:rPr>
          <w:i/>
          <w:iCs/>
        </w:rPr>
        <w:t>Domesday Book</w:t>
      </w:r>
      <w:r>
        <w:t xml:space="preserve">, as presented in Robinson’s translation of the extracts, is almost entirely lacking in any literary value. The writing follows the formula of a named </w:t>
      </w:r>
      <w:r w:rsidR="007D25E9">
        <w:t xml:space="preserve">holding, and a named previous holder, accompanied by information upon the land, including details on occupants, and work. The language is repetitive, </w:t>
      </w:r>
      <w:r w:rsidR="0057404F">
        <w:t>‘</w:t>
      </w:r>
      <w:r w:rsidR="0057404F" w:rsidRPr="0057404F">
        <w:rPr>
          <w:i/>
          <w:iCs/>
        </w:rPr>
        <w:t>Then and afterwards 8 villains; now 3. Then and afterwards 3 bordars; now 5. At all times 3 serfs, and 30 acres of meadow. At all times 2 carucates in demesne</w:t>
      </w:r>
      <w:r w:rsidR="0057404F">
        <w:rPr>
          <w:rStyle w:val="FootnoteReference"/>
          <w:i/>
          <w:iCs/>
        </w:rPr>
        <w:footnoteReference w:id="3"/>
      </w:r>
      <w:r w:rsidR="0057404F">
        <w:t xml:space="preserve">’, and purely functional. This total lack of any literary merit is appropriate to a guide of this kind, and – furthermore – is suggestive of the accuracy of the </w:t>
      </w:r>
      <w:r w:rsidR="00DE3167" w:rsidRPr="009075F5">
        <w:rPr>
          <w:i/>
          <w:iCs/>
        </w:rPr>
        <w:t xml:space="preserve">Little </w:t>
      </w:r>
      <w:r w:rsidR="0057404F" w:rsidRPr="009075F5">
        <w:rPr>
          <w:i/>
          <w:iCs/>
        </w:rPr>
        <w:t>Domesday Book</w:t>
      </w:r>
      <w:r w:rsidR="0057404F">
        <w:t>, as it pertains to the pre-Norman, and post-Norman</w:t>
      </w:r>
      <w:r w:rsidR="003F7CE8">
        <w:t>, economic history. This can be ascertained from the fact that a text this tedious, and repetitive,</w:t>
      </w:r>
      <w:r w:rsidR="00EC26E5">
        <w:t xml:space="preserve"> book</w:t>
      </w:r>
      <w:r w:rsidR="003F7CE8">
        <w:t xml:space="preserve"> is unlikely to have been intended to be read by anyone other than those in William the Bastard’s court, and the king himself, meaning that any exaggeration of the facts would be unnecessa</w:t>
      </w:r>
      <w:r w:rsidR="00EC26E5">
        <w:t xml:space="preserve">ry – there would be no one external to impress – and counter-productive, this book is meant to assist the new administrators, which inaccurate data would materially hinder. </w:t>
      </w:r>
      <w:r w:rsidR="00B05864">
        <w:t xml:space="preserve">As such, the </w:t>
      </w:r>
      <w:r w:rsidR="00DE3167" w:rsidRPr="009075F5">
        <w:rPr>
          <w:i/>
          <w:iCs/>
        </w:rPr>
        <w:t xml:space="preserve">Little </w:t>
      </w:r>
      <w:r w:rsidR="00B05864" w:rsidRPr="009075F5">
        <w:rPr>
          <w:i/>
          <w:iCs/>
        </w:rPr>
        <w:t>Domesday Book</w:t>
      </w:r>
      <w:r w:rsidR="00B05864">
        <w:t xml:space="preserve"> can, fairly, be said to be one of the few primary sources on Norman England to be accurate to the true historical details, and as such, as indicated by Robinson, the translator of the extracts, it has long been widely used by historians</w:t>
      </w:r>
      <w:r w:rsidR="00FB177F">
        <w:rPr>
          <w:rStyle w:val="FootnoteReference"/>
        </w:rPr>
        <w:footnoteReference w:id="4"/>
      </w:r>
      <w:r w:rsidR="00FB177F">
        <w:t>.</w:t>
      </w:r>
    </w:p>
    <w:p w14:paraId="55FCAB5F" w14:textId="26BE34C8" w:rsidR="00980484" w:rsidRDefault="00DE3167" w:rsidP="0002534D">
      <w:pPr>
        <w:spacing w:line="360" w:lineRule="auto"/>
        <w:jc w:val="both"/>
      </w:pPr>
      <w:r>
        <w:tab/>
        <w:t xml:space="preserve">Though </w:t>
      </w:r>
      <w:r w:rsidR="007B05D7">
        <w:t xml:space="preserve">much of the contents speaks to the purely functional nature of the </w:t>
      </w:r>
      <w:r w:rsidR="007B05D7" w:rsidRPr="009075F5">
        <w:rPr>
          <w:i/>
          <w:iCs/>
        </w:rPr>
        <w:t>Little Domesday Book</w:t>
      </w:r>
      <w:r w:rsidR="007B05D7">
        <w:t>, which</w:t>
      </w:r>
      <w:r w:rsidR="00980484">
        <w:t xml:space="preserve"> –</w:t>
      </w:r>
      <w:r w:rsidR="007B05D7">
        <w:t xml:space="preserve"> as discussed</w:t>
      </w:r>
      <w:r w:rsidR="00980484">
        <w:t xml:space="preserve"> –</w:t>
      </w:r>
      <w:r w:rsidR="007B05D7">
        <w:t xml:space="preserve"> is suggestive of the text’s accuracy, certain features, such as the surveyor</w:t>
      </w:r>
      <w:r w:rsidR="00CD24FC">
        <w:t>’</w:t>
      </w:r>
      <w:r w:rsidR="007B05D7">
        <w:t>s introduction</w:t>
      </w:r>
      <w:r w:rsidR="00CD24FC">
        <w:t>, as Robinson translates it</w:t>
      </w:r>
      <w:r w:rsidR="00980484">
        <w:t>, suggest otherwise</w:t>
      </w:r>
      <w:r w:rsidR="00250CBF">
        <w:t xml:space="preserve">. This short paragraph </w:t>
      </w:r>
      <w:r w:rsidR="00980484">
        <w:t>outlines what the survey is meant to record</w:t>
      </w:r>
      <w:r w:rsidR="00250CBF">
        <w:t xml:space="preserve">, but </w:t>
      </w:r>
      <w:r w:rsidR="00980484">
        <w:t xml:space="preserve">it </w:t>
      </w:r>
      <w:r w:rsidR="00250CBF">
        <w:t>does so with reference to the role of persons of status in compiling the work, and therefore the implication of a patronage</w:t>
      </w:r>
      <w:r w:rsidR="00845D01">
        <w:t>, ‘</w:t>
      </w:r>
      <w:r w:rsidR="00845D01" w:rsidRPr="00845D01">
        <w:rPr>
          <w:i/>
          <w:iCs/>
        </w:rPr>
        <w:t>Here is subscribed the inquisition of lands as the barons of the king have made inquiry into them</w:t>
      </w:r>
      <w:r w:rsidR="00250CBF">
        <w:rPr>
          <w:rStyle w:val="FootnoteReference"/>
        </w:rPr>
        <w:footnoteReference w:id="5"/>
      </w:r>
      <w:r w:rsidR="00845D01">
        <w:t>’</w:t>
      </w:r>
      <w:r w:rsidR="00250CBF">
        <w:t xml:space="preserve">. Though the author is restrained, relative to those writing in other works written with the Duke of Normandy’s patronage, notably </w:t>
      </w:r>
      <w:r w:rsidR="009075F5">
        <w:t xml:space="preserve">Dudo of St. Quentin who in </w:t>
      </w:r>
      <w:r w:rsidR="009075F5">
        <w:rPr>
          <w:i/>
          <w:iCs/>
        </w:rPr>
        <w:t>Gesta Normannorum</w:t>
      </w:r>
      <w:r w:rsidR="009075F5">
        <w:t xml:space="preserve"> talks at length abut his ducal patronage, that they mention</w:t>
      </w:r>
      <w:r w:rsidR="00980484">
        <w:t xml:space="preserve"> at all</w:t>
      </w:r>
      <w:r w:rsidR="009075F5">
        <w:t xml:space="preserve"> it</w:t>
      </w:r>
      <w:r w:rsidR="00980484">
        <w:t xml:space="preserve"> is</w:t>
      </w:r>
      <w:r w:rsidR="009075F5">
        <w:t xml:space="preserve"> surplus to the functional requirements of this book</w:t>
      </w:r>
      <w:r w:rsidR="00980484">
        <w:t>, and</w:t>
      </w:r>
      <w:r w:rsidR="009075F5">
        <w:t xml:space="preserve"> is of interest</w:t>
      </w:r>
      <w:r w:rsidR="009075F5">
        <w:rPr>
          <w:rStyle w:val="FootnoteReference"/>
        </w:rPr>
        <w:footnoteReference w:id="6"/>
      </w:r>
      <w:r w:rsidR="009075F5">
        <w:t xml:space="preserve">. </w:t>
      </w:r>
      <w:r w:rsidR="00B9575D">
        <w:t>Patronages are, inherently, an expression of the patron’s wealth an</w:t>
      </w:r>
      <w:r w:rsidR="00980484">
        <w:t>d</w:t>
      </w:r>
      <w:r w:rsidR="00B9575D">
        <w:t xml:space="preserve"> authority, they </w:t>
      </w:r>
      <w:r w:rsidR="00980484">
        <w:t xml:space="preserve">show that they </w:t>
      </w:r>
      <w:r w:rsidR="00B9575D">
        <w:t xml:space="preserve">are able to support a work’s producer, and are mentioned by authors to highlight the </w:t>
      </w:r>
      <w:r w:rsidR="00980484">
        <w:t xml:space="preserve">said wealth, and authority, in such a way as to impress </w:t>
      </w:r>
      <w:r w:rsidR="00980484">
        <w:lastRenderedPageBreak/>
        <w:t>their peers</w:t>
      </w:r>
      <w:r w:rsidR="00B9575D">
        <w:rPr>
          <w:rStyle w:val="FootnoteReference"/>
        </w:rPr>
        <w:footnoteReference w:id="7"/>
      </w:r>
      <w:r w:rsidR="00B9575D">
        <w:t xml:space="preserve">. This being so, the inclusion of a reference to patronage in the </w:t>
      </w:r>
      <w:r w:rsidR="00B9575D">
        <w:rPr>
          <w:i/>
          <w:iCs/>
        </w:rPr>
        <w:t>Little Domesday Book</w:t>
      </w:r>
      <w:r w:rsidR="00B9575D">
        <w:t>, is suggesti</w:t>
      </w:r>
      <w:r w:rsidR="00BC2B56">
        <w:t xml:space="preserve">ve </w:t>
      </w:r>
      <w:r w:rsidR="00B9575D">
        <w:t>of a wider, intended, readership, than the purely functional nature of the text suggests</w:t>
      </w:r>
      <w:r w:rsidR="00BC2B56">
        <w:t xml:space="preserve">. The notion that this work may have been written for a wider audience has far reaching implications, significantly it places doubt on the </w:t>
      </w:r>
      <w:r w:rsidR="00BC2B56">
        <w:rPr>
          <w:i/>
          <w:iCs/>
        </w:rPr>
        <w:t>Little Domesday Book</w:t>
      </w:r>
      <w:r w:rsidR="00BC2B56">
        <w:t xml:space="preserve">’s reputation for reliability, which </w:t>
      </w:r>
      <w:r w:rsidR="00845D01">
        <w:t>has been</w:t>
      </w:r>
      <w:r w:rsidR="00BC2B56">
        <w:t xml:space="preserve"> discussed above</w:t>
      </w:r>
      <w:r w:rsidR="00845D01">
        <w:t xml:space="preserve">. If the </w:t>
      </w:r>
      <w:r w:rsidR="00845D01">
        <w:rPr>
          <w:i/>
          <w:iCs/>
        </w:rPr>
        <w:t>Little Domesday Book</w:t>
      </w:r>
      <w:r w:rsidR="00845D01">
        <w:t xml:space="preserve"> was meant to be read by those outside of William the Bastard’s court, outsiders who might be impressed by the new king’s patronage, the possibility of exaggerations, biased towards England under king William, must be taken into account when using </w:t>
      </w:r>
      <w:r w:rsidR="00845D01">
        <w:rPr>
          <w:i/>
          <w:iCs/>
        </w:rPr>
        <w:t>The Little Domesday Book</w:t>
      </w:r>
      <w:r w:rsidR="00845D01">
        <w:t xml:space="preserve"> as a source</w:t>
      </w:r>
      <w:r w:rsidR="00005EE1">
        <w:t xml:space="preserve">. </w:t>
      </w:r>
      <w:r w:rsidR="00980484" w:rsidRPr="00980484">
        <w:t>The Little Domesday Book may not be as reliable as has been thought, as least so far as unambiguous facts in England</w:t>
      </w:r>
      <w:r w:rsidR="00980484">
        <w:t>’</w:t>
      </w:r>
      <w:r w:rsidR="00980484" w:rsidRPr="00980484">
        <w:t>s economic history are concerned.</w:t>
      </w:r>
    </w:p>
    <w:p w14:paraId="343F28A5" w14:textId="7E1D6CE6" w:rsidR="00FB177F" w:rsidRDefault="00980484" w:rsidP="0002534D">
      <w:pPr>
        <w:spacing w:line="360" w:lineRule="auto"/>
        <w:ind w:firstLine="720"/>
        <w:jc w:val="both"/>
      </w:pPr>
      <w:r>
        <w:t xml:space="preserve">With this possibility of inaccuracy in mind, certain passages, often taken as certain fact by historians, </w:t>
      </w:r>
      <w:r w:rsidR="00DF7674">
        <w:t xml:space="preserve">might benefit from deeper analysis. Any exaggerations of the truth included in the </w:t>
      </w:r>
      <w:r w:rsidR="00DF7674">
        <w:rPr>
          <w:i/>
          <w:iCs/>
        </w:rPr>
        <w:t>Little Domesday Book</w:t>
      </w:r>
      <w:r w:rsidR="00DF7674">
        <w:t xml:space="preserve"> would, as stated above, be biased in William the Bastard’s favour, and might – logically – include improvements of the economy under the new king, compared to the state of affairs under the old regime. Such, apparent, improvements are quite common </w:t>
      </w:r>
      <w:r w:rsidR="00005EE1">
        <w:t>in the extract</w:t>
      </w:r>
      <w:r w:rsidR="00DF7674">
        <w:t>.</w:t>
      </w:r>
      <w:r w:rsidR="00005EE1">
        <w:t xml:space="preserve"> </w:t>
      </w:r>
      <w:r w:rsidR="00DF7674">
        <w:t>F</w:t>
      </w:r>
      <w:r w:rsidR="00005EE1">
        <w:t xml:space="preserve">or example, for the </w:t>
      </w:r>
      <w:r w:rsidR="00005EE1" w:rsidRPr="00005EE1">
        <w:t>Scerpham Hundred</w:t>
      </w:r>
      <w:r w:rsidR="00005EE1">
        <w:t xml:space="preserve"> the text notes a decreased stock on the land, compared to how it was pre-conquest, but an increased value from </w:t>
      </w:r>
      <w:r w:rsidR="00DF7674">
        <w:t>sixty</w:t>
      </w:r>
      <w:r w:rsidR="00005EE1">
        <w:t xml:space="preserve"> shillings, to </w:t>
      </w:r>
      <w:r w:rsidR="00DF7674">
        <w:t>eighty</w:t>
      </w:r>
      <w:r w:rsidR="00005EE1">
        <w:rPr>
          <w:rStyle w:val="FootnoteReference"/>
        </w:rPr>
        <w:footnoteReference w:id="8"/>
      </w:r>
      <w:r w:rsidR="00005EE1">
        <w:t>.</w:t>
      </w:r>
      <w:r w:rsidR="00DF7674">
        <w:t xml:space="preserve"> Where this improvement in value, despite a reduction in stock, a single instance, it might be considered an inexplicable outlier, but it is not; within the same extract</w:t>
      </w:r>
      <w:r w:rsidR="001A14DB">
        <w:t xml:space="preserve"> the </w:t>
      </w:r>
      <w:r w:rsidR="001A14DB" w:rsidRPr="001A14DB">
        <w:t>Heinstede Hundred</w:t>
      </w:r>
      <w:r w:rsidR="001A14DB">
        <w:t xml:space="preserve"> sees an increase in value under William the Bastard, from thirty, to fifty shillings in returns for the holder, despite not corresponding increase in stock, and an apparent decrease in land used directly by the holder, as it came to be split between thirteen bordars, rather than nine</w:t>
      </w:r>
      <w:r w:rsidR="0054340D">
        <w:rPr>
          <w:rStyle w:val="FootnoteReference"/>
        </w:rPr>
        <w:footnoteReference w:id="9"/>
      </w:r>
      <w:r w:rsidR="001A14DB">
        <w:t xml:space="preserve">. These favourable changes, </w:t>
      </w:r>
      <w:r w:rsidR="0054340D">
        <w:t>after</w:t>
      </w:r>
      <w:r w:rsidR="001A14DB">
        <w:t xml:space="preserve"> William the Bastard’s conquest, seem not to be outliers, and – according to scholars such as Thomas – were symptomatic of an economic recovery, following the hostile climate</w:t>
      </w:r>
      <w:r w:rsidR="0054340D">
        <w:t xml:space="preserve"> of the later part of Edward the Confessor’s reign, and William the Bastard’s own conquest</w:t>
      </w:r>
      <w:r w:rsidR="0054340D">
        <w:rPr>
          <w:rStyle w:val="FootnoteReference"/>
        </w:rPr>
        <w:footnoteReference w:id="10"/>
      </w:r>
      <w:r w:rsidR="0054340D">
        <w:t>.</w:t>
      </w:r>
      <w:r w:rsidR="00BA3F86">
        <w:t xml:space="preserve"> However, Thomas does not consider the possibility of inaccuracies – the potential for which has been discussed above – in any volume of the </w:t>
      </w:r>
      <w:r w:rsidR="00BA3F86">
        <w:rPr>
          <w:i/>
          <w:iCs/>
        </w:rPr>
        <w:t>Domesday Book</w:t>
      </w:r>
      <w:r w:rsidR="008A551B">
        <w:t xml:space="preserve">. </w:t>
      </w:r>
      <w:r w:rsidR="00F434CF">
        <w:t xml:space="preserve">Keeping this possibility in mind, and noting that, both in my reading, and Thomas’ wider reading, the volumes of the </w:t>
      </w:r>
      <w:r w:rsidR="00F434CF">
        <w:rPr>
          <w:i/>
          <w:iCs/>
        </w:rPr>
        <w:t>Domesday Book</w:t>
      </w:r>
      <w:r w:rsidR="00F434CF">
        <w:t xml:space="preserve"> suggest economic growth after the conquest, it becomes more likely that the numbers have been subject to exaggeration, particularly considering that this supposed growth was even apparent in the no</w:t>
      </w:r>
      <w:r w:rsidR="00EF28B5">
        <w:t>rth of England, which William the Bastard had previously devastated</w:t>
      </w:r>
      <w:r w:rsidR="00EF28B5">
        <w:rPr>
          <w:rStyle w:val="FootnoteReference"/>
        </w:rPr>
        <w:footnoteReference w:id="11"/>
      </w:r>
      <w:r w:rsidR="00EF28B5">
        <w:t xml:space="preserve">. </w:t>
      </w:r>
      <w:r w:rsidR="00185449">
        <w:t xml:space="preserve">The numbers are generally favourable, which would reflect well on the new king, but they should not be, it is not logical that reduced stock, or land, should lead to increased value, and certainly not to the extent that we see in the </w:t>
      </w:r>
      <w:r w:rsidR="00185449">
        <w:rPr>
          <w:i/>
          <w:iCs/>
        </w:rPr>
        <w:t>Little Domesday Book</w:t>
      </w:r>
      <w:r w:rsidR="00185449">
        <w:t xml:space="preserve">. This rather suggests that – despite appearance </w:t>
      </w:r>
      <w:r w:rsidR="003C64BB">
        <w:t>–</w:t>
      </w:r>
      <w:r w:rsidR="00185449">
        <w:t xml:space="preserve"> </w:t>
      </w:r>
      <w:r w:rsidR="003C64BB">
        <w:t xml:space="preserve">the </w:t>
      </w:r>
      <w:r w:rsidR="003C64BB">
        <w:rPr>
          <w:i/>
          <w:iCs/>
        </w:rPr>
        <w:t>Little Domesday Book</w:t>
      </w:r>
      <w:r w:rsidR="003C64BB">
        <w:t xml:space="preserve"> has been significantly exaggerated.</w:t>
      </w:r>
    </w:p>
    <w:p w14:paraId="49E7A140" w14:textId="31732545" w:rsidR="003C64BB" w:rsidRDefault="003C64BB" w:rsidP="0002534D">
      <w:pPr>
        <w:spacing w:line="360" w:lineRule="auto"/>
        <w:ind w:firstLine="720"/>
        <w:jc w:val="both"/>
      </w:pPr>
      <w:r>
        <w:t xml:space="preserve">Over this commentary the </w:t>
      </w:r>
      <w:r>
        <w:rPr>
          <w:i/>
          <w:iCs/>
        </w:rPr>
        <w:t>Little Domesday Book</w:t>
      </w:r>
      <w:r>
        <w:t xml:space="preserve">’s reputation for accuracy to the fact, an exceptional trait for a source of this era, has been examined. As has been commented upon, the text, on the surface, indicates </w:t>
      </w:r>
      <w:r>
        <w:lastRenderedPageBreak/>
        <w:t xml:space="preserve">a work intended for purely functional use, a work likely to reflect the truth, but reference the patronage, and the subtextual indications, which indicate this work to be a symbol of status, of this fact, place doubt upon this. With this subtext in mind, it has </w:t>
      </w:r>
      <w:r w:rsidR="00404433">
        <w:t>been seen that</w:t>
      </w:r>
      <w:r>
        <w:t xml:space="preserve"> a very different analysis of this text can be drawn.</w:t>
      </w:r>
      <w:r w:rsidR="00404433">
        <w:t xml:space="preserve"> This commentary has determined that the </w:t>
      </w:r>
      <w:r w:rsidR="00404433">
        <w:rPr>
          <w:i/>
          <w:iCs/>
        </w:rPr>
        <w:t>Little Domesday Book</w:t>
      </w:r>
      <w:r w:rsidR="00404433">
        <w:t xml:space="preserve"> may not be entirely deserving of its reputation for accuracy. </w:t>
      </w:r>
    </w:p>
    <w:p w14:paraId="29699552" w14:textId="2FECBD59" w:rsidR="00404433" w:rsidRPr="00404433" w:rsidRDefault="00404433" w:rsidP="0002534D">
      <w:pPr>
        <w:spacing w:line="360" w:lineRule="auto"/>
        <w:jc w:val="both"/>
        <w:rPr>
          <w:b/>
          <w:bCs/>
          <w:u w:val="single"/>
        </w:rPr>
      </w:pPr>
      <w:r w:rsidRPr="00404433">
        <w:rPr>
          <w:b/>
          <w:bCs/>
          <w:u w:val="single"/>
        </w:rPr>
        <w:t>Bibliography</w:t>
      </w:r>
    </w:p>
    <w:p w14:paraId="2828C864" w14:textId="1A9475AE" w:rsidR="00404433" w:rsidRDefault="00404433" w:rsidP="0002534D">
      <w:pPr>
        <w:spacing w:line="360" w:lineRule="auto"/>
        <w:jc w:val="both"/>
        <w:rPr>
          <w:b/>
          <w:bCs/>
        </w:rPr>
      </w:pPr>
      <w:r w:rsidRPr="00404433">
        <w:rPr>
          <w:b/>
          <w:bCs/>
        </w:rPr>
        <w:t>Primary Sources</w:t>
      </w:r>
    </w:p>
    <w:p w14:paraId="0F133FB7" w14:textId="702D9921" w:rsidR="00404433" w:rsidRPr="00404433" w:rsidRDefault="00404433" w:rsidP="0002534D">
      <w:pPr>
        <w:spacing w:line="360" w:lineRule="auto"/>
        <w:jc w:val="both"/>
      </w:pPr>
      <w:r>
        <w:t xml:space="preserve">Dudo of St. Quentin, </w:t>
      </w:r>
      <w:r w:rsidRPr="009075F5">
        <w:rPr>
          <w:i/>
          <w:iCs/>
        </w:rPr>
        <w:t>Dudo of St. Quentin’s Gesta Normannorum: An English Translation</w:t>
      </w:r>
      <w:r>
        <w:t xml:space="preserve">, trans. Lifshitz, F., 2019, </w:t>
      </w:r>
      <w:r w:rsidRPr="009075F5">
        <w:t>https://sourcebooks.fordham.edu/source/dudu-stquentin-gesta-trans-lifshitz.asp</w:t>
      </w:r>
      <w:r>
        <w:t>. [Accessed: 13/04/2021].</w:t>
      </w:r>
    </w:p>
    <w:p w14:paraId="4C735FBD" w14:textId="20588638" w:rsidR="00404433" w:rsidRDefault="00404433" w:rsidP="0002534D">
      <w:pPr>
        <w:spacing w:line="360" w:lineRule="auto"/>
        <w:jc w:val="both"/>
      </w:pPr>
      <w:r>
        <w:rPr>
          <w:i/>
          <w:iCs/>
        </w:rPr>
        <w:t>The Little Domesday Book</w:t>
      </w:r>
      <w:r>
        <w:t xml:space="preserve">, in </w:t>
      </w:r>
      <w:r w:rsidRPr="00AB0D64">
        <w:rPr>
          <w:i/>
          <w:iCs/>
        </w:rPr>
        <w:t xml:space="preserve">Translations and Reprints from the Original Sources of European </w:t>
      </w:r>
      <w:r>
        <w:rPr>
          <w:i/>
          <w:iCs/>
        </w:rPr>
        <w:t>H</w:t>
      </w:r>
      <w:r w:rsidRPr="00AB0D64">
        <w:rPr>
          <w:i/>
          <w:iCs/>
        </w:rPr>
        <w:t>istory,</w:t>
      </w:r>
      <w:r>
        <w:t>,</w:t>
      </w:r>
      <w:r>
        <w:rPr>
          <w:i/>
          <w:iCs/>
        </w:rPr>
        <w:t xml:space="preserve"> </w:t>
      </w:r>
      <w:r>
        <w:t>Vol. 3, trans. by</w:t>
      </w:r>
      <w:r>
        <w:t xml:space="preserve"> </w:t>
      </w:r>
      <w:r>
        <w:t>Robinson,</w:t>
      </w:r>
      <w:r>
        <w:t xml:space="preserve"> J. H.,</w:t>
      </w:r>
      <w:r>
        <w:t xml:space="preserve"> et al, (</w:t>
      </w:r>
      <w:r w:rsidRPr="00AB0D64">
        <w:t>Massachusetts</w:t>
      </w:r>
      <w:r>
        <w:t>, The Department of History Of The University Of Pennsylvania, 1897).</w:t>
      </w:r>
    </w:p>
    <w:p w14:paraId="7F21D64D" w14:textId="4C1C749D" w:rsidR="00404433" w:rsidRDefault="00404433" w:rsidP="0002534D">
      <w:pPr>
        <w:spacing w:line="360" w:lineRule="auto"/>
        <w:jc w:val="both"/>
        <w:rPr>
          <w:b/>
          <w:bCs/>
        </w:rPr>
      </w:pPr>
      <w:r>
        <w:rPr>
          <w:b/>
          <w:bCs/>
        </w:rPr>
        <w:t>Secondary Sources</w:t>
      </w:r>
    </w:p>
    <w:p w14:paraId="7AB27E34" w14:textId="1658B74E" w:rsidR="0002534D" w:rsidRDefault="0002534D" w:rsidP="0002534D">
      <w:pPr>
        <w:spacing w:line="360" w:lineRule="auto"/>
        <w:jc w:val="both"/>
      </w:pPr>
      <w:r w:rsidRPr="00B9575D">
        <w:t>Cormier</w:t>
      </w:r>
      <w:r>
        <w:t>,</w:t>
      </w:r>
      <w:r>
        <w:t xml:space="preserve"> R. J.</w:t>
      </w:r>
      <w:r w:rsidRPr="00B9575D">
        <w:t xml:space="preserve"> </w:t>
      </w:r>
      <w:r>
        <w:t>‘Medieval</w:t>
      </w:r>
      <w:r w:rsidRPr="00B9575D">
        <w:t xml:space="preserve"> C</w:t>
      </w:r>
      <w:r>
        <w:t>ourtly</w:t>
      </w:r>
      <w:r w:rsidRPr="00B9575D">
        <w:t xml:space="preserve"> L</w:t>
      </w:r>
      <w:r>
        <w:t>iterature</w:t>
      </w:r>
      <w:r w:rsidRPr="00B9575D">
        <w:t>, R</w:t>
      </w:r>
      <w:r>
        <w:t>oyal</w:t>
      </w:r>
      <w:r w:rsidRPr="00B9575D">
        <w:t xml:space="preserve"> P</w:t>
      </w:r>
      <w:r>
        <w:t>atronage</w:t>
      </w:r>
      <w:r w:rsidRPr="00B9575D">
        <w:t>, A</w:t>
      </w:r>
      <w:r>
        <w:t>nd</w:t>
      </w:r>
      <w:r w:rsidRPr="00B9575D">
        <w:t xml:space="preserve"> W</w:t>
      </w:r>
      <w:r>
        <w:t>orld</w:t>
      </w:r>
      <w:r w:rsidRPr="00B9575D">
        <w:t xml:space="preserve"> H</w:t>
      </w:r>
      <w:r>
        <w:t>armony</w:t>
      </w:r>
      <w:r w:rsidRPr="00B9575D">
        <w:t>. I.</w:t>
      </w:r>
      <w:r>
        <w:t>’</w:t>
      </w:r>
      <w:r w:rsidRPr="00B9575D">
        <w:t xml:space="preserve"> </w:t>
      </w:r>
      <w:r w:rsidRPr="00B9575D">
        <w:rPr>
          <w:i/>
          <w:iCs/>
        </w:rPr>
        <w:t>Aevum</w:t>
      </w:r>
      <w:r w:rsidRPr="00B9575D">
        <w:t>, 64</w:t>
      </w:r>
      <w:r>
        <w:t>(</w:t>
      </w:r>
      <w:r w:rsidRPr="00B9575D">
        <w:t>2</w:t>
      </w:r>
      <w:r>
        <w:t>) (</w:t>
      </w:r>
      <w:r w:rsidRPr="00B9575D">
        <w:t>1990</w:t>
      </w:r>
      <w:r>
        <w:t>)</w:t>
      </w:r>
      <w:r w:rsidRPr="00B9575D">
        <w:t xml:space="preserve">, </w:t>
      </w:r>
      <w:r>
        <w:t>P</w:t>
      </w:r>
      <w:r w:rsidRPr="00B9575D">
        <w:t>p.269–27</w:t>
      </w:r>
      <w:r>
        <w:t>7</w:t>
      </w:r>
    </w:p>
    <w:p w14:paraId="34998407" w14:textId="77777777" w:rsidR="0002534D" w:rsidRPr="00404433" w:rsidRDefault="0002534D" w:rsidP="0002534D">
      <w:pPr>
        <w:spacing w:line="360" w:lineRule="auto"/>
        <w:jc w:val="both"/>
      </w:pPr>
      <w:r>
        <w:t xml:space="preserve">Licence, T., </w:t>
      </w:r>
      <w:r w:rsidRPr="0054340D">
        <w:rPr>
          <w:i/>
          <w:iCs/>
        </w:rPr>
        <w:t>Edward the Confessor: Last of the Royal Blood</w:t>
      </w:r>
      <w:r>
        <w:t>, (Connecticut, Yale University Press, 2020).</w:t>
      </w:r>
    </w:p>
    <w:p w14:paraId="454974C3" w14:textId="77777777" w:rsidR="0002534D" w:rsidRDefault="0002534D" w:rsidP="0002534D">
      <w:pPr>
        <w:spacing w:line="360" w:lineRule="auto"/>
        <w:jc w:val="both"/>
      </w:pPr>
      <w:r>
        <w:t>Maitland,</w:t>
      </w:r>
      <w:r>
        <w:t xml:space="preserve"> F. W.,</w:t>
      </w:r>
      <w:r>
        <w:t xml:space="preserve"> </w:t>
      </w:r>
      <w:r w:rsidRPr="00F74CF6">
        <w:rPr>
          <w:i/>
          <w:iCs/>
        </w:rPr>
        <w:t>Domesday Book and Beyond Three Essays in the Early History of England</w:t>
      </w:r>
      <w:r>
        <w:t>, (Boston, Adamant Media Corporation, 2005).</w:t>
      </w:r>
    </w:p>
    <w:p w14:paraId="45B6F52A" w14:textId="0B869687" w:rsidR="0002534D" w:rsidRDefault="0002534D" w:rsidP="0002534D">
      <w:pPr>
        <w:spacing w:line="360" w:lineRule="auto"/>
        <w:jc w:val="both"/>
      </w:pPr>
      <w:r>
        <w:t>T</w:t>
      </w:r>
      <w:r>
        <w:t>homas,</w:t>
      </w:r>
      <w:r>
        <w:t xml:space="preserve"> H. M.,</w:t>
      </w:r>
      <w:r>
        <w:t xml:space="preserve"> </w:t>
      </w:r>
      <w:r w:rsidRPr="0054340D">
        <w:rPr>
          <w:i/>
          <w:iCs/>
        </w:rPr>
        <w:t>The Norman Conquest: England After William the Conqueror</w:t>
      </w:r>
      <w:r>
        <w:t>, (Plymouth, Rowman &amp; Littlefield Publishers, Inc., 2008).</w:t>
      </w:r>
    </w:p>
    <w:sectPr w:rsidR="0002534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BBDD2" w14:textId="77777777" w:rsidR="007D4809" w:rsidRDefault="007D4809" w:rsidP="000C5B65">
      <w:pPr>
        <w:spacing w:after="0" w:line="240" w:lineRule="auto"/>
      </w:pPr>
      <w:r>
        <w:separator/>
      </w:r>
    </w:p>
  </w:endnote>
  <w:endnote w:type="continuationSeparator" w:id="0">
    <w:p w14:paraId="1D49513F" w14:textId="77777777" w:rsidR="007D4809" w:rsidRDefault="007D4809" w:rsidP="000C5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08FAB" w14:textId="77777777" w:rsidR="007D4809" w:rsidRDefault="007D4809" w:rsidP="000C5B65">
      <w:pPr>
        <w:spacing w:after="0" w:line="240" w:lineRule="auto"/>
      </w:pPr>
      <w:r>
        <w:separator/>
      </w:r>
    </w:p>
  </w:footnote>
  <w:footnote w:type="continuationSeparator" w:id="0">
    <w:p w14:paraId="47B90A22" w14:textId="77777777" w:rsidR="007D4809" w:rsidRDefault="007D4809" w:rsidP="000C5B65">
      <w:pPr>
        <w:spacing w:after="0" w:line="240" w:lineRule="auto"/>
      </w:pPr>
      <w:r>
        <w:continuationSeparator/>
      </w:r>
    </w:p>
  </w:footnote>
  <w:footnote w:id="1">
    <w:p w14:paraId="0FB46B1E" w14:textId="0BB449A7" w:rsidR="0054340D" w:rsidRDefault="00533729">
      <w:pPr>
        <w:pStyle w:val="FootnoteText"/>
      </w:pPr>
      <w:r>
        <w:rPr>
          <w:rStyle w:val="FootnoteReference"/>
        </w:rPr>
        <w:footnoteRef/>
      </w:r>
      <w:r>
        <w:t xml:space="preserve"> </w:t>
      </w:r>
      <w:bookmarkStart w:id="0" w:name="_Hlk69311101"/>
      <w:r w:rsidR="00AB0D64" w:rsidRPr="00AB0D64">
        <w:rPr>
          <w:i/>
          <w:iCs/>
        </w:rPr>
        <w:t xml:space="preserve">Translations and Reprints from the Original Sources of European </w:t>
      </w:r>
      <w:r w:rsidR="005A4376">
        <w:rPr>
          <w:i/>
          <w:iCs/>
        </w:rPr>
        <w:t>H</w:t>
      </w:r>
      <w:r w:rsidR="00AB0D64" w:rsidRPr="00AB0D64">
        <w:rPr>
          <w:i/>
          <w:iCs/>
        </w:rPr>
        <w:t>istory,</w:t>
      </w:r>
      <w:r w:rsidR="00803811">
        <w:t>,</w:t>
      </w:r>
      <w:r w:rsidR="00803811">
        <w:rPr>
          <w:i/>
          <w:iCs/>
        </w:rPr>
        <w:t xml:space="preserve"> </w:t>
      </w:r>
      <w:r w:rsidR="00803811">
        <w:t>Vol. 3, trans. by</w:t>
      </w:r>
      <w:r w:rsidR="00250CBF">
        <w:t xml:space="preserve"> J. H.</w:t>
      </w:r>
      <w:r w:rsidR="00803811">
        <w:t xml:space="preserve"> Robinson</w:t>
      </w:r>
      <w:r w:rsidR="00250CBF">
        <w:t>,</w:t>
      </w:r>
      <w:r w:rsidR="00803811">
        <w:t xml:space="preserve"> et al, (</w:t>
      </w:r>
      <w:r w:rsidR="00AB0D64" w:rsidRPr="00AB0D64">
        <w:t>Massachusetts</w:t>
      </w:r>
      <w:r w:rsidR="00803811">
        <w:t xml:space="preserve">, </w:t>
      </w:r>
      <w:r w:rsidR="00AB0D64">
        <w:t>The Department of Histor</w:t>
      </w:r>
      <w:r w:rsidR="005A4376">
        <w:t xml:space="preserve">y Of The University Of Pennsylvania, 1897). </w:t>
      </w:r>
      <w:bookmarkEnd w:id="0"/>
      <w:r w:rsidR="005A4376">
        <w:t>Pt</w:t>
      </w:r>
      <w:r w:rsidR="00250CBF">
        <w:t>.</w:t>
      </w:r>
      <w:r w:rsidR="005A4376">
        <w:t>2, Pp.</w:t>
      </w:r>
      <w:r w:rsidR="00250CBF">
        <w:t>6</w:t>
      </w:r>
      <w:r w:rsidR="005A4376">
        <w:t>-</w:t>
      </w:r>
      <w:r w:rsidR="0057404F">
        <w:t>7</w:t>
      </w:r>
      <w:r w:rsidR="005A4376">
        <w:t>.</w:t>
      </w:r>
    </w:p>
    <w:p w14:paraId="753FB9D8" w14:textId="56BE896D" w:rsidR="00533729" w:rsidRPr="00F74CF6" w:rsidRDefault="00803811">
      <w:pPr>
        <w:pStyle w:val="FootnoteText"/>
      </w:pPr>
      <w:r>
        <w:t xml:space="preserve">&amp; </w:t>
      </w:r>
      <w:r w:rsidR="00533729">
        <w:t xml:space="preserve">F. W. Maitland, </w:t>
      </w:r>
      <w:r w:rsidR="00F74CF6" w:rsidRPr="00F74CF6">
        <w:rPr>
          <w:i/>
          <w:iCs/>
        </w:rPr>
        <w:t>Domesday Book and Beyond Three Essays in the Early History of England</w:t>
      </w:r>
      <w:r w:rsidR="00F74CF6">
        <w:t>, (Boston, Adamant Media Corporation, 2005). P.1</w:t>
      </w:r>
    </w:p>
  </w:footnote>
  <w:footnote w:id="2">
    <w:p w14:paraId="55194514" w14:textId="0F02F675" w:rsidR="00803811" w:rsidRPr="00803811" w:rsidRDefault="00803811">
      <w:pPr>
        <w:pStyle w:val="FootnoteText"/>
      </w:pPr>
      <w:r>
        <w:rPr>
          <w:rStyle w:val="FootnoteReference"/>
        </w:rPr>
        <w:footnoteRef/>
      </w:r>
      <w:r>
        <w:t xml:space="preserve"> Maitland, </w:t>
      </w:r>
      <w:r>
        <w:rPr>
          <w:i/>
          <w:iCs/>
        </w:rPr>
        <w:t>Domesday Book and Beyond</w:t>
      </w:r>
      <w:r>
        <w:t>, Pp.2-</w:t>
      </w:r>
      <w:r w:rsidR="0057404F">
        <w:t>6</w:t>
      </w:r>
    </w:p>
  </w:footnote>
  <w:footnote w:id="3">
    <w:p w14:paraId="75933CC3" w14:textId="0208C65A" w:rsidR="0057404F" w:rsidRPr="0057404F" w:rsidRDefault="0057404F">
      <w:pPr>
        <w:pStyle w:val="FootnoteText"/>
      </w:pPr>
      <w:r>
        <w:rPr>
          <w:rStyle w:val="FootnoteReference"/>
        </w:rPr>
        <w:footnoteRef/>
      </w:r>
      <w:r>
        <w:t xml:space="preserve"> </w:t>
      </w:r>
      <w:bookmarkStart w:id="1" w:name="_Hlk69245785"/>
      <w:r>
        <w:rPr>
          <w:i/>
          <w:iCs/>
        </w:rPr>
        <w:t>Translations and Reprints</w:t>
      </w:r>
      <w:r>
        <w:t>, Pt.2, Pp.6-</w:t>
      </w:r>
      <w:bookmarkEnd w:id="1"/>
      <w:r>
        <w:t>7.</w:t>
      </w:r>
    </w:p>
  </w:footnote>
  <w:footnote w:id="4">
    <w:p w14:paraId="16FC23F8" w14:textId="2229087F" w:rsidR="00FB177F" w:rsidRDefault="00FB177F">
      <w:pPr>
        <w:pStyle w:val="FootnoteText"/>
      </w:pPr>
      <w:r>
        <w:rPr>
          <w:rStyle w:val="FootnoteReference"/>
        </w:rPr>
        <w:footnoteRef/>
      </w:r>
      <w:r>
        <w:t xml:space="preserve"> Ibid, P.6.</w:t>
      </w:r>
    </w:p>
  </w:footnote>
  <w:footnote w:id="5">
    <w:p w14:paraId="769FD8DE" w14:textId="0CBC158D" w:rsidR="00250CBF" w:rsidRDefault="00250CBF">
      <w:pPr>
        <w:pStyle w:val="FootnoteText"/>
      </w:pPr>
      <w:r>
        <w:rPr>
          <w:rStyle w:val="FootnoteReference"/>
        </w:rPr>
        <w:footnoteRef/>
      </w:r>
      <w:r>
        <w:t xml:space="preserve"> Ibid, P.6.</w:t>
      </w:r>
    </w:p>
  </w:footnote>
  <w:footnote w:id="6">
    <w:p w14:paraId="5B8FB47C" w14:textId="4F83A329" w:rsidR="0054340D" w:rsidRDefault="009075F5" w:rsidP="009075F5">
      <w:pPr>
        <w:pStyle w:val="FootnoteText"/>
      </w:pPr>
      <w:r>
        <w:rPr>
          <w:rStyle w:val="FootnoteReference"/>
        </w:rPr>
        <w:footnoteRef/>
      </w:r>
      <w:r>
        <w:t xml:space="preserve"> </w:t>
      </w:r>
      <w:bookmarkStart w:id="2" w:name="_Hlk69311355"/>
      <w:r w:rsidR="00404433">
        <w:t>Dudo of St. Quentin</w:t>
      </w:r>
      <w:r>
        <w:t xml:space="preserve">, </w:t>
      </w:r>
      <w:r w:rsidRPr="009075F5">
        <w:rPr>
          <w:i/>
          <w:iCs/>
        </w:rPr>
        <w:t>Dudo of St. Quentin’s Gesta Normannorum: An English Translation</w:t>
      </w:r>
      <w:r>
        <w:t>,</w:t>
      </w:r>
      <w:r w:rsidR="00404433">
        <w:t xml:space="preserve"> trans. </w:t>
      </w:r>
      <w:r w:rsidR="00404433">
        <w:t>F. Lifshitz</w:t>
      </w:r>
      <w:r w:rsidR="00404433">
        <w:t>,</w:t>
      </w:r>
      <w:r>
        <w:t xml:space="preserve"> 2019, </w:t>
      </w:r>
      <w:r w:rsidRPr="009075F5">
        <w:t>https://sourcebooks.fordham.edu/source/dudu-stquentin-gesta-trans-lifshitz.asp</w:t>
      </w:r>
      <w:r>
        <w:t>. [Accessed: 13/04/2021].</w:t>
      </w:r>
      <w:bookmarkEnd w:id="2"/>
    </w:p>
    <w:p w14:paraId="373C8919" w14:textId="177E18F2" w:rsidR="009075F5" w:rsidRPr="009075F5" w:rsidRDefault="00B33D23" w:rsidP="009075F5">
      <w:pPr>
        <w:pStyle w:val="FootnoteText"/>
      </w:pPr>
      <w:r>
        <w:t xml:space="preserve">&amp; </w:t>
      </w:r>
      <w:bookmarkStart w:id="3" w:name="_Hlk69248741"/>
      <w:r>
        <w:rPr>
          <w:i/>
          <w:iCs/>
        </w:rPr>
        <w:t>Translations and Reprints</w:t>
      </w:r>
      <w:r>
        <w:t>, Pt.2, P.6</w:t>
      </w:r>
      <w:bookmarkEnd w:id="3"/>
    </w:p>
  </w:footnote>
  <w:footnote w:id="7">
    <w:p w14:paraId="5FB7777C" w14:textId="1C6FBD12" w:rsidR="0054340D" w:rsidRDefault="00B9575D">
      <w:pPr>
        <w:pStyle w:val="FootnoteText"/>
      </w:pPr>
      <w:r>
        <w:rPr>
          <w:rStyle w:val="FootnoteReference"/>
        </w:rPr>
        <w:footnoteRef/>
      </w:r>
      <w:r>
        <w:t xml:space="preserve"> </w:t>
      </w:r>
      <w:bookmarkStart w:id="4" w:name="_Hlk69311520"/>
      <w:r>
        <w:t xml:space="preserve">R. J. </w:t>
      </w:r>
      <w:r w:rsidRPr="00B9575D">
        <w:t>Cormier</w:t>
      </w:r>
      <w:r>
        <w:t>,</w:t>
      </w:r>
      <w:r w:rsidRPr="00B9575D">
        <w:t xml:space="preserve"> </w:t>
      </w:r>
      <w:r>
        <w:t>‘Medieval</w:t>
      </w:r>
      <w:r w:rsidRPr="00B9575D">
        <w:t xml:space="preserve"> C</w:t>
      </w:r>
      <w:r>
        <w:t>ourtly</w:t>
      </w:r>
      <w:r w:rsidRPr="00B9575D">
        <w:t xml:space="preserve"> L</w:t>
      </w:r>
      <w:r>
        <w:t>iterature</w:t>
      </w:r>
      <w:r w:rsidRPr="00B9575D">
        <w:t>, R</w:t>
      </w:r>
      <w:r>
        <w:t>oyal</w:t>
      </w:r>
      <w:r w:rsidRPr="00B9575D">
        <w:t xml:space="preserve"> P</w:t>
      </w:r>
      <w:r>
        <w:t>atronage</w:t>
      </w:r>
      <w:r w:rsidRPr="00B9575D">
        <w:t>, A</w:t>
      </w:r>
      <w:r>
        <w:t>nd</w:t>
      </w:r>
      <w:r w:rsidRPr="00B9575D">
        <w:t xml:space="preserve"> W</w:t>
      </w:r>
      <w:r>
        <w:t>orld</w:t>
      </w:r>
      <w:r w:rsidRPr="00B9575D">
        <w:t xml:space="preserve"> H</w:t>
      </w:r>
      <w:r>
        <w:t>armony</w:t>
      </w:r>
      <w:r w:rsidRPr="00B9575D">
        <w:t>. I.</w:t>
      </w:r>
      <w:r>
        <w:t>’</w:t>
      </w:r>
      <w:r w:rsidRPr="00B9575D">
        <w:t xml:space="preserve"> </w:t>
      </w:r>
      <w:r w:rsidRPr="00B9575D">
        <w:rPr>
          <w:i/>
          <w:iCs/>
        </w:rPr>
        <w:t>Aevum</w:t>
      </w:r>
      <w:r w:rsidRPr="00B9575D">
        <w:t>, 64</w:t>
      </w:r>
      <w:r>
        <w:t>(</w:t>
      </w:r>
      <w:r w:rsidRPr="00B9575D">
        <w:t>2</w:t>
      </w:r>
      <w:r>
        <w:t>) (</w:t>
      </w:r>
      <w:r w:rsidRPr="00B9575D">
        <w:t>1990</w:t>
      </w:r>
      <w:r>
        <w:t>)</w:t>
      </w:r>
      <w:r w:rsidRPr="00B9575D">
        <w:t xml:space="preserve">, </w:t>
      </w:r>
      <w:r>
        <w:t>P</w:t>
      </w:r>
      <w:r w:rsidRPr="00B9575D">
        <w:t>p.269–27</w:t>
      </w:r>
      <w:r>
        <w:t>7</w:t>
      </w:r>
      <w:bookmarkEnd w:id="4"/>
      <w:r>
        <w:t>(P.271)</w:t>
      </w:r>
    </w:p>
  </w:footnote>
  <w:footnote w:id="8">
    <w:p w14:paraId="611868AE" w14:textId="48F22439" w:rsidR="00005EE1" w:rsidRDefault="00005EE1">
      <w:pPr>
        <w:pStyle w:val="FootnoteText"/>
      </w:pPr>
      <w:r>
        <w:rPr>
          <w:rStyle w:val="FootnoteReference"/>
        </w:rPr>
        <w:footnoteRef/>
      </w:r>
      <w:r>
        <w:t xml:space="preserve"> </w:t>
      </w:r>
      <w:bookmarkStart w:id="5" w:name="_Hlk69308421"/>
      <w:r>
        <w:rPr>
          <w:i/>
          <w:iCs/>
        </w:rPr>
        <w:t>Translations and Reprints</w:t>
      </w:r>
      <w:r>
        <w:t>, Pt.2, P.7</w:t>
      </w:r>
    </w:p>
    <w:bookmarkEnd w:id="5"/>
  </w:footnote>
  <w:footnote w:id="9">
    <w:p w14:paraId="0213D866" w14:textId="1C34D090" w:rsidR="0054340D" w:rsidRDefault="0054340D">
      <w:pPr>
        <w:pStyle w:val="FootnoteText"/>
      </w:pPr>
      <w:r>
        <w:rPr>
          <w:rStyle w:val="FootnoteReference"/>
        </w:rPr>
        <w:footnoteRef/>
      </w:r>
      <w:r>
        <w:t xml:space="preserve"> Ibid, P.7.</w:t>
      </w:r>
    </w:p>
  </w:footnote>
  <w:footnote w:id="10">
    <w:p w14:paraId="698500B5" w14:textId="1E7A503B" w:rsidR="0054340D" w:rsidRDefault="0054340D">
      <w:pPr>
        <w:pStyle w:val="FootnoteText"/>
      </w:pPr>
      <w:r>
        <w:rPr>
          <w:rStyle w:val="FootnoteReference"/>
        </w:rPr>
        <w:footnoteRef/>
      </w:r>
      <w:r>
        <w:t xml:space="preserve"> </w:t>
      </w:r>
      <w:bookmarkStart w:id="6" w:name="_Hlk69311565"/>
      <w:r>
        <w:t xml:space="preserve">H. M. Thomas, </w:t>
      </w:r>
      <w:r w:rsidRPr="0054340D">
        <w:rPr>
          <w:i/>
          <w:iCs/>
        </w:rPr>
        <w:t>The Norman Conquest: England After William the Conqueror</w:t>
      </w:r>
      <w:r>
        <w:t>, (Plymouth, Rowman &amp; Littlefield Publishers, Inc., 2008). P.96.</w:t>
      </w:r>
    </w:p>
    <w:p w14:paraId="76B7D817" w14:textId="28EB454A" w:rsidR="0054340D" w:rsidRPr="0054340D" w:rsidRDefault="0054340D">
      <w:pPr>
        <w:pStyle w:val="FootnoteText"/>
      </w:pPr>
      <w:r>
        <w:t xml:space="preserve">&amp; T. Licence, </w:t>
      </w:r>
      <w:r w:rsidRPr="0054340D">
        <w:rPr>
          <w:i/>
          <w:iCs/>
        </w:rPr>
        <w:t>Edward the Confessor: Last of the Royal Blood</w:t>
      </w:r>
      <w:r>
        <w:t>, (Connecticut, Yale University Press, 2020). Pp. 22-23</w:t>
      </w:r>
      <w:r w:rsidR="00BA3F86">
        <w:t>.</w:t>
      </w:r>
      <w:bookmarkEnd w:id="6"/>
    </w:p>
  </w:footnote>
  <w:footnote w:id="11">
    <w:p w14:paraId="04F8D943" w14:textId="4CCA731A" w:rsidR="00EF28B5" w:rsidRPr="00EF28B5" w:rsidRDefault="00EF28B5">
      <w:pPr>
        <w:pStyle w:val="FootnoteText"/>
      </w:pPr>
      <w:r>
        <w:rPr>
          <w:rStyle w:val="FootnoteReference"/>
        </w:rPr>
        <w:footnoteRef/>
      </w:r>
      <w:r>
        <w:t xml:space="preserve"> Thomas, </w:t>
      </w:r>
      <w:r>
        <w:rPr>
          <w:i/>
          <w:iCs/>
        </w:rPr>
        <w:t>The Norman Conquest</w:t>
      </w:r>
      <w:r>
        <w:t>, P.96.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FAE89E" w14:textId="7D9472A0" w:rsidR="000C5B65" w:rsidRDefault="000C5B65" w:rsidP="000C5B65">
    <w:pPr>
      <w:pStyle w:val="Header"/>
      <w:jc w:val="center"/>
    </w:pPr>
    <w:r>
      <w:t>Samuel Lawrence – Identity, and Myth: The Normans, and their World – Extract Commentary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B65"/>
    <w:rsid w:val="00005EE1"/>
    <w:rsid w:val="0002534D"/>
    <w:rsid w:val="000C5B65"/>
    <w:rsid w:val="00185449"/>
    <w:rsid w:val="001A14DB"/>
    <w:rsid w:val="00250CBF"/>
    <w:rsid w:val="003C64BB"/>
    <w:rsid w:val="003F7CE8"/>
    <w:rsid w:val="00404433"/>
    <w:rsid w:val="00533729"/>
    <w:rsid w:val="0054340D"/>
    <w:rsid w:val="0057404F"/>
    <w:rsid w:val="005A4376"/>
    <w:rsid w:val="005F3E2C"/>
    <w:rsid w:val="007B05D7"/>
    <w:rsid w:val="007D25E9"/>
    <w:rsid w:val="007D4809"/>
    <w:rsid w:val="00803811"/>
    <w:rsid w:val="00845D01"/>
    <w:rsid w:val="008A551B"/>
    <w:rsid w:val="009075F5"/>
    <w:rsid w:val="00980484"/>
    <w:rsid w:val="009D6B6C"/>
    <w:rsid w:val="00AB0D64"/>
    <w:rsid w:val="00B05864"/>
    <w:rsid w:val="00B33D23"/>
    <w:rsid w:val="00B9575D"/>
    <w:rsid w:val="00BA3F86"/>
    <w:rsid w:val="00BA7192"/>
    <w:rsid w:val="00BC2B56"/>
    <w:rsid w:val="00C12956"/>
    <w:rsid w:val="00C64F7A"/>
    <w:rsid w:val="00CD24FC"/>
    <w:rsid w:val="00DE3167"/>
    <w:rsid w:val="00DF7674"/>
    <w:rsid w:val="00EC26E5"/>
    <w:rsid w:val="00EF28B5"/>
    <w:rsid w:val="00F434CF"/>
    <w:rsid w:val="00F74CF6"/>
    <w:rsid w:val="00FB1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EA11E"/>
  <w15:chartTrackingRefBased/>
  <w15:docId w15:val="{342B5959-4F31-473E-9DB0-E97FEC2A4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B65"/>
  </w:style>
  <w:style w:type="paragraph" w:styleId="Footer">
    <w:name w:val="footer"/>
    <w:basedOn w:val="Normal"/>
    <w:link w:val="FooterChar"/>
    <w:uiPriority w:val="99"/>
    <w:unhideWhenUsed/>
    <w:rsid w:val="000C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B65"/>
  </w:style>
  <w:style w:type="paragraph" w:styleId="FootnoteText">
    <w:name w:val="footnote text"/>
    <w:basedOn w:val="Normal"/>
    <w:link w:val="FootnoteTextChar"/>
    <w:uiPriority w:val="99"/>
    <w:semiHidden/>
    <w:unhideWhenUsed/>
    <w:rsid w:val="00533729"/>
    <w:pPr>
      <w:spacing w:after="0" w:line="240" w:lineRule="auto"/>
    </w:pPr>
  </w:style>
  <w:style w:type="character" w:customStyle="1" w:styleId="FootnoteTextChar">
    <w:name w:val="Footnote Text Char"/>
    <w:basedOn w:val="DefaultParagraphFont"/>
    <w:link w:val="FootnoteText"/>
    <w:uiPriority w:val="99"/>
    <w:semiHidden/>
    <w:rsid w:val="00533729"/>
  </w:style>
  <w:style w:type="character" w:styleId="FootnoteReference">
    <w:name w:val="footnote reference"/>
    <w:basedOn w:val="DefaultParagraphFont"/>
    <w:uiPriority w:val="99"/>
    <w:semiHidden/>
    <w:unhideWhenUsed/>
    <w:rsid w:val="00533729"/>
    <w:rPr>
      <w:vertAlign w:val="superscript"/>
    </w:rPr>
  </w:style>
  <w:style w:type="character" w:styleId="Hyperlink">
    <w:name w:val="Hyperlink"/>
    <w:basedOn w:val="DefaultParagraphFont"/>
    <w:uiPriority w:val="99"/>
    <w:unhideWhenUsed/>
    <w:rsid w:val="009075F5"/>
    <w:rPr>
      <w:color w:val="0563C1" w:themeColor="hyperlink"/>
      <w:u w:val="single"/>
    </w:rPr>
  </w:style>
  <w:style w:type="character" w:styleId="UnresolvedMention">
    <w:name w:val="Unresolved Mention"/>
    <w:basedOn w:val="DefaultParagraphFont"/>
    <w:uiPriority w:val="99"/>
    <w:semiHidden/>
    <w:unhideWhenUsed/>
    <w:rsid w:val="009075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78184-FAD7-4EA3-AF05-642011B7A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3</Pages>
  <Words>1217</Words>
  <Characters>6939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3</cp:revision>
  <dcterms:created xsi:type="dcterms:W3CDTF">2021-04-12T19:04:00Z</dcterms:created>
  <dcterms:modified xsi:type="dcterms:W3CDTF">2021-04-14T15:54:00Z</dcterms:modified>
</cp:coreProperties>
</file>