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EDE7B" w14:textId="5559B739" w:rsidR="00132628" w:rsidRPr="00132628" w:rsidRDefault="00132628" w:rsidP="00132628">
      <w:pPr>
        <w:rPr>
          <w:noProof/>
          <w:lang w:val="en"/>
        </w:rPr>
      </w:pPr>
      <w:r w:rsidRPr="00132628">
        <w:rPr>
          <w:noProof/>
          <w:lang w:val="en"/>
        </w:rPr>
        <w:drawing>
          <wp:inline distT="0" distB="0" distL="0" distR="0" wp14:anchorId="7999012C" wp14:editId="60CDE1BB">
            <wp:extent cx="2400300" cy="960120"/>
            <wp:effectExtent l="0" t="0" r="0" b="0"/>
            <wp:docPr id="374461217" name="Picture 2"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0300" cy="960120"/>
                    </a:xfrm>
                    <a:prstGeom prst="rect">
                      <a:avLst/>
                    </a:prstGeom>
                    <a:noFill/>
                    <a:ln>
                      <a:noFill/>
                    </a:ln>
                  </pic:spPr>
                </pic:pic>
              </a:graphicData>
            </a:graphic>
          </wp:inline>
        </w:drawing>
      </w:r>
    </w:p>
    <w:p w14:paraId="6A0577F8" w14:textId="77777777" w:rsidR="00132628" w:rsidRPr="00132628" w:rsidRDefault="00132628" w:rsidP="00132628">
      <w:pPr>
        <w:rPr>
          <w:b/>
          <w:i/>
          <w:noProof/>
          <w:lang w:val="en"/>
        </w:rPr>
      </w:pPr>
    </w:p>
    <w:p w14:paraId="6ED84BF8" w14:textId="77777777" w:rsidR="00132628" w:rsidRPr="00132628" w:rsidRDefault="00132628" w:rsidP="00050EB0">
      <w:pPr>
        <w:jc w:val="center"/>
        <w:rPr>
          <w:noProof/>
          <w:sz w:val="28"/>
          <w:szCs w:val="28"/>
          <w:lang w:val="en"/>
        </w:rPr>
      </w:pPr>
      <w:r w:rsidRPr="00132628">
        <w:rPr>
          <w:b/>
          <w:noProof/>
          <w:sz w:val="28"/>
          <w:szCs w:val="28"/>
          <w:lang w:val="en"/>
        </w:rPr>
        <w:t xml:space="preserve">Programme: </w:t>
      </w:r>
      <w:r w:rsidRPr="00132628">
        <w:rPr>
          <w:noProof/>
          <w:sz w:val="28"/>
          <w:szCs w:val="28"/>
          <w:lang w:val="en"/>
        </w:rPr>
        <w:t>Master of Business Administration</w:t>
      </w:r>
    </w:p>
    <w:p w14:paraId="7AE751FD" w14:textId="77777777" w:rsidR="00132628" w:rsidRPr="00132628" w:rsidRDefault="00132628" w:rsidP="00050EB0">
      <w:pPr>
        <w:jc w:val="center"/>
        <w:rPr>
          <w:noProof/>
          <w:sz w:val="28"/>
          <w:szCs w:val="28"/>
          <w:lang w:val="en"/>
        </w:rPr>
      </w:pPr>
      <w:r w:rsidRPr="00132628">
        <w:rPr>
          <w:b/>
          <w:noProof/>
          <w:sz w:val="28"/>
          <w:szCs w:val="28"/>
          <w:lang w:val="en"/>
        </w:rPr>
        <w:t>Module:</w:t>
      </w:r>
      <w:r w:rsidRPr="00132628">
        <w:rPr>
          <w:noProof/>
          <w:sz w:val="28"/>
          <w:szCs w:val="28"/>
          <w:lang w:val="en"/>
        </w:rPr>
        <w:t xml:space="preserve"> Dissertation (LCMB7035)</w:t>
      </w:r>
    </w:p>
    <w:p w14:paraId="17416281" w14:textId="77777777" w:rsidR="00132628" w:rsidRDefault="00132628" w:rsidP="00050EB0">
      <w:pPr>
        <w:jc w:val="center"/>
        <w:rPr>
          <w:noProof/>
          <w:sz w:val="28"/>
          <w:szCs w:val="28"/>
          <w:lang w:val="en"/>
        </w:rPr>
      </w:pPr>
      <w:r w:rsidRPr="00132628">
        <w:rPr>
          <w:b/>
          <w:noProof/>
          <w:sz w:val="28"/>
          <w:szCs w:val="28"/>
          <w:lang w:val="en"/>
        </w:rPr>
        <w:t>Lecturer:</w:t>
      </w:r>
      <w:r w:rsidRPr="00132628">
        <w:rPr>
          <w:noProof/>
          <w:sz w:val="28"/>
          <w:szCs w:val="28"/>
          <w:lang w:val="en"/>
        </w:rPr>
        <w:t xml:space="preserve"> Masud Ibrahim</w:t>
      </w:r>
    </w:p>
    <w:p w14:paraId="3C232306" w14:textId="2F318332" w:rsidR="004D36B1" w:rsidRPr="004D36B1" w:rsidRDefault="004D36B1" w:rsidP="00050EB0">
      <w:pPr>
        <w:jc w:val="center"/>
        <w:rPr>
          <w:b/>
          <w:bCs/>
          <w:noProof/>
          <w:sz w:val="28"/>
          <w:szCs w:val="28"/>
          <w:lang w:val="en"/>
        </w:rPr>
      </w:pPr>
      <w:r w:rsidRPr="004D36B1">
        <w:rPr>
          <w:b/>
          <w:bCs/>
          <w:noProof/>
          <w:sz w:val="28"/>
          <w:szCs w:val="28"/>
          <w:lang w:val="en"/>
        </w:rPr>
        <w:t>Supervisor</w:t>
      </w:r>
      <w:r w:rsidR="00050EB0">
        <w:rPr>
          <w:b/>
          <w:bCs/>
          <w:noProof/>
          <w:sz w:val="28"/>
          <w:szCs w:val="28"/>
          <w:lang w:val="en"/>
        </w:rPr>
        <w:t>: Dian Mayasari</w:t>
      </w:r>
    </w:p>
    <w:p w14:paraId="426CB1A0" w14:textId="77777777" w:rsidR="00132628" w:rsidRPr="00132628" w:rsidRDefault="00132628" w:rsidP="00050EB0">
      <w:pPr>
        <w:jc w:val="center"/>
        <w:rPr>
          <w:b/>
          <w:noProof/>
          <w:sz w:val="28"/>
          <w:szCs w:val="28"/>
          <w:lang w:val="en"/>
        </w:rPr>
      </w:pPr>
    </w:p>
    <w:p w14:paraId="5EE71AE5" w14:textId="77777777" w:rsidR="00132628" w:rsidRPr="00132628" w:rsidRDefault="00132628" w:rsidP="00050EB0">
      <w:pPr>
        <w:jc w:val="center"/>
        <w:rPr>
          <w:b/>
          <w:noProof/>
          <w:sz w:val="28"/>
          <w:szCs w:val="28"/>
          <w:lang w:val="en"/>
        </w:rPr>
      </w:pPr>
      <w:r w:rsidRPr="00132628">
        <w:rPr>
          <w:b/>
          <w:noProof/>
          <w:sz w:val="28"/>
          <w:szCs w:val="28"/>
          <w:lang w:val="en"/>
        </w:rPr>
        <w:t xml:space="preserve">Student Name: </w:t>
      </w:r>
      <w:bookmarkStart w:id="0" w:name="_Hlk213747389"/>
      <w:r w:rsidRPr="00132628">
        <w:rPr>
          <w:noProof/>
          <w:sz w:val="28"/>
          <w:szCs w:val="28"/>
          <w:lang w:val="en"/>
        </w:rPr>
        <w:t>Jaydeep Shingala</w:t>
      </w:r>
      <w:bookmarkEnd w:id="0"/>
    </w:p>
    <w:p w14:paraId="62FF9FE0" w14:textId="77777777" w:rsidR="00132628" w:rsidRPr="00132628" w:rsidRDefault="00132628" w:rsidP="00050EB0">
      <w:pPr>
        <w:jc w:val="center"/>
        <w:rPr>
          <w:b/>
          <w:noProof/>
          <w:sz w:val="28"/>
          <w:szCs w:val="28"/>
          <w:lang w:val="en"/>
        </w:rPr>
      </w:pPr>
      <w:r w:rsidRPr="00132628">
        <w:rPr>
          <w:b/>
          <w:noProof/>
          <w:sz w:val="28"/>
          <w:szCs w:val="28"/>
          <w:lang w:val="en"/>
        </w:rPr>
        <w:t xml:space="preserve">Student Number: </w:t>
      </w:r>
      <w:r w:rsidRPr="00132628">
        <w:rPr>
          <w:noProof/>
          <w:sz w:val="28"/>
          <w:szCs w:val="28"/>
          <w:lang w:val="en"/>
        </w:rPr>
        <w:t>2419329</w:t>
      </w:r>
    </w:p>
    <w:p w14:paraId="03A548AB" w14:textId="713EF5C3" w:rsidR="00132628" w:rsidRPr="00132628" w:rsidRDefault="00132628" w:rsidP="00050EB0">
      <w:pPr>
        <w:jc w:val="center"/>
        <w:rPr>
          <w:i/>
          <w:noProof/>
          <w:sz w:val="28"/>
          <w:szCs w:val="28"/>
          <w:lang w:val="en"/>
        </w:rPr>
      </w:pPr>
      <w:r w:rsidRPr="00132628">
        <w:rPr>
          <w:b/>
          <w:noProof/>
          <w:sz w:val="28"/>
          <w:szCs w:val="28"/>
          <w:lang w:val="en"/>
        </w:rPr>
        <w:t>Proposed Title:</w:t>
      </w:r>
      <w:r w:rsidRPr="00132628">
        <w:rPr>
          <w:i/>
          <w:noProof/>
          <w:sz w:val="28"/>
          <w:szCs w:val="28"/>
          <w:lang w:val="en"/>
        </w:rPr>
        <w:t xml:space="preserve"> </w:t>
      </w:r>
      <w:r w:rsidRPr="00132628">
        <w:rPr>
          <w:noProof/>
          <w:sz w:val="28"/>
          <w:szCs w:val="28"/>
          <w:lang w:val="en"/>
        </w:rPr>
        <w:t>A Systematic Review Comparing Genuine Sustainability and Greenwashing Practices in the Fashion Industry</w:t>
      </w:r>
      <w:r w:rsidR="004D36B1">
        <w:rPr>
          <w:noProof/>
          <w:sz w:val="28"/>
          <w:szCs w:val="28"/>
          <w:lang w:val="en"/>
        </w:rPr>
        <w:t>ke</w:t>
      </w:r>
    </w:p>
    <w:p w14:paraId="12E0683D" w14:textId="77777777" w:rsidR="001F7590" w:rsidRPr="00132628" w:rsidRDefault="001F7590" w:rsidP="008C5097">
      <w:pPr>
        <w:rPr>
          <w:color w:val="000000" w:themeColor="text1"/>
          <w:sz w:val="28"/>
          <w:szCs w:val="28"/>
          <w:lang w:val="en"/>
        </w:rPr>
      </w:pPr>
    </w:p>
    <w:p w14:paraId="7CE1E1BA" w14:textId="47F36B11" w:rsidR="00786750" w:rsidRPr="00132628" w:rsidRDefault="00050EB0" w:rsidP="001F7590">
      <w:pPr>
        <w:rPr>
          <w:b/>
          <w:bCs/>
          <w:color w:val="000000" w:themeColor="text1"/>
          <w:sz w:val="28"/>
          <w:szCs w:val="28"/>
        </w:rPr>
      </w:pPr>
      <w:r>
        <w:rPr>
          <w:b/>
          <w:bCs/>
          <w:color w:val="000000" w:themeColor="text1"/>
          <w:sz w:val="28"/>
          <w:szCs w:val="28"/>
        </w:rPr>
        <w:t>Declaration,</w:t>
      </w:r>
    </w:p>
    <w:p w14:paraId="48865957" w14:textId="794F3251" w:rsidR="003C08E6" w:rsidRPr="00132628" w:rsidRDefault="003C08E6" w:rsidP="001F7590">
      <w:pPr>
        <w:pStyle w:val="paragraph"/>
        <w:spacing w:before="0" w:beforeAutospacing="0" w:after="0" w:afterAutospacing="0" w:line="360" w:lineRule="auto"/>
        <w:textAlignment w:val="baseline"/>
        <w:rPr>
          <w:rFonts w:asciiTheme="minorBidi" w:hAnsiTheme="minorBidi" w:cstheme="minorBidi"/>
          <w:color w:val="000000" w:themeColor="text1"/>
          <w:sz w:val="28"/>
          <w:szCs w:val="28"/>
        </w:rPr>
      </w:pPr>
      <w:r w:rsidRPr="00132628">
        <w:rPr>
          <w:rStyle w:val="normaltextrun"/>
          <w:rFonts w:asciiTheme="minorBidi" w:hAnsiTheme="minorBidi" w:cstheme="minorBidi"/>
          <w:color w:val="000000" w:themeColor="text1"/>
          <w:sz w:val="28"/>
          <w:szCs w:val="28"/>
        </w:rPr>
        <w:t xml:space="preserve">I, </w:t>
      </w:r>
      <w:r w:rsidR="00132628" w:rsidRPr="00132628">
        <w:rPr>
          <w:rStyle w:val="normaltextrun"/>
          <w:rFonts w:asciiTheme="minorBidi" w:hAnsiTheme="minorBidi" w:cstheme="minorBidi"/>
          <w:i/>
          <w:iCs/>
          <w:color w:val="000000" w:themeColor="text1"/>
          <w:sz w:val="28"/>
          <w:szCs w:val="28"/>
        </w:rPr>
        <w:t>Jaydeep Shingala</w:t>
      </w:r>
      <w:r w:rsidR="00E578B4" w:rsidRPr="00132628">
        <w:rPr>
          <w:rStyle w:val="normaltextrun"/>
          <w:rFonts w:asciiTheme="minorBidi" w:hAnsiTheme="minorBidi" w:cstheme="minorBidi"/>
          <w:color w:val="000000" w:themeColor="text1"/>
          <w:sz w:val="28"/>
          <w:szCs w:val="28"/>
        </w:rPr>
        <w:t>,</w:t>
      </w:r>
      <w:r w:rsidRPr="00132628">
        <w:rPr>
          <w:rStyle w:val="normaltextrun"/>
          <w:rFonts w:asciiTheme="minorBidi" w:hAnsiTheme="minorBidi" w:cstheme="minorBidi"/>
          <w:color w:val="000000" w:themeColor="text1"/>
          <w:sz w:val="28"/>
          <w:szCs w:val="28"/>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132628">
        <w:rPr>
          <w:rStyle w:val="eop"/>
          <w:rFonts w:asciiTheme="minorBidi" w:hAnsiTheme="minorBidi" w:cstheme="minorBidi"/>
          <w:color w:val="000000" w:themeColor="text1"/>
          <w:sz w:val="28"/>
          <w:szCs w:val="28"/>
        </w:rPr>
        <w:t> </w:t>
      </w:r>
    </w:p>
    <w:p w14:paraId="651E2ABB" w14:textId="77777777" w:rsidR="003C08E6" w:rsidRPr="00132628" w:rsidRDefault="003C08E6" w:rsidP="001F7590">
      <w:pPr>
        <w:pStyle w:val="paragraph"/>
        <w:spacing w:before="0" w:beforeAutospacing="0" w:after="0" w:afterAutospacing="0" w:line="360" w:lineRule="auto"/>
        <w:textAlignment w:val="baseline"/>
        <w:rPr>
          <w:rFonts w:asciiTheme="minorBidi" w:hAnsiTheme="minorBidi" w:cstheme="minorBidi"/>
          <w:color w:val="000000" w:themeColor="text1"/>
          <w:sz w:val="28"/>
          <w:szCs w:val="28"/>
        </w:rPr>
      </w:pPr>
      <w:r w:rsidRPr="00132628">
        <w:rPr>
          <w:rStyle w:val="eop"/>
          <w:rFonts w:asciiTheme="minorBidi" w:hAnsiTheme="minorBidi" w:cstheme="minorBidi"/>
          <w:color w:val="000000" w:themeColor="text1"/>
          <w:sz w:val="28"/>
          <w:szCs w:val="28"/>
        </w:rPr>
        <w:t> </w:t>
      </w:r>
    </w:p>
    <w:p w14:paraId="0CF35665" w14:textId="253A0F05" w:rsidR="003C08E6" w:rsidRPr="00132628" w:rsidRDefault="003C08E6" w:rsidP="001F7590">
      <w:pPr>
        <w:pStyle w:val="paragraph"/>
        <w:spacing w:before="0" w:beforeAutospacing="0" w:after="0" w:afterAutospacing="0" w:line="360" w:lineRule="auto"/>
        <w:textAlignment w:val="baseline"/>
        <w:rPr>
          <w:rFonts w:asciiTheme="minorBidi" w:hAnsiTheme="minorBidi" w:cstheme="minorBidi"/>
          <w:color w:val="000000" w:themeColor="text1"/>
          <w:sz w:val="28"/>
          <w:szCs w:val="28"/>
        </w:rPr>
      </w:pPr>
      <w:r w:rsidRPr="00132628">
        <w:rPr>
          <w:rStyle w:val="normaltextrun"/>
          <w:rFonts w:asciiTheme="minorBidi" w:hAnsiTheme="minorBidi" w:cstheme="minorBidi"/>
          <w:color w:val="000000" w:themeColor="text1"/>
          <w:sz w:val="28"/>
          <w:szCs w:val="28"/>
        </w:rPr>
        <w:t>Signature:</w:t>
      </w:r>
      <w:r w:rsidR="00E578B4" w:rsidRPr="00132628">
        <w:rPr>
          <w:rStyle w:val="normaltextrun"/>
          <w:rFonts w:asciiTheme="minorBidi" w:hAnsiTheme="minorBidi" w:cstheme="minorBidi"/>
          <w:color w:val="000000" w:themeColor="text1"/>
          <w:sz w:val="28"/>
          <w:szCs w:val="28"/>
        </w:rPr>
        <w:t xml:space="preserve"> </w:t>
      </w:r>
      <w:r w:rsidRPr="00132628">
        <w:rPr>
          <w:rStyle w:val="normaltextrun"/>
          <w:rFonts w:asciiTheme="minorBidi" w:hAnsiTheme="minorBidi" w:cstheme="minorBidi"/>
          <w:color w:val="000000" w:themeColor="text1"/>
          <w:sz w:val="28"/>
          <w:szCs w:val="28"/>
        </w:rPr>
        <w:t>..........</w:t>
      </w:r>
      <w:r w:rsidR="00E578B4" w:rsidRPr="00132628">
        <w:rPr>
          <w:color w:val="000000" w:themeColor="text1"/>
          <w:sz w:val="28"/>
          <w:szCs w:val="28"/>
        </w:rPr>
        <w:t xml:space="preserve"> </w:t>
      </w:r>
      <w:r w:rsidR="00132628" w:rsidRPr="00132628">
        <w:rPr>
          <w:rStyle w:val="normaltextrun"/>
          <w:rFonts w:asciiTheme="minorBidi" w:hAnsiTheme="minorBidi" w:cstheme="minorBidi"/>
          <w:color w:val="000000" w:themeColor="text1"/>
          <w:sz w:val="28"/>
          <w:szCs w:val="28"/>
        </w:rPr>
        <w:t>Jaydeep Shingala</w:t>
      </w:r>
      <w:r w:rsidRPr="00132628">
        <w:rPr>
          <w:rStyle w:val="normaltextrun"/>
          <w:rFonts w:asciiTheme="minorBidi" w:hAnsiTheme="minorBidi" w:cstheme="minorBidi"/>
          <w:color w:val="000000" w:themeColor="text1"/>
          <w:sz w:val="28"/>
          <w:szCs w:val="28"/>
        </w:rPr>
        <w:t>...........</w:t>
      </w:r>
    </w:p>
    <w:p w14:paraId="6E4610B8" w14:textId="36693F86" w:rsidR="00E578B4" w:rsidRPr="00132628" w:rsidRDefault="003C08E6" w:rsidP="001F7590">
      <w:pPr>
        <w:pStyle w:val="paragraph"/>
        <w:spacing w:before="0" w:beforeAutospacing="0" w:after="0" w:afterAutospacing="0" w:line="360" w:lineRule="auto"/>
        <w:textAlignment w:val="baseline"/>
        <w:rPr>
          <w:rStyle w:val="eop"/>
          <w:rFonts w:asciiTheme="minorBidi" w:hAnsiTheme="minorBidi" w:cstheme="minorBidi"/>
          <w:color w:val="000000" w:themeColor="text1"/>
          <w:sz w:val="28"/>
          <w:szCs w:val="28"/>
        </w:rPr>
      </w:pPr>
      <w:r w:rsidRPr="00132628">
        <w:rPr>
          <w:rStyle w:val="normaltextrun"/>
          <w:rFonts w:asciiTheme="minorBidi" w:hAnsiTheme="minorBidi" w:cstheme="minorBidi"/>
          <w:color w:val="000000" w:themeColor="text1"/>
          <w:sz w:val="28"/>
          <w:szCs w:val="28"/>
        </w:rPr>
        <w:t>Date: …………………</w:t>
      </w:r>
      <w:r w:rsidR="00745A60">
        <w:rPr>
          <w:rStyle w:val="normaltextrun"/>
          <w:rFonts w:asciiTheme="minorBidi" w:hAnsiTheme="minorBidi" w:cstheme="minorBidi"/>
          <w:color w:val="000000" w:themeColor="text1"/>
          <w:sz w:val="28"/>
          <w:szCs w:val="28"/>
        </w:rPr>
        <w:t>24 – December - 2025</w:t>
      </w:r>
      <w:r w:rsidRPr="00132628">
        <w:rPr>
          <w:rStyle w:val="normaltextrun"/>
          <w:rFonts w:asciiTheme="minorBidi" w:hAnsiTheme="minorBidi" w:cstheme="minorBidi"/>
          <w:color w:val="000000" w:themeColor="text1"/>
          <w:sz w:val="28"/>
          <w:szCs w:val="28"/>
        </w:rPr>
        <w:t>…………….........</w:t>
      </w:r>
    </w:p>
    <w:p w14:paraId="13F85C26" w14:textId="77777777" w:rsidR="00E578B4" w:rsidRDefault="00E578B4">
      <w:pPr>
        <w:spacing w:before="0" w:after="160" w:line="259" w:lineRule="auto"/>
        <w:jc w:val="left"/>
        <w:rPr>
          <w:rStyle w:val="eop"/>
          <w:rFonts w:eastAsia="Times New Roman"/>
          <w:sz w:val="22"/>
          <w:lang w:eastAsia="zh-CN"/>
        </w:rPr>
      </w:pPr>
      <w:r>
        <w:rPr>
          <w:rStyle w:val="eop"/>
          <w:sz w:val="22"/>
        </w:rPr>
        <w:br w:type="page"/>
      </w:r>
    </w:p>
    <w:p w14:paraId="249E2565" w14:textId="4A5B94D6" w:rsidR="004B0E8E" w:rsidRPr="008C5097" w:rsidRDefault="00786750" w:rsidP="00050EB0">
      <w:pPr>
        <w:pStyle w:val="Heading1"/>
        <w:numPr>
          <w:ilvl w:val="0"/>
          <w:numId w:val="0"/>
        </w:numPr>
        <w:jc w:val="left"/>
      </w:pPr>
      <w:bookmarkStart w:id="1" w:name="_Toc214979360"/>
      <w:r w:rsidRPr="008C5097">
        <w:lastRenderedPageBreak/>
        <w:t>ACKNOWLEDGEMENT</w:t>
      </w:r>
      <w:bookmarkEnd w:id="1"/>
    </w:p>
    <w:p w14:paraId="1E6EE679" w14:textId="77777777" w:rsidR="00391EB6" w:rsidRPr="008C5097" w:rsidRDefault="00391EB6" w:rsidP="008C5097"/>
    <w:p w14:paraId="3DD94D6B" w14:textId="77777777" w:rsidR="008C5097" w:rsidRDefault="008C5097">
      <w:r>
        <w:br w:type="page"/>
      </w:r>
    </w:p>
    <w:sdt>
      <w:sdtPr>
        <w:rPr>
          <w:rFonts w:asciiTheme="minorBidi" w:eastAsiaTheme="minorEastAsia" w:hAnsiTheme="minorBidi" w:cstheme="minorBidi"/>
          <w:b w:val="0"/>
          <w:bCs w:val="0"/>
          <w:smallCaps w:val="0"/>
          <w:color w:val="auto"/>
          <w:sz w:val="24"/>
          <w:szCs w:val="22"/>
        </w:rPr>
        <w:id w:val="1045255892"/>
        <w:docPartObj>
          <w:docPartGallery w:val="Table of Contents"/>
          <w:docPartUnique/>
        </w:docPartObj>
      </w:sdtPr>
      <w:sdtEndPr>
        <w:rPr>
          <w:rFonts w:ascii="Arial" w:hAnsi="Arial"/>
          <w:noProof/>
        </w:rPr>
      </w:sdtEndPr>
      <w:sdtContent>
        <w:p w14:paraId="5CB2B8C2" w14:textId="0A133D63" w:rsidR="008C5097" w:rsidRDefault="008C5097" w:rsidP="00917E8A">
          <w:pPr>
            <w:pStyle w:val="TOCHeading"/>
            <w:numPr>
              <w:ilvl w:val="0"/>
              <w:numId w:val="0"/>
            </w:numPr>
            <w:ind w:left="432" w:hanging="432"/>
            <w:jc w:val="both"/>
          </w:pPr>
          <w:r>
            <w:t>Table of Contents</w:t>
          </w:r>
        </w:p>
        <w:p w14:paraId="2ACD40E2" w14:textId="038645CD" w:rsidR="004505F9" w:rsidRDefault="008C5097">
          <w:pPr>
            <w:pStyle w:val="TOC1"/>
            <w:tabs>
              <w:tab w:val="right" w:leader="dot" w:pos="9016"/>
            </w:tabs>
            <w:rPr>
              <w:rFonts w:asciiTheme="minorHAnsi" w:hAnsiTheme="minorHAnsi" w:cstheme="minorBidi"/>
              <w:noProof/>
              <w:kern w:val="2"/>
              <w:szCs w:val="30"/>
              <w:lang w:eastAsia="zh-CN" w:bidi="bn-IN"/>
              <w14:ligatures w14:val="standardContextual"/>
            </w:rPr>
          </w:pPr>
          <w:r w:rsidRPr="00A9343B">
            <w:rPr>
              <w:sz w:val="22"/>
            </w:rPr>
            <w:fldChar w:fldCharType="begin"/>
          </w:r>
          <w:r w:rsidRPr="00A9343B">
            <w:rPr>
              <w:sz w:val="22"/>
            </w:rPr>
            <w:instrText xml:space="preserve"> TOC \o "1-3" \h \z \u </w:instrText>
          </w:r>
          <w:r w:rsidRPr="00A9343B">
            <w:rPr>
              <w:sz w:val="22"/>
            </w:rPr>
            <w:fldChar w:fldCharType="separate"/>
          </w:r>
          <w:hyperlink w:anchor="_Toc214979360" w:history="1">
            <w:r w:rsidR="004505F9" w:rsidRPr="005B18BF">
              <w:rPr>
                <w:rStyle w:val="Hyperlink"/>
                <w:noProof/>
              </w:rPr>
              <w:t>ACKNOWLEDGEMENT</w:t>
            </w:r>
            <w:r w:rsidR="004505F9">
              <w:rPr>
                <w:noProof/>
                <w:webHidden/>
              </w:rPr>
              <w:tab/>
            </w:r>
            <w:r w:rsidR="004505F9">
              <w:rPr>
                <w:noProof/>
                <w:webHidden/>
              </w:rPr>
              <w:fldChar w:fldCharType="begin"/>
            </w:r>
            <w:r w:rsidR="004505F9">
              <w:rPr>
                <w:noProof/>
                <w:webHidden/>
              </w:rPr>
              <w:instrText xml:space="preserve"> PAGEREF _Toc214979360 \h </w:instrText>
            </w:r>
            <w:r w:rsidR="004505F9">
              <w:rPr>
                <w:noProof/>
                <w:webHidden/>
              </w:rPr>
            </w:r>
            <w:r w:rsidR="004505F9">
              <w:rPr>
                <w:noProof/>
                <w:webHidden/>
              </w:rPr>
              <w:fldChar w:fldCharType="separate"/>
            </w:r>
            <w:r w:rsidR="004505F9">
              <w:rPr>
                <w:noProof/>
                <w:webHidden/>
              </w:rPr>
              <w:t>2</w:t>
            </w:r>
            <w:r w:rsidR="004505F9">
              <w:rPr>
                <w:noProof/>
                <w:webHidden/>
              </w:rPr>
              <w:fldChar w:fldCharType="end"/>
            </w:r>
          </w:hyperlink>
        </w:p>
        <w:p w14:paraId="1F3EDB52" w14:textId="4B3F1312" w:rsidR="004505F9" w:rsidRDefault="004505F9">
          <w:pPr>
            <w:pStyle w:val="TOC1"/>
            <w:tabs>
              <w:tab w:val="left" w:pos="440"/>
              <w:tab w:val="right" w:leader="dot" w:pos="9016"/>
            </w:tabs>
            <w:rPr>
              <w:rFonts w:asciiTheme="minorHAnsi" w:hAnsiTheme="minorHAnsi" w:cstheme="minorBidi"/>
              <w:noProof/>
              <w:kern w:val="2"/>
              <w:szCs w:val="30"/>
              <w:lang w:eastAsia="zh-CN" w:bidi="bn-IN"/>
              <w14:ligatures w14:val="standardContextual"/>
            </w:rPr>
          </w:pPr>
          <w:hyperlink w:anchor="_Toc214979361" w:history="1">
            <w:r w:rsidRPr="005B18BF">
              <w:rPr>
                <w:rStyle w:val="Hyperlink"/>
                <w:noProof/>
              </w:rPr>
              <w:t>1</w:t>
            </w:r>
            <w:r>
              <w:rPr>
                <w:rFonts w:asciiTheme="minorHAnsi" w:hAnsiTheme="minorHAnsi" w:cstheme="minorBidi"/>
                <w:noProof/>
                <w:kern w:val="2"/>
                <w:szCs w:val="30"/>
                <w:lang w:eastAsia="zh-CN" w:bidi="bn-IN"/>
                <w14:ligatures w14:val="standardContextual"/>
              </w:rPr>
              <w:tab/>
            </w:r>
            <w:r w:rsidRPr="005B18BF">
              <w:rPr>
                <w:rStyle w:val="Hyperlink"/>
                <w:noProof/>
              </w:rPr>
              <w:t>CHAPTER 1: INTRODUCTION</w:t>
            </w:r>
            <w:r>
              <w:rPr>
                <w:noProof/>
                <w:webHidden/>
              </w:rPr>
              <w:tab/>
            </w:r>
            <w:r>
              <w:rPr>
                <w:noProof/>
                <w:webHidden/>
              </w:rPr>
              <w:fldChar w:fldCharType="begin"/>
            </w:r>
            <w:r>
              <w:rPr>
                <w:noProof/>
                <w:webHidden/>
              </w:rPr>
              <w:instrText xml:space="preserve"> PAGEREF _Toc214979361 \h </w:instrText>
            </w:r>
            <w:r>
              <w:rPr>
                <w:noProof/>
                <w:webHidden/>
              </w:rPr>
            </w:r>
            <w:r>
              <w:rPr>
                <w:noProof/>
                <w:webHidden/>
              </w:rPr>
              <w:fldChar w:fldCharType="separate"/>
            </w:r>
            <w:r>
              <w:rPr>
                <w:noProof/>
                <w:webHidden/>
              </w:rPr>
              <w:t>7</w:t>
            </w:r>
            <w:r>
              <w:rPr>
                <w:noProof/>
                <w:webHidden/>
              </w:rPr>
              <w:fldChar w:fldCharType="end"/>
            </w:r>
          </w:hyperlink>
        </w:p>
        <w:p w14:paraId="49709BA0" w14:textId="126392E9"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62" w:history="1">
            <w:r w:rsidRPr="005B18BF">
              <w:rPr>
                <w:rStyle w:val="Hyperlink"/>
                <w:noProof/>
              </w:rPr>
              <w:t>1.1</w:t>
            </w:r>
            <w:r>
              <w:rPr>
                <w:rFonts w:asciiTheme="minorHAnsi" w:hAnsiTheme="minorHAnsi" w:cstheme="minorBidi"/>
                <w:noProof/>
                <w:kern w:val="2"/>
                <w:szCs w:val="30"/>
                <w:lang w:eastAsia="zh-CN" w:bidi="bn-IN"/>
                <w14:ligatures w14:val="standardContextual"/>
              </w:rPr>
              <w:tab/>
            </w:r>
            <w:r w:rsidRPr="005B18BF">
              <w:rPr>
                <w:rStyle w:val="Hyperlink"/>
                <w:noProof/>
              </w:rPr>
              <w:t>Background &amp; Problem Statement</w:t>
            </w:r>
            <w:r>
              <w:rPr>
                <w:noProof/>
                <w:webHidden/>
              </w:rPr>
              <w:tab/>
            </w:r>
            <w:r>
              <w:rPr>
                <w:noProof/>
                <w:webHidden/>
              </w:rPr>
              <w:fldChar w:fldCharType="begin"/>
            </w:r>
            <w:r>
              <w:rPr>
                <w:noProof/>
                <w:webHidden/>
              </w:rPr>
              <w:instrText xml:space="preserve"> PAGEREF _Toc214979362 \h </w:instrText>
            </w:r>
            <w:r>
              <w:rPr>
                <w:noProof/>
                <w:webHidden/>
              </w:rPr>
            </w:r>
            <w:r>
              <w:rPr>
                <w:noProof/>
                <w:webHidden/>
              </w:rPr>
              <w:fldChar w:fldCharType="separate"/>
            </w:r>
            <w:r>
              <w:rPr>
                <w:noProof/>
                <w:webHidden/>
              </w:rPr>
              <w:t>7</w:t>
            </w:r>
            <w:r>
              <w:rPr>
                <w:noProof/>
                <w:webHidden/>
              </w:rPr>
              <w:fldChar w:fldCharType="end"/>
            </w:r>
          </w:hyperlink>
        </w:p>
        <w:p w14:paraId="000F23DE" w14:textId="70D19C03"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63" w:history="1">
            <w:r w:rsidRPr="005B18BF">
              <w:rPr>
                <w:rStyle w:val="Hyperlink"/>
                <w:noProof/>
              </w:rPr>
              <w:t>1.2</w:t>
            </w:r>
            <w:r>
              <w:rPr>
                <w:rFonts w:asciiTheme="minorHAnsi" w:hAnsiTheme="minorHAnsi" w:cstheme="minorBidi"/>
                <w:noProof/>
                <w:kern w:val="2"/>
                <w:szCs w:val="30"/>
                <w:lang w:eastAsia="zh-CN" w:bidi="bn-IN"/>
                <w14:ligatures w14:val="standardContextual"/>
              </w:rPr>
              <w:tab/>
            </w:r>
            <w:r w:rsidRPr="005B18BF">
              <w:rPr>
                <w:rStyle w:val="Hyperlink"/>
                <w:noProof/>
              </w:rPr>
              <w:t>Research Aim</w:t>
            </w:r>
            <w:r>
              <w:rPr>
                <w:noProof/>
                <w:webHidden/>
              </w:rPr>
              <w:tab/>
            </w:r>
            <w:r>
              <w:rPr>
                <w:noProof/>
                <w:webHidden/>
              </w:rPr>
              <w:fldChar w:fldCharType="begin"/>
            </w:r>
            <w:r>
              <w:rPr>
                <w:noProof/>
                <w:webHidden/>
              </w:rPr>
              <w:instrText xml:space="preserve"> PAGEREF _Toc214979363 \h </w:instrText>
            </w:r>
            <w:r>
              <w:rPr>
                <w:noProof/>
                <w:webHidden/>
              </w:rPr>
            </w:r>
            <w:r>
              <w:rPr>
                <w:noProof/>
                <w:webHidden/>
              </w:rPr>
              <w:fldChar w:fldCharType="separate"/>
            </w:r>
            <w:r>
              <w:rPr>
                <w:noProof/>
                <w:webHidden/>
              </w:rPr>
              <w:t>8</w:t>
            </w:r>
            <w:r>
              <w:rPr>
                <w:noProof/>
                <w:webHidden/>
              </w:rPr>
              <w:fldChar w:fldCharType="end"/>
            </w:r>
          </w:hyperlink>
        </w:p>
        <w:p w14:paraId="5FDFADD9" w14:textId="26B55308"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64" w:history="1">
            <w:r w:rsidRPr="005B18BF">
              <w:rPr>
                <w:rStyle w:val="Hyperlink"/>
                <w:noProof/>
              </w:rPr>
              <w:t>1.3</w:t>
            </w:r>
            <w:r>
              <w:rPr>
                <w:rFonts w:asciiTheme="minorHAnsi" w:hAnsiTheme="minorHAnsi" w:cstheme="minorBidi"/>
                <w:noProof/>
                <w:kern w:val="2"/>
                <w:szCs w:val="30"/>
                <w:lang w:eastAsia="zh-CN" w:bidi="bn-IN"/>
                <w14:ligatures w14:val="standardContextual"/>
              </w:rPr>
              <w:tab/>
            </w:r>
            <w:r w:rsidRPr="005B18BF">
              <w:rPr>
                <w:rStyle w:val="Hyperlink"/>
                <w:noProof/>
              </w:rPr>
              <w:t>Research Objectives</w:t>
            </w:r>
            <w:r>
              <w:rPr>
                <w:noProof/>
                <w:webHidden/>
              </w:rPr>
              <w:tab/>
            </w:r>
            <w:r>
              <w:rPr>
                <w:noProof/>
                <w:webHidden/>
              </w:rPr>
              <w:fldChar w:fldCharType="begin"/>
            </w:r>
            <w:r>
              <w:rPr>
                <w:noProof/>
                <w:webHidden/>
              </w:rPr>
              <w:instrText xml:space="preserve"> PAGEREF _Toc214979364 \h </w:instrText>
            </w:r>
            <w:r>
              <w:rPr>
                <w:noProof/>
                <w:webHidden/>
              </w:rPr>
            </w:r>
            <w:r>
              <w:rPr>
                <w:noProof/>
                <w:webHidden/>
              </w:rPr>
              <w:fldChar w:fldCharType="separate"/>
            </w:r>
            <w:r>
              <w:rPr>
                <w:noProof/>
                <w:webHidden/>
              </w:rPr>
              <w:t>8</w:t>
            </w:r>
            <w:r>
              <w:rPr>
                <w:noProof/>
                <w:webHidden/>
              </w:rPr>
              <w:fldChar w:fldCharType="end"/>
            </w:r>
          </w:hyperlink>
        </w:p>
        <w:p w14:paraId="231D5280" w14:textId="2F1C5856"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65" w:history="1">
            <w:r w:rsidRPr="005B18BF">
              <w:rPr>
                <w:rStyle w:val="Hyperlink"/>
                <w:noProof/>
              </w:rPr>
              <w:t>1.4</w:t>
            </w:r>
            <w:r>
              <w:rPr>
                <w:rFonts w:asciiTheme="minorHAnsi" w:hAnsiTheme="minorHAnsi" w:cstheme="minorBidi"/>
                <w:noProof/>
                <w:kern w:val="2"/>
                <w:szCs w:val="30"/>
                <w:lang w:eastAsia="zh-CN" w:bidi="bn-IN"/>
                <w14:ligatures w14:val="standardContextual"/>
              </w:rPr>
              <w:tab/>
            </w:r>
            <w:r w:rsidRPr="005B18BF">
              <w:rPr>
                <w:rStyle w:val="Hyperlink"/>
                <w:noProof/>
              </w:rPr>
              <w:t>Research Questions</w:t>
            </w:r>
            <w:r>
              <w:rPr>
                <w:noProof/>
                <w:webHidden/>
              </w:rPr>
              <w:tab/>
            </w:r>
            <w:r>
              <w:rPr>
                <w:noProof/>
                <w:webHidden/>
              </w:rPr>
              <w:fldChar w:fldCharType="begin"/>
            </w:r>
            <w:r>
              <w:rPr>
                <w:noProof/>
                <w:webHidden/>
              </w:rPr>
              <w:instrText xml:space="preserve"> PAGEREF _Toc214979365 \h </w:instrText>
            </w:r>
            <w:r>
              <w:rPr>
                <w:noProof/>
                <w:webHidden/>
              </w:rPr>
            </w:r>
            <w:r>
              <w:rPr>
                <w:noProof/>
                <w:webHidden/>
              </w:rPr>
              <w:fldChar w:fldCharType="separate"/>
            </w:r>
            <w:r>
              <w:rPr>
                <w:noProof/>
                <w:webHidden/>
              </w:rPr>
              <w:t>9</w:t>
            </w:r>
            <w:r>
              <w:rPr>
                <w:noProof/>
                <w:webHidden/>
              </w:rPr>
              <w:fldChar w:fldCharType="end"/>
            </w:r>
          </w:hyperlink>
        </w:p>
        <w:p w14:paraId="36F2B27F" w14:textId="541BC18E"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66" w:history="1">
            <w:r w:rsidRPr="005B18BF">
              <w:rPr>
                <w:rStyle w:val="Hyperlink"/>
                <w:noProof/>
              </w:rPr>
              <w:t>1.5</w:t>
            </w:r>
            <w:r>
              <w:rPr>
                <w:rFonts w:asciiTheme="minorHAnsi" w:hAnsiTheme="minorHAnsi" w:cstheme="minorBidi"/>
                <w:noProof/>
                <w:kern w:val="2"/>
                <w:szCs w:val="30"/>
                <w:lang w:eastAsia="zh-CN" w:bidi="bn-IN"/>
                <w14:ligatures w14:val="standardContextual"/>
              </w:rPr>
              <w:tab/>
            </w:r>
            <w:r w:rsidRPr="005B18BF">
              <w:rPr>
                <w:rStyle w:val="Hyperlink"/>
                <w:noProof/>
              </w:rPr>
              <w:t>Significance / Relevance of Study</w:t>
            </w:r>
            <w:r>
              <w:rPr>
                <w:noProof/>
                <w:webHidden/>
              </w:rPr>
              <w:tab/>
            </w:r>
            <w:r>
              <w:rPr>
                <w:noProof/>
                <w:webHidden/>
              </w:rPr>
              <w:fldChar w:fldCharType="begin"/>
            </w:r>
            <w:r>
              <w:rPr>
                <w:noProof/>
                <w:webHidden/>
              </w:rPr>
              <w:instrText xml:space="preserve"> PAGEREF _Toc214979366 \h </w:instrText>
            </w:r>
            <w:r>
              <w:rPr>
                <w:noProof/>
                <w:webHidden/>
              </w:rPr>
            </w:r>
            <w:r>
              <w:rPr>
                <w:noProof/>
                <w:webHidden/>
              </w:rPr>
              <w:fldChar w:fldCharType="separate"/>
            </w:r>
            <w:r>
              <w:rPr>
                <w:noProof/>
                <w:webHidden/>
              </w:rPr>
              <w:t>9</w:t>
            </w:r>
            <w:r>
              <w:rPr>
                <w:noProof/>
                <w:webHidden/>
              </w:rPr>
              <w:fldChar w:fldCharType="end"/>
            </w:r>
          </w:hyperlink>
        </w:p>
        <w:p w14:paraId="17B67C3E" w14:textId="0F2C1C34"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67" w:history="1">
            <w:r w:rsidRPr="005B18BF">
              <w:rPr>
                <w:rStyle w:val="Hyperlink"/>
                <w:noProof/>
              </w:rPr>
              <w:t>1.6</w:t>
            </w:r>
            <w:r>
              <w:rPr>
                <w:rFonts w:asciiTheme="minorHAnsi" w:hAnsiTheme="minorHAnsi" w:cstheme="minorBidi"/>
                <w:noProof/>
                <w:kern w:val="2"/>
                <w:szCs w:val="30"/>
                <w:lang w:eastAsia="zh-CN" w:bidi="bn-IN"/>
                <w14:ligatures w14:val="standardContextual"/>
              </w:rPr>
              <w:tab/>
            </w:r>
            <w:r w:rsidRPr="005B18BF">
              <w:rPr>
                <w:rStyle w:val="Hyperlink"/>
                <w:noProof/>
              </w:rPr>
              <w:t>Brief Research Methodology</w:t>
            </w:r>
            <w:r>
              <w:rPr>
                <w:noProof/>
                <w:webHidden/>
              </w:rPr>
              <w:tab/>
            </w:r>
            <w:r>
              <w:rPr>
                <w:noProof/>
                <w:webHidden/>
              </w:rPr>
              <w:fldChar w:fldCharType="begin"/>
            </w:r>
            <w:r>
              <w:rPr>
                <w:noProof/>
                <w:webHidden/>
              </w:rPr>
              <w:instrText xml:space="preserve"> PAGEREF _Toc214979367 \h </w:instrText>
            </w:r>
            <w:r>
              <w:rPr>
                <w:noProof/>
                <w:webHidden/>
              </w:rPr>
            </w:r>
            <w:r>
              <w:rPr>
                <w:noProof/>
                <w:webHidden/>
              </w:rPr>
              <w:fldChar w:fldCharType="separate"/>
            </w:r>
            <w:r>
              <w:rPr>
                <w:noProof/>
                <w:webHidden/>
              </w:rPr>
              <w:t>10</w:t>
            </w:r>
            <w:r>
              <w:rPr>
                <w:noProof/>
                <w:webHidden/>
              </w:rPr>
              <w:fldChar w:fldCharType="end"/>
            </w:r>
          </w:hyperlink>
        </w:p>
        <w:p w14:paraId="4EC922A6" w14:textId="5974F67E"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68" w:history="1">
            <w:r w:rsidRPr="005B18BF">
              <w:rPr>
                <w:rStyle w:val="Hyperlink"/>
                <w:noProof/>
              </w:rPr>
              <w:t>1.7</w:t>
            </w:r>
            <w:r>
              <w:rPr>
                <w:rFonts w:asciiTheme="minorHAnsi" w:hAnsiTheme="minorHAnsi" w:cstheme="minorBidi"/>
                <w:noProof/>
                <w:kern w:val="2"/>
                <w:szCs w:val="30"/>
                <w:lang w:eastAsia="zh-CN" w:bidi="bn-IN"/>
                <w14:ligatures w14:val="standardContextual"/>
              </w:rPr>
              <w:tab/>
            </w:r>
            <w:r w:rsidRPr="005B18BF">
              <w:rPr>
                <w:rStyle w:val="Hyperlink"/>
                <w:noProof/>
              </w:rPr>
              <w:t>Structure of Rest of Project</w:t>
            </w:r>
            <w:r>
              <w:rPr>
                <w:noProof/>
                <w:webHidden/>
              </w:rPr>
              <w:tab/>
            </w:r>
            <w:r>
              <w:rPr>
                <w:noProof/>
                <w:webHidden/>
              </w:rPr>
              <w:fldChar w:fldCharType="begin"/>
            </w:r>
            <w:r>
              <w:rPr>
                <w:noProof/>
                <w:webHidden/>
              </w:rPr>
              <w:instrText xml:space="preserve"> PAGEREF _Toc214979368 \h </w:instrText>
            </w:r>
            <w:r>
              <w:rPr>
                <w:noProof/>
                <w:webHidden/>
              </w:rPr>
            </w:r>
            <w:r>
              <w:rPr>
                <w:noProof/>
                <w:webHidden/>
              </w:rPr>
              <w:fldChar w:fldCharType="separate"/>
            </w:r>
            <w:r>
              <w:rPr>
                <w:noProof/>
                <w:webHidden/>
              </w:rPr>
              <w:t>11</w:t>
            </w:r>
            <w:r>
              <w:rPr>
                <w:noProof/>
                <w:webHidden/>
              </w:rPr>
              <w:fldChar w:fldCharType="end"/>
            </w:r>
          </w:hyperlink>
        </w:p>
        <w:p w14:paraId="15432920" w14:textId="4ED74B90" w:rsidR="004505F9" w:rsidRDefault="004505F9">
          <w:pPr>
            <w:pStyle w:val="TOC1"/>
            <w:tabs>
              <w:tab w:val="left" w:pos="440"/>
              <w:tab w:val="right" w:leader="dot" w:pos="9016"/>
            </w:tabs>
            <w:rPr>
              <w:rFonts w:asciiTheme="minorHAnsi" w:hAnsiTheme="minorHAnsi" w:cstheme="minorBidi"/>
              <w:noProof/>
              <w:kern w:val="2"/>
              <w:szCs w:val="30"/>
              <w:lang w:eastAsia="zh-CN" w:bidi="bn-IN"/>
              <w14:ligatures w14:val="standardContextual"/>
            </w:rPr>
          </w:pPr>
          <w:hyperlink w:anchor="_Toc214979369" w:history="1">
            <w:r w:rsidRPr="005B18BF">
              <w:rPr>
                <w:rStyle w:val="Hyperlink"/>
                <w:noProof/>
              </w:rPr>
              <w:t>2</w:t>
            </w:r>
            <w:r>
              <w:rPr>
                <w:rFonts w:asciiTheme="minorHAnsi" w:hAnsiTheme="minorHAnsi" w:cstheme="minorBidi"/>
                <w:noProof/>
                <w:kern w:val="2"/>
                <w:szCs w:val="30"/>
                <w:lang w:eastAsia="zh-CN" w:bidi="bn-IN"/>
                <w14:ligatures w14:val="standardContextual"/>
              </w:rPr>
              <w:tab/>
            </w:r>
            <w:r w:rsidRPr="005B18BF">
              <w:rPr>
                <w:rStyle w:val="Hyperlink"/>
                <w:noProof/>
              </w:rPr>
              <w:t>CHAPTER 2: LITERATURE REVIEW</w:t>
            </w:r>
            <w:r>
              <w:rPr>
                <w:noProof/>
                <w:webHidden/>
              </w:rPr>
              <w:tab/>
            </w:r>
            <w:r>
              <w:rPr>
                <w:noProof/>
                <w:webHidden/>
              </w:rPr>
              <w:fldChar w:fldCharType="begin"/>
            </w:r>
            <w:r>
              <w:rPr>
                <w:noProof/>
                <w:webHidden/>
              </w:rPr>
              <w:instrText xml:space="preserve"> PAGEREF _Toc214979369 \h </w:instrText>
            </w:r>
            <w:r>
              <w:rPr>
                <w:noProof/>
                <w:webHidden/>
              </w:rPr>
            </w:r>
            <w:r>
              <w:rPr>
                <w:noProof/>
                <w:webHidden/>
              </w:rPr>
              <w:fldChar w:fldCharType="separate"/>
            </w:r>
            <w:r>
              <w:rPr>
                <w:noProof/>
                <w:webHidden/>
              </w:rPr>
              <w:t>12</w:t>
            </w:r>
            <w:r>
              <w:rPr>
                <w:noProof/>
                <w:webHidden/>
              </w:rPr>
              <w:fldChar w:fldCharType="end"/>
            </w:r>
          </w:hyperlink>
        </w:p>
        <w:p w14:paraId="4C8D7CE7" w14:textId="64F4D8F0"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70" w:history="1">
            <w:r w:rsidRPr="005B18BF">
              <w:rPr>
                <w:rStyle w:val="Hyperlink"/>
                <w:noProof/>
              </w:rPr>
              <w:t>2.1</w:t>
            </w:r>
            <w:r>
              <w:rPr>
                <w:rFonts w:asciiTheme="minorHAnsi" w:hAnsiTheme="minorHAnsi" w:cstheme="minorBidi"/>
                <w:noProof/>
                <w:kern w:val="2"/>
                <w:szCs w:val="30"/>
                <w:lang w:eastAsia="zh-CN" w:bidi="bn-IN"/>
                <w14:ligatures w14:val="standardContextual"/>
              </w:rPr>
              <w:tab/>
            </w:r>
            <w:r w:rsidRPr="005B18BF">
              <w:rPr>
                <w:rStyle w:val="Hyperlink"/>
                <w:noProof/>
              </w:rPr>
              <w:t>Introduction</w:t>
            </w:r>
            <w:r>
              <w:rPr>
                <w:noProof/>
                <w:webHidden/>
              </w:rPr>
              <w:tab/>
            </w:r>
            <w:r>
              <w:rPr>
                <w:noProof/>
                <w:webHidden/>
              </w:rPr>
              <w:fldChar w:fldCharType="begin"/>
            </w:r>
            <w:r>
              <w:rPr>
                <w:noProof/>
                <w:webHidden/>
              </w:rPr>
              <w:instrText xml:space="preserve"> PAGEREF _Toc214979370 \h </w:instrText>
            </w:r>
            <w:r>
              <w:rPr>
                <w:noProof/>
                <w:webHidden/>
              </w:rPr>
            </w:r>
            <w:r>
              <w:rPr>
                <w:noProof/>
                <w:webHidden/>
              </w:rPr>
              <w:fldChar w:fldCharType="separate"/>
            </w:r>
            <w:r>
              <w:rPr>
                <w:noProof/>
                <w:webHidden/>
              </w:rPr>
              <w:t>12</w:t>
            </w:r>
            <w:r>
              <w:rPr>
                <w:noProof/>
                <w:webHidden/>
              </w:rPr>
              <w:fldChar w:fldCharType="end"/>
            </w:r>
          </w:hyperlink>
        </w:p>
        <w:p w14:paraId="6AFD804F" w14:textId="6B93970E"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71" w:history="1">
            <w:r w:rsidRPr="005B18BF">
              <w:rPr>
                <w:rStyle w:val="Hyperlink"/>
                <w:noProof/>
              </w:rPr>
              <w:t>2.2</w:t>
            </w:r>
            <w:r>
              <w:rPr>
                <w:rFonts w:asciiTheme="minorHAnsi" w:hAnsiTheme="minorHAnsi" w:cstheme="minorBidi"/>
                <w:noProof/>
                <w:kern w:val="2"/>
                <w:szCs w:val="30"/>
                <w:lang w:eastAsia="zh-CN" w:bidi="bn-IN"/>
                <w14:ligatures w14:val="standardContextual"/>
              </w:rPr>
              <w:tab/>
            </w:r>
            <w:r w:rsidRPr="005B18BF">
              <w:rPr>
                <w:rStyle w:val="Hyperlink"/>
                <w:noProof/>
              </w:rPr>
              <w:t>Critical Review of the Research Topic</w:t>
            </w:r>
            <w:r>
              <w:rPr>
                <w:noProof/>
                <w:webHidden/>
              </w:rPr>
              <w:tab/>
            </w:r>
            <w:r>
              <w:rPr>
                <w:noProof/>
                <w:webHidden/>
              </w:rPr>
              <w:fldChar w:fldCharType="begin"/>
            </w:r>
            <w:r>
              <w:rPr>
                <w:noProof/>
                <w:webHidden/>
              </w:rPr>
              <w:instrText xml:space="preserve"> PAGEREF _Toc214979371 \h </w:instrText>
            </w:r>
            <w:r>
              <w:rPr>
                <w:noProof/>
                <w:webHidden/>
              </w:rPr>
            </w:r>
            <w:r>
              <w:rPr>
                <w:noProof/>
                <w:webHidden/>
              </w:rPr>
              <w:fldChar w:fldCharType="separate"/>
            </w:r>
            <w:r>
              <w:rPr>
                <w:noProof/>
                <w:webHidden/>
              </w:rPr>
              <w:t>12</w:t>
            </w:r>
            <w:r>
              <w:rPr>
                <w:noProof/>
                <w:webHidden/>
              </w:rPr>
              <w:fldChar w:fldCharType="end"/>
            </w:r>
          </w:hyperlink>
        </w:p>
        <w:p w14:paraId="1A30411A" w14:textId="430593DF"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372" w:history="1">
            <w:r w:rsidRPr="005B18BF">
              <w:rPr>
                <w:rStyle w:val="Hyperlink"/>
                <w:noProof/>
              </w:rPr>
              <w:t>2.2.1</w:t>
            </w:r>
            <w:r>
              <w:rPr>
                <w:rFonts w:asciiTheme="minorHAnsi" w:hAnsiTheme="minorHAnsi" w:cstheme="minorBidi"/>
                <w:noProof/>
                <w:kern w:val="2"/>
                <w:szCs w:val="30"/>
                <w:lang w:eastAsia="zh-CN" w:bidi="bn-IN"/>
                <w14:ligatures w14:val="standardContextual"/>
              </w:rPr>
              <w:tab/>
            </w:r>
            <w:r w:rsidRPr="005B18BF">
              <w:rPr>
                <w:rStyle w:val="Hyperlink"/>
                <w:noProof/>
              </w:rPr>
              <w:t>Definition of Key Concepts</w:t>
            </w:r>
            <w:r>
              <w:rPr>
                <w:noProof/>
                <w:webHidden/>
              </w:rPr>
              <w:tab/>
            </w:r>
            <w:r>
              <w:rPr>
                <w:noProof/>
                <w:webHidden/>
              </w:rPr>
              <w:fldChar w:fldCharType="begin"/>
            </w:r>
            <w:r>
              <w:rPr>
                <w:noProof/>
                <w:webHidden/>
              </w:rPr>
              <w:instrText xml:space="preserve"> PAGEREF _Toc214979372 \h </w:instrText>
            </w:r>
            <w:r>
              <w:rPr>
                <w:noProof/>
                <w:webHidden/>
              </w:rPr>
            </w:r>
            <w:r>
              <w:rPr>
                <w:noProof/>
                <w:webHidden/>
              </w:rPr>
              <w:fldChar w:fldCharType="separate"/>
            </w:r>
            <w:r>
              <w:rPr>
                <w:noProof/>
                <w:webHidden/>
              </w:rPr>
              <w:t>12</w:t>
            </w:r>
            <w:r>
              <w:rPr>
                <w:noProof/>
                <w:webHidden/>
              </w:rPr>
              <w:fldChar w:fldCharType="end"/>
            </w:r>
          </w:hyperlink>
        </w:p>
        <w:p w14:paraId="483E3339" w14:textId="440CAF95"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373" w:history="1">
            <w:r w:rsidRPr="005B18BF">
              <w:rPr>
                <w:rStyle w:val="Hyperlink"/>
                <w:noProof/>
              </w:rPr>
              <w:t>2.2.2</w:t>
            </w:r>
            <w:r>
              <w:rPr>
                <w:rFonts w:asciiTheme="minorHAnsi" w:hAnsiTheme="minorHAnsi" w:cstheme="minorBidi"/>
                <w:noProof/>
                <w:kern w:val="2"/>
                <w:szCs w:val="30"/>
                <w:lang w:eastAsia="zh-CN" w:bidi="bn-IN"/>
                <w14:ligatures w14:val="standardContextual"/>
              </w:rPr>
              <w:tab/>
            </w:r>
            <w:r w:rsidRPr="005B18BF">
              <w:rPr>
                <w:rStyle w:val="Hyperlink"/>
                <w:noProof/>
              </w:rPr>
              <w:t>Theoretical Frameworks</w:t>
            </w:r>
            <w:r>
              <w:rPr>
                <w:noProof/>
                <w:webHidden/>
              </w:rPr>
              <w:tab/>
            </w:r>
            <w:r>
              <w:rPr>
                <w:noProof/>
                <w:webHidden/>
              </w:rPr>
              <w:fldChar w:fldCharType="begin"/>
            </w:r>
            <w:r>
              <w:rPr>
                <w:noProof/>
                <w:webHidden/>
              </w:rPr>
              <w:instrText xml:space="preserve"> PAGEREF _Toc214979373 \h </w:instrText>
            </w:r>
            <w:r>
              <w:rPr>
                <w:noProof/>
                <w:webHidden/>
              </w:rPr>
            </w:r>
            <w:r>
              <w:rPr>
                <w:noProof/>
                <w:webHidden/>
              </w:rPr>
              <w:fldChar w:fldCharType="separate"/>
            </w:r>
            <w:r>
              <w:rPr>
                <w:noProof/>
                <w:webHidden/>
              </w:rPr>
              <w:t>13</w:t>
            </w:r>
            <w:r>
              <w:rPr>
                <w:noProof/>
                <w:webHidden/>
              </w:rPr>
              <w:fldChar w:fldCharType="end"/>
            </w:r>
          </w:hyperlink>
        </w:p>
        <w:p w14:paraId="153FF511" w14:textId="0A90AA20"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374" w:history="1">
            <w:r w:rsidRPr="005B18BF">
              <w:rPr>
                <w:rStyle w:val="Hyperlink"/>
                <w:noProof/>
              </w:rPr>
              <w:t>2.2.3</w:t>
            </w:r>
            <w:r>
              <w:rPr>
                <w:rFonts w:asciiTheme="minorHAnsi" w:hAnsiTheme="minorHAnsi" w:cstheme="minorBidi"/>
                <w:noProof/>
                <w:kern w:val="2"/>
                <w:szCs w:val="30"/>
                <w:lang w:eastAsia="zh-CN" w:bidi="bn-IN"/>
                <w14:ligatures w14:val="standardContextual"/>
              </w:rPr>
              <w:tab/>
            </w:r>
            <w:r w:rsidRPr="005B18BF">
              <w:rPr>
                <w:rStyle w:val="Hyperlink"/>
                <w:noProof/>
              </w:rPr>
              <w:t>Sustainability in the Fashion Industry</w:t>
            </w:r>
            <w:r>
              <w:rPr>
                <w:noProof/>
                <w:webHidden/>
              </w:rPr>
              <w:tab/>
            </w:r>
            <w:r>
              <w:rPr>
                <w:noProof/>
                <w:webHidden/>
              </w:rPr>
              <w:fldChar w:fldCharType="begin"/>
            </w:r>
            <w:r>
              <w:rPr>
                <w:noProof/>
                <w:webHidden/>
              </w:rPr>
              <w:instrText xml:space="preserve"> PAGEREF _Toc214979374 \h </w:instrText>
            </w:r>
            <w:r>
              <w:rPr>
                <w:noProof/>
                <w:webHidden/>
              </w:rPr>
            </w:r>
            <w:r>
              <w:rPr>
                <w:noProof/>
                <w:webHidden/>
              </w:rPr>
              <w:fldChar w:fldCharType="separate"/>
            </w:r>
            <w:r>
              <w:rPr>
                <w:noProof/>
                <w:webHidden/>
              </w:rPr>
              <w:t>15</w:t>
            </w:r>
            <w:r>
              <w:rPr>
                <w:noProof/>
                <w:webHidden/>
              </w:rPr>
              <w:fldChar w:fldCharType="end"/>
            </w:r>
          </w:hyperlink>
        </w:p>
        <w:p w14:paraId="51A93B1B" w14:textId="77DBF9EF"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375" w:history="1">
            <w:r w:rsidRPr="005B18BF">
              <w:rPr>
                <w:rStyle w:val="Hyperlink"/>
                <w:noProof/>
              </w:rPr>
              <w:t>2.2.4</w:t>
            </w:r>
            <w:r>
              <w:rPr>
                <w:rFonts w:asciiTheme="minorHAnsi" w:hAnsiTheme="minorHAnsi" w:cstheme="minorBidi"/>
                <w:noProof/>
                <w:kern w:val="2"/>
                <w:szCs w:val="30"/>
                <w:lang w:eastAsia="zh-CN" w:bidi="bn-IN"/>
                <w14:ligatures w14:val="standardContextual"/>
              </w:rPr>
              <w:tab/>
            </w:r>
            <w:r w:rsidRPr="005B18BF">
              <w:rPr>
                <w:rStyle w:val="Hyperlink"/>
                <w:noProof/>
              </w:rPr>
              <w:t>Greenwashing Practices in Fashion</w:t>
            </w:r>
            <w:r>
              <w:rPr>
                <w:noProof/>
                <w:webHidden/>
              </w:rPr>
              <w:tab/>
            </w:r>
            <w:r>
              <w:rPr>
                <w:noProof/>
                <w:webHidden/>
              </w:rPr>
              <w:fldChar w:fldCharType="begin"/>
            </w:r>
            <w:r>
              <w:rPr>
                <w:noProof/>
                <w:webHidden/>
              </w:rPr>
              <w:instrText xml:space="preserve"> PAGEREF _Toc214979375 \h </w:instrText>
            </w:r>
            <w:r>
              <w:rPr>
                <w:noProof/>
                <w:webHidden/>
              </w:rPr>
            </w:r>
            <w:r>
              <w:rPr>
                <w:noProof/>
                <w:webHidden/>
              </w:rPr>
              <w:fldChar w:fldCharType="separate"/>
            </w:r>
            <w:r>
              <w:rPr>
                <w:noProof/>
                <w:webHidden/>
              </w:rPr>
              <w:t>17</w:t>
            </w:r>
            <w:r>
              <w:rPr>
                <w:noProof/>
                <w:webHidden/>
              </w:rPr>
              <w:fldChar w:fldCharType="end"/>
            </w:r>
          </w:hyperlink>
        </w:p>
        <w:p w14:paraId="644D61E8" w14:textId="035897EF"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376" w:history="1">
            <w:r w:rsidRPr="005B18BF">
              <w:rPr>
                <w:rStyle w:val="Hyperlink"/>
                <w:noProof/>
              </w:rPr>
              <w:t>2.2.5</w:t>
            </w:r>
            <w:r>
              <w:rPr>
                <w:rFonts w:asciiTheme="minorHAnsi" w:hAnsiTheme="minorHAnsi" w:cstheme="minorBidi"/>
                <w:noProof/>
                <w:kern w:val="2"/>
                <w:szCs w:val="30"/>
                <w:lang w:eastAsia="zh-CN" w:bidi="bn-IN"/>
                <w14:ligatures w14:val="standardContextual"/>
              </w:rPr>
              <w:tab/>
            </w:r>
            <w:r w:rsidRPr="005B18BF">
              <w:rPr>
                <w:rStyle w:val="Hyperlink"/>
                <w:noProof/>
              </w:rPr>
              <w:t>Consumer Perception of Sustainability and Greenwashing</w:t>
            </w:r>
            <w:r>
              <w:rPr>
                <w:noProof/>
                <w:webHidden/>
              </w:rPr>
              <w:tab/>
            </w:r>
            <w:r>
              <w:rPr>
                <w:noProof/>
                <w:webHidden/>
              </w:rPr>
              <w:fldChar w:fldCharType="begin"/>
            </w:r>
            <w:r>
              <w:rPr>
                <w:noProof/>
                <w:webHidden/>
              </w:rPr>
              <w:instrText xml:space="preserve"> PAGEREF _Toc214979376 \h </w:instrText>
            </w:r>
            <w:r>
              <w:rPr>
                <w:noProof/>
                <w:webHidden/>
              </w:rPr>
            </w:r>
            <w:r>
              <w:rPr>
                <w:noProof/>
                <w:webHidden/>
              </w:rPr>
              <w:fldChar w:fldCharType="separate"/>
            </w:r>
            <w:r>
              <w:rPr>
                <w:noProof/>
                <w:webHidden/>
              </w:rPr>
              <w:t>19</w:t>
            </w:r>
            <w:r>
              <w:rPr>
                <w:noProof/>
                <w:webHidden/>
              </w:rPr>
              <w:fldChar w:fldCharType="end"/>
            </w:r>
          </w:hyperlink>
        </w:p>
        <w:p w14:paraId="07B1FF17" w14:textId="5F6B4961"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377" w:history="1">
            <w:r w:rsidRPr="005B18BF">
              <w:rPr>
                <w:rStyle w:val="Hyperlink"/>
                <w:noProof/>
              </w:rPr>
              <w:t>2.2.6</w:t>
            </w:r>
            <w:r>
              <w:rPr>
                <w:rFonts w:asciiTheme="minorHAnsi" w:hAnsiTheme="minorHAnsi" w:cstheme="minorBidi"/>
                <w:noProof/>
                <w:kern w:val="2"/>
                <w:szCs w:val="30"/>
                <w:lang w:eastAsia="zh-CN" w:bidi="bn-IN"/>
                <w14:ligatures w14:val="standardContextual"/>
              </w:rPr>
              <w:tab/>
            </w:r>
            <w:r w:rsidRPr="005B18BF">
              <w:rPr>
                <w:rStyle w:val="Hyperlink"/>
                <w:noProof/>
              </w:rPr>
              <w:t>Corporate Social Responsibility and ESG Reporting</w:t>
            </w:r>
            <w:r>
              <w:rPr>
                <w:noProof/>
                <w:webHidden/>
              </w:rPr>
              <w:tab/>
            </w:r>
            <w:r>
              <w:rPr>
                <w:noProof/>
                <w:webHidden/>
              </w:rPr>
              <w:fldChar w:fldCharType="begin"/>
            </w:r>
            <w:r>
              <w:rPr>
                <w:noProof/>
                <w:webHidden/>
              </w:rPr>
              <w:instrText xml:space="preserve"> PAGEREF _Toc214979377 \h </w:instrText>
            </w:r>
            <w:r>
              <w:rPr>
                <w:noProof/>
                <w:webHidden/>
              </w:rPr>
            </w:r>
            <w:r>
              <w:rPr>
                <w:noProof/>
                <w:webHidden/>
              </w:rPr>
              <w:fldChar w:fldCharType="separate"/>
            </w:r>
            <w:r>
              <w:rPr>
                <w:noProof/>
                <w:webHidden/>
              </w:rPr>
              <w:t>21</w:t>
            </w:r>
            <w:r>
              <w:rPr>
                <w:noProof/>
                <w:webHidden/>
              </w:rPr>
              <w:fldChar w:fldCharType="end"/>
            </w:r>
          </w:hyperlink>
        </w:p>
        <w:p w14:paraId="5293C7DB" w14:textId="1B4C1F26"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378" w:history="1">
            <w:r w:rsidRPr="005B18BF">
              <w:rPr>
                <w:rStyle w:val="Hyperlink"/>
                <w:noProof/>
              </w:rPr>
              <w:t>2.2.7</w:t>
            </w:r>
            <w:r>
              <w:rPr>
                <w:rFonts w:asciiTheme="minorHAnsi" w:hAnsiTheme="minorHAnsi" w:cstheme="minorBidi"/>
                <w:noProof/>
                <w:kern w:val="2"/>
                <w:szCs w:val="30"/>
                <w:lang w:eastAsia="zh-CN" w:bidi="bn-IN"/>
                <w14:ligatures w14:val="standardContextual"/>
              </w:rPr>
              <w:tab/>
            </w:r>
            <w:r w:rsidRPr="005B18BF">
              <w:rPr>
                <w:rStyle w:val="Hyperlink"/>
                <w:noProof/>
              </w:rPr>
              <w:t>Regulatory and Policy Frameworks</w:t>
            </w:r>
            <w:r>
              <w:rPr>
                <w:noProof/>
                <w:webHidden/>
              </w:rPr>
              <w:tab/>
            </w:r>
            <w:r>
              <w:rPr>
                <w:noProof/>
                <w:webHidden/>
              </w:rPr>
              <w:fldChar w:fldCharType="begin"/>
            </w:r>
            <w:r>
              <w:rPr>
                <w:noProof/>
                <w:webHidden/>
              </w:rPr>
              <w:instrText xml:space="preserve"> PAGEREF _Toc214979378 \h </w:instrText>
            </w:r>
            <w:r>
              <w:rPr>
                <w:noProof/>
                <w:webHidden/>
              </w:rPr>
            </w:r>
            <w:r>
              <w:rPr>
                <w:noProof/>
                <w:webHidden/>
              </w:rPr>
              <w:fldChar w:fldCharType="separate"/>
            </w:r>
            <w:r>
              <w:rPr>
                <w:noProof/>
                <w:webHidden/>
              </w:rPr>
              <w:t>22</w:t>
            </w:r>
            <w:r>
              <w:rPr>
                <w:noProof/>
                <w:webHidden/>
              </w:rPr>
              <w:fldChar w:fldCharType="end"/>
            </w:r>
          </w:hyperlink>
        </w:p>
        <w:p w14:paraId="0A6706BC" w14:textId="6F405A41"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79" w:history="1">
            <w:r w:rsidRPr="005B18BF">
              <w:rPr>
                <w:rStyle w:val="Hyperlink"/>
                <w:noProof/>
              </w:rPr>
              <w:t>2.3</w:t>
            </w:r>
            <w:r>
              <w:rPr>
                <w:rFonts w:asciiTheme="minorHAnsi" w:hAnsiTheme="minorHAnsi" w:cstheme="minorBidi"/>
                <w:noProof/>
                <w:kern w:val="2"/>
                <w:szCs w:val="30"/>
                <w:lang w:eastAsia="zh-CN" w:bidi="bn-IN"/>
                <w14:ligatures w14:val="standardContextual"/>
              </w:rPr>
              <w:tab/>
            </w:r>
            <w:r w:rsidRPr="005B18BF">
              <w:rPr>
                <w:rStyle w:val="Hyperlink"/>
                <w:noProof/>
              </w:rPr>
              <w:t>Conceptual Framework</w:t>
            </w:r>
            <w:r>
              <w:rPr>
                <w:noProof/>
                <w:webHidden/>
              </w:rPr>
              <w:tab/>
            </w:r>
            <w:r>
              <w:rPr>
                <w:noProof/>
                <w:webHidden/>
              </w:rPr>
              <w:fldChar w:fldCharType="begin"/>
            </w:r>
            <w:r>
              <w:rPr>
                <w:noProof/>
                <w:webHidden/>
              </w:rPr>
              <w:instrText xml:space="preserve"> PAGEREF _Toc214979379 \h </w:instrText>
            </w:r>
            <w:r>
              <w:rPr>
                <w:noProof/>
                <w:webHidden/>
              </w:rPr>
            </w:r>
            <w:r>
              <w:rPr>
                <w:noProof/>
                <w:webHidden/>
              </w:rPr>
              <w:fldChar w:fldCharType="separate"/>
            </w:r>
            <w:r>
              <w:rPr>
                <w:noProof/>
                <w:webHidden/>
              </w:rPr>
              <w:t>23</w:t>
            </w:r>
            <w:r>
              <w:rPr>
                <w:noProof/>
                <w:webHidden/>
              </w:rPr>
              <w:fldChar w:fldCharType="end"/>
            </w:r>
          </w:hyperlink>
        </w:p>
        <w:p w14:paraId="2D7A1C89" w14:textId="54AEF416"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80" w:history="1">
            <w:r w:rsidRPr="005B18BF">
              <w:rPr>
                <w:rStyle w:val="Hyperlink"/>
                <w:noProof/>
              </w:rPr>
              <w:t>2.4</w:t>
            </w:r>
            <w:r>
              <w:rPr>
                <w:rFonts w:asciiTheme="minorHAnsi" w:hAnsiTheme="minorHAnsi" w:cstheme="minorBidi"/>
                <w:noProof/>
                <w:kern w:val="2"/>
                <w:szCs w:val="30"/>
                <w:lang w:eastAsia="zh-CN" w:bidi="bn-IN"/>
                <w14:ligatures w14:val="standardContextual"/>
              </w:rPr>
              <w:tab/>
            </w:r>
            <w:r w:rsidRPr="005B18BF">
              <w:rPr>
                <w:rStyle w:val="Hyperlink"/>
                <w:noProof/>
              </w:rPr>
              <w:t>Conclusion of Chapter</w:t>
            </w:r>
            <w:r>
              <w:rPr>
                <w:noProof/>
                <w:webHidden/>
              </w:rPr>
              <w:tab/>
            </w:r>
            <w:r>
              <w:rPr>
                <w:noProof/>
                <w:webHidden/>
              </w:rPr>
              <w:fldChar w:fldCharType="begin"/>
            </w:r>
            <w:r>
              <w:rPr>
                <w:noProof/>
                <w:webHidden/>
              </w:rPr>
              <w:instrText xml:space="preserve"> PAGEREF _Toc214979380 \h </w:instrText>
            </w:r>
            <w:r>
              <w:rPr>
                <w:noProof/>
                <w:webHidden/>
              </w:rPr>
            </w:r>
            <w:r>
              <w:rPr>
                <w:noProof/>
                <w:webHidden/>
              </w:rPr>
              <w:fldChar w:fldCharType="separate"/>
            </w:r>
            <w:r>
              <w:rPr>
                <w:noProof/>
                <w:webHidden/>
              </w:rPr>
              <w:t>24</w:t>
            </w:r>
            <w:r>
              <w:rPr>
                <w:noProof/>
                <w:webHidden/>
              </w:rPr>
              <w:fldChar w:fldCharType="end"/>
            </w:r>
          </w:hyperlink>
        </w:p>
        <w:p w14:paraId="40A57D20" w14:textId="092960A2" w:rsidR="004505F9" w:rsidRDefault="004505F9">
          <w:pPr>
            <w:pStyle w:val="TOC1"/>
            <w:tabs>
              <w:tab w:val="left" w:pos="440"/>
              <w:tab w:val="right" w:leader="dot" w:pos="9016"/>
            </w:tabs>
            <w:rPr>
              <w:rFonts w:asciiTheme="minorHAnsi" w:hAnsiTheme="minorHAnsi" w:cstheme="minorBidi"/>
              <w:noProof/>
              <w:kern w:val="2"/>
              <w:szCs w:val="30"/>
              <w:lang w:eastAsia="zh-CN" w:bidi="bn-IN"/>
              <w14:ligatures w14:val="standardContextual"/>
            </w:rPr>
          </w:pPr>
          <w:hyperlink w:anchor="_Toc214979381" w:history="1">
            <w:r w:rsidRPr="005B18BF">
              <w:rPr>
                <w:rStyle w:val="Hyperlink"/>
                <w:noProof/>
              </w:rPr>
              <w:t>3</w:t>
            </w:r>
            <w:r>
              <w:rPr>
                <w:rFonts w:asciiTheme="minorHAnsi" w:hAnsiTheme="minorHAnsi" w:cstheme="minorBidi"/>
                <w:noProof/>
                <w:kern w:val="2"/>
                <w:szCs w:val="30"/>
                <w:lang w:eastAsia="zh-CN" w:bidi="bn-IN"/>
                <w14:ligatures w14:val="standardContextual"/>
              </w:rPr>
              <w:tab/>
            </w:r>
            <w:r w:rsidRPr="005B18BF">
              <w:rPr>
                <w:rStyle w:val="Hyperlink"/>
                <w:noProof/>
              </w:rPr>
              <w:t>CHAPTER 3: RESEARCH METHODOLOGY</w:t>
            </w:r>
            <w:r>
              <w:rPr>
                <w:noProof/>
                <w:webHidden/>
              </w:rPr>
              <w:tab/>
            </w:r>
            <w:r>
              <w:rPr>
                <w:noProof/>
                <w:webHidden/>
              </w:rPr>
              <w:fldChar w:fldCharType="begin"/>
            </w:r>
            <w:r>
              <w:rPr>
                <w:noProof/>
                <w:webHidden/>
              </w:rPr>
              <w:instrText xml:space="preserve"> PAGEREF _Toc214979381 \h </w:instrText>
            </w:r>
            <w:r>
              <w:rPr>
                <w:noProof/>
                <w:webHidden/>
              </w:rPr>
            </w:r>
            <w:r>
              <w:rPr>
                <w:noProof/>
                <w:webHidden/>
              </w:rPr>
              <w:fldChar w:fldCharType="separate"/>
            </w:r>
            <w:r>
              <w:rPr>
                <w:noProof/>
                <w:webHidden/>
              </w:rPr>
              <w:t>25</w:t>
            </w:r>
            <w:r>
              <w:rPr>
                <w:noProof/>
                <w:webHidden/>
              </w:rPr>
              <w:fldChar w:fldCharType="end"/>
            </w:r>
          </w:hyperlink>
        </w:p>
        <w:p w14:paraId="27BE07CC" w14:textId="50E406FD"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82" w:history="1">
            <w:r w:rsidRPr="005B18BF">
              <w:rPr>
                <w:rStyle w:val="Hyperlink"/>
                <w:noProof/>
              </w:rPr>
              <w:t>3.1</w:t>
            </w:r>
            <w:r>
              <w:rPr>
                <w:rFonts w:asciiTheme="minorHAnsi" w:hAnsiTheme="minorHAnsi" w:cstheme="minorBidi"/>
                <w:noProof/>
                <w:kern w:val="2"/>
                <w:szCs w:val="30"/>
                <w:lang w:eastAsia="zh-CN" w:bidi="bn-IN"/>
                <w14:ligatures w14:val="standardContextual"/>
              </w:rPr>
              <w:tab/>
            </w:r>
            <w:r w:rsidRPr="005B18BF">
              <w:rPr>
                <w:rStyle w:val="Hyperlink"/>
                <w:noProof/>
              </w:rPr>
              <w:t>Introduction</w:t>
            </w:r>
            <w:r>
              <w:rPr>
                <w:noProof/>
                <w:webHidden/>
              </w:rPr>
              <w:tab/>
            </w:r>
            <w:r>
              <w:rPr>
                <w:noProof/>
                <w:webHidden/>
              </w:rPr>
              <w:fldChar w:fldCharType="begin"/>
            </w:r>
            <w:r>
              <w:rPr>
                <w:noProof/>
                <w:webHidden/>
              </w:rPr>
              <w:instrText xml:space="preserve"> PAGEREF _Toc214979382 \h </w:instrText>
            </w:r>
            <w:r>
              <w:rPr>
                <w:noProof/>
                <w:webHidden/>
              </w:rPr>
            </w:r>
            <w:r>
              <w:rPr>
                <w:noProof/>
                <w:webHidden/>
              </w:rPr>
              <w:fldChar w:fldCharType="separate"/>
            </w:r>
            <w:r>
              <w:rPr>
                <w:noProof/>
                <w:webHidden/>
              </w:rPr>
              <w:t>25</w:t>
            </w:r>
            <w:r>
              <w:rPr>
                <w:noProof/>
                <w:webHidden/>
              </w:rPr>
              <w:fldChar w:fldCharType="end"/>
            </w:r>
          </w:hyperlink>
        </w:p>
        <w:p w14:paraId="403DE86A" w14:textId="5E981B2A"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83" w:history="1">
            <w:r w:rsidRPr="005B18BF">
              <w:rPr>
                <w:rStyle w:val="Hyperlink"/>
                <w:noProof/>
              </w:rPr>
              <w:t>3.2</w:t>
            </w:r>
            <w:r>
              <w:rPr>
                <w:rFonts w:asciiTheme="minorHAnsi" w:hAnsiTheme="minorHAnsi" w:cstheme="minorBidi"/>
                <w:noProof/>
                <w:kern w:val="2"/>
                <w:szCs w:val="30"/>
                <w:lang w:eastAsia="zh-CN" w:bidi="bn-IN"/>
                <w14:ligatures w14:val="standardContextual"/>
              </w:rPr>
              <w:tab/>
            </w:r>
            <w:r w:rsidRPr="005B18BF">
              <w:rPr>
                <w:rStyle w:val="Hyperlink"/>
                <w:noProof/>
              </w:rPr>
              <w:t>Research Philosophies and Assumptions</w:t>
            </w:r>
            <w:r>
              <w:rPr>
                <w:noProof/>
                <w:webHidden/>
              </w:rPr>
              <w:tab/>
            </w:r>
            <w:r>
              <w:rPr>
                <w:noProof/>
                <w:webHidden/>
              </w:rPr>
              <w:fldChar w:fldCharType="begin"/>
            </w:r>
            <w:r>
              <w:rPr>
                <w:noProof/>
                <w:webHidden/>
              </w:rPr>
              <w:instrText xml:space="preserve"> PAGEREF _Toc214979383 \h </w:instrText>
            </w:r>
            <w:r>
              <w:rPr>
                <w:noProof/>
                <w:webHidden/>
              </w:rPr>
            </w:r>
            <w:r>
              <w:rPr>
                <w:noProof/>
                <w:webHidden/>
              </w:rPr>
              <w:fldChar w:fldCharType="separate"/>
            </w:r>
            <w:r>
              <w:rPr>
                <w:noProof/>
                <w:webHidden/>
              </w:rPr>
              <w:t>25</w:t>
            </w:r>
            <w:r>
              <w:rPr>
                <w:noProof/>
                <w:webHidden/>
              </w:rPr>
              <w:fldChar w:fldCharType="end"/>
            </w:r>
          </w:hyperlink>
        </w:p>
        <w:p w14:paraId="2209F30A" w14:textId="0303E509"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84" w:history="1">
            <w:r w:rsidRPr="005B18BF">
              <w:rPr>
                <w:rStyle w:val="Hyperlink"/>
                <w:noProof/>
              </w:rPr>
              <w:t>3.3</w:t>
            </w:r>
            <w:r>
              <w:rPr>
                <w:rFonts w:asciiTheme="minorHAnsi" w:hAnsiTheme="minorHAnsi" w:cstheme="minorBidi"/>
                <w:noProof/>
                <w:kern w:val="2"/>
                <w:szCs w:val="30"/>
                <w:lang w:eastAsia="zh-CN" w:bidi="bn-IN"/>
                <w14:ligatures w14:val="standardContextual"/>
              </w:rPr>
              <w:tab/>
            </w:r>
            <w:r w:rsidRPr="005B18BF">
              <w:rPr>
                <w:rStyle w:val="Hyperlink"/>
                <w:noProof/>
              </w:rPr>
              <w:t>Research Design</w:t>
            </w:r>
            <w:r>
              <w:rPr>
                <w:noProof/>
                <w:webHidden/>
              </w:rPr>
              <w:tab/>
            </w:r>
            <w:r>
              <w:rPr>
                <w:noProof/>
                <w:webHidden/>
              </w:rPr>
              <w:fldChar w:fldCharType="begin"/>
            </w:r>
            <w:r>
              <w:rPr>
                <w:noProof/>
                <w:webHidden/>
              </w:rPr>
              <w:instrText xml:space="preserve"> PAGEREF _Toc214979384 \h </w:instrText>
            </w:r>
            <w:r>
              <w:rPr>
                <w:noProof/>
                <w:webHidden/>
              </w:rPr>
            </w:r>
            <w:r>
              <w:rPr>
                <w:noProof/>
                <w:webHidden/>
              </w:rPr>
              <w:fldChar w:fldCharType="separate"/>
            </w:r>
            <w:r>
              <w:rPr>
                <w:noProof/>
                <w:webHidden/>
              </w:rPr>
              <w:t>26</w:t>
            </w:r>
            <w:r>
              <w:rPr>
                <w:noProof/>
                <w:webHidden/>
              </w:rPr>
              <w:fldChar w:fldCharType="end"/>
            </w:r>
          </w:hyperlink>
        </w:p>
        <w:p w14:paraId="72BD99E0" w14:textId="202E22EA"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85" w:history="1">
            <w:r w:rsidRPr="005B18BF">
              <w:rPr>
                <w:rStyle w:val="Hyperlink"/>
                <w:noProof/>
              </w:rPr>
              <w:t>3.4</w:t>
            </w:r>
            <w:r>
              <w:rPr>
                <w:rFonts w:asciiTheme="minorHAnsi" w:hAnsiTheme="minorHAnsi" w:cstheme="minorBidi"/>
                <w:noProof/>
                <w:kern w:val="2"/>
                <w:szCs w:val="30"/>
                <w:lang w:eastAsia="zh-CN" w:bidi="bn-IN"/>
                <w14:ligatures w14:val="standardContextual"/>
              </w:rPr>
              <w:tab/>
            </w:r>
            <w:r w:rsidRPr="005B18BF">
              <w:rPr>
                <w:rStyle w:val="Hyperlink"/>
                <w:noProof/>
              </w:rPr>
              <w:t>Research Approaches &amp; Justification</w:t>
            </w:r>
            <w:r>
              <w:rPr>
                <w:noProof/>
                <w:webHidden/>
              </w:rPr>
              <w:tab/>
            </w:r>
            <w:r>
              <w:rPr>
                <w:noProof/>
                <w:webHidden/>
              </w:rPr>
              <w:fldChar w:fldCharType="begin"/>
            </w:r>
            <w:r>
              <w:rPr>
                <w:noProof/>
                <w:webHidden/>
              </w:rPr>
              <w:instrText xml:space="preserve"> PAGEREF _Toc214979385 \h </w:instrText>
            </w:r>
            <w:r>
              <w:rPr>
                <w:noProof/>
                <w:webHidden/>
              </w:rPr>
            </w:r>
            <w:r>
              <w:rPr>
                <w:noProof/>
                <w:webHidden/>
              </w:rPr>
              <w:fldChar w:fldCharType="separate"/>
            </w:r>
            <w:r>
              <w:rPr>
                <w:noProof/>
                <w:webHidden/>
              </w:rPr>
              <w:t>27</w:t>
            </w:r>
            <w:r>
              <w:rPr>
                <w:noProof/>
                <w:webHidden/>
              </w:rPr>
              <w:fldChar w:fldCharType="end"/>
            </w:r>
          </w:hyperlink>
        </w:p>
        <w:p w14:paraId="6EC51F02" w14:textId="45F534EC"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86" w:history="1">
            <w:r w:rsidRPr="005B18BF">
              <w:rPr>
                <w:rStyle w:val="Hyperlink"/>
                <w:noProof/>
              </w:rPr>
              <w:t>3.5</w:t>
            </w:r>
            <w:r>
              <w:rPr>
                <w:rFonts w:asciiTheme="minorHAnsi" w:hAnsiTheme="minorHAnsi" w:cstheme="minorBidi"/>
                <w:noProof/>
                <w:kern w:val="2"/>
                <w:szCs w:val="30"/>
                <w:lang w:eastAsia="zh-CN" w:bidi="bn-IN"/>
                <w14:ligatures w14:val="standardContextual"/>
              </w:rPr>
              <w:tab/>
            </w:r>
            <w:r w:rsidRPr="005B18BF">
              <w:rPr>
                <w:rStyle w:val="Hyperlink"/>
                <w:noProof/>
              </w:rPr>
              <w:t>Data Collection Methods</w:t>
            </w:r>
            <w:r>
              <w:rPr>
                <w:noProof/>
                <w:webHidden/>
              </w:rPr>
              <w:tab/>
            </w:r>
            <w:r>
              <w:rPr>
                <w:noProof/>
                <w:webHidden/>
              </w:rPr>
              <w:fldChar w:fldCharType="begin"/>
            </w:r>
            <w:r>
              <w:rPr>
                <w:noProof/>
                <w:webHidden/>
              </w:rPr>
              <w:instrText xml:space="preserve"> PAGEREF _Toc214979386 \h </w:instrText>
            </w:r>
            <w:r>
              <w:rPr>
                <w:noProof/>
                <w:webHidden/>
              </w:rPr>
            </w:r>
            <w:r>
              <w:rPr>
                <w:noProof/>
                <w:webHidden/>
              </w:rPr>
              <w:fldChar w:fldCharType="separate"/>
            </w:r>
            <w:r>
              <w:rPr>
                <w:noProof/>
                <w:webHidden/>
              </w:rPr>
              <w:t>27</w:t>
            </w:r>
            <w:r>
              <w:rPr>
                <w:noProof/>
                <w:webHidden/>
              </w:rPr>
              <w:fldChar w:fldCharType="end"/>
            </w:r>
          </w:hyperlink>
        </w:p>
        <w:p w14:paraId="1B437AA7" w14:textId="66025954"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387" w:history="1">
            <w:r w:rsidRPr="005B18BF">
              <w:rPr>
                <w:rStyle w:val="Hyperlink"/>
                <w:noProof/>
              </w:rPr>
              <w:t>3.5.1</w:t>
            </w:r>
            <w:r>
              <w:rPr>
                <w:rFonts w:asciiTheme="minorHAnsi" w:hAnsiTheme="minorHAnsi" w:cstheme="minorBidi"/>
                <w:noProof/>
                <w:kern w:val="2"/>
                <w:szCs w:val="30"/>
                <w:lang w:eastAsia="zh-CN" w:bidi="bn-IN"/>
                <w14:ligatures w14:val="standardContextual"/>
              </w:rPr>
              <w:tab/>
            </w:r>
            <w:r w:rsidRPr="005B18BF">
              <w:rPr>
                <w:rStyle w:val="Hyperlink"/>
                <w:noProof/>
              </w:rPr>
              <w:t>Databases and Search Strategy</w:t>
            </w:r>
            <w:r>
              <w:rPr>
                <w:noProof/>
                <w:webHidden/>
              </w:rPr>
              <w:tab/>
            </w:r>
            <w:r>
              <w:rPr>
                <w:noProof/>
                <w:webHidden/>
              </w:rPr>
              <w:fldChar w:fldCharType="begin"/>
            </w:r>
            <w:r>
              <w:rPr>
                <w:noProof/>
                <w:webHidden/>
              </w:rPr>
              <w:instrText xml:space="preserve"> PAGEREF _Toc214979387 \h </w:instrText>
            </w:r>
            <w:r>
              <w:rPr>
                <w:noProof/>
                <w:webHidden/>
              </w:rPr>
            </w:r>
            <w:r>
              <w:rPr>
                <w:noProof/>
                <w:webHidden/>
              </w:rPr>
              <w:fldChar w:fldCharType="separate"/>
            </w:r>
            <w:r>
              <w:rPr>
                <w:noProof/>
                <w:webHidden/>
              </w:rPr>
              <w:t>28</w:t>
            </w:r>
            <w:r>
              <w:rPr>
                <w:noProof/>
                <w:webHidden/>
              </w:rPr>
              <w:fldChar w:fldCharType="end"/>
            </w:r>
          </w:hyperlink>
        </w:p>
        <w:p w14:paraId="06C513F1" w14:textId="78C95495"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388" w:history="1">
            <w:r w:rsidRPr="005B18BF">
              <w:rPr>
                <w:rStyle w:val="Hyperlink"/>
                <w:noProof/>
              </w:rPr>
              <w:t>3.5.2</w:t>
            </w:r>
            <w:r>
              <w:rPr>
                <w:rFonts w:asciiTheme="minorHAnsi" w:hAnsiTheme="minorHAnsi" w:cstheme="minorBidi"/>
                <w:noProof/>
                <w:kern w:val="2"/>
                <w:szCs w:val="30"/>
                <w:lang w:eastAsia="zh-CN" w:bidi="bn-IN"/>
                <w14:ligatures w14:val="standardContextual"/>
              </w:rPr>
              <w:tab/>
            </w:r>
            <w:r w:rsidRPr="005B18BF">
              <w:rPr>
                <w:rStyle w:val="Hyperlink"/>
                <w:noProof/>
              </w:rPr>
              <w:t>Inclusion and exclusion criteria</w:t>
            </w:r>
            <w:r>
              <w:rPr>
                <w:noProof/>
                <w:webHidden/>
              </w:rPr>
              <w:tab/>
            </w:r>
            <w:r>
              <w:rPr>
                <w:noProof/>
                <w:webHidden/>
              </w:rPr>
              <w:fldChar w:fldCharType="begin"/>
            </w:r>
            <w:r>
              <w:rPr>
                <w:noProof/>
                <w:webHidden/>
              </w:rPr>
              <w:instrText xml:space="preserve"> PAGEREF _Toc214979388 \h </w:instrText>
            </w:r>
            <w:r>
              <w:rPr>
                <w:noProof/>
                <w:webHidden/>
              </w:rPr>
            </w:r>
            <w:r>
              <w:rPr>
                <w:noProof/>
                <w:webHidden/>
              </w:rPr>
              <w:fldChar w:fldCharType="separate"/>
            </w:r>
            <w:r>
              <w:rPr>
                <w:noProof/>
                <w:webHidden/>
              </w:rPr>
              <w:t>29</w:t>
            </w:r>
            <w:r>
              <w:rPr>
                <w:noProof/>
                <w:webHidden/>
              </w:rPr>
              <w:fldChar w:fldCharType="end"/>
            </w:r>
          </w:hyperlink>
        </w:p>
        <w:p w14:paraId="519AABAA" w14:textId="5B75526E"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389" w:history="1">
            <w:r w:rsidRPr="005B18BF">
              <w:rPr>
                <w:rStyle w:val="Hyperlink"/>
                <w:noProof/>
              </w:rPr>
              <w:t>3.5.3</w:t>
            </w:r>
            <w:r>
              <w:rPr>
                <w:rFonts w:asciiTheme="minorHAnsi" w:hAnsiTheme="minorHAnsi" w:cstheme="minorBidi"/>
                <w:noProof/>
                <w:kern w:val="2"/>
                <w:szCs w:val="30"/>
                <w:lang w:eastAsia="zh-CN" w:bidi="bn-IN"/>
                <w14:ligatures w14:val="standardContextual"/>
              </w:rPr>
              <w:tab/>
            </w:r>
            <w:r w:rsidRPr="005B18BF">
              <w:rPr>
                <w:rStyle w:val="Hyperlink"/>
                <w:noProof/>
              </w:rPr>
              <w:t>Study Selection, Screening, and Inclusion</w:t>
            </w:r>
            <w:r>
              <w:rPr>
                <w:noProof/>
                <w:webHidden/>
              </w:rPr>
              <w:tab/>
            </w:r>
            <w:r>
              <w:rPr>
                <w:noProof/>
                <w:webHidden/>
              </w:rPr>
              <w:fldChar w:fldCharType="begin"/>
            </w:r>
            <w:r>
              <w:rPr>
                <w:noProof/>
                <w:webHidden/>
              </w:rPr>
              <w:instrText xml:space="preserve"> PAGEREF _Toc214979389 \h </w:instrText>
            </w:r>
            <w:r>
              <w:rPr>
                <w:noProof/>
                <w:webHidden/>
              </w:rPr>
            </w:r>
            <w:r>
              <w:rPr>
                <w:noProof/>
                <w:webHidden/>
              </w:rPr>
              <w:fldChar w:fldCharType="separate"/>
            </w:r>
            <w:r>
              <w:rPr>
                <w:noProof/>
                <w:webHidden/>
              </w:rPr>
              <w:t>30</w:t>
            </w:r>
            <w:r>
              <w:rPr>
                <w:noProof/>
                <w:webHidden/>
              </w:rPr>
              <w:fldChar w:fldCharType="end"/>
            </w:r>
          </w:hyperlink>
        </w:p>
        <w:p w14:paraId="35B86B8E" w14:textId="6D0CCB21"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390" w:history="1">
            <w:r w:rsidRPr="005B18BF">
              <w:rPr>
                <w:rStyle w:val="Hyperlink"/>
                <w:noProof/>
              </w:rPr>
              <w:t>3.5.4</w:t>
            </w:r>
            <w:r>
              <w:rPr>
                <w:rFonts w:asciiTheme="minorHAnsi" w:hAnsiTheme="minorHAnsi" w:cstheme="minorBidi"/>
                <w:noProof/>
                <w:kern w:val="2"/>
                <w:szCs w:val="30"/>
                <w:lang w:eastAsia="zh-CN" w:bidi="bn-IN"/>
                <w14:ligatures w14:val="standardContextual"/>
              </w:rPr>
              <w:tab/>
            </w:r>
            <w:r w:rsidRPr="005B18BF">
              <w:rPr>
                <w:rStyle w:val="Hyperlink"/>
                <w:noProof/>
              </w:rPr>
              <w:t>Quality Appraisal of the Included Articles</w:t>
            </w:r>
            <w:r>
              <w:rPr>
                <w:noProof/>
                <w:webHidden/>
              </w:rPr>
              <w:tab/>
            </w:r>
            <w:r>
              <w:rPr>
                <w:noProof/>
                <w:webHidden/>
              </w:rPr>
              <w:fldChar w:fldCharType="begin"/>
            </w:r>
            <w:r>
              <w:rPr>
                <w:noProof/>
                <w:webHidden/>
              </w:rPr>
              <w:instrText xml:space="preserve"> PAGEREF _Toc214979390 \h </w:instrText>
            </w:r>
            <w:r>
              <w:rPr>
                <w:noProof/>
                <w:webHidden/>
              </w:rPr>
            </w:r>
            <w:r>
              <w:rPr>
                <w:noProof/>
                <w:webHidden/>
              </w:rPr>
              <w:fldChar w:fldCharType="separate"/>
            </w:r>
            <w:r>
              <w:rPr>
                <w:noProof/>
                <w:webHidden/>
              </w:rPr>
              <w:t>31</w:t>
            </w:r>
            <w:r>
              <w:rPr>
                <w:noProof/>
                <w:webHidden/>
              </w:rPr>
              <w:fldChar w:fldCharType="end"/>
            </w:r>
          </w:hyperlink>
        </w:p>
        <w:p w14:paraId="7F02F568" w14:textId="1EEB67EF"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91" w:history="1">
            <w:r w:rsidRPr="005B18BF">
              <w:rPr>
                <w:rStyle w:val="Hyperlink"/>
                <w:noProof/>
              </w:rPr>
              <w:t>3.6</w:t>
            </w:r>
            <w:r>
              <w:rPr>
                <w:rFonts w:asciiTheme="minorHAnsi" w:hAnsiTheme="minorHAnsi" w:cstheme="minorBidi"/>
                <w:noProof/>
                <w:kern w:val="2"/>
                <w:szCs w:val="30"/>
                <w:lang w:eastAsia="zh-CN" w:bidi="bn-IN"/>
                <w14:ligatures w14:val="standardContextual"/>
              </w:rPr>
              <w:tab/>
            </w:r>
            <w:r w:rsidRPr="005B18BF">
              <w:rPr>
                <w:rStyle w:val="Hyperlink"/>
                <w:noProof/>
              </w:rPr>
              <w:t>Data Extraction and Synthesis</w:t>
            </w:r>
            <w:r>
              <w:rPr>
                <w:noProof/>
                <w:webHidden/>
              </w:rPr>
              <w:tab/>
            </w:r>
            <w:r>
              <w:rPr>
                <w:noProof/>
                <w:webHidden/>
              </w:rPr>
              <w:fldChar w:fldCharType="begin"/>
            </w:r>
            <w:r>
              <w:rPr>
                <w:noProof/>
                <w:webHidden/>
              </w:rPr>
              <w:instrText xml:space="preserve"> PAGEREF _Toc214979391 \h </w:instrText>
            </w:r>
            <w:r>
              <w:rPr>
                <w:noProof/>
                <w:webHidden/>
              </w:rPr>
            </w:r>
            <w:r>
              <w:rPr>
                <w:noProof/>
                <w:webHidden/>
              </w:rPr>
              <w:fldChar w:fldCharType="separate"/>
            </w:r>
            <w:r>
              <w:rPr>
                <w:noProof/>
                <w:webHidden/>
              </w:rPr>
              <w:t>31</w:t>
            </w:r>
            <w:r>
              <w:rPr>
                <w:noProof/>
                <w:webHidden/>
              </w:rPr>
              <w:fldChar w:fldCharType="end"/>
            </w:r>
          </w:hyperlink>
        </w:p>
        <w:p w14:paraId="2F8D9A48" w14:textId="1D00AE30"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92" w:history="1">
            <w:r w:rsidRPr="005B18BF">
              <w:rPr>
                <w:rStyle w:val="Hyperlink"/>
                <w:noProof/>
              </w:rPr>
              <w:t>3.7</w:t>
            </w:r>
            <w:r>
              <w:rPr>
                <w:rFonts w:asciiTheme="minorHAnsi" w:hAnsiTheme="minorHAnsi" w:cstheme="minorBidi"/>
                <w:noProof/>
                <w:kern w:val="2"/>
                <w:szCs w:val="30"/>
                <w:lang w:eastAsia="zh-CN" w:bidi="bn-IN"/>
                <w14:ligatures w14:val="standardContextual"/>
              </w:rPr>
              <w:tab/>
            </w:r>
            <w:r w:rsidRPr="005B18BF">
              <w:rPr>
                <w:rStyle w:val="Hyperlink"/>
                <w:noProof/>
              </w:rPr>
              <w:t>Ethical Considerations</w:t>
            </w:r>
            <w:r>
              <w:rPr>
                <w:noProof/>
                <w:webHidden/>
              </w:rPr>
              <w:tab/>
            </w:r>
            <w:r>
              <w:rPr>
                <w:noProof/>
                <w:webHidden/>
              </w:rPr>
              <w:fldChar w:fldCharType="begin"/>
            </w:r>
            <w:r>
              <w:rPr>
                <w:noProof/>
                <w:webHidden/>
              </w:rPr>
              <w:instrText xml:space="preserve"> PAGEREF _Toc214979392 \h </w:instrText>
            </w:r>
            <w:r>
              <w:rPr>
                <w:noProof/>
                <w:webHidden/>
              </w:rPr>
            </w:r>
            <w:r>
              <w:rPr>
                <w:noProof/>
                <w:webHidden/>
              </w:rPr>
              <w:fldChar w:fldCharType="separate"/>
            </w:r>
            <w:r>
              <w:rPr>
                <w:noProof/>
                <w:webHidden/>
              </w:rPr>
              <w:t>32</w:t>
            </w:r>
            <w:r>
              <w:rPr>
                <w:noProof/>
                <w:webHidden/>
              </w:rPr>
              <w:fldChar w:fldCharType="end"/>
            </w:r>
          </w:hyperlink>
        </w:p>
        <w:p w14:paraId="66648D9A" w14:textId="7D65B2FF"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93" w:history="1">
            <w:r w:rsidRPr="005B18BF">
              <w:rPr>
                <w:rStyle w:val="Hyperlink"/>
                <w:noProof/>
              </w:rPr>
              <w:t>3.8</w:t>
            </w:r>
            <w:r>
              <w:rPr>
                <w:rFonts w:asciiTheme="minorHAnsi" w:hAnsiTheme="minorHAnsi" w:cstheme="minorBidi"/>
                <w:noProof/>
                <w:kern w:val="2"/>
                <w:szCs w:val="30"/>
                <w:lang w:eastAsia="zh-CN" w:bidi="bn-IN"/>
                <w14:ligatures w14:val="standardContextual"/>
              </w:rPr>
              <w:tab/>
            </w:r>
            <w:r w:rsidRPr="005B18BF">
              <w:rPr>
                <w:rStyle w:val="Hyperlink"/>
                <w:noProof/>
              </w:rPr>
              <w:t>Conclusion</w:t>
            </w:r>
            <w:r>
              <w:rPr>
                <w:noProof/>
                <w:webHidden/>
              </w:rPr>
              <w:tab/>
            </w:r>
            <w:r>
              <w:rPr>
                <w:noProof/>
                <w:webHidden/>
              </w:rPr>
              <w:fldChar w:fldCharType="begin"/>
            </w:r>
            <w:r>
              <w:rPr>
                <w:noProof/>
                <w:webHidden/>
              </w:rPr>
              <w:instrText xml:space="preserve"> PAGEREF _Toc214979393 \h </w:instrText>
            </w:r>
            <w:r>
              <w:rPr>
                <w:noProof/>
                <w:webHidden/>
              </w:rPr>
            </w:r>
            <w:r>
              <w:rPr>
                <w:noProof/>
                <w:webHidden/>
              </w:rPr>
              <w:fldChar w:fldCharType="separate"/>
            </w:r>
            <w:r>
              <w:rPr>
                <w:noProof/>
                <w:webHidden/>
              </w:rPr>
              <w:t>33</w:t>
            </w:r>
            <w:r>
              <w:rPr>
                <w:noProof/>
                <w:webHidden/>
              </w:rPr>
              <w:fldChar w:fldCharType="end"/>
            </w:r>
          </w:hyperlink>
        </w:p>
        <w:p w14:paraId="3A9937CB" w14:textId="6BB5A4F4" w:rsidR="004505F9" w:rsidRDefault="004505F9">
          <w:pPr>
            <w:pStyle w:val="TOC1"/>
            <w:tabs>
              <w:tab w:val="left" w:pos="440"/>
              <w:tab w:val="right" w:leader="dot" w:pos="9016"/>
            </w:tabs>
            <w:rPr>
              <w:rFonts w:asciiTheme="minorHAnsi" w:hAnsiTheme="minorHAnsi" w:cstheme="minorBidi"/>
              <w:noProof/>
              <w:kern w:val="2"/>
              <w:szCs w:val="30"/>
              <w:lang w:eastAsia="zh-CN" w:bidi="bn-IN"/>
              <w14:ligatures w14:val="standardContextual"/>
            </w:rPr>
          </w:pPr>
          <w:hyperlink w:anchor="_Toc214979394" w:history="1">
            <w:r w:rsidRPr="005B18BF">
              <w:rPr>
                <w:rStyle w:val="Hyperlink"/>
                <w:noProof/>
              </w:rPr>
              <w:t>4</w:t>
            </w:r>
            <w:r>
              <w:rPr>
                <w:rFonts w:asciiTheme="minorHAnsi" w:hAnsiTheme="minorHAnsi" w:cstheme="minorBidi"/>
                <w:noProof/>
                <w:kern w:val="2"/>
                <w:szCs w:val="30"/>
                <w:lang w:eastAsia="zh-CN" w:bidi="bn-IN"/>
                <w14:ligatures w14:val="standardContextual"/>
              </w:rPr>
              <w:tab/>
            </w:r>
            <w:r w:rsidRPr="005B18BF">
              <w:rPr>
                <w:rStyle w:val="Hyperlink"/>
                <w:noProof/>
              </w:rPr>
              <w:t>CHAPTER 4: FINDINGS, ANALYSIS AND DISCUSSION</w:t>
            </w:r>
            <w:r>
              <w:rPr>
                <w:noProof/>
                <w:webHidden/>
              </w:rPr>
              <w:tab/>
            </w:r>
            <w:r>
              <w:rPr>
                <w:noProof/>
                <w:webHidden/>
              </w:rPr>
              <w:fldChar w:fldCharType="begin"/>
            </w:r>
            <w:r>
              <w:rPr>
                <w:noProof/>
                <w:webHidden/>
              </w:rPr>
              <w:instrText xml:space="preserve"> PAGEREF _Toc214979394 \h </w:instrText>
            </w:r>
            <w:r>
              <w:rPr>
                <w:noProof/>
                <w:webHidden/>
              </w:rPr>
            </w:r>
            <w:r>
              <w:rPr>
                <w:noProof/>
                <w:webHidden/>
              </w:rPr>
              <w:fldChar w:fldCharType="separate"/>
            </w:r>
            <w:r>
              <w:rPr>
                <w:noProof/>
                <w:webHidden/>
              </w:rPr>
              <w:t>34</w:t>
            </w:r>
            <w:r>
              <w:rPr>
                <w:noProof/>
                <w:webHidden/>
              </w:rPr>
              <w:fldChar w:fldCharType="end"/>
            </w:r>
          </w:hyperlink>
        </w:p>
        <w:p w14:paraId="22FE4156" w14:textId="5E1DF15A"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95" w:history="1">
            <w:r w:rsidRPr="005B18BF">
              <w:rPr>
                <w:rStyle w:val="Hyperlink"/>
                <w:noProof/>
              </w:rPr>
              <w:t>4.1</w:t>
            </w:r>
            <w:r>
              <w:rPr>
                <w:rFonts w:asciiTheme="minorHAnsi" w:hAnsiTheme="minorHAnsi" w:cstheme="minorBidi"/>
                <w:noProof/>
                <w:kern w:val="2"/>
                <w:szCs w:val="30"/>
                <w:lang w:eastAsia="zh-CN" w:bidi="bn-IN"/>
                <w14:ligatures w14:val="standardContextual"/>
              </w:rPr>
              <w:tab/>
            </w:r>
            <w:r w:rsidRPr="005B18BF">
              <w:rPr>
                <w:rStyle w:val="Hyperlink"/>
                <w:noProof/>
              </w:rPr>
              <w:t>Introduction</w:t>
            </w:r>
            <w:r>
              <w:rPr>
                <w:noProof/>
                <w:webHidden/>
              </w:rPr>
              <w:tab/>
            </w:r>
            <w:r>
              <w:rPr>
                <w:noProof/>
                <w:webHidden/>
              </w:rPr>
              <w:fldChar w:fldCharType="begin"/>
            </w:r>
            <w:r>
              <w:rPr>
                <w:noProof/>
                <w:webHidden/>
              </w:rPr>
              <w:instrText xml:space="preserve"> PAGEREF _Toc214979395 \h </w:instrText>
            </w:r>
            <w:r>
              <w:rPr>
                <w:noProof/>
                <w:webHidden/>
              </w:rPr>
            </w:r>
            <w:r>
              <w:rPr>
                <w:noProof/>
                <w:webHidden/>
              </w:rPr>
              <w:fldChar w:fldCharType="separate"/>
            </w:r>
            <w:r>
              <w:rPr>
                <w:noProof/>
                <w:webHidden/>
              </w:rPr>
              <w:t>34</w:t>
            </w:r>
            <w:r>
              <w:rPr>
                <w:noProof/>
                <w:webHidden/>
              </w:rPr>
              <w:fldChar w:fldCharType="end"/>
            </w:r>
          </w:hyperlink>
        </w:p>
        <w:p w14:paraId="0F1D4AE0" w14:textId="2D0DE31F"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96" w:history="1">
            <w:r w:rsidRPr="005B18BF">
              <w:rPr>
                <w:rStyle w:val="Hyperlink"/>
                <w:noProof/>
              </w:rPr>
              <w:t>4.2</w:t>
            </w:r>
            <w:r>
              <w:rPr>
                <w:rFonts w:asciiTheme="minorHAnsi" w:hAnsiTheme="minorHAnsi" w:cstheme="minorBidi"/>
                <w:noProof/>
                <w:kern w:val="2"/>
                <w:szCs w:val="30"/>
                <w:lang w:eastAsia="zh-CN" w:bidi="bn-IN"/>
                <w14:ligatures w14:val="standardContextual"/>
              </w:rPr>
              <w:tab/>
            </w:r>
            <w:r w:rsidRPr="005B18BF">
              <w:rPr>
                <w:rStyle w:val="Hyperlink"/>
                <w:noProof/>
              </w:rPr>
              <w:t>Summary of Included Studies for the Systematic Review</w:t>
            </w:r>
            <w:r>
              <w:rPr>
                <w:noProof/>
                <w:webHidden/>
              </w:rPr>
              <w:tab/>
            </w:r>
            <w:r>
              <w:rPr>
                <w:noProof/>
                <w:webHidden/>
              </w:rPr>
              <w:fldChar w:fldCharType="begin"/>
            </w:r>
            <w:r>
              <w:rPr>
                <w:noProof/>
                <w:webHidden/>
              </w:rPr>
              <w:instrText xml:space="preserve"> PAGEREF _Toc214979396 \h </w:instrText>
            </w:r>
            <w:r>
              <w:rPr>
                <w:noProof/>
                <w:webHidden/>
              </w:rPr>
            </w:r>
            <w:r>
              <w:rPr>
                <w:noProof/>
                <w:webHidden/>
              </w:rPr>
              <w:fldChar w:fldCharType="separate"/>
            </w:r>
            <w:r>
              <w:rPr>
                <w:noProof/>
                <w:webHidden/>
              </w:rPr>
              <w:t>35</w:t>
            </w:r>
            <w:r>
              <w:rPr>
                <w:noProof/>
                <w:webHidden/>
              </w:rPr>
              <w:fldChar w:fldCharType="end"/>
            </w:r>
          </w:hyperlink>
        </w:p>
        <w:p w14:paraId="71CE238D" w14:textId="0653FA2A"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397" w:history="1">
            <w:r w:rsidRPr="005B18BF">
              <w:rPr>
                <w:rStyle w:val="Hyperlink"/>
                <w:noProof/>
              </w:rPr>
              <w:t>4.3</w:t>
            </w:r>
            <w:r>
              <w:rPr>
                <w:rFonts w:asciiTheme="minorHAnsi" w:hAnsiTheme="minorHAnsi" w:cstheme="minorBidi"/>
                <w:noProof/>
                <w:kern w:val="2"/>
                <w:szCs w:val="30"/>
                <w:lang w:eastAsia="zh-CN" w:bidi="bn-IN"/>
                <w14:ligatures w14:val="standardContextual"/>
              </w:rPr>
              <w:tab/>
            </w:r>
            <w:r w:rsidRPr="005B18BF">
              <w:rPr>
                <w:rStyle w:val="Hyperlink"/>
                <w:noProof/>
              </w:rPr>
              <w:t>Thematic Analysis of Results</w:t>
            </w:r>
            <w:r>
              <w:rPr>
                <w:noProof/>
                <w:webHidden/>
              </w:rPr>
              <w:tab/>
            </w:r>
            <w:r>
              <w:rPr>
                <w:noProof/>
                <w:webHidden/>
              </w:rPr>
              <w:fldChar w:fldCharType="begin"/>
            </w:r>
            <w:r>
              <w:rPr>
                <w:noProof/>
                <w:webHidden/>
              </w:rPr>
              <w:instrText xml:space="preserve"> PAGEREF _Toc214979397 \h </w:instrText>
            </w:r>
            <w:r>
              <w:rPr>
                <w:noProof/>
                <w:webHidden/>
              </w:rPr>
            </w:r>
            <w:r>
              <w:rPr>
                <w:noProof/>
                <w:webHidden/>
              </w:rPr>
              <w:fldChar w:fldCharType="separate"/>
            </w:r>
            <w:r>
              <w:rPr>
                <w:noProof/>
                <w:webHidden/>
              </w:rPr>
              <w:t>46</w:t>
            </w:r>
            <w:r>
              <w:rPr>
                <w:noProof/>
                <w:webHidden/>
              </w:rPr>
              <w:fldChar w:fldCharType="end"/>
            </w:r>
          </w:hyperlink>
        </w:p>
        <w:p w14:paraId="0C36D090" w14:textId="414A2233"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398" w:history="1">
            <w:r w:rsidRPr="005B18BF">
              <w:rPr>
                <w:rStyle w:val="Hyperlink"/>
                <w:noProof/>
              </w:rPr>
              <w:t>4.3.1</w:t>
            </w:r>
            <w:r>
              <w:rPr>
                <w:rFonts w:asciiTheme="minorHAnsi" w:hAnsiTheme="minorHAnsi" w:cstheme="minorBidi"/>
                <w:noProof/>
                <w:kern w:val="2"/>
                <w:szCs w:val="30"/>
                <w:lang w:eastAsia="zh-CN" w:bidi="bn-IN"/>
                <w14:ligatures w14:val="standardContextual"/>
              </w:rPr>
              <w:tab/>
            </w:r>
            <w:r w:rsidRPr="005B18BF">
              <w:rPr>
                <w:rStyle w:val="Hyperlink"/>
                <w:noProof/>
              </w:rPr>
              <w:t>Environmental Stewardship and Social Responsibility Practices (RQ1)</w:t>
            </w:r>
            <w:r>
              <w:rPr>
                <w:noProof/>
                <w:webHidden/>
              </w:rPr>
              <w:tab/>
            </w:r>
            <w:r>
              <w:rPr>
                <w:noProof/>
                <w:webHidden/>
              </w:rPr>
              <w:fldChar w:fldCharType="begin"/>
            </w:r>
            <w:r>
              <w:rPr>
                <w:noProof/>
                <w:webHidden/>
              </w:rPr>
              <w:instrText xml:space="preserve"> PAGEREF _Toc214979398 \h </w:instrText>
            </w:r>
            <w:r>
              <w:rPr>
                <w:noProof/>
                <w:webHidden/>
              </w:rPr>
            </w:r>
            <w:r>
              <w:rPr>
                <w:noProof/>
                <w:webHidden/>
              </w:rPr>
              <w:fldChar w:fldCharType="separate"/>
            </w:r>
            <w:r>
              <w:rPr>
                <w:noProof/>
                <w:webHidden/>
              </w:rPr>
              <w:t>46</w:t>
            </w:r>
            <w:r>
              <w:rPr>
                <w:noProof/>
                <w:webHidden/>
              </w:rPr>
              <w:fldChar w:fldCharType="end"/>
            </w:r>
          </w:hyperlink>
        </w:p>
        <w:p w14:paraId="2DEBCD00" w14:textId="59C8B1B9"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399" w:history="1">
            <w:r w:rsidRPr="005B18BF">
              <w:rPr>
                <w:rStyle w:val="Hyperlink"/>
                <w:noProof/>
              </w:rPr>
              <w:t>4.3.2</w:t>
            </w:r>
            <w:r>
              <w:rPr>
                <w:rFonts w:asciiTheme="minorHAnsi" w:hAnsiTheme="minorHAnsi" w:cstheme="minorBidi"/>
                <w:noProof/>
                <w:kern w:val="2"/>
                <w:szCs w:val="30"/>
                <w:lang w:eastAsia="zh-CN" w:bidi="bn-IN"/>
                <w14:ligatures w14:val="standardContextual"/>
              </w:rPr>
              <w:tab/>
            </w:r>
            <w:r w:rsidRPr="005B18BF">
              <w:rPr>
                <w:rStyle w:val="Hyperlink"/>
                <w:noProof/>
              </w:rPr>
              <w:t>Manifestations and Drivers of Greenwashing in the Fashion Industry (RQ2)</w:t>
            </w:r>
            <w:r>
              <w:rPr>
                <w:noProof/>
                <w:webHidden/>
              </w:rPr>
              <w:tab/>
            </w:r>
            <w:r>
              <w:rPr>
                <w:noProof/>
                <w:webHidden/>
              </w:rPr>
              <w:fldChar w:fldCharType="begin"/>
            </w:r>
            <w:r>
              <w:rPr>
                <w:noProof/>
                <w:webHidden/>
              </w:rPr>
              <w:instrText xml:space="preserve"> PAGEREF _Toc214979399 \h </w:instrText>
            </w:r>
            <w:r>
              <w:rPr>
                <w:noProof/>
                <w:webHidden/>
              </w:rPr>
            </w:r>
            <w:r>
              <w:rPr>
                <w:noProof/>
                <w:webHidden/>
              </w:rPr>
              <w:fldChar w:fldCharType="separate"/>
            </w:r>
            <w:r>
              <w:rPr>
                <w:noProof/>
                <w:webHidden/>
              </w:rPr>
              <w:t>50</w:t>
            </w:r>
            <w:r>
              <w:rPr>
                <w:noProof/>
                <w:webHidden/>
              </w:rPr>
              <w:fldChar w:fldCharType="end"/>
            </w:r>
          </w:hyperlink>
        </w:p>
        <w:p w14:paraId="4A2444AD" w14:textId="38790B8A"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400" w:history="1">
            <w:r w:rsidRPr="005B18BF">
              <w:rPr>
                <w:rStyle w:val="Hyperlink"/>
                <w:noProof/>
              </w:rPr>
              <w:t>4.3.3</w:t>
            </w:r>
            <w:r>
              <w:rPr>
                <w:rFonts w:asciiTheme="minorHAnsi" w:hAnsiTheme="minorHAnsi" w:cstheme="minorBidi"/>
                <w:noProof/>
                <w:kern w:val="2"/>
                <w:szCs w:val="30"/>
                <w:lang w:eastAsia="zh-CN" w:bidi="bn-IN"/>
                <w14:ligatures w14:val="standardContextual"/>
              </w:rPr>
              <w:tab/>
            </w:r>
            <w:r w:rsidRPr="005B18BF">
              <w:rPr>
                <w:rStyle w:val="Hyperlink"/>
                <w:noProof/>
              </w:rPr>
              <w:t>Authentic versus Deceptive Sustainability Practices: Key Gaps and Strategic Insights (RQ3)</w:t>
            </w:r>
            <w:r>
              <w:rPr>
                <w:noProof/>
                <w:webHidden/>
              </w:rPr>
              <w:tab/>
            </w:r>
            <w:r>
              <w:rPr>
                <w:noProof/>
                <w:webHidden/>
              </w:rPr>
              <w:fldChar w:fldCharType="begin"/>
            </w:r>
            <w:r>
              <w:rPr>
                <w:noProof/>
                <w:webHidden/>
              </w:rPr>
              <w:instrText xml:space="preserve"> PAGEREF _Toc214979400 \h </w:instrText>
            </w:r>
            <w:r>
              <w:rPr>
                <w:noProof/>
                <w:webHidden/>
              </w:rPr>
            </w:r>
            <w:r>
              <w:rPr>
                <w:noProof/>
                <w:webHidden/>
              </w:rPr>
              <w:fldChar w:fldCharType="separate"/>
            </w:r>
            <w:r>
              <w:rPr>
                <w:noProof/>
                <w:webHidden/>
              </w:rPr>
              <w:t>52</w:t>
            </w:r>
            <w:r>
              <w:rPr>
                <w:noProof/>
                <w:webHidden/>
              </w:rPr>
              <w:fldChar w:fldCharType="end"/>
            </w:r>
          </w:hyperlink>
        </w:p>
        <w:p w14:paraId="6C6B8C38" w14:textId="576DC8D4"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401" w:history="1">
            <w:r w:rsidRPr="005B18BF">
              <w:rPr>
                <w:rStyle w:val="Hyperlink"/>
                <w:noProof/>
              </w:rPr>
              <w:t>4.4</w:t>
            </w:r>
            <w:r>
              <w:rPr>
                <w:rFonts w:asciiTheme="minorHAnsi" w:hAnsiTheme="minorHAnsi" w:cstheme="minorBidi"/>
                <w:noProof/>
                <w:kern w:val="2"/>
                <w:szCs w:val="30"/>
                <w:lang w:eastAsia="zh-CN" w:bidi="bn-IN"/>
                <w14:ligatures w14:val="standardContextual"/>
              </w:rPr>
              <w:tab/>
            </w:r>
            <w:r w:rsidRPr="005B18BF">
              <w:rPr>
                <w:rStyle w:val="Hyperlink"/>
                <w:noProof/>
              </w:rPr>
              <w:t>Narrative Synthesis of the Findings</w:t>
            </w:r>
            <w:r>
              <w:rPr>
                <w:noProof/>
                <w:webHidden/>
              </w:rPr>
              <w:tab/>
            </w:r>
            <w:r>
              <w:rPr>
                <w:noProof/>
                <w:webHidden/>
              </w:rPr>
              <w:fldChar w:fldCharType="begin"/>
            </w:r>
            <w:r>
              <w:rPr>
                <w:noProof/>
                <w:webHidden/>
              </w:rPr>
              <w:instrText xml:space="preserve"> PAGEREF _Toc214979401 \h </w:instrText>
            </w:r>
            <w:r>
              <w:rPr>
                <w:noProof/>
                <w:webHidden/>
              </w:rPr>
            </w:r>
            <w:r>
              <w:rPr>
                <w:noProof/>
                <w:webHidden/>
              </w:rPr>
              <w:fldChar w:fldCharType="separate"/>
            </w:r>
            <w:r>
              <w:rPr>
                <w:noProof/>
                <w:webHidden/>
              </w:rPr>
              <w:t>55</w:t>
            </w:r>
            <w:r>
              <w:rPr>
                <w:noProof/>
                <w:webHidden/>
              </w:rPr>
              <w:fldChar w:fldCharType="end"/>
            </w:r>
          </w:hyperlink>
        </w:p>
        <w:p w14:paraId="74EF2558" w14:textId="06998FBD"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402" w:history="1">
            <w:r w:rsidRPr="005B18BF">
              <w:rPr>
                <w:rStyle w:val="Hyperlink"/>
                <w:noProof/>
              </w:rPr>
              <w:t>4.4.1</w:t>
            </w:r>
            <w:r>
              <w:rPr>
                <w:rFonts w:asciiTheme="minorHAnsi" w:hAnsiTheme="minorHAnsi" w:cstheme="minorBidi"/>
                <w:noProof/>
                <w:kern w:val="2"/>
                <w:szCs w:val="30"/>
                <w:lang w:eastAsia="zh-CN" w:bidi="bn-IN"/>
                <w14:ligatures w14:val="standardContextual"/>
              </w:rPr>
              <w:tab/>
            </w:r>
            <w:r w:rsidRPr="005B18BF">
              <w:rPr>
                <w:rStyle w:val="Hyperlink"/>
                <w:noProof/>
              </w:rPr>
              <w:t>Sustainable Practices Adopted by Fashion Brands (RQ1)</w:t>
            </w:r>
            <w:r>
              <w:rPr>
                <w:noProof/>
                <w:webHidden/>
              </w:rPr>
              <w:tab/>
            </w:r>
            <w:r>
              <w:rPr>
                <w:noProof/>
                <w:webHidden/>
              </w:rPr>
              <w:fldChar w:fldCharType="begin"/>
            </w:r>
            <w:r>
              <w:rPr>
                <w:noProof/>
                <w:webHidden/>
              </w:rPr>
              <w:instrText xml:space="preserve"> PAGEREF _Toc214979402 \h </w:instrText>
            </w:r>
            <w:r>
              <w:rPr>
                <w:noProof/>
                <w:webHidden/>
              </w:rPr>
            </w:r>
            <w:r>
              <w:rPr>
                <w:noProof/>
                <w:webHidden/>
              </w:rPr>
              <w:fldChar w:fldCharType="separate"/>
            </w:r>
            <w:r>
              <w:rPr>
                <w:noProof/>
                <w:webHidden/>
              </w:rPr>
              <w:t>55</w:t>
            </w:r>
            <w:r>
              <w:rPr>
                <w:noProof/>
                <w:webHidden/>
              </w:rPr>
              <w:fldChar w:fldCharType="end"/>
            </w:r>
          </w:hyperlink>
        </w:p>
        <w:p w14:paraId="15789B7B" w14:textId="4EF5DA65"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403" w:history="1">
            <w:r w:rsidRPr="005B18BF">
              <w:rPr>
                <w:rStyle w:val="Hyperlink"/>
                <w:noProof/>
              </w:rPr>
              <w:t>4.4.2</w:t>
            </w:r>
            <w:r>
              <w:rPr>
                <w:rFonts w:asciiTheme="minorHAnsi" w:hAnsiTheme="minorHAnsi" w:cstheme="minorBidi"/>
                <w:noProof/>
                <w:kern w:val="2"/>
                <w:szCs w:val="30"/>
                <w:lang w:eastAsia="zh-CN" w:bidi="bn-IN"/>
                <w14:ligatures w14:val="standardContextual"/>
              </w:rPr>
              <w:tab/>
            </w:r>
            <w:r w:rsidRPr="005B18BF">
              <w:rPr>
                <w:rStyle w:val="Hyperlink"/>
                <w:noProof/>
              </w:rPr>
              <w:t>Forms and Prevalence of Greenwashing in the Fashion Industry (RQ2)</w:t>
            </w:r>
            <w:r>
              <w:rPr>
                <w:noProof/>
                <w:webHidden/>
              </w:rPr>
              <w:tab/>
            </w:r>
            <w:r>
              <w:rPr>
                <w:noProof/>
                <w:webHidden/>
              </w:rPr>
              <w:fldChar w:fldCharType="begin"/>
            </w:r>
            <w:r>
              <w:rPr>
                <w:noProof/>
                <w:webHidden/>
              </w:rPr>
              <w:instrText xml:space="preserve"> PAGEREF _Toc214979403 \h </w:instrText>
            </w:r>
            <w:r>
              <w:rPr>
                <w:noProof/>
                <w:webHidden/>
              </w:rPr>
            </w:r>
            <w:r>
              <w:rPr>
                <w:noProof/>
                <w:webHidden/>
              </w:rPr>
              <w:fldChar w:fldCharType="separate"/>
            </w:r>
            <w:r>
              <w:rPr>
                <w:noProof/>
                <w:webHidden/>
              </w:rPr>
              <w:t>57</w:t>
            </w:r>
            <w:r>
              <w:rPr>
                <w:noProof/>
                <w:webHidden/>
              </w:rPr>
              <w:fldChar w:fldCharType="end"/>
            </w:r>
          </w:hyperlink>
        </w:p>
        <w:p w14:paraId="4EF1708F" w14:textId="41DC1285" w:rsidR="004505F9" w:rsidRDefault="004505F9">
          <w:pPr>
            <w:pStyle w:val="TOC3"/>
            <w:tabs>
              <w:tab w:val="left" w:pos="1440"/>
              <w:tab w:val="right" w:leader="dot" w:pos="9016"/>
            </w:tabs>
            <w:rPr>
              <w:rFonts w:asciiTheme="minorHAnsi" w:hAnsiTheme="minorHAnsi" w:cstheme="minorBidi"/>
              <w:noProof/>
              <w:kern w:val="2"/>
              <w:szCs w:val="30"/>
              <w:lang w:eastAsia="zh-CN" w:bidi="bn-IN"/>
              <w14:ligatures w14:val="standardContextual"/>
            </w:rPr>
          </w:pPr>
          <w:hyperlink w:anchor="_Toc214979404" w:history="1">
            <w:r w:rsidRPr="005B18BF">
              <w:rPr>
                <w:rStyle w:val="Hyperlink"/>
                <w:noProof/>
              </w:rPr>
              <w:t>4.4.3</w:t>
            </w:r>
            <w:r>
              <w:rPr>
                <w:rFonts w:asciiTheme="minorHAnsi" w:hAnsiTheme="minorHAnsi" w:cstheme="minorBidi"/>
                <w:noProof/>
                <w:kern w:val="2"/>
                <w:szCs w:val="30"/>
                <w:lang w:eastAsia="zh-CN" w:bidi="bn-IN"/>
                <w14:ligatures w14:val="standardContextual"/>
              </w:rPr>
              <w:tab/>
            </w:r>
            <w:r w:rsidRPr="005B18BF">
              <w:rPr>
                <w:rStyle w:val="Hyperlink"/>
                <w:noProof/>
              </w:rPr>
              <w:t>Comparative Analysis of Authentic Sustainability and Greenwashing Practices, with Emerging Gaps and Strategic Recommendations (RQ3)</w:t>
            </w:r>
            <w:r>
              <w:rPr>
                <w:noProof/>
                <w:webHidden/>
              </w:rPr>
              <w:tab/>
            </w:r>
            <w:r>
              <w:rPr>
                <w:noProof/>
                <w:webHidden/>
              </w:rPr>
              <w:fldChar w:fldCharType="begin"/>
            </w:r>
            <w:r>
              <w:rPr>
                <w:noProof/>
                <w:webHidden/>
              </w:rPr>
              <w:instrText xml:space="preserve"> PAGEREF _Toc214979404 \h </w:instrText>
            </w:r>
            <w:r>
              <w:rPr>
                <w:noProof/>
                <w:webHidden/>
              </w:rPr>
            </w:r>
            <w:r>
              <w:rPr>
                <w:noProof/>
                <w:webHidden/>
              </w:rPr>
              <w:fldChar w:fldCharType="separate"/>
            </w:r>
            <w:r>
              <w:rPr>
                <w:noProof/>
                <w:webHidden/>
              </w:rPr>
              <w:t>59</w:t>
            </w:r>
            <w:r>
              <w:rPr>
                <w:noProof/>
                <w:webHidden/>
              </w:rPr>
              <w:fldChar w:fldCharType="end"/>
            </w:r>
          </w:hyperlink>
        </w:p>
        <w:p w14:paraId="1F78049A" w14:textId="6FC58574"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405" w:history="1">
            <w:r w:rsidRPr="005B18BF">
              <w:rPr>
                <w:rStyle w:val="Hyperlink"/>
                <w:noProof/>
              </w:rPr>
              <w:t>4.5</w:t>
            </w:r>
            <w:r>
              <w:rPr>
                <w:rFonts w:asciiTheme="minorHAnsi" w:hAnsiTheme="minorHAnsi" w:cstheme="minorBidi"/>
                <w:noProof/>
                <w:kern w:val="2"/>
                <w:szCs w:val="30"/>
                <w:lang w:eastAsia="zh-CN" w:bidi="bn-IN"/>
                <w14:ligatures w14:val="standardContextual"/>
              </w:rPr>
              <w:tab/>
            </w:r>
            <w:r w:rsidRPr="005B18BF">
              <w:rPr>
                <w:rStyle w:val="Hyperlink"/>
                <w:noProof/>
              </w:rPr>
              <w:t>Discussion of Results</w:t>
            </w:r>
            <w:r>
              <w:rPr>
                <w:noProof/>
                <w:webHidden/>
              </w:rPr>
              <w:tab/>
            </w:r>
            <w:r>
              <w:rPr>
                <w:noProof/>
                <w:webHidden/>
              </w:rPr>
              <w:fldChar w:fldCharType="begin"/>
            </w:r>
            <w:r>
              <w:rPr>
                <w:noProof/>
                <w:webHidden/>
              </w:rPr>
              <w:instrText xml:space="preserve"> PAGEREF _Toc214979405 \h </w:instrText>
            </w:r>
            <w:r>
              <w:rPr>
                <w:noProof/>
                <w:webHidden/>
              </w:rPr>
            </w:r>
            <w:r>
              <w:rPr>
                <w:noProof/>
                <w:webHidden/>
              </w:rPr>
              <w:fldChar w:fldCharType="separate"/>
            </w:r>
            <w:r>
              <w:rPr>
                <w:noProof/>
                <w:webHidden/>
              </w:rPr>
              <w:t>61</w:t>
            </w:r>
            <w:r>
              <w:rPr>
                <w:noProof/>
                <w:webHidden/>
              </w:rPr>
              <w:fldChar w:fldCharType="end"/>
            </w:r>
          </w:hyperlink>
        </w:p>
        <w:p w14:paraId="5A555BF0" w14:textId="4421D4E4" w:rsidR="004505F9" w:rsidRDefault="004505F9">
          <w:pPr>
            <w:pStyle w:val="TOC1"/>
            <w:tabs>
              <w:tab w:val="left" w:pos="440"/>
              <w:tab w:val="right" w:leader="dot" w:pos="9016"/>
            </w:tabs>
            <w:rPr>
              <w:rFonts w:asciiTheme="minorHAnsi" w:hAnsiTheme="minorHAnsi" w:cstheme="minorBidi"/>
              <w:noProof/>
              <w:kern w:val="2"/>
              <w:szCs w:val="30"/>
              <w:lang w:eastAsia="zh-CN" w:bidi="bn-IN"/>
              <w14:ligatures w14:val="standardContextual"/>
            </w:rPr>
          </w:pPr>
          <w:hyperlink w:anchor="_Toc214979406" w:history="1">
            <w:r w:rsidRPr="005B18BF">
              <w:rPr>
                <w:rStyle w:val="Hyperlink"/>
                <w:noProof/>
              </w:rPr>
              <w:t>5</w:t>
            </w:r>
            <w:r>
              <w:rPr>
                <w:rFonts w:asciiTheme="minorHAnsi" w:hAnsiTheme="minorHAnsi" w:cstheme="minorBidi"/>
                <w:noProof/>
                <w:kern w:val="2"/>
                <w:szCs w:val="30"/>
                <w:lang w:eastAsia="zh-CN" w:bidi="bn-IN"/>
                <w14:ligatures w14:val="standardContextual"/>
              </w:rPr>
              <w:tab/>
            </w:r>
            <w:r w:rsidRPr="005B18BF">
              <w:rPr>
                <w:rStyle w:val="Hyperlink"/>
                <w:noProof/>
              </w:rPr>
              <w:t>CHAPTER 5: CONCLUSIONS AND RECOMMENDATIONS</w:t>
            </w:r>
            <w:r>
              <w:rPr>
                <w:noProof/>
                <w:webHidden/>
              </w:rPr>
              <w:tab/>
            </w:r>
            <w:r>
              <w:rPr>
                <w:noProof/>
                <w:webHidden/>
              </w:rPr>
              <w:fldChar w:fldCharType="begin"/>
            </w:r>
            <w:r>
              <w:rPr>
                <w:noProof/>
                <w:webHidden/>
              </w:rPr>
              <w:instrText xml:space="preserve"> PAGEREF _Toc214979406 \h </w:instrText>
            </w:r>
            <w:r>
              <w:rPr>
                <w:noProof/>
                <w:webHidden/>
              </w:rPr>
            </w:r>
            <w:r>
              <w:rPr>
                <w:noProof/>
                <w:webHidden/>
              </w:rPr>
              <w:fldChar w:fldCharType="separate"/>
            </w:r>
            <w:r>
              <w:rPr>
                <w:noProof/>
                <w:webHidden/>
              </w:rPr>
              <w:t>63</w:t>
            </w:r>
            <w:r>
              <w:rPr>
                <w:noProof/>
                <w:webHidden/>
              </w:rPr>
              <w:fldChar w:fldCharType="end"/>
            </w:r>
          </w:hyperlink>
        </w:p>
        <w:p w14:paraId="17B4F7C8" w14:textId="19CC7AF6"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407" w:history="1">
            <w:r w:rsidRPr="005B18BF">
              <w:rPr>
                <w:rStyle w:val="Hyperlink"/>
                <w:noProof/>
              </w:rPr>
              <w:t>5.1</w:t>
            </w:r>
            <w:r>
              <w:rPr>
                <w:rFonts w:asciiTheme="minorHAnsi" w:hAnsiTheme="minorHAnsi" w:cstheme="minorBidi"/>
                <w:noProof/>
                <w:kern w:val="2"/>
                <w:szCs w:val="30"/>
                <w:lang w:eastAsia="zh-CN" w:bidi="bn-IN"/>
                <w14:ligatures w14:val="standardContextual"/>
              </w:rPr>
              <w:tab/>
            </w:r>
            <w:r w:rsidRPr="005B18BF">
              <w:rPr>
                <w:rStyle w:val="Hyperlink"/>
                <w:noProof/>
              </w:rPr>
              <w:t>Summary of main findings</w:t>
            </w:r>
            <w:r>
              <w:rPr>
                <w:noProof/>
                <w:webHidden/>
              </w:rPr>
              <w:tab/>
            </w:r>
            <w:r>
              <w:rPr>
                <w:noProof/>
                <w:webHidden/>
              </w:rPr>
              <w:fldChar w:fldCharType="begin"/>
            </w:r>
            <w:r>
              <w:rPr>
                <w:noProof/>
                <w:webHidden/>
              </w:rPr>
              <w:instrText xml:space="preserve"> PAGEREF _Toc214979407 \h </w:instrText>
            </w:r>
            <w:r>
              <w:rPr>
                <w:noProof/>
                <w:webHidden/>
              </w:rPr>
            </w:r>
            <w:r>
              <w:rPr>
                <w:noProof/>
                <w:webHidden/>
              </w:rPr>
              <w:fldChar w:fldCharType="separate"/>
            </w:r>
            <w:r>
              <w:rPr>
                <w:noProof/>
                <w:webHidden/>
              </w:rPr>
              <w:t>63</w:t>
            </w:r>
            <w:r>
              <w:rPr>
                <w:noProof/>
                <w:webHidden/>
              </w:rPr>
              <w:fldChar w:fldCharType="end"/>
            </w:r>
          </w:hyperlink>
        </w:p>
        <w:p w14:paraId="14927539" w14:textId="14EA2D1E"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408" w:history="1">
            <w:r w:rsidRPr="005B18BF">
              <w:rPr>
                <w:rStyle w:val="Hyperlink"/>
                <w:noProof/>
              </w:rPr>
              <w:t>5.2</w:t>
            </w:r>
            <w:r>
              <w:rPr>
                <w:rFonts w:asciiTheme="minorHAnsi" w:hAnsiTheme="minorHAnsi" w:cstheme="minorBidi"/>
                <w:noProof/>
                <w:kern w:val="2"/>
                <w:szCs w:val="30"/>
                <w:lang w:eastAsia="zh-CN" w:bidi="bn-IN"/>
                <w14:ligatures w14:val="standardContextual"/>
              </w:rPr>
              <w:tab/>
            </w:r>
            <w:r w:rsidRPr="005B18BF">
              <w:rPr>
                <w:rStyle w:val="Hyperlink"/>
                <w:noProof/>
              </w:rPr>
              <w:t>Conclusion based on the research questions</w:t>
            </w:r>
            <w:r>
              <w:rPr>
                <w:noProof/>
                <w:webHidden/>
              </w:rPr>
              <w:tab/>
            </w:r>
            <w:r>
              <w:rPr>
                <w:noProof/>
                <w:webHidden/>
              </w:rPr>
              <w:fldChar w:fldCharType="begin"/>
            </w:r>
            <w:r>
              <w:rPr>
                <w:noProof/>
                <w:webHidden/>
              </w:rPr>
              <w:instrText xml:space="preserve"> PAGEREF _Toc214979408 \h </w:instrText>
            </w:r>
            <w:r>
              <w:rPr>
                <w:noProof/>
                <w:webHidden/>
              </w:rPr>
            </w:r>
            <w:r>
              <w:rPr>
                <w:noProof/>
                <w:webHidden/>
              </w:rPr>
              <w:fldChar w:fldCharType="separate"/>
            </w:r>
            <w:r>
              <w:rPr>
                <w:noProof/>
                <w:webHidden/>
              </w:rPr>
              <w:t>63</w:t>
            </w:r>
            <w:r>
              <w:rPr>
                <w:noProof/>
                <w:webHidden/>
              </w:rPr>
              <w:fldChar w:fldCharType="end"/>
            </w:r>
          </w:hyperlink>
        </w:p>
        <w:p w14:paraId="51A7BCB6" w14:textId="62803527"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409" w:history="1">
            <w:r w:rsidRPr="005B18BF">
              <w:rPr>
                <w:rStyle w:val="Hyperlink"/>
                <w:noProof/>
              </w:rPr>
              <w:t>5.3</w:t>
            </w:r>
            <w:r>
              <w:rPr>
                <w:rFonts w:asciiTheme="minorHAnsi" w:hAnsiTheme="minorHAnsi" w:cstheme="minorBidi"/>
                <w:noProof/>
                <w:kern w:val="2"/>
                <w:szCs w:val="30"/>
                <w:lang w:eastAsia="zh-CN" w:bidi="bn-IN"/>
                <w14:ligatures w14:val="standardContextual"/>
              </w:rPr>
              <w:tab/>
            </w:r>
            <w:r w:rsidRPr="005B18BF">
              <w:rPr>
                <w:rStyle w:val="Hyperlink"/>
                <w:noProof/>
              </w:rPr>
              <w:t>Recommendation (Practical and Theoretical)</w:t>
            </w:r>
            <w:r>
              <w:rPr>
                <w:noProof/>
                <w:webHidden/>
              </w:rPr>
              <w:tab/>
            </w:r>
            <w:r>
              <w:rPr>
                <w:noProof/>
                <w:webHidden/>
              </w:rPr>
              <w:fldChar w:fldCharType="begin"/>
            </w:r>
            <w:r>
              <w:rPr>
                <w:noProof/>
                <w:webHidden/>
              </w:rPr>
              <w:instrText xml:space="preserve"> PAGEREF _Toc214979409 \h </w:instrText>
            </w:r>
            <w:r>
              <w:rPr>
                <w:noProof/>
                <w:webHidden/>
              </w:rPr>
            </w:r>
            <w:r>
              <w:rPr>
                <w:noProof/>
                <w:webHidden/>
              </w:rPr>
              <w:fldChar w:fldCharType="separate"/>
            </w:r>
            <w:r>
              <w:rPr>
                <w:noProof/>
                <w:webHidden/>
              </w:rPr>
              <w:t>63</w:t>
            </w:r>
            <w:r>
              <w:rPr>
                <w:noProof/>
                <w:webHidden/>
              </w:rPr>
              <w:fldChar w:fldCharType="end"/>
            </w:r>
          </w:hyperlink>
        </w:p>
        <w:p w14:paraId="2AFF6404" w14:textId="445873FF"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410" w:history="1">
            <w:r w:rsidRPr="005B18BF">
              <w:rPr>
                <w:rStyle w:val="Hyperlink"/>
                <w:noProof/>
              </w:rPr>
              <w:t>5.4</w:t>
            </w:r>
            <w:r>
              <w:rPr>
                <w:rFonts w:asciiTheme="minorHAnsi" w:hAnsiTheme="minorHAnsi" w:cstheme="minorBidi"/>
                <w:noProof/>
                <w:kern w:val="2"/>
                <w:szCs w:val="30"/>
                <w:lang w:eastAsia="zh-CN" w:bidi="bn-IN"/>
                <w14:ligatures w14:val="standardContextual"/>
              </w:rPr>
              <w:tab/>
            </w:r>
            <w:r w:rsidRPr="005B18BF">
              <w:rPr>
                <w:rStyle w:val="Hyperlink"/>
                <w:noProof/>
              </w:rPr>
              <w:t>Limitation of Research</w:t>
            </w:r>
            <w:r>
              <w:rPr>
                <w:noProof/>
                <w:webHidden/>
              </w:rPr>
              <w:tab/>
            </w:r>
            <w:r>
              <w:rPr>
                <w:noProof/>
                <w:webHidden/>
              </w:rPr>
              <w:fldChar w:fldCharType="begin"/>
            </w:r>
            <w:r>
              <w:rPr>
                <w:noProof/>
                <w:webHidden/>
              </w:rPr>
              <w:instrText xml:space="preserve"> PAGEREF _Toc214979410 \h </w:instrText>
            </w:r>
            <w:r>
              <w:rPr>
                <w:noProof/>
                <w:webHidden/>
              </w:rPr>
            </w:r>
            <w:r>
              <w:rPr>
                <w:noProof/>
                <w:webHidden/>
              </w:rPr>
              <w:fldChar w:fldCharType="separate"/>
            </w:r>
            <w:r>
              <w:rPr>
                <w:noProof/>
                <w:webHidden/>
              </w:rPr>
              <w:t>63</w:t>
            </w:r>
            <w:r>
              <w:rPr>
                <w:noProof/>
                <w:webHidden/>
              </w:rPr>
              <w:fldChar w:fldCharType="end"/>
            </w:r>
          </w:hyperlink>
        </w:p>
        <w:p w14:paraId="22ACB563" w14:textId="54203818" w:rsidR="004505F9" w:rsidRDefault="004505F9">
          <w:pPr>
            <w:pStyle w:val="TOC2"/>
            <w:tabs>
              <w:tab w:val="left" w:pos="960"/>
              <w:tab w:val="right" w:leader="dot" w:pos="9016"/>
            </w:tabs>
            <w:rPr>
              <w:rFonts w:asciiTheme="minorHAnsi" w:hAnsiTheme="minorHAnsi" w:cstheme="minorBidi"/>
              <w:noProof/>
              <w:kern w:val="2"/>
              <w:szCs w:val="30"/>
              <w:lang w:eastAsia="zh-CN" w:bidi="bn-IN"/>
              <w14:ligatures w14:val="standardContextual"/>
            </w:rPr>
          </w:pPr>
          <w:hyperlink w:anchor="_Toc214979411" w:history="1">
            <w:r w:rsidRPr="005B18BF">
              <w:rPr>
                <w:rStyle w:val="Hyperlink"/>
                <w:noProof/>
              </w:rPr>
              <w:t>5.5</w:t>
            </w:r>
            <w:r>
              <w:rPr>
                <w:rFonts w:asciiTheme="minorHAnsi" w:hAnsiTheme="minorHAnsi" w:cstheme="minorBidi"/>
                <w:noProof/>
                <w:kern w:val="2"/>
                <w:szCs w:val="30"/>
                <w:lang w:eastAsia="zh-CN" w:bidi="bn-IN"/>
                <w14:ligatures w14:val="standardContextual"/>
              </w:rPr>
              <w:tab/>
            </w:r>
            <w:r w:rsidRPr="005B18BF">
              <w:rPr>
                <w:rStyle w:val="Hyperlink"/>
                <w:noProof/>
              </w:rPr>
              <w:t>Recommendation for Future Work</w:t>
            </w:r>
            <w:r>
              <w:rPr>
                <w:noProof/>
                <w:webHidden/>
              </w:rPr>
              <w:tab/>
            </w:r>
            <w:r>
              <w:rPr>
                <w:noProof/>
                <w:webHidden/>
              </w:rPr>
              <w:fldChar w:fldCharType="begin"/>
            </w:r>
            <w:r>
              <w:rPr>
                <w:noProof/>
                <w:webHidden/>
              </w:rPr>
              <w:instrText xml:space="preserve"> PAGEREF _Toc214979411 \h </w:instrText>
            </w:r>
            <w:r>
              <w:rPr>
                <w:noProof/>
                <w:webHidden/>
              </w:rPr>
            </w:r>
            <w:r>
              <w:rPr>
                <w:noProof/>
                <w:webHidden/>
              </w:rPr>
              <w:fldChar w:fldCharType="separate"/>
            </w:r>
            <w:r>
              <w:rPr>
                <w:noProof/>
                <w:webHidden/>
              </w:rPr>
              <w:t>63</w:t>
            </w:r>
            <w:r>
              <w:rPr>
                <w:noProof/>
                <w:webHidden/>
              </w:rPr>
              <w:fldChar w:fldCharType="end"/>
            </w:r>
          </w:hyperlink>
        </w:p>
        <w:p w14:paraId="56B758D3" w14:textId="02ED3C1F" w:rsidR="004505F9" w:rsidRDefault="004505F9">
          <w:pPr>
            <w:pStyle w:val="TOC1"/>
            <w:tabs>
              <w:tab w:val="right" w:leader="dot" w:pos="9016"/>
            </w:tabs>
            <w:rPr>
              <w:rFonts w:asciiTheme="minorHAnsi" w:hAnsiTheme="minorHAnsi" w:cstheme="minorBidi"/>
              <w:noProof/>
              <w:kern w:val="2"/>
              <w:szCs w:val="30"/>
              <w:lang w:eastAsia="zh-CN" w:bidi="bn-IN"/>
              <w14:ligatures w14:val="standardContextual"/>
            </w:rPr>
          </w:pPr>
          <w:hyperlink w:anchor="_Toc214979412" w:history="1">
            <w:r w:rsidRPr="005B18BF">
              <w:rPr>
                <w:rStyle w:val="Hyperlink"/>
                <w:noProof/>
              </w:rPr>
              <w:t>REFERENCES</w:t>
            </w:r>
            <w:r>
              <w:rPr>
                <w:noProof/>
                <w:webHidden/>
              </w:rPr>
              <w:tab/>
            </w:r>
            <w:r>
              <w:rPr>
                <w:noProof/>
                <w:webHidden/>
              </w:rPr>
              <w:fldChar w:fldCharType="begin"/>
            </w:r>
            <w:r>
              <w:rPr>
                <w:noProof/>
                <w:webHidden/>
              </w:rPr>
              <w:instrText xml:space="preserve"> PAGEREF _Toc214979412 \h </w:instrText>
            </w:r>
            <w:r>
              <w:rPr>
                <w:noProof/>
                <w:webHidden/>
              </w:rPr>
            </w:r>
            <w:r>
              <w:rPr>
                <w:noProof/>
                <w:webHidden/>
              </w:rPr>
              <w:fldChar w:fldCharType="separate"/>
            </w:r>
            <w:r>
              <w:rPr>
                <w:noProof/>
                <w:webHidden/>
              </w:rPr>
              <w:t>64</w:t>
            </w:r>
            <w:r>
              <w:rPr>
                <w:noProof/>
                <w:webHidden/>
              </w:rPr>
              <w:fldChar w:fldCharType="end"/>
            </w:r>
          </w:hyperlink>
        </w:p>
        <w:p w14:paraId="4F66C24B" w14:textId="52D789E4" w:rsidR="008C5097" w:rsidRDefault="008C5097">
          <w:r w:rsidRPr="00A9343B">
            <w:rPr>
              <w:b/>
              <w:bCs/>
              <w:noProof/>
              <w:sz w:val="22"/>
            </w:rPr>
            <w:fldChar w:fldCharType="end"/>
          </w:r>
        </w:p>
      </w:sdtContent>
    </w:sdt>
    <w:p w14:paraId="1F8C7AD1" w14:textId="5393335C" w:rsidR="00391EB6" w:rsidRPr="008C5097" w:rsidRDefault="00391EB6" w:rsidP="008C5097"/>
    <w:p w14:paraId="56A7FDB1" w14:textId="77777777" w:rsidR="008C5097" w:rsidRDefault="008C5097">
      <w:r>
        <w:br w:type="page"/>
      </w:r>
    </w:p>
    <w:p w14:paraId="73DDCEB1" w14:textId="524B6F83" w:rsidR="00391EB6" w:rsidRPr="008C5097" w:rsidRDefault="00786750" w:rsidP="008C5097">
      <w:pPr>
        <w:pStyle w:val="Heading1"/>
      </w:pPr>
      <w:bookmarkStart w:id="2" w:name="_Toc214979361"/>
      <w:r w:rsidRPr="008C5097">
        <w:lastRenderedPageBreak/>
        <w:t>CHAPTER 1: INTRODUCTION</w:t>
      </w:r>
      <w:bookmarkEnd w:id="2"/>
      <w:r w:rsidRPr="008C5097">
        <w:t xml:space="preserve"> </w:t>
      </w:r>
    </w:p>
    <w:p w14:paraId="1F4F57DC" w14:textId="77777777" w:rsidR="00391EB6" w:rsidRDefault="00391EB6" w:rsidP="008C5097">
      <w:pPr>
        <w:pStyle w:val="Heading2"/>
      </w:pPr>
      <w:bookmarkStart w:id="3" w:name="_Toc214979362"/>
      <w:r w:rsidRPr="008C5097">
        <w:t>Background &amp; Problem Statement</w:t>
      </w:r>
      <w:bookmarkEnd w:id="3"/>
    </w:p>
    <w:p w14:paraId="241CBA88" w14:textId="7EE237C7" w:rsidR="007A6353" w:rsidRDefault="007A6353" w:rsidP="007A6353">
      <w:pPr>
        <w:rPr>
          <w:rFonts w:ascii="Times New Roman" w:hAnsi="Times New Roman"/>
        </w:rPr>
      </w:pPr>
      <w:r>
        <w:t xml:space="preserve">The fashion industry, responsible for approximately 8 percent of global greenhouse gas emissions and 20 percent of wastewater production, has become a focal point in sustainability debates due to its significant environmental and social impacts (Hoffmann </w:t>
      </w:r>
      <w:r w:rsidR="00A7080E" w:rsidRPr="00A7080E">
        <w:rPr>
          <w:i/>
          <w:iCs/>
        </w:rPr>
        <w:t>et al</w:t>
      </w:r>
      <w:r>
        <w:t>., 2025). Fast fashion intensifies these issues by promoting overproduction, overconsumption, and waste within a profit-driven linear economic model (</w:t>
      </w:r>
      <w:proofErr w:type="spellStart"/>
      <w:r>
        <w:t>Vassalo</w:t>
      </w:r>
      <w:proofErr w:type="spellEnd"/>
      <w:r>
        <w:t xml:space="preserve"> </w:t>
      </w:r>
      <w:r w:rsidR="00A7080E" w:rsidRPr="00A7080E">
        <w:rPr>
          <w:i/>
          <w:iCs/>
        </w:rPr>
        <w:t>et al</w:t>
      </w:r>
      <w:r>
        <w:t xml:space="preserve">., 2024). Despite growing consumer awareness, definitional ambiguity and the absence of standardised criteria enable companies to engage in greenwashing, misleading consumers while impeding progress toward a circular economy based on recycling, repair, resale, and conscious consumption (Statista, 2024; Adamkiewicz </w:t>
      </w:r>
      <w:r w:rsidR="00A7080E" w:rsidRPr="00A7080E">
        <w:rPr>
          <w:i/>
          <w:iCs/>
        </w:rPr>
        <w:t>et al</w:t>
      </w:r>
      <w:r>
        <w:t>., 2022).</w:t>
      </w:r>
    </w:p>
    <w:p w14:paraId="7D2CB03F" w14:textId="77777777" w:rsidR="007A6353" w:rsidRDefault="007A6353" w:rsidP="007A6353">
      <w:r>
        <w:t>Consumer interest in sustainable fashion is rising. In the UK, social media posts promoting slow fashion increased by 29 percent, and mentions of pre-loved fashion rose by 70 percent over six months, reflecting heightened engagement with circular fashion trends (Mintel, 2024). Surveys indicate that over half of UK and German shoppers consider sustainability an important factor in fashion purchases, and two-thirds of US consumers report paying attention to eco-friendly claims (Mintel, 2024). Nevertheless, a substantial value-action gap persists, with nearly 60 percent of younger UK millennials returning items within three months, and price remaining a dominant factor, as almost 50 percent of UK consumers and 67 percent of Germans prioritise cost over sustainability (Mintel, 2024). Circular fashion initiatives, such as resale and rental platforms like Vinted, offer affordable ways to engage in environmentally conscious behaviours while addressing budget constraints (Mintel, 2024).</w:t>
      </w:r>
    </w:p>
    <w:p w14:paraId="36724D9C" w14:textId="77777777" w:rsidR="007A6353" w:rsidRDefault="007A6353" w:rsidP="007A6353">
      <w:r>
        <w:t>Generation Z exhibits particularly strong sustainability preferences, with 62 percent choosing sustainable brands and 73 percent willing to pay a premium for sustainable products (</w:t>
      </w:r>
      <w:proofErr w:type="spellStart"/>
      <w:r>
        <w:t>Savilia</w:t>
      </w:r>
      <w:proofErr w:type="spellEnd"/>
      <w:r>
        <w:t>, 2024). Across the broader consumer base, between 50 to 66 percent would pay more for sustainable items, signalling both the market potential and the growing expectations for corporate responsibility (</w:t>
      </w:r>
      <w:proofErr w:type="spellStart"/>
      <w:r>
        <w:t>Savilia</w:t>
      </w:r>
      <w:proofErr w:type="spellEnd"/>
      <w:r>
        <w:t xml:space="preserve">, 2024). However, despite these positive attitudes, scrutiny of corporate practices has intensified, particularly against major fast-fashion brands like H&amp;M and Shein. H&amp;M’s ‘Conscious Collection’ </w:t>
      </w:r>
      <w:r>
        <w:lastRenderedPageBreak/>
        <w:t>scorecards were exposed for misrepresenting environmental and labour conditions, while Shein faced criticism for claiming ISO certifications it was not entitled to and for lacking supply chain transparency, demonstrating the prevalence of greenwashing in the industry (Singh, 2024). A report by the Changing Markets Foundation further revealed that 59 percent of green claims in fashion failed to comply with guidance from the UK’s Competition and Markets Authority (Generation Climate Europe, 2021).</w:t>
      </w:r>
    </w:p>
    <w:p w14:paraId="5A1822BA" w14:textId="7EB96266" w:rsidR="007A6353" w:rsidRDefault="007A6353" w:rsidP="007A6353">
      <w:r>
        <w:t xml:space="preserve">Although technological innovation and circular business models such as resale, rental, and biomaterials show potential, they remain marginal compared to marketing narratives that overstate sustainability achievements (Statista, 2024). Heightened regulatory action, including efforts by the UK’s Competition and Markets Authority, the EU’s Green Claims Directive, France’s Unfair Commercial Practices Directive, and the US Federal Trade Commission’s revised Green Guides, underscores a global movement towards accountability, reflecting both the environmental urgency and reputational risks facing the fashion sector (Hoffmann </w:t>
      </w:r>
      <w:r w:rsidR="00A7080E" w:rsidRPr="00A7080E">
        <w:rPr>
          <w:i/>
          <w:iCs/>
        </w:rPr>
        <w:t>et al</w:t>
      </w:r>
      <w:r>
        <w:t>., 2025).</w:t>
      </w:r>
    </w:p>
    <w:p w14:paraId="3A0431CC" w14:textId="2257913B" w:rsidR="006B5A34" w:rsidRPr="007A6353" w:rsidRDefault="007A6353" w:rsidP="007A6353">
      <w:pPr>
        <w:rPr>
          <w:lang w:val="en-US"/>
        </w:rPr>
      </w:pPr>
      <w:r>
        <w:t>Collectively, existing literature illustrates that while genuine sustainability practices can mitigate the environmental and social costs of fashion, the proliferation of greenwashing undermines progress. A systematic review is thus essential to synthesise evidence on the prevalence, characteristics, and consequences of genuine sustainability and greenwashing practices within the fashion industry. Such an inquiry will not only clarify distinctions between authentic and misleading initiatives but also inform strategies for regulation, consumer education, and industry transformation.</w:t>
      </w:r>
    </w:p>
    <w:p w14:paraId="41EA5AA1" w14:textId="1D62E471" w:rsidR="00391EB6" w:rsidRDefault="00391EB6" w:rsidP="008C5097">
      <w:pPr>
        <w:pStyle w:val="Heading2"/>
      </w:pPr>
      <w:bookmarkStart w:id="4" w:name="_Toc214979363"/>
      <w:r w:rsidRPr="008C5097">
        <w:t>Research Aim</w:t>
      </w:r>
      <w:bookmarkEnd w:id="4"/>
    </w:p>
    <w:p w14:paraId="7B772213" w14:textId="6F3EC723" w:rsidR="00464BB6" w:rsidRPr="007A6353" w:rsidRDefault="007A6353" w:rsidP="00464BB6">
      <w:r>
        <w:t>This study aims to compare genuine sustainability initiatives with greenwashing practices in the fashion industry and identify gaps to promote authentic sustainability.</w:t>
      </w:r>
    </w:p>
    <w:p w14:paraId="56A3A5CF" w14:textId="77777777" w:rsidR="00391EB6" w:rsidRDefault="00391EB6" w:rsidP="008C5097">
      <w:pPr>
        <w:pStyle w:val="Heading2"/>
      </w:pPr>
      <w:bookmarkStart w:id="5" w:name="_Toc214979364"/>
      <w:r w:rsidRPr="008C5097">
        <w:t>Research Objectives</w:t>
      </w:r>
      <w:bookmarkEnd w:id="5"/>
    </w:p>
    <w:p w14:paraId="2336CBCD" w14:textId="77777777" w:rsidR="00132628" w:rsidRPr="00132628" w:rsidRDefault="00132628" w:rsidP="00132628">
      <w:pPr>
        <w:pStyle w:val="ListParagraph"/>
        <w:numPr>
          <w:ilvl w:val="0"/>
          <w:numId w:val="30"/>
        </w:numPr>
        <w:rPr>
          <w:lang w:val="en"/>
        </w:rPr>
      </w:pPr>
      <w:r w:rsidRPr="00132628">
        <w:rPr>
          <w:lang w:val="en"/>
        </w:rPr>
        <w:t>To identify and analyse the sustainable practices currently adopted by fashion brands with respect to environmental and social responsibility.</w:t>
      </w:r>
    </w:p>
    <w:p w14:paraId="08353FA2" w14:textId="77777777" w:rsidR="00132628" w:rsidRPr="00132628" w:rsidRDefault="00132628" w:rsidP="00132628">
      <w:pPr>
        <w:pStyle w:val="ListParagraph"/>
        <w:numPr>
          <w:ilvl w:val="0"/>
          <w:numId w:val="30"/>
        </w:numPr>
        <w:rPr>
          <w:lang w:val="en"/>
        </w:rPr>
      </w:pPr>
      <w:r w:rsidRPr="00132628">
        <w:rPr>
          <w:lang w:val="en"/>
        </w:rPr>
        <w:t>To examine the types and prevalence of greenwashing strategies employed by fashion brands to create the perception of sustainability.</w:t>
      </w:r>
    </w:p>
    <w:p w14:paraId="7F6D67DF" w14:textId="325A34C6" w:rsidR="00132628" w:rsidRPr="00132628" w:rsidRDefault="00132628" w:rsidP="00132628">
      <w:pPr>
        <w:pStyle w:val="ListParagraph"/>
        <w:numPr>
          <w:ilvl w:val="0"/>
          <w:numId w:val="30"/>
        </w:numPr>
        <w:rPr>
          <w:lang w:val="en"/>
        </w:rPr>
      </w:pPr>
      <w:r w:rsidRPr="00132628">
        <w:rPr>
          <w:lang w:val="en"/>
        </w:rPr>
        <w:lastRenderedPageBreak/>
        <w:t>To identify gaps by evaluating the weight of genuine sustainability initiatives relative to greenwashing practices and to provide recommendations for promoting authentic sustainability.</w:t>
      </w:r>
    </w:p>
    <w:p w14:paraId="5F1CCF70" w14:textId="77777777" w:rsidR="00391EB6" w:rsidRDefault="00391EB6" w:rsidP="008C5097">
      <w:pPr>
        <w:pStyle w:val="Heading2"/>
      </w:pPr>
      <w:bookmarkStart w:id="6" w:name="_Toc214979365"/>
      <w:r w:rsidRPr="008C5097">
        <w:t>Research Questions</w:t>
      </w:r>
      <w:bookmarkEnd w:id="6"/>
    </w:p>
    <w:p w14:paraId="6C62CA0F" w14:textId="34B89AF1" w:rsidR="00132628" w:rsidRPr="00132628" w:rsidRDefault="00132628" w:rsidP="00132628">
      <w:pPr>
        <w:pStyle w:val="ListParagraph"/>
        <w:numPr>
          <w:ilvl w:val="0"/>
          <w:numId w:val="28"/>
        </w:numPr>
        <w:rPr>
          <w:lang w:val="en"/>
        </w:rPr>
      </w:pPr>
      <w:r w:rsidRPr="00132628">
        <w:rPr>
          <w:b/>
          <w:bCs/>
          <w:lang w:val="en"/>
        </w:rPr>
        <w:t>RQ1:</w:t>
      </w:r>
      <w:r>
        <w:rPr>
          <w:lang w:val="en"/>
        </w:rPr>
        <w:t xml:space="preserve"> </w:t>
      </w:r>
      <w:r w:rsidRPr="00132628">
        <w:rPr>
          <w:lang w:val="en"/>
        </w:rPr>
        <w:t>What sustainable practices are currently adopted by fashion brands with respect to environmental stewardship and social responsibility?</w:t>
      </w:r>
    </w:p>
    <w:p w14:paraId="24EE80FC" w14:textId="1447B022" w:rsidR="00132628" w:rsidRPr="00132628" w:rsidRDefault="00132628" w:rsidP="00132628">
      <w:pPr>
        <w:pStyle w:val="ListParagraph"/>
        <w:numPr>
          <w:ilvl w:val="0"/>
          <w:numId w:val="28"/>
        </w:numPr>
        <w:rPr>
          <w:lang w:val="en"/>
        </w:rPr>
      </w:pPr>
      <w:r w:rsidRPr="00132628">
        <w:rPr>
          <w:b/>
          <w:bCs/>
          <w:lang w:val="en"/>
        </w:rPr>
        <w:t>RQ2:</w:t>
      </w:r>
      <w:r>
        <w:rPr>
          <w:lang w:val="en"/>
        </w:rPr>
        <w:t xml:space="preserve"> </w:t>
      </w:r>
      <w:r w:rsidRPr="00132628">
        <w:rPr>
          <w:lang w:val="en"/>
        </w:rPr>
        <w:t>What forms of greenwashing are employed within the fashion industry to convey an impression of sustainability, and what is their prevalence?</w:t>
      </w:r>
    </w:p>
    <w:p w14:paraId="3A265A4B" w14:textId="5864249E" w:rsidR="00132628" w:rsidRPr="00132628" w:rsidRDefault="00132628" w:rsidP="00132628">
      <w:pPr>
        <w:pStyle w:val="ListParagraph"/>
        <w:numPr>
          <w:ilvl w:val="0"/>
          <w:numId w:val="28"/>
        </w:numPr>
        <w:rPr>
          <w:lang w:val="en"/>
        </w:rPr>
      </w:pPr>
      <w:r w:rsidRPr="00132628">
        <w:rPr>
          <w:b/>
          <w:bCs/>
          <w:lang w:val="en"/>
        </w:rPr>
        <w:t>RQ3:</w:t>
      </w:r>
      <w:r>
        <w:rPr>
          <w:lang w:val="en"/>
        </w:rPr>
        <w:t xml:space="preserve"> </w:t>
      </w:r>
      <w:r w:rsidRPr="00132628">
        <w:rPr>
          <w:lang w:val="en"/>
        </w:rPr>
        <w:t>How do authentic sustainability initiatives compare with instances of greenwashing in the fashion sector, and what gaps and strategic recommendations emerge from the literature?</w:t>
      </w:r>
    </w:p>
    <w:p w14:paraId="43C00864" w14:textId="1B3F13BF" w:rsidR="00E578B4" w:rsidRDefault="00391EB6" w:rsidP="00E578B4">
      <w:pPr>
        <w:pStyle w:val="Heading2"/>
      </w:pPr>
      <w:bookmarkStart w:id="7" w:name="_Toc214979366"/>
      <w:r w:rsidRPr="008C5097">
        <w:t>Significance / Relevance of Study</w:t>
      </w:r>
      <w:bookmarkEnd w:id="7"/>
    </w:p>
    <w:p w14:paraId="47E96CE7" w14:textId="049299F3" w:rsidR="00464BB6" w:rsidRPr="00464BB6" w:rsidRDefault="007A6353" w:rsidP="007A6353">
      <w:pPr>
        <w:rPr>
          <w:lang w:val="en-US"/>
        </w:rPr>
      </w:pPr>
      <w:r>
        <w:t xml:space="preserve">The fashion industry is a major contributor to environmental degradation and social inequities, accounting for significant greenhouse gas emissions, water pollution, and exploitative labour practices, particularly within the fast-fashion sector (Hoffmann </w:t>
      </w:r>
      <w:r w:rsidR="00A7080E" w:rsidRPr="00A7080E">
        <w:rPr>
          <w:i/>
          <w:iCs/>
        </w:rPr>
        <w:t>et al</w:t>
      </w:r>
      <w:r>
        <w:t>., 2025; Changing Markets Foundation, 2021). In response, many brands have adopted sustainability initiatives; however, greenwashing has emerged as a pervasive issue, whereby companies exaggerate or misrepresent their environmental and social performance, undermining consumer trust and impeding genuine progress (Brydges, Henninger &amp; Hanlon, 2022; Dalecki, 2023). This systematic review is significant as it synthesises empirical and theoretical research to distinguish authentic sustainability practices from greenwashing within the fashion industry, evaluating their prevalence, characteristics, and impacts on stakeholders (Burnstine &amp; Ghattas, 2025). By critically analysing these practices, the study provides insights for academics to identify research gaps, for practitioners to enhance credible sustainability strategies, and for regulators to strengthen transparency and accountability mechanisms (</w:t>
      </w:r>
      <w:proofErr w:type="spellStart"/>
      <w:r>
        <w:t>Hejlova</w:t>
      </w:r>
      <w:proofErr w:type="spellEnd"/>
      <w:r>
        <w:t xml:space="preserve"> </w:t>
      </w:r>
      <w:r w:rsidR="00A7080E" w:rsidRPr="00A7080E">
        <w:rPr>
          <w:i/>
          <w:iCs/>
        </w:rPr>
        <w:t>et al</w:t>
      </w:r>
      <w:r>
        <w:t xml:space="preserve">., 2025). Moreover, the review highlights the role of consumer perceptions, particularly among ethically conscious cohorts such as Generation Z, whose purchasing behaviour is influenced by both authentic sustainability initiatives and exposure to greenwashing, thereby emphasising the relevance of this research for advancing responsible and transparent practices in the fashion sector (Garcia-Ortega </w:t>
      </w:r>
      <w:r w:rsidR="00A7080E" w:rsidRPr="00A7080E">
        <w:rPr>
          <w:i/>
          <w:iCs/>
        </w:rPr>
        <w:t>et al</w:t>
      </w:r>
      <w:r>
        <w:t>., 2023).</w:t>
      </w:r>
    </w:p>
    <w:p w14:paraId="0DFC433F" w14:textId="77777777" w:rsidR="00E578B4" w:rsidRDefault="00391EB6" w:rsidP="008C5097">
      <w:pPr>
        <w:pStyle w:val="Heading2"/>
      </w:pPr>
      <w:bookmarkStart w:id="8" w:name="_Toc214979367"/>
      <w:r w:rsidRPr="008C5097">
        <w:lastRenderedPageBreak/>
        <w:t>Brief Research Methodology</w:t>
      </w:r>
      <w:bookmarkEnd w:id="8"/>
    </w:p>
    <w:p w14:paraId="3506187E" w14:textId="488D84BD" w:rsidR="00132628" w:rsidRPr="00132628" w:rsidRDefault="00132628" w:rsidP="00132628">
      <w:pPr>
        <w:rPr>
          <w:lang w:val="en-US"/>
        </w:rPr>
      </w:pPr>
      <w:r>
        <w:t>This study adopted a systematic review methodology grounded in a pragmatic research philosophy, allowing for the integration of both qualitative and quantitative evidence to critically evaluate sustainability and greenwashing practices within the fashion industry. A systematic review design was employed to synthesise existing empirical and theoretical research, ensuring structured evaluation and minimisation of bias (Petticrew &amp; Roberts, 2006). Studies published in English between 2015 and 2025 were considered eligible, including peer-reviewed journal articles, conference papers, and review studies addressing sustainable practices, greenwashing strategies, or their effects on brand perception and operations (Kitchenham &amp; Charters, 2007). Non-English studies, grey literature, and opinion pieces lacking empirical evidence were excluded (Gough, Oliver &amp; Thomas, 2017). Data collection involved systematic searches on Scopus and Google Scholar using keyword combinations related to sustainability (e.g., sustainable fashion, environmental responsibility) and greenwashing (e.g., false sustainability claims, eco-label deception) connected through Boolean operators, supplemented by citation tracking and reference list screening to identify additional sources (</w:t>
      </w:r>
      <w:proofErr w:type="spellStart"/>
      <w:r>
        <w:t>Falagas</w:t>
      </w:r>
      <w:proofErr w:type="spellEnd"/>
      <w:r>
        <w:t xml:space="preserve"> </w:t>
      </w:r>
      <w:r w:rsidR="00A7080E" w:rsidRPr="00A7080E">
        <w:rPr>
          <w:i/>
          <w:iCs/>
        </w:rPr>
        <w:t>et al</w:t>
      </w:r>
      <w:r>
        <w:t xml:space="preserve">., 2008; Bramer </w:t>
      </w:r>
      <w:r w:rsidR="00A7080E" w:rsidRPr="00A7080E">
        <w:rPr>
          <w:i/>
          <w:iCs/>
        </w:rPr>
        <w:t>et al</w:t>
      </w:r>
      <w:r>
        <w:t xml:space="preserve">., 2017). Retrieved studies were imported into reference management software for duplicate removal, and the PRISMA framework guided the screening of titles, abstracts, and full texts against inclusion criteria (Higgins &amp; Green, 2011). Data were extracted using a standardised template capturing publication details, study design, type of sustainability or greenwashing activity, environmental and social impact, and research gaps (Moher </w:t>
      </w:r>
      <w:r w:rsidR="00A7080E" w:rsidRPr="00A7080E">
        <w:rPr>
          <w:i/>
          <w:iCs/>
        </w:rPr>
        <w:t>et al</w:t>
      </w:r>
      <w:r>
        <w:t xml:space="preserve">., 2009). Study quality was assessed using the Critical Appraisal Skills Programme (CASP, 2018) to evaluate methodological rigour, validity, and relevance, with studies categorised as high, medium, or low quality to control for bias (Higgins </w:t>
      </w:r>
      <w:r w:rsidR="00A7080E" w:rsidRPr="00A7080E">
        <w:rPr>
          <w:i/>
          <w:iCs/>
        </w:rPr>
        <w:t>et al</w:t>
      </w:r>
      <w:r>
        <w:t xml:space="preserve">., 2011). Given the heterogeneity of study designs and thematic foci, a narrative synthesis approach was adopted to identify patterns, trends, and inconsistencies across genuine sustainability and greenwashing operations (Popay </w:t>
      </w:r>
      <w:r w:rsidR="00A7080E" w:rsidRPr="00A7080E">
        <w:rPr>
          <w:i/>
          <w:iCs/>
        </w:rPr>
        <w:t>et al</w:t>
      </w:r>
      <w:r>
        <w:t xml:space="preserve">., 2006; Campbell </w:t>
      </w:r>
      <w:r w:rsidR="00A7080E" w:rsidRPr="00A7080E">
        <w:rPr>
          <w:i/>
          <w:iCs/>
        </w:rPr>
        <w:t>et al</w:t>
      </w:r>
      <w:r>
        <w:t xml:space="preserve">., 2020). Data analysis involved thematic categorisation of extracted data to establish relationships between sustainability claims and brand credibility, supported by keyword search strings outlined in the appendix. Ethical considerations included accurate reporting, transparency in selection, and acknowledgment of original authors in line with research ethics standards. As this was </w:t>
      </w:r>
      <w:r>
        <w:lastRenderedPageBreak/>
        <w:t xml:space="preserve">secondary research, no formal ethical approval was required, though limitations such as potential publication bias, English-language restriction, and varied methodological quality were acknowledged (Gough </w:t>
      </w:r>
      <w:r w:rsidR="00A7080E" w:rsidRPr="00A7080E">
        <w:rPr>
          <w:i/>
          <w:iCs/>
        </w:rPr>
        <w:t>et al</w:t>
      </w:r>
      <w:r>
        <w:t>., 2017).</w:t>
      </w:r>
    </w:p>
    <w:p w14:paraId="45CE32FC" w14:textId="3DFC7146" w:rsidR="007A6353" w:rsidRDefault="00391EB6" w:rsidP="007A6353">
      <w:pPr>
        <w:pStyle w:val="Heading2"/>
      </w:pPr>
      <w:bookmarkStart w:id="9" w:name="_Toc214979368"/>
      <w:r w:rsidRPr="008C5097">
        <w:t xml:space="preserve">Structure of </w:t>
      </w:r>
      <w:r w:rsidR="001F7590">
        <w:t>R</w:t>
      </w:r>
      <w:r w:rsidRPr="008C5097">
        <w:t xml:space="preserve">est of </w:t>
      </w:r>
      <w:r w:rsidR="001F7590">
        <w:t>P</w:t>
      </w:r>
      <w:r w:rsidRPr="008C5097">
        <w:t>roject</w:t>
      </w:r>
      <w:bookmarkEnd w:id="9"/>
    </w:p>
    <w:p w14:paraId="7D90FB0F" w14:textId="6F83FECD" w:rsidR="00132628" w:rsidRPr="007A6353" w:rsidRDefault="007A6353" w:rsidP="007A6353">
      <w:pPr>
        <w:rPr>
          <w:rFonts w:eastAsia="Times New Roman" w:cs="Times New Roman"/>
          <w:szCs w:val="24"/>
          <w:lang w:val="en-US"/>
        </w:rPr>
      </w:pPr>
      <w:r>
        <w:t>The remainder of this project is structured to systematically explore and synthesise the literature on genuine sustainability and greenwashing practices in the fashion industry. Chapter 2 presents a comprehensive literature review, introducing key concepts, research areas, and a conceptual framework that underpins the study. Chapter 3 outlines the research methodology, detailing the philosophies, design, approaches, data collection methods, and ethical considerations adopted to ensure the rigour and validity of the systematic review. Chapter 4 presents the findings, followed by a detailed analysis and discussion of the results in the context of the research questions and existing literature. Finally, Chapter 5 concludes the study by summarising the main findings, drawing conclusions aligned with the research questions, offering practical and theoretical recommendations, acknowledging limitations, and suggesting directions for future research.</w:t>
      </w:r>
      <w:r>
        <w:br w:type="page"/>
      </w:r>
    </w:p>
    <w:p w14:paraId="1FCA51C8" w14:textId="0FDA1994" w:rsidR="00391EB6" w:rsidRPr="008C5097" w:rsidRDefault="00786750" w:rsidP="00132628">
      <w:pPr>
        <w:pStyle w:val="Heading1"/>
      </w:pPr>
      <w:bookmarkStart w:id="10" w:name="_heading=h.zgsj7dm89hu7"/>
      <w:bookmarkStart w:id="11" w:name="_Toc214979369"/>
      <w:bookmarkEnd w:id="10"/>
      <w:r w:rsidRPr="008C5097">
        <w:lastRenderedPageBreak/>
        <w:t>CHAPTER 2: LITERATURE REVIEW</w:t>
      </w:r>
      <w:bookmarkEnd w:id="11"/>
      <w:r w:rsidRPr="008C5097">
        <w:t xml:space="preserve"> </w:t>
      </w:r>
    </w:p>
    <w:p w14:paraId="40ADE638" w14:textId="56AC050D" w:rsidR="00B267C5" w:rsidRDefault="00391EB6" w:rsidP="003D69FC">
      <w:pPr>
        <w:pStyle w:val="Heading2"/>
        <w:spacing w:after="0"/>
      </w:pPr>
      <w:bookmarkStart w:id="12" w:name="_Toc214979370"/>
      <w:r w:rsidRPr="008C5097">
        <w:t>Introduction</w:t>
      </w:r>
      <w:bookmarkEnd w:id="12"/>
    </w:p>
    <w:p w14:paraId="74FE5E27" w14:textId="7B9AB8E4" w:rsidR="009847AB" w:rsidRPr="009847AB" w:rsidRDefault="009847AB" w:rsidP="003D69FC">
      <w:pPr>
        <w:spacing w:before="0"/>
      </w:pPr>
      <w:r>
        <w:t>This chapter provides a comprehensive review of the existing literature relevant to sustainability and greenwashing practices in the fashion industry. It begins by defining the key concepts central to this study, followed by an examination of the theoretical frameworks that underpin understanding of sustainable practices and corporate accountability. The chapter then explores sustainability initiatives within the fashion sector, alongside prevalent greenwashing practices, highlighting their impact on brand credibility. Further, it investigates consumer perceptions of both genuine sustainability and greenwashing, and the role of corporate social responsibility (CSR) and environmental, social, and governance (ESG) reporting in shaping corporate behaviour. Additionally, regulatory and policy frameworks governing sustainability are discussed, providing context for the development of the study’s conceptual framework, which integrates the reviewed literature and guides the research approach.</w:t>
      </w:r>
    </w:p>
    <w:p w14:paraId="1683C831" w14:textId="06B98073" w:rsidR="00391EB6" w:rsidRDefault="003D69FC" w:rsidP="008C5097">
      <w:pPr>
        <w:pStyle w:val="Heading2"/>
      </w:pPr>
      <w:bookmarkStart w:id="13" w:name="_Toc214979371"/>
      <w:r>
        <w:t xml:space="preserve">Critical Review of the </w:t>
      </w:r>
      <w:r w:rsidR="00391EB6" w:rsidRPr="008C5097">
        <w:t>Research</w:t>
      </w:r>
      <w:r>
        <w:t xml:space="preserve"> Topic</w:t>
      </w:r>
      <w:bookmarkEnd w:id="13"/>
    </w:p>
    <w:p w14:paraId="2988BB0D" w14:textId="7B51D4C9" w:rsidR="00AB6AC0" w:rsidRDefault="00AB6AC0" w:rsidP="00AB6AC0">
      <w:pPr>
        <w:pStyle w:val="Heading3"/>
      </w:pPr>
      <w:bookmarkStart w:id="14" w:name="_Toc214979372"/>
      <w:r>
        <w:t>Definition of Key Concepts</w:t>
      </w:r>
      <w:bookmarkEnd w:id="14"/>
    </w:p>
    <w:p w14:paraId="5C88478D" w14:textId="04727190" w:rsidR="003D69FC" w:rsidRPr="003D69FC" w:rsidRDefault="003D69FC" w:rsidP="003D69FC">
      <w:pPr>
        <w:rPr>
          <w:lang w:val="en-US" w:eastAsia="zh-CN" w:bidi="bn-IN"/>
        </w:rPr>
      </w:pPr>
      <w:r w:rsidRPr="003D69FC">
        <w:rPr>
          <w:b/>
          <w:bCs/>
          <w:lang w:val="en-US" w:eastAsia="zh-CN" w:bidi="bn-IN"/>
        </w:rPr>
        <w:t>Sustainable Practice</w:t>
      </w:r>
      <w:r>
        <w:rPr>
          <w:lang w:val="en-US" w:eastAsia="zh-CN" w:bidi="bn-IN"/>
        </w:rPr>
        <w:t xml:space="preserve">: </w:t>
      </w:r>
      <w:r w:rsidRPr="003D69FC">
        <w:rPr>
          <w:lang w:val="en-US" w:eastAsia="zh-CN" w:bidi="bn-IN"/>
        </w:rPr>
        <w:t xml:space="preserve">Sustainable practice refers to business operations and strategies that meet present needs without compromising the ability of future generations to meet their own. In the fashion industry, this encompasses environmentally friendly production methods, resource efficiency, ethical labour practices, and the promotion of circular economy principles (Andria </w:t>
      </w:r>
      <w:r w:rsidR="00A7080E" w:rsidRPr="00A7080E">
        <w:rPr>
          <w:i/>
          <w:iCs/>
          <w:lang w:val="en-US" w:eastAsia="zh-CN" w:bidi="bn-IN"/>
        </w:rPr>
        <w:t>et al</w:t>
      </w:r>
      <w:r w:rsidRPr="003D69FC">
        <w:rPr>
          <w:lang w:val="en-US" w:eastAsia="zh-CN" w:bidi="bn-IN"/>
        </w:rPr>
        <w:t xml:space="preserve">., 2023; </w:t>
      </w:r>
      <w:proofErr w:type="spellStart"/>
      <w:r w:rsidRPr="003D69FC">
        <w:rPr>
          <w:lang w:val="en-US" w:eastAsia="zh-CN" w:bidi="bn-IN"/>
        </w:rPr>
        <w:t>Habtemaryam</w:t>
      </w:r>
      <w:proofErr w:type="spellEnd"/>
      <w:r w:rsidRPr="003D69FC">
        <w:rPr>
          <w:lang w:val="en-US" w:eastAsia="zh-CN" w:bidi="bn-IN"/>
        </w:rPr>
        <w:t xml:space="preserve">, </w:t>
      </w:r>
      <w:proofErr w:type="spellStart"/>
      <w:r w:rsidRPr="003D69FC">
        <w:rPr>
          <w:lang w:val="en-US" w:eastAsia="zh-CN" w:bidi="bn-IN"/>
        </w:rPr>
        <w:t>Degoma</w:t>
      </w:r>
      <w:proofErr w:type="spellEnd"/>
      <w:r w:rsidRPr="003D69FC">
        <w:rPr>
          <w:lang w:val="en-US" w:eastAsia="zh-CN" w:bidi="bn-IN"/>
        </w:rPr>
        <w:t xml:space="preserve"> &amp; </w:t>
      </w:r>
      <w:proofErr w:type="spellStart"/>
      <w:r w:rsidRPr="003D69FC">
        <w:rPr>
          <w:lang w:val="en-US" w:eastAsia="zh-CN" w:bidi="bn-IN"/>
        </w:rPr>
        <w:t>Tsegaye</w:t>
      </w:r>
      <w:proofErr w:type="spellEnd"/>
      <w:r w:rsidRPr="003D69FC">
        <w:rPr>
          <w:lang w:val="en-US" w:eastAsia="zh-CN" w:bidi="bn-IN"/>
        </w:rPr>
        <w:t>, 2025).</w:t>
      </w:r>
    </w:p>
    <w:p w14:paraId="732DCB3B" w14:textId="569624E2" w:rsidR="003D69FC" w:rsidRPr="003D69FC" w:rsidRDefault="003D69FC" w:rsidP="003D69FC">
      <w:pPr>
        <w:rPr>
          <w:lang w:val="en-US" w:eastAsia="zh-CN" w:bidi="bn-IN"/>
        </w:rPr>
      </w:pPr>
      <w:r w:rsidRPr="003D69FC">
        <w:rPr>
          <w:b/>
          <w:bCs/>
          <w:lang w:val="en-US" w:eastAsia="zh-CN" w:bidi="bn-IN"/>
        </w:rPr>
        <w:t>Greenwashing</w:t>
      </w:r>
      <w:r>
        <w:rPr>
          <w:lang w:val="en-US" w:eastAsia="zh-CN" w:bidi="bn-IN"/>
        </w:rPr>
        <w:t xml:space="preserve">: </w:t>
      </w:r>
      <w:r w:rsidRPr="003D69FC">
        <w:rPr>
          <w:lang w:val="en-US" w:eastAsia="zh-CN" w:bidi="bn-IN"/>
        </w:rPr>
        <w:t xml:space="preserve">Greenwashing is the practice of conveying a false or exaggerated impression of a company’s environmental responsibility. It often involves misleading marketing messages, selective disclosure, or symbolic actions that do not result in substantive environmental or social benefits (Mousavi </w:t>
      </w:r>
      <w:r w:rsidR="00A7080E" w:rsidRPr="00A7080E">
        <w:rPr>
          <w:i/>
          <w:iCs/>
          <w:lang w:val="en-US" w:eastAsia="zh-CN" w:bidi="bn-IN"/>
        </w:rPr>
        <w:t>et al</w:t>
      </w:r>
      <w:r w:rsidRPr="003D69FC">
        <w:rPr>
          <w:lang w:val="en-US" w:eastAsia="zh-CN" w:bidi="bn-IN"/>
        </w:rPr>
        <w:t xml:space="preserve">., 2025; </w:t>
      </w:r>
      <w:proofErr w:type="spellStart"/>
      <w:r w:rsidRPr="003D69FC">
        <w:rPr>
          <w:lang w:val="en-US" w:eastAsia="zh-CN" w:bidi="bn-IN"/>
        </w:rPr>
        <w:t>Brugman</w:t>
      </w:r>
      <w:proofErr w:type="spellEnd"/>
      <w:r w:rsidRPr="003D69FC">
        <w:rPr>
          <w:lang w:val="en-US" w:eastAsia="zh-CN" w:bidi="bn-IN"/>
        </w:rPr>
        <w:t xml:space="preserve">, van </w:t>
      </w:r>
      <w:proofErr w:type="spellStart"/>
      <w:r w:rsidRPr="003D69FC">
        <w:rPr>
          <w:lang w:val="en-US" w:eastAsia="zh-CN" w:bidi="bn-IN"/>
        </w:rPr>
        <w:t>Huijstee</w:t>
      </w:r>
      <w:proofErr w:type="spellEnd"/>
      <w:r w:rsidRPr="003D69FC">
        <w:rPr>
          <w:lang w:val="en-US" w:eastAsia="zh-CN" w:bidi="bn-IN"/>
        </w:rPr>
        <w:t xml:space="preserve"> &amp; Droog, 2024).</w:t>
      </w:r>
    </w:p>
    <w:p w14:paraId="3EDA7C90" w14:textId="1BA9E423" w:rsidR="003D69FC" w:rsidRPr="003D69FC" w:rsidRDefault="003D69FC" w:rsidP="003D69FC">
      <w:pPr>
        <w:rPr>
          <w:lang w:val="en-US" w:eastAsia="zh-CN" w:bidi="bn-IN"/>
        </w:rPr>
      </w:pPr>
      <w:r w:rsidRPr="003D69FC">
        <w:rPr>
          <w:b/>
          <w:bCs/>
          <w:lang w:val="en-US" w:eastAsia="zh-CN" w:bidi="bn-IN"/>
        </w:rPr>
        <w:t>Fashion Brands</w:t>
      </w:r>
      <w:r>
        <w:rPr>
          <w:lang w:val="en-US" w:eastAsia="zh-CN" w:bidi="bn-IN"/>
        </w:rPr>
        <w:t xml:space="preserve">: </w:t>
      </w:r>
      <w:r w:rsidRPr="003D69FC">
        <w:rPr>
          <w:lang w:val="en-US" w:eastAsia="zh-CN" w:bidi="bn-IN"/>
        </w:rPr>
        <w:t xml:space="preserve">Fashion brands are commercial entities that design, manufacture, and market apparel and accessories. They vary in scale from mass-market to luxury segments and play a critical role in shaping consumer perceptions of sustainability and ethical practices (Brydges, Henninger &amp; Hanlon, 2022; Garcia-Ortega </w:t>
      </w:r>
      <w:r w:rsidR="00A7080E" w:rsidRPr="00A7080E">
        <w:rPr>
          <w:i/>
          <w:iCs/>
          <w:lang w:val="en-US" w:eastAsia="zh-CN" w:bidi="bn-IN"/>
        </w:rPr>
        <w:t>et al</w:t>
      </w:r>
      <w:r w:rsidRPr="003D69FC">
        <w:rPr>
          <w:lang w:val="en-US" w:eastAsia="zh-CN" w:bidi="bn-IN"/>
        </w:rPr>
        <w:t>., 2023).</w:t>
      </w:r>
    </w:p>
    <w:p w14:paraId="5EE969F7" w14:textId="429121D2" w:rsidR="003D69FC" w:rsidRPr="003D69FC" w:rsidRDefault="003D69FC" w:rsidP="003D69FC">
      <w:pPr>
        <w:rPr>
          <w:lang w:val="en-US" w:eastAsia="zh-CN" w:bidi="bn-IN"/>
        </w:rPr>
      </w:pPr>
      <w:r w:rsidRPr="003D69FC">
        <w:rPr>
          <w:b/>
          <w:bCs/>
          <w:lang w:val="en-US" w:eastAsia="zh-CN" w:bidi="bn-IN"/>
        </w:rPr>
        <w:lastRenderedPageBreak/>
        <w:t>ESG (Environmental, Social, and Governance)</w:t>
      </w:r>
      <w:r>
        <w:rPr>
          <w:lang w:val="en-US" w:eastAsia="zh-CN" w:bidi="bn-IN"/>
        </w:rPr>
        <w:t xml:space="preserve">: </w:t>
      </w:r>
      <w:r w:rsidRPr="003D69FC">
        <w:rPr>
          <w:lang w:val="en-US" w:eastAsia="zh-CN" w:bidi="bn-IN"/>
        </w:rPr>
        <w:t xml:space="preserve">ESG refers to a set of criteria used to evaluate a company’s performance in environmental stewardship, social responsibility, and corporate governance. ESG reporting provides transparency regarding sustainability initiatives and is increasingly linked to brand credibility and investor confidence (Brown </w:t>
      </w:r>
      <w:r w:rsidR="00A7080E" w:rsidRPr="00A7080E">
        <w:rPr>
          <w:i/>
          <w:iCs/>
          <w:lang w:val="en-US" w:eastAsia="zh-CN" w:bidi="bn-IN"/>
        </w:rPr>
        <w:t>et al</w:t>
      </w:r>
      <w:r w:rsidRPr="003D69FC">
        <w:rPr>
          <w:lang w:val="en-US" w:eastAsia="zh-CN" w:bidi="bn-IN"/>
        </w:rPr>
        <w:t xml:space="preserve">., 2019; de Magalhães Silva </w:t>
      </w:r>
      <w:r w:rsidR="00A7080E" w:rsidRPr="00A7080E">
        <w:rPr>
          <w:i/>
          <w:iCs/>
          <w:lang w:val="en-US" w:eastAsia="zh-CN" w:bidi="bn-IN"/>
        </w:rPr>
        <w:t>et al</w:t>
      </w:r>
      <w:r w:rsidRPr="003D69FC">
        <w:rPr>
          <w:lang w:val="en-US" w:eastAsia="zh-CN" w:bidi="bn-IN"/>
        </w:rPr>
        <w:t>., 2025).</w:t>
      </w:r>
    </w:p>
    <w:p w14:paraId="1833829D" w14:textId="5F3EDCB2" w:rsidR="003D69FC" w:rsidRPr="003D69FC" w:rsidRDefault="003D69FC" w:rsidP="003D69FC">
      <w:pPr>
        <w:rPr>
          <w:lang w:val="en-US" w:eastAsia="zh-CN" w:bidi="bn-IN"/>
        </w:rPr>
      </w:pPr>
      <w:r w:rsidRPr="003D69FC">
        <w:rPr>
          <w:b/>
          <w:bCs/>
          <w:lang w:val="en-US" w:eastAsia="zh-CN" w:bidi="bn-IN"/>
        </w:rPr>
        <w:t>Corporate Social Responsibility (CSR)</w:t>
      </w:r>
      <w:r>
        <w:rPr>
          <w:lang w:val="en-US" w:eastAsia="zh-CN" w:bidi="bn-IN"/>
        </w:rPr>
        <w:t xml:space="preserve">: </w:t>
      </w:r>
      <w:r w:rsidRPr="003D69FC">
        <w:rPr>
          <w:lang w:val="en-US" w:eastAsia="zh-CN" w:bidi="bn-IN"/>
        </w:rPr>
        <w:t>CSR is the broader concept of a company taking responsibility for its impact on society, encompassing ethical labour practices, community engagement, and environmental stewardship. In fashion, CSR initiatives often intersect with sustainability claims, though the line between genuine CSR and greenwashing can be blurred (Goswami &amp; Jaiswal, 2023; Reza &amp; Du Plessis, 2022).</w:t>
      </w:r>
    </w:p>
    <w:p w14:paraId="06FF9772" w14:textId="009FF99B" w:rsidR="00AB6AC0" w:rsidRDefault="00AB6AC0" w:rsidP="00AB6AC0">
      <w:pPr>
        <w:pStyle w:val="Heading3"/>
      </w:pPr>
      <w:bookmarkStart w:id="15" w:name="_Toc214979373"/>
      <w:r>
        <w:t>Theoretical Frameworks</w:t>
      </w:r>
      <w:bookmarkEnd w:id="15"/>
    </w:p>
    <w:p w14:paraId="10E67B5E" w14:textId="77777777" w:rsidR="00C57E74" w:rsidRPr="00C57E74" w:rsidRDefault="00C57E74" w:rsidP="0096254D">
      <w:pPr>
        <w:rPr>
          <w:lang w:val="en-US" w:eastAsia="zh-CN" w:bidi="bn-IN"/>
        </w:rPr>
      </w:pPr>
      <w:r w:rsidRPr="00C57E74">
        <w:rPr>
          <w:lang w:val="en-US" w:eastAsia="zh-CN" w:bidi="bn-IN"/>
        </w:rPr>
        <w:t xml:space="preserve">Theoretical frameworks provide the lens through which sustainability and greenwashing practices in the fashion industry can be understood and </w:t>
      </w:r>
      <w:proofErr w:type="spellStart"/>
      <w:r w:rsidRPr="00C57E74">
        <w:rPr>
          <w:lang w:val="en-US" w:eastAsia="zh-CN" w:bidi="bn-IN"/>
        </w:rPr>
        <w:t>analysed</w:t>
      </w:r>
      <w:proofErr w:type="spellEnd"/>
      <w:r w:rsidRPr="00C57E74">
        <w:rPr>
          <w:lang w:val="en-US" w:eastAsia="zh-CN" w:bidi="bn-IN"/>
        </w:rPr>
        <w:t xml:space="preserve">. By grounding research in established theories, scholars can explain the motivations behind corporate behaviour, the dynamics of stakeholder interactions, and the mechanisms through which consumers interpret sustainability claims. In the context of fashion, three widely applied frameworks—Stakeholder Theory, </w:t>
      </w:r>
      <w:proofErr w:type="spellStart"/>
      <w:r w:rsidRPr="00C57E74">
        <w:rPr>
          <w:lang w:val="en-US" w:eastAsia="zh-CN" w:bidi="bn-IN"/>
        </w:rPr>
        <w:t>Signalling</w:t>
      </w:r>
      <w:proofErr w:type="spellEnd"/>
      <w:r w:rsidRPr="00C57E74">
        <w:rPr>
          <w:lang w:val="en-US" w:eastAsia="zh-CN" w:bidi="bn-IN"/>
        </w:rPr>
        <w:t xml:space="preserve"> Theory, and the Triple Bottom Line (TBL) Model—offer critical insights into both genuine sustainability efforts and greenwashing practices.</w:t>
      </w:r>
    </w:p>
    <w:p w14:paraId="75176DD5" w14:textId="0AF94E70" w:rsidR="00C57E74" w:rsidRPr="00C57E74" w:rsidRDefault="00C57E74" w:rsidP="0096254D">
      <w:pPr>
        <w:rPr>
          <w:lang w:val="en-US" w:eastAsia="zh-CN" w:bidi="bn-IN"/>
        </w:rPr>
      </w:pPr>
      <w:r w:rsidRPr="00C57E74">
        <w:rPr>
          <w:lang w:val="en-US" w:eastAsia="zh-CN" w:bidi="bn-IN"/>
        </w:rPr>
        <w:t xml:space="preserve">Stakeholder Theory posits that </w:t>
      </w:r>
      <w:proofErr w:type="spellStart"/>
      <w:r w:rsidRPr="00C57E74">
        <w:rPr>
          <w:lang w:val="en-US" w:eastAsia="zh-CN" w:bidi="bn-IN"/>
        </w:rPr>
        <w:t>organisations</w:t>
      </w:r>
      <w:proofErr w:type="spellEnd"/>
      <w:r w:rsidRPr="00C57E74">
        <w:rPr>
          <w:lang w:val="en-US" w:eastAsia="zh-CN" w:bidi="bn-IN"/>
        </w:rPr>
        <w:t xml:space="preserve"> have obligations not only to shareholders but to all parties affected by their operations, including employees, suppliers, customers, regulators, and communities (Freeman, 1984). In fashion, this theory underscores the importance of responding to diverse stakeholder demands for ethical production, environmental protection, and transparency (Crapa </w:t>
      </w:r>
      <w:r w:rsidR="00A7080E" w:rsidRPr="00A7080E">
        <w:rPr>
          <w:i/>
          <w:iCs/>
          <w:lang w:val="en-US" w:eastAsia="zh-CN" w:bidi="bn-IN"/>
        </w:rPr>
        <w:t>et al</w:t>
      </w:r>
      <w:r w:rsidRPr="00C57E74">
        <w:rPr>
          <w:lang w:val="en-US" w:eastAsia="zh-CN" w:bidi="bn-IN"/>
        </w:rPr>
        <w:t xml:space="preserve">., 2025; de Magalhães Silva </w:t>
      </w:r>
      <w:r w:rsidR="00A7080E" w:rsidRPr="00A7080E">
        <w:rPr>
          <w:i/>
          <w:iCs/>
          <w:lang w:val="en-US" w:eastAsia="zh-CN" w:bidi="bn-IN"/>
        </w:rPr>
        <w:t>et al</w:t>
      </w:r>
      <w:r w:rsidRPr="00C57E74">
        <w:rPr>
          <w:lang w:val="en-US" w:eastAsia="zh-CN" w:bidi="bn-IN"/>
        </w:rPr>
        <w:t xml:space="preserve">., 2025). By considering stakeholder interests, brands are </w:t>
      </w:r>
      <w:proofErr w:type="spellStart"/>
      <w:r w:rsidRPr="00C57E74">
        <w:rPr>
          <w:lang w:val="en-US" w:eastAsia="zh-CN" w:bidi="bn-IN"/>
        </w:rPr>
        <w:t>incentivised</w:t>
      </w:r>
      <w:proofErr w:type="spellEnd"/>
      <w:r w:rsidRPr="00C57E74">
        <w:rPr>
          <w:lang w:val="en-US" w:eastAsia="zh-CN" w:bidi="bn-IN"/>
        </w:rPr>
        <w:t xml:space="preserve"> to implement authentic sustainability initiatives, engage in credible ESG reporting, and avoid deceptive greenwashing practices. For instance, consumer scrutiny and NGO activism create pressure for companies to align communications and operational practices with stakeholder expectations, making the management of perception and disclosure central to corporate strategy (Burnstine &amp; </w:t>
      </w:r>
      <w:proofErr w:type="spellStart"/>
      <w:r w:rsidRPr="00C57E74">
        <w:rPr>
          <w:lang w:val="en-US" w:eastAsia="zh-CN" w:bidi="bn-IN"/>
        </w:rPr>
        <w:t>Ghattas</w:t>
      </w:r>
      <w:proofErr w:type="spellEnd"/>
      <w:r w:rsidRPr="00C57E74">
        <w:rPr>
          <w:lang w:val="en-US" w:eastAsia="zh-CN" w:bidi="bn-IN"/>
        </w:rPr>
        <w:t xml:space="preserve">, 2025; </w:t>
      </w:r>
      <w:proofErr w:type="spellStart"/>
      <w:r w:rsidRPr="00C57E74">
        <w:rPr>
          <w:lang w:val="en-US" w:eastAsia="zh-CN" w:bidi="bn-IN"/>
        </w:rPr>
        <w:t>Jestratijevic</w:t>
      </w:r>
      <w:proofErr w:type="spellEnd"/>
      <w:r w:rsidRPr="00C57E74">
        <w:rPr>
          <w:lang w:val="en-US" w:eastAsia="zh-CN" w:bidi="bn-IN"/>
        </w:rPr>
        <w:t xml:space="preserve">, </w:t>
      </w:r>
      <w:proofErr w:type="spellStart"/>
      <w:r w:rsidRPr="00C57E74">
        <w:rPr>
          <w:lang w:val="en-US" w:eastAsia="zh-CN" w:bidi="bn-IN"/>
        </w:rPr>
        <w:t>Uanhoro</w:t>
      </w:r>
      <w:proofErr w:type="spellEnd"/>
      <w:r w:rsidRPr="00C57E74">
        <w:rPr>
          <w:lang w:val="en-US" w:eastAsia="zh-CN" w:bidi="bn-IN"/>
        </w:rPr>
        <w:t xml:space="preserve"> &amp; Rana, 2024).</w:t>
      </w:r>
    </w:p>
    <w:p w14:paraId="1EDD766C" w14:textId="338566EE" w:rsidR="00C57E74" w:rsidRPr="00C57E74" w:rsidRDefault="00C57E74" w:rsidP="0096254D">
      <w:pPr>
        <w:rPr>
          <w:lang w:val="en-US" w:eastAsia="zh-CN" w:bidi="bn-IN"/>
        </w:rPr>
      </w:pPr>
      <w:proofErr w:type="spellStart"/>
      <w:r w:rsidRPr="00C57E74">
        <w:rPr>
          <w:lang w:val="en-US" w:eastAsia="zh-CN" w:bidi="bn-IN"/>
        </w:rPr>
        <w:lastRenderedPageBreak/>
        <w:t>Signalling</w:t>
      </w:r>
      <w:proofErr w:type="spellEnd"/>
      <w:r w:rsidRPr="00C57E74">
        <w:rPr>
          <w:lang w:val="en-US" w:eastAsia="zh-CN" w:bidi="bn-IN"/>
        </w:rPr>
        <w:t xml:space="preserve"> Theory focuses on the transmission of information from </w:t>
      </w:r>
      <w:proofErr w:type="spellStart"/>
      <w:r w:rsidRPr="00C57E74">
        <w:rPr>
          <w:lang w:val="en-US" w:eastAsia="zh-CN" w:bidi="bn-IN"/>
        </w:rPr>
        <w:t>organisations</w:t>
      </w:r>
      <w:proofErr w:type="spellEnd"/>
      <w:r w:rsidRPr="00C57E74">
        <w:rPr>
          <w:lang w:val="en-US" w:eastAsia="zh-CN" w:bidi="bn-IN"/>
        </w:rPr>
        <w:t xml:space="preserve"> to stakeholders, particularly in contexts </w:t>
      </w:r>
      <w:proofErr w:type="spellStart"/>
      <w:r w:rsidRPr="00C57E74">
        <w:rPr>
          <w:lang w:val="en-US" w:eastAsia="zh-CN" w:bidi="bn-IN"/>
        </w:rPr>
        <w:t>characterised</w:t>
      </w:r>
      <w:proofErr w:type="spellEnd"/>
      <w:r w:rsidRPr="00C57E74">
        <w:rPr>
          <w:lang w:val="en-US" w:eastAsia="zh-CN" w:bidi="bn-IN"/>
        </w:rPr>
        <w:t xml:space="preserve"> by information asymmetry (Spence, 1973). In fashion, brands use sustainability claims, certifications, and CSR reports as signals intended to convey ethical performance and environmental responsibility (Brown </w:t>
      </w:r>
      <w:r w:rsidR="00A7080E" w:rsidRPr="00A7080E">
        <w:rPr>
          <w:i/>
          <w:iCs/>
          <w:lang w:val="en-US" w:eastAsia="zh-CN" w:bidi="bn-IN"/>
        </w:rPr>
        <w:t>et al</w:t>
      </w:r>
      <w:r w:rsidRPr="00C57E74">
        <w:rPr>
          <w:lang w:val="en-US" w:eastAsia="zh-CN" w:bidi="bn-IN"/>
        </w:rPr>
        <w:t>., 2019; Fang, 2024). The effectiveness of these signals depends on credibility, transparency, and verifiability. Greenwashing represents a misalignment of signal and reality, where firms communicate ostensibly positive environmental actions without substantive implementation (</w:t>
      </w:r>
      <w:proofErr w:type="spellStart"/>
      <w:r w:rsidRPr="00C57E74">
        <w:rPr>
          <w:lang w:val="en-US" w:eastAsia="zh-CN" w:bidi="bn-IN"/>
        </w:rPr>
        <w:t>Brugman</w:t>
      </w:r>
      <w:proofErr w:type="spellEnd"/>
      <w:r w:rsidRPr="00C57E74">
        <w:rPr>
          <w:lang w:val="en-US" w:eastAsia="zh-CN" w:bidi="bn-IN"/>
        </w:rPr>
        <w:t xml:space="preserve">, van </w:t>
      </w:r>
      <w:proofErr w:type="spellStart"/>
      <w:r w:rsidRPr="00C57E74">
        <w:rPr>
          <w:lang w:val="en-US" w:eastAsia="zh-CN" w:bidi="bn-IN"/>
        </w:rPr>
        <w:t>Huijstee</w:t>
      </w:r>
      <w:proofErr w:type="spellEnd"/>
      <w:r w:rsidRPr="00C57E74">
        <w:rPr>
          <w:lang w:val="en-US" w:eastAsia="zh-CN" w:bidi="bn-IN"/>
        </w:rPr>
        <w:t xml:space="preserve"> &amp; Droog, 2024). </w:t>
      </w:r>
      <w:proofErr w:type="spellStart"/>
      <w:r w:rsidRPr="00C57E74">
        <w:rPr>
          <w:lang w:val="en-US" w:eastAsia="zh-CN" w:bidi="bn-IN"/>
        </w:rPr>
        <w:t>Signalling</w:t>
      </w:r>
      <w:proofErr w:type="spellEnd"/>
      <w:r w:rsidRPr="00C57E74">
        <w:rPr>
          <w:lang w:val="en-US" w:eastAsia="zh-CN" w:bidi="bn-IN"/>
        </w:rPr>
        <w:t xml:space="preserve"> Theory therefore provides a framework to analyse how communication strategies, marketing campaigns, and ESG disclosures influence consumer perception and brand trust.</w:t>
      </w:r>
    </w:p>
    <w:p w14:paraId="3114D265" w14:textId="11944524" w:rsidR="00C57E74" w:rsidRPr="00C57E74" w:rsidRDefault="00C57E74" w:rsidP="0096254D">
      <w:pPr>
        <w:rPr>
          <w:lang w:val="en-US" w:eastAsia="zh-CN" w:bidi="bn-IN"/>
        </w:rPr>
      </w:pPr>
      <w:r w:rsidRPr="00C57E74">
        <w:rPr>
          <w:lang w:val="en-US" w:eastAsia="zh-CN" w:bidi="bn-IN"/>
        </w:rPr>
        <w:t>The TBL Model, developed by Elkington (1997), extends corporate performance evaluation beyond financial metrics to include social and environmental outcomes. Within fashion, the TBL framework highlights the interconnection between profit, people, and planet, encouraging firms to balance economic growth with ethical labour practices and environmental sustainability (</w:t>
      </w:r>
      <w:proofErr w:type="spellStart"/>
      <w:r w:rsidRPr="00C57E74">
        <w:rPr>
          <w:lang w:val="en-US" w:eastAsia="zh-CN" w:bidi="bn-IN"/>
        </w:rPr>
        <w:t>Habtemaryam</w:t>
      </w:r>
      <w:proofErr w:type="spellEnd"/>
      <w:r w:rsidRPr="00C57E74">
        <w:rPr>
          <w:lang w:val="en-US" w:eastAsia="zh-CN" w:bidi="bn-IN"/>
        </w:rPr>
        <w:t xml:space="preserve">, </w:t>
      </w:r>
      <w:proofErr w:type="spellStart"/>
      <w:r w:rsidRPr="00C57E74">
        <w:rPr>
          <w:lang w:val="en-US" w:eastAsia="zh-CN" w:bidi="bn-IN"/>
        </w:rPr>
        <w:t>Degoma</w:t>
      </w:r>
      <w:proofErr w:type="spellEnd"/>
      <w:r w:rsidRPr="00C57E74">
        <w:rPr>
          <w:lang w:val="en-US" w:eastAsia="zh-CN" w:bidi="bn-IN"/>
        </w:rPr>
        <w:t xml:space="preserve"> &amp; </w:t>
      </w:r>
      <w:proofErr w:type="spellStart"/>
      <w:r w:rsidRPr="00C57E74">
        <w:rPr>
          <w:lang w:val="en-US" w:eastAsia="zh-CN" w:bidi="bn-IN"/>
        </w:rPr>
        <w:t>Tsegaye</w:t>
      </w:r>
      <w:proofErr w:type="spellEnd"/>
      <w:r w:rsidRPr="00C57E74">
        <w:rPr>
          <w:lang w:val="en-US" w:eastAsia="zh-CN" w:bidi="bn-IN"/>
        </w:rPr>
        <w:t xml:space="preserve">, 2025; </w:t>
      </w:r>
      <w:proofErr w:type="spellStart"/>
      <w:r w:rsidRPr="00C57E74">
        <w:rPr>
          <w:lang w:val="en-US" w:eastAsia="zh-CN" w:bidi="bn-IN"/>
        </w:rPr>
        <w:t>Nigatu</w:t>
      </w:r>
      <w:proofErr w:type="spellEnd"/>
      <w:r w:rsidRPr="00C57E74">
        <w:rPr>
          <w:lang w:val="en-US" w:eastAsia="zh-CN" w:bidi="bn-IN"/>
        </w:rPr>
        <w:t xml:space="preserve">, </w:t>
      </w:r>
      <w:proofErr w:type="spellStart"/>
      <w:r w:rsidRPr="00C57E74">
        <w:rPr>
          <w:lang w:val="en-US" w:eastAsia="zh-CN" w:bidi="bn-IN"/>
        </w:rPr>
        <w:t>Degoma</w:t>
      </w:r>
      <w:proofErr w:type="spellEnd"/>
      <w:r w:rsidRPr="00C57E74">
        <w:rPr>
          <w:lang w:val="en-US" w:eastAsia="zh-CN" w:bidi="bn-IN"/>
        </w:rPr>
        <w:t xml:space="preserve"> &amp; </w:t>
      </w:r>
      <w:proofErr w:type="spellStart"/>
      <w:r w:rsidRPr="00C57E74">
        <w:rPr>
          <w:lang w:val="en-US" w:eastAsia="zh-CN" w:bidi="bn-IN"/>
        </w:rPr>
        <w:t>Tsegaye</w:t>
      </w:r>
      <w:proofErr w:type="spellEnd"/>
      <w:r w:rsidRPr="00C57E74">
        <w:rPr>
          <w:lang w:val="en-US" w:eastAsia="zh-CN" w:bidi="bn-IN"/>
        </w:rPr>
        <w:t xml:space="preserve">, 2024). This model also facilitates the assessment of authenticity, as it </w:t>
      </w:r>
      <w:proofErr w:type="spellStart"/>
      <w:r w:rsidRPr="00C57E74">
        <w:rPr>
          <w:lang w:val="en-US" w:eastAsia="zh-CN" w:bidi="bn-IN"/>
        </w:rPr>
        <w:t>emphasises</w:t>
      </w:r>
      <w:proofErr w:type="spellEnd"/>
      <w:r w:rsidRPr="00C57E74">
        <w:rPr>
          <w:lang w:val="en-US" w:eastAsia="zh-CN" w:bidi="bn-IN"/>
        </w:rPr>
        <w:t xml:space="preserve"> substantive improvements across all three dimensions rather than isolated or symbolic actions. Consequently, TBL serves as a benchmark for identifying greenwashing when corporate reporting or marketing </w:t>
      </w:r>
      <w:proofErr w:type="spellStart"/>
      <w:r w:rsidRPr="00C57E74">
        <w:rPr>
          <w:lang w:val="en-US" w:eastAsia="zh-CN" w:bidi="bn-IN"/>
        </w:rPr>
        <w:t>prioritises</w:t>
      </w:r>
      <w:proofErr w:type="spellEnd"/>
      <w:r w:rsidRPr="00C57E74">
        <w:rPr>
          <w:lang w:val="en-US" w:eastAsia="zh-CN" w:bidi="bn-IN"/>
        </w:rPr>
        <w:t xml:space="preserve"> economic or reputational gains over genuine social and environmental impact.</w:t>
      </w:r>
    </w:p>
    <w:p w14:paraId="47B6F678" w14:textId="154B210B" w:rsidR="00C57E74" w:rsidRPr="00C57E74" w:rsidRDefault="00C57E74" w:rsidP="0096254D">
      <w:pPr>
        <w:rPr>
          <w:lang w:val="en-US" w:eastAsia="zh-CN" w:bidi="bn-IN"/>
        </w:rPr>
      </w:pPr>
      <w:r w:rsidRPr="00C57E74">
        <w:rPr>
          <w:lang w:val="en-US" w:eastAsia="zh-CN" w:bidi="bn-IN"/>
        </w:rPr>
        <w:t xml:space="preserve">Collectively, Stakeholder Theory, </w:t>
      </w:r>
      <w:proofErr w:type="spellStart"/>
      <w:r w:rsidRPr="00C57E74">
        <w:rPr>
          <w:lang w:val="en-US" w:eastAsia="zh-CN" w:bidi="bn-IN"/>
        </w:rPr>
        <w:t>Signalling</w:t>
      </w:r>
      <w:proofErr w:type="spellEnd"/>
      <w:r w:rsidRPr="00C57E74">
        <w:rPr>
          <w:lang w:val="en-US" w:eastAsia="zh-CN" w:bidi="bn-IN"/>
        </w:rPr>
        <w:t xml:space="preserve"> Theory, and the TBL Model provide complementary perspectives for understanding sustainability and greenwashing in fashion. Stakeholder Theory explains the pressures driving ethical </w:t>
      </w:r>
      <w:proofErr w:type="spellStart"/>
      <w:r w:rsidRPr="00C57E74">
        <w:rPr>
          <w:lang w:val="en-US" w:eastAsia="zh-CN" w:bidi="bn-IN"/>
        </w:rPr>
        <w:t>behaviour</w:t>
      </w:r>
      <w:proofErr w:type="spellEnd"/>
      <w:r w:rsidRPr="00C57E74">
        <w:rPr>
          <w:lang w:val="en-US" w:eastAsia="zh-CN" w:bidi="bn-IN"/>
        </w:rPr>
        <w:t xml:space="preserve">, </w:t>
      </w:r>
      <w:proofErr w:type="spellStart"/>
      <w:r w:rsidRPr="00C57E74">
        <w:rPr>
          <w:lang w:val="en-US" w:eastAsia="zh-CN" w:bidi="bn-IN"/>
        </w:rPr>
        <w:t>Signalling</w:t>
      </w:r>
      <w:proofErr w:type="spellEnd"/>
      <w:r w:rsidRPr="00C57E74">
        <w:rPr>
          <w:lang w:val="en-US" w:eastAsia="zh-CN" w:bidi="bn-IN"/>
        </w:rPr>
        <w:t xml:space="preserve"> Theory elucidates the mechanisms of communication and perception, and the TBL Model offers criteria for evaluating the substance of sustainability initiatives. Together, these frameworks guide the analysis of how brands balance ethical imperatives, market expectations, and communication strategies, forming the conceptual foundation for examining the interplay between genuine sustainability practices and greenwashing.</w:t>
      </w:r>
    </w:p>
    <w:p w14:paraId="5C113ACD" w14:textId="334A22F2" w:rsidR="00AB6AC0" w:rsidRDefault="00AB6AC0" w:rsidP="00AB6AC0">
      <w:pPr>
        <w:pStyle w:val="Heading3"/>
        <w:rPr>
          <w:lang w:val="en-US"/>
        </w:rPr>
      </w:pPr>
      <w:bookmarkStart w:id="16" w:name="_Toc214979374"/>
      <w:r w:rsidRPr="00AB6AC0">
        <w:rPr>
          <w:lang w:val="en-US"/>
        </w:rPr>
        <w:lastRenderedPageBreak/>
        <w:t>Sustainability in the Fashion Industry</w:t>
      </w:r>
      <w:bookmarkEnd w:id="16"/>
    </w:p>
    <w:p w14:paraId="7C9F0EA1" w14:textId="77777777" w:rsidR="001F2018" w:rsidRDefault="001F2018" w:rsidP="001F2018">
      <w:pPr>
        <w:rPr>
          <w:rFonts w:ascii="Times New Roman" w:hAnsi="Times New Roman"/>
        </w:rPr>
      </w:pPr>
      <w:r>
        <w:t>The concept of sustainability within the fashion industry has gained increasing prominence over the last two decades, driven by mounting environmental pressures, ethical concerns, and shifting consumer expectations. Historically, fashion production prioritised speed, cost-efficiency, and trend responsiveness, often at the expense of environmental and social considerations (</w:t>
      </w:r>
      <w:proofErr w:type="spellStart"/>
      <w:r>
        <w:t>Henninger</w:t>
      </w:r>
      <w:proofErr w:type="spellEnd"/>
      <w:r>
        <w:t xml:space="preserve">, </w:t>
      </w:r>
      <w:proofErr w:type="spellStart"/>
      <w:r>
        <w:t>Alevizou</w:t>
      </w:r>
      <w:proofErr w:type="spellEnd"/>
      <w:r>
        <w:t xml:space="preserve"> &amp; Oates, 2016). The emergence of fast fashion, characterised by rapid design-to-retail cycles and mass consumption, intensified resource depletion, pollution, and labour exploitation, prompting calls for more sustainable approaches (Lovrić &amp; Čagalj, 2025).</w:t>
      </w:r>
    </w:p>
    <w:p w14:paraId="7D012A06" w14:textId="77777777" w:rsidR="001F2018" w:rsidRDefault="001F2018" w:rsidP="001F2018">
      <w:r>
        <w:t xml:space="preserve">Sustainable fashion, as defined by </w:t>
      </w:r>
      <w:proofErr w:type="spellStart"/>
      <w:r>
        <w:t>Henninger</w:t>
      </w:r>
      <w:proofErr w:type="spellEnd"/>
      <w:r>
        <w:t xml:space="preserve">, </w:t>
      </w:r>
      <w:proofErr w:type="spellStart"/>
      <w:r>
        <w:t>Alevizou</w:t>
      </w:r>
      <w:proofErr w:type="spellEnd"/>
      <w:r>
        <w:t xml:space="preserve"> and Oates (2016), encompasses practices that minimise environmental impact while supporting social equity, including responsible sourcing of materials, ethical production, and circular economy adoption. In response, brands have increasingly implemented initiatives such as organic cotton usage, water-saving dye technologies, and eco-friendly logistics, aimed at reducing their ecological footprint (</w:t>
      </w:r>
      <w:proofErr w:type="spellStart"/>
      <w:r>
        <w:t>Habtemaryam</w:t>
      </w:r>
      <w:proofErr w:type="spellEnd"/>
      <w:r>
        <w:t xml:space="preserve">, </w:t>
      </w:r>
      <w:proofErr w:type="spellStart"/>
      <w:r>
        <w:t>Degoma</w:t>
      </w:r>
      <w:proofErr w:type="spellEnd"/>
      <w:r>
        <w:t xml:space="preserve"> &amp; </w:t>
      </w:r>
      <w:proofErr w:type="spellStart"/>
      <w:r>
        <w:t>Tsegaye</w:t>
      </w:r>
      <w:proofErr w:type="spellEnd"/>
      <w:r>
        <w:t>, 2025; Mofokeng, 2025). Green innovation has been particularly significant, with companies adopting technological and organisational solutions to integrate sustainability into their supply chains, production processes, and marketing strategies (</w:t>
      </w:r>
      <w:proofErr w:type="spellStart"/>
      <w:r>
        <w:t>Habtemaryam</w:t>
      </w:r>
      <w:proofErr w:type="spellEnd"/>
      <w:r>
        <w:t xml:space="preserve">, </w:t>
      </w:r>
      <w:proofErr w:type="spellStart"/>
      <w:r>
        <w:t>Degoma</w:t>
      </w:r>
      <w:proofErr w:type="spellEnd"/>
      <w:r>
        <w:t xml:space="preserve"> &amp; </w:t>
      </w:r>
      <w:proofErr w:type="spellStart"/>
      <w:r>
        <w:t>Tsegaye</w:t>
      </w:r>
      <w:proofErr w:type="spellEnd"/>
      <w:r>
        <w:t>, 2025).</w:t>
      </w:r>
    </w:p>
    <w:p w14:paraId="30B62BFB" w14:textId="551B5DE3" w:rsidR="001F2018" w:rsidRDefault="001F2018" w:rsidP="001F2018">
      <w:r>
        <w:t xml:space="preserve">Consumer demand has also acted as a key driver of sustainable practices. Andria </w:t>
      </w:r>
      <w:r w:rsidR="00A7080E" w:rsidRPr="00A7080E">
        <w:rPr>
          <w:i/>
          <w:iCs/>
        </w:rPr>
        <w:t>et al</w:t>
      </w:r>
      <w:r>
        <w:t>. (2023) emphasise that the adoption of sustainable fashion is positively influenced by perceived environmental responsibility and brand transparency. Brands responding to this demand have attempted to communicate their sustainability credentials through eco-labelling, green marketing campaigns, and CSR initiatives (</w:t>
      </w:r>
      <w:proofErr w:type="spellStart"/>
      <w:r>
        <w:t>Hairudinor</w:t>
      </w:r>
      <w:proofErr w:type="spellEnd"/>
      <w:r>
        <w:t xml:space="preserve"> &amp; </w:t>
      </w:r>
      <w:proofErr w:type="spellStart"/>
      <w:r>
        <w:t>Barkatullah</w:t>
      </w:r>
      <w:proofErr w:type="spellEnd"/>
      <w:r>
        <w:t xml:space="preserve">, 2020; </w:t>
      </w:r>
      <w:proofErr w:type="spellStart"/>
      <w:r>
        <w:t>Vehbi</w:t>
      </w:r>
      <w:proofErr w:type="spellEnd"/>
      <w:r>
        <w:t xml:space="preserve"> </w:t>
      </w:r>
      <w:r w:rsidR="00A7080E" w:rsidRPr="00A7080E">
        <w:rPr>
          <w:i/>
          <w:iCs/>
        </w:rPr>
        <w:t>et al</w:t>
      </w:r>
      <w:r>
        <w:t>., 2025). However, the rapid growth of sustainability messaging has resulted in considerable variation in definition, interpretation, and operationalisation across brands and regions (Brydges, Henninger &amp; Hanlon, 2022). This ambiguity often leads to consumer confusion, reducing the credibility and effectiveness of sustainable initiatives (Evans &amp; Peirson-Smith, 2018).</w:t>
      </w:r>
    </w:p>
    <w:p w14:paraId="57C20324" w14:textId="5A4C2097" w:rsidR="001F2018" w:rsidRDefault="001F2018" w:rsidP="001F2018">
      <w:r>
        <w:t xml:space="preserve">Sustainability is increasingly understood as a multidimensional construct encompassing environmental, social, and economic considerations. Circular fashion practices, such as product longevity, recycling, and resource efficiency, are widely </w:t>
      </w:r>
      <w:r>
        <w:lastRenderedPageBreak/>
        <w:t>cited as pathways to sustainability, as they reduce waste and encourage responsible consumption (Burnstine &amp; Ghattas, 2025; Tolentino-Zondervan &amp; DiVito, 2024). Meanwhile, green business strategies that integrate environmental performance with operational efficiency have demonstrated that sustainable practices can also yield economic benefits, creating a synergy between profitability and responsibility (</w:t>
      </w:r>
      <w:proofErr w:type="spellStart"/>
      <w:r>
        <w:t>Nigatu</w:t>
      </w:r>
      <w:proofErr w:type="spellEnd"/>
      <w:r>
        <w:t xml:space="preserve">, </w:t>
      </w:r>
      <w:proofErr w:type="spellStart"/>
      <w:r>
        <w:t>Degoma</w:t>
      </w:r>
      <w:proofErr w:type="spellEnd"/>
      <w:r>
        <w:t xml:space="preserve"> &amp; </w:t>
      </w:r>
      <w:proofErr w:type="spellStart"/>
      <w:r>
        <w:t>Tsegaye</w:t>
      </w:r>
      <w:proofErr w:type="spellEnd"/>
      <w:r>
        <w:t>, 2024; Mofokeng, 2025). Slow fashion, advocating for reduced consumption, ethical sourcing, and consumer mindfulness, represents an alternative paradigm challenging the growth-oriented logic of mainstream fashion (</w:t>
      </w:r>
      <w:proofErr w:type="spellStart"/>
      <w:r>
        <w:t>Velasco-Molpeceres</w:t>
      </w:r>
      <w:proofErr w:type="spellEnd"/>
      <w:r>
        <w:t xml:space="preserve"> </w:t>
      </w:r>
      <w:r w:rsidR="00A7080E" w:rsidRPr="00A7080E">
        <w:rPr>
          <w:i/>
          <w:iCs/>
        </w:rPr>
        <w:t>et al</w:t>
      </w:r>
      <w:r>
        <w:t>., 2023).</w:t>
      </w:r>
    </w:p>
    <w:p w14:paraId="48FF5671" w14:textId="5C9A373C" w:rsidR="001F2018" w:rsidRDefault="001F2018" w:rsidP="001F2018">
      <w:r>
        <w:t xml:space="preserve">Despite these advances, debates persist regarding the authenticity and impact of sustainability efforts within the fashion sector. Many scholars have highlighted that sustainability initiatives often coexist with symbolic or partial measures that fail to address systemic issues such as overproduction, supply chain inequities, and material waste (Brydges, Henninger &amp; Hanlon, 2022; Garcia-Ortega </w:t>
      </w:r>
      <w:r w:rsidR="00A7080E" w:rsidRPr="00A7080E">
        <w:rPr>
          <w:i/>
          <w:iCs/>
        </w:rPr>
        <w:t>et al</w:t>
      </w:r>
      <w:r>
        <w:t xml:space="preserve">., 2023). The tension between genuine sustainability and superficial compliance has been exacerbated by practices such as selective disclosure, marketing exaggeration, and reliance on certifications without substantive change, all of which risk misleading consumers and stakeholders (Boateng </w:t>
      </w:r>
      <w:r w:rsidR="00A7080E" w:rsidRPr="00A7080E">
        <w:rPr>
          <w:i/>
          <w:iCs/>
        </w:rPr>
        <w:t>et al</w:t>
      </w:r>
      <w:r>
        <w:t xml:space="preserve">., 2025; Burnstine &amp; Ghattas, 2025). As </w:t>
      </w:r>
      <w:proofErr w:type="spellStart"/>
      <w:r>
        <w:t>Hairudinor</w:t>
      </w:r>
      <w:proofErr w:type="spellEnd"/>
      <w:r>
        <w:t xml:space="preserve"> and </w:t>
      </w:r>
      <w:proofErr w:type="spellStart"/>
      <w:r>
        <w:t>Barkatullah</w:t>
      </w:r>
      <w:proofErr w:type="spellEnd"/>
      <w:r>
        <w:t xml:space="preserve"> (2020) note, the use of green marketing and eco-labels can sometimes act as mediators for greenwashing, particularly when corporate commitment is inconsistent or unverified.</w:t>
      </w:r>
    </w:p>
    <w:p w14:paraId="06A40924" w14:textId="21FEBE01" w:rsidR="001F2018" w:rsidRDefault="001F2018" w:rsidP="001F2018">
      <w:r>
        <w:t xml:space="preserve">Consumer perception further complicates the landscape. Research shows that while Generation Z and environmentally conscious consumers increasingly value sustainable brands, scepticism towards unverifiable claims can undermine trust and purchase intention (Do </w:t>
      </w:r>
      <w:r w:rsidR="00A7080E" w:rsidRPr="00A7080E">
        <w:rPr>
          <w:i/>
          <w:iCs/>
        </w:rPr>
        <w:t>et al</w:t>
      </w:r>
      <w:r>
        <w:t xml:space="preserve">., 2025; Lu </w:t>
      </w:r>
      <w:r w:rsidR="00A7080E" w:rsidRPr="00A7080E">
        <w:rPr>
          <w:i/>
          <w:iCs/>
        </w:rPr>
        <w:t>et al</w:t>
      </w:r>
      <w:r>
        <w:t>., 2022). Studies also indicate that effective communication, transparency, and authentic engagement with sustainability objectives are crucial to fostering credibility (Fang, 2024; Li, Cavender &amp; Lee, 2025). Conversely, inconsistent messaging or strategic silence on critical issues, sometimes referred to as greenhushing, can contribute to stakeholder mistrust and reduce the perceived legitimacy of sustainability initiatives (</w:t>
      </w:r>
      <w:proofErr w:type="spellStart"/>
      <w:r>
        <w:t>Hejlova</w:t>
      </w:r>
      <w:proofErr w:type="spellEnd"/>
      <w:r>
        <w:t xml:space="preserve"> </w:t>
      </w:r>
      <w:r w:rsidR="00A7080E" w:rsidRPr="00A7080E">
        <w:rPr>
          <w:i/>
          <w:iCs/>
        </w:rPr>
        <w:t>et al</w:t>
      </w:r>
      <w:r>
        <w:t>., 2025).</w:t>
      </w:r>
    </w:p>
    <w:p w14:paraId="5DFF669E" w14:textId="5D11E45F" w:rsidR="001F2018" w:rsidRDefault="001F2018" w:rsidP="001F2018">
      <w:r>
        <w:t xml:space="preserve">The regulatory and policy environment has emerged as a critical factor in shaping sustainable practices. Scholars argue that robust governance, standardised reporting, and enforcement mechanisms are necessary to ensure that sustainability claims are </w:t>
      </w:r>
      <w:r>
        <w:lastRenderedPageBreak/>
        <w:t xml:space="preserve">accurate, measurable, and verifiable (Dobos &amp; Éltető, 2023; Redman, 2025). The absence of uniform standards and oversight allows for greenwashing to persist, highlighting the need for systematic investigation into the nature, prevalence, and consequences of both genuine and deceptive sustainability practices (Mousavi </w:t>
      </w:r>
      <w:r w:rsidR="00A7080E" w:rsidRPr="00A7080E">
        <w:rPr>
          <w:i/>
          <w:iCs/>
        </w:rPr>
        <w:t>et al</w:t>
      </w:r>
      <w:r>
        <w:t>., 2025; Pozzo, 2023).</w:t>
      </w:r>
    </w:p>
    <w:p w14:paraId="5E08816D" w14:textId="54B79F3E" w:rsidR="001F2018" w:rsidRPr="001F2018" w:rsidRDefault="001F2018" w:rsidP="001F2018">
      <w:pPr>
        <w:rPr>
          <w:lang w:val="en-US"/>
        </w:rPr>
      </w:pPr>
      <w:r>
        <w:t>In sum, the literature illustrates that sustainability in the fashion industry has evolved from peripheral corporate concern to a central strategic imperative, driven by environmental pressures, consumer demand, and regulatory expectations. At the same time, the sector faces ongoing challenges in ensuring that these initiatives are substantive rather than symbolic. This complexity, coupled with the diversity of practices and perceptions, underscores the necessity of a systematic review to critically assess both authentic sustainability efforts and greenwashing practices, providing clarity on their impact, drivers, and implications for brand value.</w:t>
      </w:r>
    </w:p>
    <w:p w14:paraId="1C09A597" w14:textId="4A400BD5" w:rsidR="00AB6AC0" w:rsidRDefault="00AB6AC0" w:rsidP="00AB6AC0">
      <w:pPr>
        <w:pStyle w:val="Heading3"/>
        <w:rPr>
          <w:lang w:val="en-US"/>
        </w:rPr>
      </w:pPr>
      <w:bookmarkStart w:id="17" w:name="_Toc214979375"/>
      <w:r w:rsidRPr="00AB6AC0">
        <w:rPr>
          <w:lang w:val="en-US"/>
        </w:rPr>
        <w:t>Greenwashing Practices in Fashion</w:t>
      </w:r>
      <w:bookmarkEnd w:id="17"/>
    </w:p>
    <w:p w14:paraId="76273ABE" w14:textId="5237CB0B" w:rsidR="001F2018" w:rsidRDefault="001F2018" w:rsidP="001F2018">
      <w:pPr>
        <w:rPr>
          <w:rFonts w:ascii="Times New Roman" w:hAnsi="Times New Roman"/>
        </w:rPr>
      </w:pPr>
      <w:r>
        <w:t xml:space="preserve">Greenwashing has become a pervasive challenge within the fashion industry, arising as a direct consequence of growing consumer awareness and demand for sustainable practices. While sustainability initiatives have proliferated, many brands have simultaneously engaged in practices that exaggerate, misrepresent, or selectively highlight their environmental and social performance, creating a credibility gap between claims and reality (Mousavi </w:t>
      </w:r>
      <w:r w:rsidR="00A7080E" w:rsidRPr="00A7080E">
        <w:rPr>
          <w:i/>
          <w:iCs/>
        </w:rPr>
        <w:t>et al</w:t>
      </w:r>
      <w:r>
        <w:t xml:space="preserve">., 2025; </w:t>
      </w:r>
      <w:proofErr w:type="spellStart"/>
      <w:r>
        <w:t>Brugman</w:t>
      </w:r>
      <w:proofErr w:type="spellEnd"/>
      <w:r>
        <w:t xml:space="preserve">, van </w:t>
      </w:r>
      <w:proofErr w:type="spellStart"/>
      <w:r>
        <w:t>Huijstee</w:t>
      </w:r>
      <w:proofErr w:type="spellEnd"/>
      <w:r>
        <w:t xml:space="preserve"> &amp; Droog, 2024). This phenomenon undermines consumer trust, compromises brand integrity, and complicates the interpretation of sustainability efforts across the sector (Boateng </w:t>
      </w:r>
      <w:r w:rsidR="00A7080E" w:rsidRPr="00A7080E">
        <w:rPr>
          <w:i/>
          <w:iCs/>
        </w:rPr>
        <w:t>et al</w:t>
      </w:r>
      <w:r>
        <w:t xml:space="preserve">., 2025; Garcia-Ortega </w:t>
      </w:r>
      <w:r w:rsidR="00A7080E" w:rsidRPr="00A7080E">
        <w:rPr>
          <w:i/>
          <w:iCs/>
        </w:rPr>
        <w:t>et al</w:t>
      </w:r>
      <w:r>
        <w:t>., 2025).</w:t>
      </w:r>
    </w:p>
    <w:p w14:paraId="5A057FC3" w14:textId="77777777" w:rsidR="001F2018" w:rsidRDefault="001F2018" w:rsidP="001F2018">
      <w:r>
        <w:t xml:space="preserve">The origins of greenwashing in fashion can be traced to the tension between commercial growth imperatives and sustainability commitments. Fast fashion brands, in particular, have faced pressure to project environmentally responsible images while maintaining high production volumes and rapid turnover, often resulting in symbolic or superficial initiatives (Lovrić &amp; Čagalj, 2025; Goswami &amp; Jaiswal, 2023). Brydges, Henninger and Hanlon (2022) highlight that the absence of consistent definitions and standards of sustainability allows companies to leverage ambiguity to their advantage, marketing themselves as “green” without substantively reducing their environmental </w:t>
      </w:r>
      <w:r>
        <w:lastRenderedPageBreak/>
        <w:t>footprint. Such practices include selective disclosure, vague labelling, and overstating minor environmental improvements.</w:t>
      </w:r>
    </w:p>
    <w:p w14:paraId="200335AE" w14:textId="6802744F" w:rsidR="001F2018" w:rsidRDefault="001F2018" w:rsidP="001F2018">
      <w:r>
        <w:t xml:space="preserve">Social media has further amplified the risks and visibility of greenwashing. Platforms like Instagram and TikTok enable brands to project curated sustainability narratives, often emphasising aesthetic messaging over substantive outcomes. Fang (2024) notes that consumers frequently perceive these campaigns as either authentic or deceptive, with authenticity mediating purchase decisions. Similarly, </w:t>
      </w:r>
      <w:proofErr w:type="spellStart"/>
      <w:r>
        <w:t>Díaz-Bustamante-Ventisca</w:t>
      </w:r>
      <w:proofErr w:type="spellEnd"/>
      <w:r>
        <w:t xml:space="preserve"> </w:t>
      </w:r>
      <w:r w:rsidR="00A7080E" w:rsidRPr="00A7080E">
        <w:rPr>
          <w:i/>
          <w:iCs/>
        </w:rPr>
        <w:t>et al</w:t>
      </w:r>
      <w:r>
        <w:t xml:space="preserve">. (2025) argue that influencer endorsements and digital content can reinforce greenwashing perceptions when claims lack transparency or verification. Scepticism among Generation Z and other environmentally conscious consumers is particularly pronounced, with perceived inconsistencies between corporate messaging and actual practices eroding trust (Do </w:t>
      </w:r>
      <w:r w:rsidR="00A7080E" w:rsidRPr="00A7080E">
        <w:rPr>
          <w:i/>
          <w:iCs/>
        </w:rPr>
        <w:t>et al</w:t>
      </w:r>
      <w:r>
        <w:t xml:space="preserve">., 2025; Lu </w:t>
      </w:r>
      <w:r w:rsidR="00A7080E" w:rsidRPr="00A7080E">
        <w:rPr>
          <w:i/>
          <w:iCs/>
        </w:rPr>
        <w:t>et al</w:t>
      </w:r>
      <w:r>
        <w:t>., 2022).</w:t>
      </w:r>
    </w:p>
    <w:p w14:paraId="362F25E2" w14:textId="254E66D6" w:rsidR="001F2018" w:rsidRDefault="001F2018" w:rsidP="001F2018">
      <w:r>
        <w:t xml:space="preserve">Greenwashing practices can take multiple forms. Goswami and Jaiswal (2023) distinguish between paltering, where technically truthful statements are misleading in context, and hypocrisy, where corporate behaviour contradicts stated sustainability commitments. </w:t>
      </w:r>
      <w:proofErr w:type="spellStart"/>
      <w:r>
        <w:t>Brugman</w:t>
      </w:r>
      <w:proofErr w:type="spellEnd"/>
      <w:r>
        <w:t xml:space="preserve">, van </w:t>
      </w:r>
      <w:proofErr w:type="spellStart"/>
      <w:r>
        <w:t>Huijstee</w:t>
      </w:r>
      <w:proofErr w:type="spellEnd"/>
      <w:r>
        <w:t xml:space="preserve"> and Droog (2024) further elaborate on CSR-washing, including variations such as </w:t>
      </w:r>
      <w:proofErr w:type="spellStart"/>
      <w:r>
        <w:t>bluewashing</w:t>
      </w:r>
      <w:proofErr w:type="spellEnd"/>
      <w:r>
        <w:t xml:space="preserve"> (overstating social initiatives) and </w:t>
      </w:r>
      <w:proofErr w:type="spellStart"/>
      <w:r>
        <w:t>purplewashing</w:t>
      </w:r>
      <w:proofErr w:type="spellEnd"/>
      <w:r>
        <w:t xml:space="preserve"> (overstating diversity and inclusion). Strategic silence, or greenhushing, is another subtle form, where brands deliberately underreport environmental impacts or controversies to avoid scrutiny (</w:t>
      </w:r>
      <w:proofErr w:type="spellStart"/>
      <w:r>
        <w:t>Hejlova</w:t>
      </w:r>
      <w:proofErr w:type="spellEnd"/>
      <w:r>
        <w:t xml:space="preserve"> </w:t>
      </w:r>
      <w:r w:rsidR="00A7080E" w:rsidRPr="00A7080E">
        <w:rPr>
          <w:i/>
          <w:iCs/>
        </w:rPr>
        <w:t>et al</w:t>
      </w:r>
      <w:r>
        <w:t xml:space="preserve">., 2025; </w:t>
      </w:r>
      <w:proofErr w:type="spellStart"/>
      <w:r>
        <w:t>Schwoy</w:t>
      </w:r>
      <w:proofErr w:type="spellEnd"/>
      <w:r>
        <w:t xml:space="preserve">, </w:t>
      </w:r>
      <w:proofErr w:type="spellStart"/>
      <w:r>
        <w:t>Dutzi</w:t>
      </w:r>
      <w:proofErr w:type="spellEnd"/>
      <w:r>
        <w:t xml:space="preserve"> &amp; Messing, 2025). The diversity of these practices demonstrates that greenwashing is not limited to overtly false claims but includes omissions, exaggerations, and selective framing.</w:t>
      </w:r>
    </w:p>
    <w:p w14:paraId="49CD287E" w14:textId="6AC55FB6" w:rsidR="001F2018" w:rsidRDefault="001F2018" w:rsidP="001F2018">
      <w:r>
        <w:t xml:space="preserve">The consequences of greenwashing are significant. Consumers exposed to misleading claims may experience confusion, scepticism, and reduced brand loyalty, undermining the market for genuinely sustainable products (Evans &amp; Peirson-Smith, 2018; Policarpo </w:t>
      </w:r>
      <w:r w:rsidR="00A7080E" w:rsidRPr="00A7080E">
        <w:rPr>
          <w:i/>
          <w:iCs/>
        </w:rPr>
        <w:t>et al</w:t>
      </w:r>
      <w:r>
        <w:t>., 2023). Studies show that greenwashing can negatively influence green word-of-mouth, diminish purchase intentions, and, in some cases, provoke complaints or reputational damage when consumers identify discrepancies (</w:t>
      </w:r>
      <w:proofErr w:type="spellStart"/>
      <w:r>
        <w:t>Promalessy</w:t>
      </w:r>
      <w:proofErr w:type="spellEnd"/>
      <w:r>
        <w:t xml:space="preserve"> &amp; </w:t>
      </w:r>
      <w:proofErr w:type="spellStart"/>
      <w:r>
        <w:t>Handriana</w:t>
      </w:r>
      <w:proofErr w:type="spellEnd"/>
      <w:r>
        <w:t xml:space="preserve">, 2024; Wang &amp; Jung, 2025). Moreover, insufficient regulatory oversight allows these practices to persist, highlighting gaps in </w:t>
      </w:r>
      <w:r>
        <w:lastRenderedPageBreak/>
        <w:t>accountability and the need for enforceable standards (Dobos &amp; Éltető, 2023; Redman, 2025).</w:t>
      </w:r>
    </w:p>
    <w:p w14:paraId="5E9737FF" w14:textId="7BD9EB63" w:rsidR="001F2018" w:rsidRDefault="001F2018" w:rsidP="001F2018">
      <w:r>
        <w:t xml:space="preserve">Research also points to the interplay between greenwashing and corporate identity. de Magalhães Silva </w:t>
      </w:r>
      <w:r w:rsidR="00A7080E" w:rsidRPr="00A7080E">
        <w:rPr>
          <w:i/>
          <w:iCs/>
        </w:rPr>
        <w:t>et al</w:t>
      </w:r>
      <w:r>
        <w:t xml:space="preserve">. (2025) suggest that companies may prioritise brand image preservation over substantive sustainability, resulting in selective ESG disclosure. Similarly, Burnstine and Ghattas (2025) warn against systemic greenwashing embedded in supply chains, where surface-level circular initiatives mask broader environmental and social harms. NGO pressure and activism can act as a corrective mechanism, compelling greater transparency and discouraging misleading claims, though this influence varies according to industry engagement and intensity of scrutiny (Crapa </w:t>
      </w:r>
      <w:r w:rsidR="00A7080E" w:rsidRPr="00A7080E">
        <w:rPr>
          <w:i/>
          <w:iCs/>
        </w:rPr>
        <w:t>et al</w:t>
      </w:r>
      <w:r>
        <w:t>., 2025).</w:t>
      </w:r>
    </w:p>
    <w:p w14:paraId="30B5A6D3" w14:textId="0D7DCDEC" w:rsidR="001F2018" w:rsidRPr="001F2018" w:rsidRDefault="001F2018" w:rsidP="001F2018">
      <w:pPr>
        <w:rPr>
          <w:lang w:val="en-US"/>
        </w:rPr>
      </w:pPr>
      <w:r>
        <w:t xml:space="preserve">The literature highlights the complexity of addressing greenwashing. While consumer education, third-party verification, and digital transparency mechanisms can mitigate deceptive practices, the persistence of ambiguous definitions, inconsistent standards, and strategic communication tactics complicates enforcement and evaluation (Mousavi </w:t>
      </w:r>
      <w:r w:rsidR="00A7080E" w:rsidRPr="00A7080E">
        <w:rPr>
          <w:i/>
          <w:iCs/>
        </w:rPr>
        <w:t>et al</w:t>
      </w:r>
      <w:r>
        <w:t>., 2025; Dalecki, 2023). These challenges emphasise the necessity for systematic review and analysis of greenwashing in fashion, aiming to clarify its prevalence, typologies, drivers, and impact on consumer behaviour and brand trust. By critically examining both authentic sustainability initiatives and greenwashing practices, the field can move towards clearer guidance for brands, policymakers, and consumers.</w:t>
      </w:r>
    </w:p>
    <w:p w14:paraId="39224089" w14:textId="1C4CE0FF" w:rsidR="00AB6AC0" w:rsidRDefault="00AB6AC0" w:rsidP="00AB6AC0">
      <w:pPr>
        <w:pStyle w:val="Heading3"/>
        <w:rPr>
          <w:lang w:val="en-US"/>
        </w:rPr>
      </w:pPr>
      <w:bookmarkStart w:id="18" w:name="_Toc214979376"/>
      <w:r w:rsidRPr="00AB6AC0">
        <w:rPr>
          <w:lang w:val="en-US"/>
        </w:rPr>
        <w:t>Consumer Perception of Sustainability and Greenwashing</w:t>
      </w:r>
      <w:bookmarkEnd w:id="18"/>
    </w:p>
    <w:p w14:paraId="3B6793D6" w14:textId="1A22ED8A" w:rsidR="001F2018" w:rsidRDefault="001F2018" w:rsidP="00290907">
      <w:pPr>
        <w:rPr>
          <w:rFonts w:ascii="Times New Roman" w:hAnsi="Times New Roman"/>
        </w:rPr>
      </w:pPr>
      <w:r>
        <w:t xml:space="preserve">Consumer perception plays a pivotal role in shaping the effectiveness and credibility of sustainability initiatives within the fashion industry. As brands increasingly adopt environmentally and socially responsible practices, the degree to which consumers recognise, trust, and respond to these efforts determines their market impact and influence on brand value (Andria </w:t>
      </w:r>
      <w:r w:rsidR="00A7080E" w:rsidRPr="00A7080E">
        <w:rPr>
          <w:i/>
          <w:iCs/>
        </w:rPr>
        <w:t>et al</w:t>
      </w:r>
      <w:r>
        <w:t xml:space="preserve">., 2023; Kim &amp; Oh, 2020). The rise of environmentally conscious consumption, particularly among younger generations such as Generation Z, has intensified the need for brands to communicate authentic sustainability messages while avoiding misleading claims (Do </w:t>
      </w:r>
      <w:r w:rsidR="00A7080E" w:rsidRPr="00A7080E">
        <w:rPr>
          <w:i/>
          <w:iCs/>
        </w:rPr>
        <w:t>et al</w:t>
      </w:r>
      <w:r>
        <w:t xml:space="preserve">., 2025; Lu </w:t>
      </w:r>
      <w:r w:rsidR="00A7080E" w:rsidRPr="00A7080E">
        <w:rPr>
          <w:i/>
          <w:iCs/>
        </w:rPr>
        <w:t>et al</w:t>
      </w:r>
      <w:r>
        <w:t>., 2022).</w:t>
      </w:r>
    </w:p>
    <w:p w14:paraId="0F9F4852" w14:textId="77777777" w:rsidR="001F2018" w:rsidRDefault="001F2018" w:rsidP="00290907">
      <w:r>
        <w:lastRenderedPageBreak/>
        <w:t xml:space="preserve">Research indicates that consumers often struggle to differentiate between genuinely sustainable practices and greenwashing, largely due to ambiguous terminology and inconsistent messaging (Evans &amp; Peirson-Smith, 2018; Brydges, Henninger &amp; Hanlon, 2022). Words like “eco-friendly,” “responsible,” or “green” are frequently used in marketing without clear benchmarks, creating confusion and scepticism. </w:t>
      </w:r>
      <w:proofErr w:type="spellStart"/>
      <w:r>
        <w:t>Hairudinor</w:t>
      </w:r>
      <w:proofErr w:type="spellEnd"/>
      <w:r>
        <w:t xml:space="preserve"> and </w:t>
      </w:r>
      <w:proofErr w:type="spellStart"/>
      <w:r>
        <w:t>Barkatullah</w:t>
      </w:r>
      <w:proofErr w:type="spellEnd"/>
      <w:r>
        <w:t xml:space="preserve"> (2020) note that even well-intentioned sustainability initiatives can be perceived as instrumental or superficial when corporate practices are not transparent or verifiable. Similarly, Fang (2024) observes that consumers’ perception of greenwashing mediates the relationship between sustainability communication and purchase intention, underscoring the importance of authenticity in brand messaging.</w:t>
      </w:r>
    </w:p>
    <w:p w14:paraId="6CA62184" w14:textId="776703ED" w:rsidR="001F2018" w:rsidRDefault="001F2018" w:rsidP="00290907">
      <w:r>
        <w:t xml:space="preserve">Generation Z, in particular, demonstrates a heightened sensitivity to greenwashing. Studies in emerging and developed markets reveal that this demographic evaluates brands critically, relying on social media, influencer content, and online discussions to validate sustainability claims (Do </w:t>
      </w:r>
      <w:r w:rsidR="00A7080E" w:rsidRPr="00A7080E">
        <w:rPr>
          <w:i/>
          <w:iCs/>
        </w:rPr>
        <w:t>et al</w:t>
      </w:r>
      <w:r>
        <w:t xml:space="preserve">., 2025; Li, Cavender &amp; Lee, 2025). Lu </w:t>
      </w:r>
      <w:r w:rsidR="00A7080E" w:rsidRPr="00A7080E">
        <w:rPr>
          <w:i/>
          <w:iCs/>
        </w:rPr>
        <w:t>et al</w:t>
      </w:r>
      <w:r>
        <w:t>. (2022) highlight that perceived greenwashing can act as a negative moderator of green purchase intention, with consumers adjusting their behaviour based on credibility assessments. Similarly, Haque and Lang (2025) emphasise that affective responses such as scepticism, moral judgement, or optimism bias influence engagement with brands, demonstrating that consumer perception is not merely cognitive but intertwined with emotional and ethical evaluations.</w:t>
      </w:r>
    </w:p>
    <w:p w14:paraId="3C60B9D8" w14:textId="37748139" w:rsidR="001F2018" w:rsidRDefault="001F2018" w:rsidP="00290907">
      <w:r>
        <w:t xml:space="preserve">The effectiveness of sustainability communication also depends on transparency, third-party verification, and cross-channel consistency. Dalecki (2023) suggests that proof of genuine environmental performance—beyond certifications or labels—strengthens consumer trust, whereas inconsistent or selective disclosures weaken credibility. </w:t>
      </w:r>
      <w:proofErr w:type="spellStart"/>
      <w:r>
        <w:t>Jestratijevic</w:t>
      </w:r>
      <w:proofErr w:type="spellEnd"/>
      <w:r>
        <w:t xml:space="preserve">, </w:t>
      </w:r>
      <w:proofErr w:type="spellStart"/>
      <w:r>
        <w:t>Uanhoro</w:t>
      </w:r>
      <w:proofErr w:type="spellEnd"/>
      <w:r>
        <w:t xml:space="preserve"> and Rana (2024) further argue that longitudinal transparency reporting enhances consumer confidence, particularly when brands communicate both successes and challenges in sustainability performance. Conversely, strategic silence or underreporting, often referred to as greenhushing, can exacerbate scepticism and diminish brand legitimacy (</w:t>
      </w:r>
      <w:proofErr w:type="spellStart"/>
      <w:r>
        <w:t>Hejlova</w:t>
      </w:r>
      <w:proofErr w:type="spellEnd"/>
      <w:r>
        <w:t xml:space="preserve"> </w:t>
      </w:r>
      <w:r w:rsidR="00A7080E" w:rsidRPr="00A7080E">
        <w:rPr>
          <w:i/>
          <w:iCs/>
        </w:rPr>
        <w:t>et al</w:t>
      </w:r>
      <w:r>
        <w:t xml:space="preserve">., 2025; </w:t>
      </w:r>
      <w:proofErr w:type="spellStart"/>
      <w:r>
        <w:t>Schwoy</w:t>
      </w:r>
      <w:proofErr w:type="spellEnd"/>
      <w:r>
        <w:t xml:space="preserve">, </w:t>
      </w:r>
      <w:proofErr w:type="spellStart"/>
      <w:r>
        <w:t>Dutzi</w:t>
      </w:r>
      <w:proofErr w:type="spellEnd"/>
      <w:r>
        <w:t xml:space="preserve"> &amp; Messing, 2025).</w:t>
      </w:r>
    </w:p>
    <w:p w14:paraId="65C654BB" w14:textId="5F63A4F0" w:rsidR="001F2018" w:rsidRDefault="001F2018" w:rsidP="00290907">
      <w:r>
        <w:t xml:space="preserve">Consumer perception is also influenced by cultural and social factors. Policarpo </w:t>
      </w:r>
      <w:r w:rsidR="00A7080E" w:rsidRPr="00A7080E">
        <w:rPr>
          <w:i/>
          <w:iCs/>
        </w:rPr>
        <w:t>et al</w:t>
      </w:r>
      <w:r>
        <w:t xml:space="preserve">. (2023) highlight that personality traits, such as social cynicism or conspicuous consumption, moderate responses to perceived greenwashing, affecting brand trust </w:t>
      </w:r>
      <w:r>
        <w:lastRenderedPageBreak/>
        <w:t xml:space="preserve">and loyalty. García-Ortega </w:t>
      </w:r>
      <w:r w:rsidR="00A7080E" w:rsidRPr="00A7080E">
        <w:rPr>
          <w:i/>
          <w:iCs/>
        </w:rPr>
        <w:t>et al</w:t>
      </w:r>
      <w:r>
        <w:t>. (2023; 2025) argue that consumers interpret sufficiency-oriented or anti-consumerist messaging differently depending on the alignment between corporate claims and perceived behaviour, demonstrating the nuanced ways in which sustainability narratives are received.</w:t>
      </w:r>
    </w:p>
    <w:p w14:paraId="6971BCD4" w14:textId="0CFFC521" w:rsidR="001F2018" w:rsidRPr="001F2018" w:rsidRDefault="001F2018" w:rsidP="00290907">
      <w:pPr>
        <w:rPr>
          <w:lang w:val="en-US"/>
        </w:rPr>
      </w:pPr>
      <w:r>
        <w:t xml:space="preserve">The cumulative evidence underscores the complexity of consumer perception in the fashion industry. While there is growing awareness and demand for sustainability, the prevalence of greenwashing, ambiguous messaging, and selective disclosures presents significant challenges. Understanding consumer perception is therefore essential not only for guiding authentic sustainability strategies but also for identifying the gaps and risks that necessitate a systematic examination of both genuine practices and deceptive claims in fashion (Fang, 2024; Do </w:t>
      </w:r>
      <w:r w:rsidR="00A7080E" w:rsidRPr="00A7080E">
        <w:rPr>
          <w:i/>
          <w:iCs/>
        </w:rPr>
        <w:t>et al</w:t>
      </w:r>
      <w:r>
        <w:t>., 2025; Li, Cavender &amp; Lee, 2025).</w:t>
      </w:r>
    </w:p>
    <w:p w14:paraId="7212A7D3" w14:textId="3C7EEA17" w:rsidR="00AB6AC0" w:rsidRDefault="00AB6AC0" w:rsidP="00AB6AC0">
      <w:pPr>
        <w:pStyle w:val="Heading3"/>
        <w:rPr>
          <w:lang w:val="en-US"/>
        </w:rPr>
      </w:pPr>
      <w:bookmarkStart w:id="19" w:name="_Toc214979377"/>
      <w:r w:rsidRPr="00AB6AC0">
        <w:rPr>
          <w:lang w:val="en-US"/>
        </w:rPr>
        <w:t>Corporate Social Responsibility and ESG Reporting</w:t>
      </w:r>
      <w:bookmarkEnd w:id="19"/>
    </w:p>
    <w:p w14:paraId="7882DBB3" w14:textId="16C91C8E" w:rsidR="00290907" w:rsidRDefault="00290907" w:rsidP="00290907">
      <w:pPr>
        <w:rPr>
          <w:rFonts w:ascii="Times New Roman" w:hAnsi="Times New Roman"/>
        </w:rPr>
      </w:pPr>
      <w:r>
        <w:t xml:space="preserve">Corporate Social Responsibility (CSR) and Environmental, Social, and Governance (ESG) reporting are central mechanisms through which fashion brands communicate their commitment to sustainability and ethical practices. CSR encompasses a company’s voluntary initiatives to address social, environmental, and economic impacts, ranging from fair labour practices to community engagement and environmental stewardship (Goswami &amp; Jaiswal, 2023; Reza &amp; Du Plessis, 2022). In the fashion industry, CSR has been leveraged both to enhance brand image and to demonstrate accountability to consumers, stakeholders, and regulatory bodies (Boateng </w:t>
      </w:r>
      <w:r w:rsidR="00A7080E" w:rsidRPr="00A7080E">
        <w:rPr>
          <w:i/>
          <w:iCs/>
        </w:rPr>
        <w:t>et al</w:t>
      </w:r>
      <w:r>
        <w:t>., 2025).</w:t>
      </w:r>
    </w:p>
    <w:p w14:paraId="4F3368E6" w14:textId="3AC34FFC" w:rsidR="00290907" w:rsidRDefault="00290907" w:rsidP="00290907">
      <w:r>
        <w:t xml:space="preserve">ESG reporting provides a structured approach to disclosing a company’s sustainability and governance performance. Brown </w:t>
      </w:r>
      <w:r w:rsidR="00A7080E" w:rsidRPr="00A7080E">
        <w:rPr>
          <w:i/>
          <w:iCs/>
        </w:rPr>
        <w:t>et al</w:t>
      </w:r>
      <w:r>
        <w:t xml:space="preserve">. (2019) highlight that transparent ESG reporting enhances corporate credibility, enabling consumers and investors to assess whether sustainability claims are authentic or symbolic. de Magalhães Silva </w:t>
      </w:r>
      <w:r w:rsidR="00A7080E" w:rsidRPr="00A7080E">
        <w:rPr>
          <w:i/>
          <w:iCs/>
        </w:rPr>
        <w:t>et al</w:t>
      </w:r>
      <w:r>
        <w:t>. (2025) note that selective ESG disclosure can, however, perpetuate greenwashing when reports emphasise positive outcomes while omitting adverse impacts. This selective transparency undermines consumer trust and can expose brands to reputational risks.</w:t>
      </w:r>
    </w:p>
    <w:p w14:paraId="024C1799" w14:textId="42201E2D" w:rsidR="00290907" w:rsidRDefault="00290907" w:rsidP="00290907">
      <w:r>
        <w:t xml:space="preserve">The integration of CSR and ESG reporting is increasingly seen as a strategic necessity for fashion brands seeking to align business operations with sustainability objectives. </w:t>
      </w:r>
      <w:r>
        <w:lastRenderedPageBreak/>
        <w:t xml:space="preserve">Crapa </w:t>
      </w:r>
      <w:r w:rsidR="00A7080E" w:rsidRPr="00A7080E">
        <w:rPr>
          <w:i/>
          <w:iCs/>
        </w:rPr>
        <w:t>et al</w:t>
      </w:r>
      <w:r>
        <w:t>. (2025) demonstrate that collaboration with NGOs and adherence to robust reporting frameworks can improve disclosure quality and reduce the risk of greenwashing. At the same time, regulatory oversight is critical to standardise ESG metrics and ensure comparability across brands (Dobos &amp; Éltető, 2023; Redman, 2025). Research suggests that consumers respond positively to credible CSR and ESG practices, with verified reporting enhancing brand trust and purchase intention, whereas unverified or selective claims trigger scepticism and potential backlash (Fang, 2024; Li, Cavender &amp; Lee, 2025).</w:t>
      </w:r>
    </w:p>
    <w:p w14:paraId="5EA9B214" w14:textId="10791854" w:rsidR="00290907" w:rsidRPr="00290907" w:rsidRDefault="00290907" w:rsidP="00290907">
      <w:pPr>
        <w:rPr>
          <w:lang w:val="en-US"/>
        </w:rPr>
      </w:pPr>
      <w:r>
        <w:t>In summary, CSR and ESG reporting serve as pivotal instruments for demonstrating sustainable and ethical business conduct in the fashion sector. When applied transparently and authentically, they strengthen stakeholder trust, support regulatory compliance, and differentiate brands in a competitive market. Conversely, inconsistencies or selective disclosures contribute to greenwashing, highlighting the critical role of robust frameworks, verification, and accountability in effective sustainability communication.</w:t>
      </w:r>
    </w:p>
    <w:p w14:paraId="07B51C7F" w14:textId="30BD0057" w:rsidR="00AB6AC0" w:rsidRDefault="00AB6AC0" w:rsidP="00AB6AC0">
      <w:pPr>
        <w:pStyle w:val="Heading3"/>
        <w:rPr>
          <w:lang w:val="en-US"/>
        </w:rPr>
      </w:pPr>
      <w:bookmarkStart w:id="20" w:name="_Toc214979378"/>
      <w:r w:rsidRPr="00AB6AC0">
        <w:rPr>
          <w:lang w:val="en-US"/>
        </w:rPr>
        <w:t>Regulatory and Policy Frameworks</w:t>
      </w:r>
      <w:bookmarkEnd w:id="20"/>
    </w:p>
    <w:p w14:paraId="2A9BDAAA" w14:textId="5D1FC91C" w:rsidR="00C57E74" w:rsidRDefault="00C57E74" w:rsidP="00C57E74">
      <w:pPr>
        <w:rPr>
          <w:rFonts w:ascii="Times New Roman" w:hAnsi="Times New Roman"/>
        </w:rPr>
      </w:pPr>
      <w:r>
        <w:t xml:space="preserve">Regulatory and policy frameworks play a crucial role in guiding sustainability practices and mitigating greenwashing in the fashion industry. Internationally, frameworks such as the United Nations Sustainable Development Goals (SDGs), particularly SDG 12 on responsible consumption and production, provide overarching principles for sustainable business conduct (Garcia-Ortega </w:t>
      </w:r>
      <w:r w:rsidR="00A7080E" w:rsidRPr="00A7080E">
        <w:rPr>
          <w:i/>
          <w:iCs/>
        </w:rPr>
        <w:t>et al</w:t>
      </w:r>
      <w:r>
        <w:t>., 2023). Similarly, the European Union’s Corporate Sustainability Reporting Directive (CSRD) and the EU Ecolabel establish standards for environmental disclosure and eco-labelling, aiming to enhance transparency and comparability across brands (Pozzo, 2023; Redman, 2025). These frameworks offer clear guidelines on environmental reporting, encourage circular economy initiatives, and create accountability mechanisms for corporate behaviour.</w:t>
      </w:r>
    </w:p>
    <w:p w14:paraId="38206E38" w14:textId="77777777" w:rsidR="00C57E74" w:rsidRDefault="00C57E74" w:rsidP="00C57E74">
      <w:r>
        <w:t xml:space="preserve">At the regional level, regulatory measures vary considerably. In the United States, initiatives such as the Federal Trade Commission’s Green Guides seek to prevent misleading environmental claims in marketing, while emerging policies in countries such as the Netherlands and China focus on mandatory disclosure and traceability throughout the supply chain (Dobos &amp; Éltető, 2023; Tolentino-Zondervan &amp; DiVito, </w:t>
      </w:r>
      <w:r>
        <w:lastRenderedPageBreak/>
        <w:t>2024). These regulations aim to curb greenwashing by requiring verifiable evidence for sustainability claims and incentivising authentic practices.</w:t>
      </w:r>
    </w:p>
    <w:p w14:paraId="4F31389A" w14:textId="16660772" w:rsidR="00C57E74" w:rsidRDefault="00C57E74" w:rsidP="00C57E74">
      <w:r>
        <w:t xml:space="preserve">Despite their strengths, existing frameworks exhibit several limitations. Enforcement gaps, inconsistent metrics, and voluntary compliance mechanisms often allow brands to engage in selective disclosure or exaggerated sustainability claims (Boateng </w:t>
      </w:r>
      <w:r w:rsidR="00A7080E" w:rsidRPr="00A7080E">
        <w:rPr>
          <w:i/>
          <w:iCs/>
        </w:rPr>
        <w:t>et al</w:t>
      </w:r>
      <w:r>
        <w:t xml:space="preserve">., 2025; Mousavi </w:t>
      </w:r>
      <w:r w:rsidR="00A7080E" w:rsidRPr="00A7080E">
        <w:rPr>
          <w:i/>
          <w:iCs/>
        </w:rPr>
        <w:t>et al</w:t>
      </w:r>
      <w:r>
        <w:t>., 2025). Regional disparities in standards and reporting requirements can also create loopholes for cross-border operations, enabling brands to exploit weaker regulatory environments (Pozzo, 2023). Moreover, emerging frameworks, while promising, often face implementation challenges due to technological, logistical, and resource constraints, particularly among smaller or mass-market fashion brands (Redman, 2025).</w:t>
      </w:r>
    </w:p>
    <w:p w14:paraId="76708170" w14:textId="040B1717" w:rsidR="00C57E74" w:rsidRPr="00C57E74" w:rsidRDefault="00C57E74" w:rsidP="00C57E74">
      <w:pPr>
        <w:rPr>
          <w:lang w:val="en-US"/>
        </w:rPr>
      </w:pPr>
      <w:r>
        <w:t xml:space="preserve">Overall, regulatory and policy frameworks provide essential guidance for promoting genuine sustainability and discouraging greenwashing. However, their effectiveness depends on standardisation, rigorous enforcement, and integration with consumer and stakeholder expectations. Strengthening these frameworks, alongside increased transparency and third-party verification, is critical for ensuring that sustainability initiatives in the fashion industry are credible, measurable, and impactful (Mousavi </w:t>
      </w:r>
      <w:r w:rsidR="00A7080E" w:rsidRPr="00A7080E">
        <w:rPr>
          <w:i/>
          <w:iCs/>
        </w:rPr>
        <w:t>et al</w:t>
      </w:r>
      <w:r>
        <w:t>., 2025; Dobos &amp; Éltető, 2023).</w:t>
      </w:r>
    </w:p>
    <w:p w14:paraId="732C85F6" w14:textId="6095E4CE" w:rsidR="000336AF" w:rsidRDefault="00391EB6" w:rsidP="000336AF">
      <w:pPr>
        <w:pStyle w:val="Heading2"/>
      </w:pPr>
      <w:bookmarkStart w:id="21" w:name="_Toc214979379"/>
      <w:r w:rsidRPr="008C5097">
        <w:t>Conceptual Framework</w:t>
      </w:r>
      <w:bookmarkEnd w:id="21"/>
    </w:p>
    <w:p w14:paraId="14EEEA8B" w14:textId="35CE9CC6" w:rsidR="0096254D" w:rsidRDefault="00A7080E" w:rsidP="00A7080E">
      <w:pPr>
        <w:spacing w:before="0"/>
        <w:jc w:val="center"/>
      </w:pPr>
      <w:r>
        <w:rPr>
          <w:noProof/>
        </w:rPr>
        <w:drawing>
          <wp:inline distT="0" distB="0" distL="0" distR="0" wp14:anchorId="75BBB342" wp14:editId="4340CA24">
            <wp:extent cx="4979035" cy="3037579"/>
            <wp:effectExtent l="0" t="0" r="0" b="0"/>
            <wp:docPr id="119011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00242" cy="3050517"/>
                    </a:xfrm>
                    <a:prstGeom prst="rect">
                      <a:avLst/>
                    </a:prstGeom>
                    <a:noFill/>
                  </pic:spPr>
                </pic:pic>
              </a:graphicData>
            </a:graphic>
          </wp:inline>
        </w:drawing>
      </w:r>
    </w:p>
    <w:p w14:paraId="5E8CB1B7" w14:textId="5EFAD3C6" w:rsidR="00A7080E" w:rsidRDefault="00A7080E" w:rsidP="00A7080E">
      <w:pPr>
        <w:pStyle w:val="NoSpacing"/>
      </w:pPr>
      <w:bookmarkStart w:id="22" w:name="_Toc216197018"/>
      <w:r>
        <w:t xml:space="preserve">Figure </w:t>
      </w:r>
      <w:r w:rsidR="009462E1">
        <w:fldChar w:fldCharType="begin"/>
      </w:r>
      <w:r w:rsidR="009462E1">
        <w:instrText xml:space="preserve"> SEQ Figure \* ARABIC </w:instrText>
      </w:r>
      <w:r w:rsidR="009462E1">
        <w:fldChar w:fldCharType="separate"/>
      </w:r>
      <w:r w:rsidR="009462E1">
        <w:rPr>
          <w:noProof/>
        </w:rPr>
        <w:t>1</w:t>
      </w:r>
      <w:r w:rsidR="009462E1">
        <w:rPr>
          <w:noProof/>
        </w:rPr>
        <w:fldChar w:fldCharType="end"/>
      </w:r>
      <w:r>
        <w:t xml:space="preserve"> Conceptual Framework of Sustainability and Greenwashing in the Fashion Industry</w:t>
      </w:r>
      <w:bookmarkEnd w:id="22"/>
    </w:p>
    <w:p w14:paraId="16958037" w14:textId="31D90816" w:rsidR="00A7080E" w:rsidRPr="00A7080E" w:rsidRDefault="00A7080E" w:rsidP="00A7080E">
      <w:pPr>
        <w:rPr>
          <w:lang w:val="en-US"/>
        </w:rPr>
      </w:pPr>
      <w:r w:rsidRPr="00A7080E">
        <w:rPr>
          <w:lang w:val="en-US"/>
        </w:rPr>
        <w:lastRenderedPageBreak/>
        <w:t xml:space="preserve">The conceptual framework for this study illustrates the relationship between genuine sustainability practices and greenwashing within the fashion industry. It identifies key drivers, including internal corporate culture and CSR commitment, consumer demand and stakeholder pressure, and regulatory and industry standards, which influence whether brands engage in authentic or deceptive sustainability initiatives. Mediating mechanisms such as marketing and communication strategies, ESG reporting and certifications, and supply chain transparency shape how these practices are perceived by consumers and stakeholders. The framework also highlights the outcomes of these practices, including consumer trust, purchase intention, brand loyalty, and overall corporate reputation. Grounded in Stakeholder Theory, </w:t>
      </w:r>
      <w:proofErr w:type="spellStart"/>
      <w:r w:rsidRPr="00A7080E">
        <w:rPr>
          <w:lang w:val="en-US"/>
        </w:rPr>
        <w:t>Signalling</w:t>
      </w:r>
      <w:proofErr w:type="spellEnd"/>
      <w:r w:rsidRPr="00A7080E">
        <w:rPr>
          <w:lang w:val="en-US"/>
        </w:rPr>
        <w:t xml:space="preserve"> Theory, and the Triple Bottom Line model, the framework provides a structured lens.</w:t>
      </w:r>
    </w:p>
    <w:p w14:paraId="1DAB1F3D" w14:textId="7CB2D249" w:rsidR="00B56C66" w:rsidRDefault="00391EB6" w:rsidP="008C5097">
      <w:pPr>
        <w:pStyle w:val="Heading2"/>
      </w:pPr>
      <w:bookmarkStart w:id="23" w:name="_Toc214979380"/>
      <w:r w:rsidRPr="008C5097">
        <w:t>Conclusion of Chapter</w:t>
      </w:r>
      <w:bookmarkEnd w:id="23"/>
    </w:p>
    <w:p w14:paraId="6AC004E1" w14:textId="176C1D05" w:rsidR="00A7080E" w:rsidRPr="00A7080E" w:rsidRDefault="00A7080E" w:rsidP="00A7080E">
      <w:pPr>
        <w:rPr>
          <w:lang w:val="en-US"/>
        </w:rPr>
      </w:pPr>
      <w:r>
        <w:t>This chapter has critically reviewed the literature on sustainability and greenwashing practices within the fashion industry, providing a comprehensive understanding of key concepts, theoretical perspectives, and empirical findings. It highlighted the evolution of sustainable practices, the mechanisms through which brands communicate their initiatives, and the challenges posed by greenwashing and ambiguous sustainability claims. The review also examined consumer perceptions, demonstrating that trust, scepticism, and verification significantly influence engagement with sustainability efforts. Additionally, the chapter discussed the role of CSR, ESG reporting, and regulatory frameworks in promoting accountability and transparency. Drawing on Stakeholder Theory, Signalling Theory, and the Triple Bottom Line model, a conceptual framework was proposed to illustrate the interactions between drivers, mediators, and outcomes of genuine and deceptive sustainability practices. Overall, the chapter establishes a foundation for systematically investigating the prevalence, impact, and effectiveness of sustainability strategies in fashion.</w:t>
      </w:r>
    </w:p>
    <w:p w14:paraId="733A4416" w14:textId="79F724EB" w:rsidR="00B56C66" w:rsidRDefault="00B56C66">
      <w:pPr>
        <w:spacing w:before="0" w:after="160" w:line="259" w:lineRule="auto"/>
        <w:jc w:val="left"/>
        <w:rPr>
          <w:rFonts w:eastAsiaTheme="majorEastAsia" w:cstheme="majorBidi"/>
          <w:b/>
          <w:bCs/>
          <w:color w:val="000000" w:themeColor="text1"/>
          <w:sz w:val="28"/>
          <w:szCs w:val="28"/>
        </w:rPr>
      </w:pPr>
    </w:p>
    <w:p w14:paraId="48DA35E9" w14:textId="6B0F5498" w:rsidR="00391EB6" w:rsidRPr="008C5097" w:rsidRDefault="00786750" w:rsidP="00B56C66">
      <w:pPr>
        <w:pStyle w:val="Heading1"/>
      </w:pPr>
      <w:bookmarkStart w:id="24" w:name="_Toc214979381"/>
      <w:r w:rsidRPr="008C5097">
        <w:t>CHAPTER 3: RESEARCH METHODOLOGY</w:t>
      </w:r>
      <w:bookmarkEnd w:id="24"/>
      <w:r w:rsidRPr="008C5097">
        <w:t xml:space="preserve"> </w:t>
      </w:r>
    </w:p>
    <w:p w14:paraId="765301CF" w14:textId="3EB49590" w:rsidR="00391EB6" w:rsidRDefault="00391EB6" w:rsidP="008C5097">
      <w:pPr>
        <w:pStyle w:val="Heading2"/>
      </w:pPr>
      <w:bookmarkStart w:id="25" w:name="_Toc214979382"/>
      <w:r w:rsidRPr="008C5097">
        <w:t>Introduction</w:t>
      </w:r>
      <w:bookmarkEnd w:id="25"/>
    </w:p>
    <w:p w14:paraId="49513842" w14:textId="75260A61" w:rsidR="00D478F9" w:rsidRPr="00D478F9" w:rsidRDefault="00D478F9" w:rsidP="00D478F9">
      <w:pPr>
        <w:rPr>
          <w:lang w:val="en-US"/>
        </w:rPr>
      </w:pPr>
      <w:r>
        <w:t xml:space="preserve">This chapter outlines the research methodology employed to conduct the systematic review on sustainability and greenwashing practices in the fashion industry. It provides </w:t>
      </w:r>
      <w:r>
        <w:lastRenderedPageBreak/>
        <w:t>a structured account of the philosophical underpinnings, research design, approaches, and methods used for data collection and analysis. Ethical considerations governing the review process are also addressed. The methodology aims to ensure transparency, rigor, and replicability, providing a clear framework for synthesising existing literature. By detailing each stage of the research process, this chapter establishes the foundation for the credibility and reliability of the findings presented in subsequent chapters.</w:t>
      </w:r>
    </w:p>
    <w:p w14:paraId="69795E0E" w14:textId="5BB0DD0C" w:rsidR="00391EB6" w:rsidRDefault="00391EB6" w:rsidP="008C5097">
      <w:pPr>
        <w:pStyle w:val="Heading2"/>
      </w:pPr>
      <w:bookmarkStart w:id="26" w:name="_Toc214979383"/>
      <w:r w:rsidRPr="008C5097">
        <w:t>Research Philosophies and Assumptions</w:t>
      </w:r>
      <w:bookmarkEnd w:id="26"/>
      <w:r w:rsidRPr="008C5097">
        <w:t xml:space="preserve"> </w:t>
      </w:r>
    </w:p>
    <w:p w14:paraId="0D971066" w14:textId="23065746" w:rsidR="00D478F9" w:rsidRDefault="00D478F9" w:rsidP="00D478F9">
      <w:pPr>
        <w:rPr>
          <w:lang w:val="en-US" w:eastAsia="zh-CN" w:bidi="bn-IN"/>
        </w:rPr>
      </w:pPr>
      <w:r w:rsidRPr="00D478F9">
        <w:rPr>
          <w:lang w:val="en-US" w:eastAsia="zh-CN" w:bidi="bn-IN"/>
        </w:rPr>
        <w:t xml:space="preserve">Research philosophy defines the underlying assumptions regarding the nature of knowledge and how it can be acquired. It shapes the methodological choices of a study, influencing the approach to data collection, analysis, and interpretation (Tsang, 2016). Broadly, research philosophies can be </w:t>
      </w:r>
      <w:proofErr w:type="spellStart"/>
      <w:r w:rsidRPr="00D478F9">
        <w:rPr>
          <w:lang w:val="en-US" w:eastAsia="zh-CN" w:bidi="bn-IN"/>
        </w:rPr>
        <w:t>categorised</w:t>
      </w:r>
      <w:proofErr w:type="spellEnd"/>
      <w:r w:rsidRPr="00D478F9">
        <w:rPr>
          <w:lang w:val="en-US" w:eastAsia="zh-CN" w:bidi="bn-IN"/>
        </w:rPr>
        <w:t xml:space="preserve"> into positivism, </w:t>
      </w:r>
      <w:proofErr w:type="spellStart"/>
      <w:r w:rsidRPr="00D478F9">
        <w:rPr>
          <w:lang w:val="en-US" w:eastAsia="zh-CN" w:bidi="bn-IN"/>
        </w:rPr>
        <w:t>interpretivism</w:t>
      </w:r>
      <w:proofErr w:type="spellEnd"/>
      <w:r w:rsidRPr="00D478F9">
        <w:rPr>
          <w:lang w:val="en-US" w:eastAsia="zh-CN" w:bidi="bn-IN"/>
        </w:rPr>
        <w:t>, realism, and pragmatism, each offering distinct epistemological and ontological positions.</w:t>
      </w:r>
    </w:p>
    <w:p w14:paraId="7B83EE5B" w14:textId="279331EB" w:rsidR="00D478F9" w:rsidRPr="00D478F9" w:rsidRDefault="00D478F9" w:rsidP="00D478F9">
      <w:pPr>
        <w:rPr>
          <w:lang w:val="en-US" w:eastAsia="zh-CN" w:bidi="bn-IN"/>
        </w:rPr>
      </w:pPr>
      <w:r w:rsidRPr="00D478F9">
        <w:rPr>
          <w:lang w:val="en-US" w:eastAsia="zh-CN" w:bidi="bn-IN"/>
        </w:rPr>
        <w:t xml:space="preserve">Research philosophies provide foundational assumptions about the nature of reality and knowledge. Positivism assumes an objective reality measurable through empirical observation, suitable for quantitative analysis but limited in capturing complex social phenomena such as sustainability and greenwashing perceptions. </w:t>
      </w:r>
      <w:proofErr w:type="spellStart"/>
      <w:r w:rsidRPr="00D478F9">
        <w:rPr>
          <w:lang w:val="en-US" w:eastAsia="zh-CN" w:bidi="bn-IN"/>
        </w:rPr>
        <w:t>Interpretivism</w:t>
      </w:r>
      <w:proofErr w:type="spellEnd"/>
      <w:r w:rsidRPr="00D478F9">
        <w:rPr>
          <w:lang w:val="en-US" w:eastAsia="zh-CN" w:bidi="bn-IN"/>
        </w:rPr>
        <w:t xml:space="preserve">, in contrast, </w:t>
      </w:r>
      <w:proofErr w:type="spellStart"/>
      <w:r w:rsidRPr="00D478F9">
        <w:rPr>
          <w:lang w:val="en-US" w:eastAsia="zh-CN" w:bidi="bn-IN"/>
        </w:rPr>
        <w:t>emphasises</w:t>
      </w:r>
      <w:proofErr w:type="spellEnd"/>
      <w:r w:rsidRPr="00D478F9">
        <w:rPr>
          <w:lang w:val="en-US" w:eastAsia="zh-CN" w:bidi="bn-IN"/>
        </w:rPr>
        <w:t xml:space="preserve"> the socially constructed nature of reality, valuing context and meaning, making it appropriate for </w:t>
      </w:r>
      <w:proofErr w:type="spellStart"/>
      <w:r w:rsidRPr="00D478F9">
        <w:rPr>
          <w:lang w:val="en-US" w:eastAsia="zh-CN" w:bidi="bn-IN"/>
        </w:rPr>
        <w:t>synthesising</w:t>
      </w:r>
      <w:proofErr w:type="spellEnd"/>
      <w:r w:rsidRPr="00D478F9">
        <w:rPr>
          <w:lang w:val="en-US" w:eastAsia="zh-CN" w:bidi="bn-IN"/>
        </w:rPr>
        <w:t xml:space="preserve"> diverse qualitative perspectives. Critical realism acknowledges an objective reality while </w:t>
      </w:r>
      <w:proofErr w:type="spellStart"/>
      <w:r w:rsidRPr="00D478F9">
        <w:rPr>
          <w:lang w:val="en-US" w:eastAsia="zh-CN" w:bidi="bn-IN"/>
        </w:rPr>
        <w:t>recognising</w:t>
      </w:r>
      <w:proofErr w:type="spellEnd"/>
      <w:r w:rsidRPr="00D478F9">
        <w:rPr>
          <w:lang w:val="en-US" w:eastAsia="zh-CN" w:bidi="bn-IN"/>
        </w:rPr>
        <w:t xml:space="preserve"> that understanding is mediated by social and cognitive processes, enabling evaluation of both observable practices and interpretations. Pragmatism </w:t>
      </w:r>
      <w:proofErr w:type="spellStart"/>
      <w:r w:rsidRPr="00D478F9">
        <w:rPr>
          <w:lang w:val="en-US" w:eastAsia="zh-CN" w:bidi="bn-IN"/>
        </w:rPr>
        <w:t>prioritises</w:t>
      </w:r>
      <w:proofErr w:type="spellEnd"/>
      <w:r w:rsidRPr="00D478F9">
        <w:rPr>
          <w:lang w:val="en-US" w:eastAsia="zh-CN" w:bidi="bn-IN"/>
        </w:rPr>
        <w:t xml:space="preserve"> practical problem-solving, integrating subjective and objective approaches for flexible, actionable research (Tsang, 2016; Cooper, 1984).</w:t>
      </w:r>
    </w:p>
    <w:p w14:paraId="775CDEF6" w14:textId="77777777" w:rsidR="00D478F9" w:rsidRPr="00D478F9" w:rsidRDefault="00D478F9" w:rsidP="00D478F9">
      <w:pPr>
        <w:rPr>
          <w:lang w:val="en-US" w:eastAsia="zh-CN" w:bidi="bn-IN"/>
        </w:rPr>
      </w:pPr>
      <w:r w:rsidRPr="00D478F9">
        <w:rPr>
          <w:lang w:val="en-US" w:eastAsia="zh-CN" w:bidi="bn-IN"/>
        </w:rPr>
        <w:t xml:space="preserve">For this systematic review, an interpretivist philosophy is adopted, justified by the study’s focus on understanding the complex, context-dependent, and socially mediated concepts of sustainability and greenwashing within the fashion industry. This approach permits a nuanced synthesis of the literature, enabling the researcher to explore variations in definitions, practices, perceptions, and reporting mechanisms across different brands, markets, and regulatory contexts (Boland, Cherry &amp; Dickson, 2017; Afifi, Stryhn &amp; Sánchez, 2023). The </w:t>
      </w:r>
      <w:proofErr w:type="spellStart"/>
      <w:r w:rsidRPr="00D478F9">
        <w:rPr>
          <w:lang w:val="en-US" w:eastAsia="zh-CN" w:bidi="bn-IN"/>
        </w:rPr>
        <w:t>interpretivist</w:t>
      </w:r>
      <w:proofErr w:type="spellEnd"/>
      <w:r w:rsidRPr="00D478F9">
        <w:rPr>
          <w:lang w:val="en-US" w:eastAsia="zh-CN" w:bidi="bn-IN"/>
        </w:rPr>
        <w:t xml:space="preserve"> stance </w:t>
      </w:r>
      <w:proofErr w:type="spellStart"/>
      <w:r w:rsidRPr="00D478F9">
        <w:rPr>
          <w:lang w:val="en-US" w:eastAsia="zh-CN" w:bidi="bn-IN"/>
        </w:rPr>
        <w:t>recognises</w:t>
      </w:r>
      <w:proofErr w:type="spellEnd"/>
      <w:r w:rsidRPr="00D478F9">
        <w:rPr>
          <w:lang w:val="en-US" w:eastAsia="zh-CN" w:bidi="bn-IN"/>
        </w:rPr>
        <w:t xml:space="preserve"> that </w:t>
      </w:r>
      <w:r w:rsidRPr="00D478F9">
        <w:rPr>
          <w:lang w:val="en-US" w:eastAsia="zh-CN" w:bidi="bn-IN"/>
        </w:rPr>
        <w:lastRenderedPageBreak/>
        <w:t>knowledge in this domain is constructed through interaction between corporate actions, consumer perceptions, and institutional frameworks, rather than being entirely objective or quantifiable.</w:t>
      </w:r>
    </w:p>
    <w:p w14:paraId="6AE51FDF" w14:textId="022784BF" w:rsidR="00D478F9" w:rsidRPr="00D478F9" w:rsidRDefault="00D478F9" w:rsidP="00D478F9">
      <w:pPr>
        <w:rPr>
          <w:lang w:val="en-US" w:eastAsia="zh-CN" w:bidi="bn-IN"/>
        </w:rPr>
      </w:pPr>
      <w:r w:rsidRPr="00D478F9">
        <w:rPr>
          <w:lang w:val="en-US" w:eastAsia="zh-CN" w:bidi="bn-IN"/>
        </w:rPr>
        <w:t>Moreover, adopting interpretivism supports the integration of multiple theoretical perspectives</w:t>
      </w:r>
      <w:r>
        <w:rPr>
          <w:lang w:val="en-US" w:eastAsia="zh-CN" w:bidi="bn-IN"/>
        </w:rPr>
        <w:t xml:space="preserve">, </w:t>
      </w:r>
      <w:r w:rsidRPr="00D478F9">
        <w:rPr>
          <w:lang w:val="en-US" w:eastAsia="zh-CN" w:bidi="bn-IN"/>
        </w:rPr>
        <w:t xml:space="preserve">such as Stakeholder Theory, </w:t>
      </w:r>
      <w:proofErr w:type="spellStart"/>
      <w:r w:rsidRPr="00D478F9">
        <w:rPr>
          <w:lang w:val="en-US" w:eastAsia="zh-CN" w:bidi="bn-IN"/>
        </w:rPr>
        <w:t>Signalling</w:t>
      </w:r>
      <w:proofErr w:type="spellEnd"/>
      <w:r w:rsidRPr="00D478F9">
        <w:rPr>
          <w:lang w:val="en-US" w:eastAsia="zh-CN" w:bidi="bn-IN"/>
        </w:rPr>
        <w:t xml:space="preserve"> Theory, and the Triple Bottom Line Model</w:t>
      </w:r>
      <w:r>
        <w:rPr>
          <w:lang w:val="en-US" w:eastAsia="zh-CN" w:bidi="bn-IN"/>
        </w:rPr>
        <w:t xml:space="preserve">, </w:t>
      </w:r>
      <w:r w:rsidRPr="00D478F9">
        <w:rPr>
          <w:lang w:val="en-US" w:eastAsia="zh-CN" w:bidi="bn-IN"/>
        </w:rPr>
        <w:t>allowing for a rich, critical understanding of how authenticity and greenwashing are enacted and perceived in practice (Shaheen et al., 2023; Foster &amp; Jewell, 2017). This philosophical choice thus aligns with the aim of generating meaningful, contextually grounded insights from existing literature, providing a credible foundation for the subsequent methodological steps.</w:t>
      </w:r>
    </w:p>
    <w:p w14:paraId="701A22AA" w14:textId="30A97CCB" w:rsidR="00391EB6" w:rsidRDefault="00391EB6" w:rsidP="008C5097">
      <w:pPr>
        <w:pStyle w:val="Heading2"/>
      </w:pPr>
      <w:bookmarkStart w:id="27" w:name="_Toc214979384"/>
      <w:r w:rsidRPr="008C5097">
        <w:t>Research Design</w:t>
      </w:r>
      <w:bookmarkEnd w:id="27"/>
    </w:p>
    <w:p w14:paraId="3B52F231" w14:textId="77777777" w:rsidR="00D478F9" w:rsidRPr="00D478F9" w:rsidRDefault="00D478F9" w:rsidP="00D478F9">
      <w:pPr>
        <w:rPr>
          <w:lang w:val="en-US" w:eastAsia="zh-CN" w:bidi="bn-IN"/>
        </w:rPr>
      </w:pPr>
      <w:r w:rsidRPr="00D478F9">
        <w:rPr>
          <w:lang w:val="en-US" w:eastAsia="zh-CN" w:bidi="bn-IN"/>
        </w:rPr>
        <w:t xml:space="preserve">The research adopts a systematic review design, which provides a structured, transparent, and replicable method for </w:t>
      </w:r>
      <w:proofErr w:type="spellStart"/>
      <w:r w:rsidRPr="00D478F9">
        <w:rPr>
          <w:lang w:val="en-US" w:eastAsia="zh-CN" w:bidi="bn-IN"/>
        </w:rPr>
        <w:t>synthesising</w:t>
      </w:r>
      <w:proofErr w:type="spellEnd"/>
      <w:r w:rsidRPr="00D478F9">
        <w:rPr>
          <w:lang w:val="en-US" w:eastAsia="zh-CN" w:bidi="bn-IN"/>
        </w:rPr>
        <w:t xml:space="preserve"> existing literature on sustainability and greenwashing practices in the fashion industry (Boland, Cherry &amp; Dickson, 2017; Cooper, 1984). This design is particularly suitable for addressing complex and multifaceted research questions, as it enables the integration of evidence from diverse studies, including empirical research, theoretical analyses, and case studies, while </w:t>
      </w:r>
      <w:proofErr w:type="spellStart"/>
      <w:r w:rsidRPr="00D478F9">
        <w:rPr>
          <w:lang w:val="en-US" w:eastAsia="zh-CN" w:bidi="bn-IN"/>
        </w:rPr>
        <w:t>minimising</w:t>
      </w:r>
      <w:proofErr w:type="spellEnd"/>
      <w:r w:rsidRPr="00D478F9">
        <w:rPr>
          <w:lang w:val="en-US" w:eastAsia="zh-CN" w:bidi="bn-IN"/>
        </w:rPr>
        <w:t xml:space="preserve"> bias and enhancing reliability (Gough, Oliver &amp; Thomas, 2017; Afifi, Stryhn &amp; Sánchez, 2023).</w:t>
      </w:r>
    </w:p>
    <w:p w14:paraId="3E4209FA" w14:textId="0258EE43" w:rsidR="00D478F9" w:rsidRPr="00D478F9" w:rsidRDefault="00D478F9" w:rsidP="00D478F9">
      <w:pPr>
        <w:rPr>
          <w:lang w:val="en-US" w:eastAsia="zh-CN" w:bidi="bn-IN"/>
        </w:rPr>
      </w:pPr>
      <w:r w:rsidRPr="00D478F9">
        <w:rPr>
          <w:lang w:val="en-US" w:eastAsia="zh-CN" w:bidi="bn-IN"/>
        </w:rPr>
        <w:t xml:space="preserve">A systematic review design allows for the critical comparison of authentic sustainability initiatives versus greenwashing practices, highlighting patterns, gaps, and inconsistencies across different brands, regions, and regulatory contexts. By following established protocols such as PRISMA 2020 (Page et al., 2021) and methodological guidelines from the Cochrane Handbook (Higgins &amp; Green, 2019), the design ensures methodological </w:t>
      </w:r>
      <w:proofErr w:type="spellStart"/>
      <w:r w:rsidRPr="00D478F9">
        <w:rPr>
          <w:lang w:val="en-US" w:eastAsia="zh-CN" w:bidi="bn-IN"/>
        </w:rPr>
        <w:t>rigour</w:t>
      </w:r>
      <w:proofErr w:type="spellEnd"/>
      <w:r w:rsidRPr="00D478F9">
        <w:rPr>
          <w:lang w:val="en-US" w:eastAsia="zh-CN" w:bidi="bn-IN"/>
        </w:rPr>
        <w:t xml:space="preserve"> and reproducibility. Additionally, this approach supports qualitative synthesis, enabling a nuanced understanding of the social, environmental, and </w:t>
      </w:r>
      <w:proofErr w:type="spellStart"/>
      <w:r w:rsidRPr="00D478F9">
        <w:rPr>
          <w:lang w:val="en-US" w:eastAsia="zh-CN" w:bidi="bn-IN"/>
        </w:rPr>
        <w:t>organisational</w:t>
      </w:r>
      <w:proofErr w:type="spellEnd"/>
      <w:r w:rsidRPr="00D478F9">
        <w:rPr>
          <w:lang w:val="en-US" w:eastAsia="zh-CN" w:bidi="bn-IN"/>
        </w:rPr>
        <w:t xml:space="preserve"> dimensions of sustainability in fashion. Overall, the systematic review design aligns with the study’s interpretivist philosophy, providing a robust framework for generating meaningful, evidence-based insights into corporate practices and consumer perceptions.</w:t>
      </w:r>
    </w:p>
    <w:p w14:paraId="35B0BCF5" w14:textId="7F1C7700" w:rsidR="00391EB6" w:rsidRDefault="00391EB6" w:rsidP="008C5097">
      <w:pPr>
        <w:pStyle w:val="Heading2"/>
      </w:pPr>
      <w:bookmarkStart w:id="28" w:name="_Toc214979385"/>
      <w:r w:rsidRPr="008C5097">
        <w:lastRenderedPageBreak/>
        <w:t xml:space="preserve">Research Approaches </w:t>
      </w:r>
      <w:r w:rsidR="00D478F9">
        <w:t>&amp; Jus</w:t>
      </w:r>
      <w:r w:rsidR="00521270">
        <w:t>tification</w:t>
      </w:r>
      <w:bookmarkEnd w:id="28"/>
    </w:p>
    <w:p w14:paraId="2D33E36E" w14:textId="766CA713" w:rsidR="00521270" w:rsidRDefault="00521270" w:rsidP="00521270">
      <w:r>
        <w:t>Research approaches guide how theories and empirical evidence are applied to address research questions. Broadly, research can follow deductive, inductive, or abductive approaches. The inductive approach develops theory from observations, emphasising exploration and pattern recognition, often suited to qualitative, emergent research. Abductive approaches combine elements of deduction and induction, allowing researchers to iteratively move between theory and data to generate or refine explanations. Deductive approaches, in contrast, begin with existing theories or propositions and test whether empirical evidence supports, extends, or challenges these theoretical constructs (Tsang, 2016; Cooper, 1984).</w:t>
      </w:r>
    </w:p>
    <w:p w14:paraId="0E2CDF00" w14:textId="2412FC08" w:rsidR="00521270" w:rsidRPr="00521270" w:rsidRDefault="00521270" w:rsidP="00521270">
      <w:r>
        <w:t>This study adopts a deductive approach, justified by its aim to assess whether the systematic review findings support, extend, or debate established theoretical frameworks, specifically, Stakeholder Theory, Signalling Theory, and the Triple Bottom Line Model. By systematically synthesising literature and mapping evidence against these theories, the research evaluates their explanatory power within the context of sustainability and greenwashing practices in the fashion industry (Shaheen et al., 2023; Afifi, Stryhn &amp; Sánchez, 2023). The deductive approach ensures a structured analytical framework, facilitating a critical comparison between theoretical expectations and observed practices, and supporting evidence-based conclusions regarding the relevance and applicability of the selected theories.</w:t>
      </w:r>
    </w:p>
    <w:p w14:paraId="584DDDBE" w14:textId="749AE74F" w:rsidR="00391EB6" w:rsidRDefault="00391EB6" w:rsidP="008C5097">
      <w:pPr>
        <w:pStyle w:val="Heading2"/>
      </w:pPr>
      <w:bookmarkStart w:id="29" w:name="_Toc214979386"/>
      <w:r w:rsidRPr="008C5097">
        <w:t>Data Collection Methods</w:t>
      </w:r>
      <w:bookmarkEnd w:id="29"/>
    </w:p>
    <w:p w14:paraId="73BDF3EE" w14:textId="4BE3B95D" w:rsidR="003B099C" w:rsidRDefault="003B099C" w:rsidP="003B099C">
      <w:r>
        <w:t xml:space="preserve">Data collection methods </w:t>
      </w:r>
      <w:r w:rsidR="00575590">
        <w:t>had</w:t>
      </w:r>
      <w:r>
        <w:t xml:space="preserve"> involve, secondary, or mixed-method approaches. Primary data collection generates original information through interviews, surveys, observations, or experiments, enabling direct engagement with participants but requiring substantial ethical oversight and resources (Boland, Cherry &amp; Dickson, 2017). Secondary data collection uses existing materials such as academic literature, reports, and policy documents, supporting comprehensive evaluation of established evidence and enabling synthesis across diverse contexts (Gough, Oliver &amp; Thomas, 2017; Foster &amp; Jewell, 2017). Mixed-method approaches integrate both types of data to enhance depth, triangulation, and interpretive validity (Cooper, 1984).</w:t>
      </w:r>
    </w:p>
    <w:p w14:paraId="593033E5" w14:textId="608A8B20" w:rsidR="003B099C" w:rsidRDefault="003B099C" w:rsidP="003B099C">
      <w:r>
        <w:t xml:space="preserve">This study relies exclusively on secondary data collection, consistent with established guidance for systematic reviews (Higgins &amp; Green, 2019; Page et al., 2021). The </w:t>
      </w:r>
      <w:r>
        <w:lastRenderedPageBreak/>
        <w:t>method involves the structured identification, screening, and extraction of information from peer-reviewed articles, industry publications, and regulatory sources relevant to sustainability and greenwashing in fashion. Using secondary data enhances transparency, reproducibility, and methodological rigour, as all information originates from documented and verifiable sources (Afifi, Stryhn &amp; Sánchez, 2023; Shaheen et al., 2023).</w:t>
      </w:r>
    </w:p>
    <w:p w14:paraId="17EE59B1" w14:textId="77777777" w:rsidR="009462E1" w:rsidRDefault="003B099C" w:rsidP="009462E1">
      <w:pPr>
        <w:pStyle w:val="Heading3"/>
        <w:rPr>
          <w:lang w:val="en-US"/>
        </w:rPr>
      </w:pPr>
      <w:bookmarkStart w:id="30" w:name="_Toc214979387"/>
      <w:r w:rsidRPr="003B099C">
        <w:rPr>
          <w:lang w:val="en-US"/>
        </w:rPr>
        <w:t>Databases and Search Strategy</w:t>
      </w:r>
      <w:bookmarkEnd w:id="30"/>
    </w:p>
    <w:p w14:paraId="28B064C1" w14:textId="478A1903" w:rsidR="009462E1" w:rsidRPr="009462E1" w:rsidRDefault="009462E1" w:rsidP="009462E1">
      <w:pPr>
        <w:rPr>
          <w:rFonts w:eastAsiaTheme="majorEastAsia" w:cstheme="majorBidi"/>
          <w:lang w:val="en-US"/>
        </w:rPr>
      </w:pPr>
      <w:r w:rsidRPr="009462E1">
        <w:rPr>
          <w:lang w:val="en-US" w:eastAsia="zh-CN" w:bidi="bn-IN"/>
        </w:rPr>
        <w:t xml:space="preserve">A systematic and transparent search strategy is central to ensuring the </w:t>
      </w:r>
      <w:proofErr w:type="spellStart"/>
      <w:r w:rsidRPr="009462E1">
        <w:rPr>
          <w:lang w:val="en-US" w:eastAsia="zh-CN" w:bidi="bn-IN"/>
        </w:rPr>
        <w:t>rigour</w:t>
      </w:r>
      <w:proofErr w:type="spellEnd"/>
      <w:r w:rsidRPr="009462E1">
        <w:rPr>
          <w:lang w:val="en-US" w:eastAsia="zh-CN" w:bidi="bn-IN"/>
        </w:rPr>
        <w:t xml:space="preserve"> and reproducibility of a systematic review (</w:t>
      </w:r>
      <w:proofErr w:type="spellStart"/>
      <w:r w:rsidRPr="009462E1">
        <w:rPr>
          <w:lang w:val="en-US" w:eastAsia="zh-CN" w:bidi="bn-IN"/>
        </w:rPr>
        <w:t>Gusenbauer</w:t>
      </w:r>
      <w:proofErr w:type="spellEnd"/>
      <w:r w:rsidRPr="009462E1">
        <w:rPr>
          <w:lang w:val="en-US" w:eastAsia="zh-CN" w:bidi="bn-IN"/>
        </w:rPr>
        <w:t xml:space="preserve"> and </w:t>
      </w:r>
      <w:proofErr w:type="spellStart"/>
      <w:r w:rsidRPr="009462E1">
        <w:rPr>
          <w:lang w:val="en-US" w:eastAsia="zh-CN" w:bidi="bn-IN"/>
        </w:rPr>
        <w:t>Gauster</w:t>
      </w:r>
      <w:proofErr w:type="spellEnd"/>
      <w:r w:rsidRPr="009462E1">
        <w:rPr>
          <w:lang w:val="en-US" w:eastAsia="zh-CN" w:bidi="bn-IN"/>
        </w:rPr>
        <w:t>, 2024; Page et al., 2021). Several databases were initially considered, including Web of Science, Google Scholar, ScienceDirect and Scopus. Scopus was selected as the primary source due to its extensive indexing of peer-reviewed journals, broad disciplinary coverage and advanced search functionalities that support precise filtering and comprehensive retrieval of relevant studies. Its strong representation of research in sustainability, corporate responsibility and the fashion industry further reinforced its suitability for this review (Foster and Jewell, 2017; Boland, Cherry and Dickson, 2017).</w:t>
      </w:r>
    </w:p>
    <w:p w14:paraId="12160CFE" w14:textId="77777777" w:rsidR="009462E1" w:rsidRPr="009462E1" w:rsidRDefault="009462E1" w:rsidP="009462E1">
      <w:pPr>
        <w:rPr>
          <w:lang w:val="en-US" w:eastAsia="zh-CN" w:bidi="bn-IN"/>
        </w:rPr>
      </w:pPr>
      <w:r w:rsidRPr="009462E1">
        <w:rPr>
          <w:lang w:val="en-US" w:eastAsia="zh-CN" w:bidi="bn-IN"/>
        </w:rPr>
        <w:t>The search strategy employed a structured combination of keywords and Boolean operators to identify literature on sustainability, greenwashing and the fashion sector. The final search string was:</w:t>
      </w:r>
    </w:p>
    <w:p w14:paraId="75CE825D" w14:textId="2E238723" w:rsidR="009462E1" w:rsidRPr="009462E1" w:rsidRDefault="009462E1" w:rsidP="00946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864"/>
        <w:jc w:val="left"/>
        <w:rPr>
          <w:rFonts w:ascii="Courier New" w:eastAsia="Times New Roman" w:hAnsi="Courier New" w:cs="Courier New"/>
          <w:color w:val="000000" w:themeColor="text1"/>
          <w:sz w:val="20"/>
          <w:szCs w:val="20"/>
          <w:lang w:val="en-US" w:eastAsia="zh-CN" w:bidi="bn-IN"/>
        </w:rPr>
      </w:pPr>
      <w:r w:rsidRPr="009462E1">
        <w:rPr>
          <w:rFonts w:ascii="Courier New" w:eastAsia="Times New Roman" w:hAnsi="Courier New" w:cs="Courier New"/>
          <w:color w:val="000000" w:themeColor="text1"/>
          <w:sz w:val="20"/>
          <w:szCs w:val="20"/>
          <w:lang w:val="en-US" w:eastAsia="zh-CN" w:bidi="bn-IN"/>
        </w:rPr>
        <w:t>(TITLE-ABS-KEY (</w:t>
      </w:r>
      <w:proofErr w:type="spellStart"/>
      <w:r w:rsidRPr="009462E1">
        <w:rPr>
          <w:rFonts w:ascii="Courier New" w:eastAsia="Times New Roman" w:hAnsi="Courier New" w:cs="Courier New"/>
          <w:color w:val="000000" w:themeColor="text1"/>
          <w:sz w:val="20"/>
          <w:szCs w:val="20"/>
          <w:lang w:val="en-US" w:eastAsia="zh-CN" w:bidi="bn-IN"/>
        </w:rPr>
        <w:t>sustainab</w:t>
      </w:r>
      <w:proofErr w:type="spellEnd"/>
      <w:r w:rsidRPr="009462E1">
        <w:rPr>
          <w:rFonts w:ascii="Courier New" w:eastAsia="Times New Roman" w:hAnsi="Courier New" w:cs="Courier New"/>
          <w:color w:val="000000" w:themeColor="text1"/>
          <w:sz w:val="20"/>
          <w:szCs w:val="20"/>
          <w:lang w:val="en-US" w:eastAsia="zh-CN" w:bidi="bn-IN"/>
        </w:rPr>
        <w:t xml:space="preserve">* OR "environmental responsibility" OR "corporate social responsibility" OR "ESG" OR "ethical practice*" OR "sustainable development" OR "sustainable fashion" </w:t>
      </w:r>
    </w:p>
    <w:p w14:paraId="78ABC05A" w14:textId="6103339A" w:rsidR="009462E1" w:rsidRPr="009462E1" w:rsidRDefault="009462E1" w:rsidP="00946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864"/>
        <w:jc w:val="left"/>
        <w:rPr>
          <w:rFonts w:ascii="Courier New" w:eastAsia="Times New Roman" w:hAnsi="Courier New" w:cs="Courier New"/>
          <w:color w:val="000000" w:themeColor="text1"/>
          <w:sz w:val="20"/>
          <w:szCs w:val="20"/>
          <w:lang w:val="en-US" w:eastAsia="zh-CN" w:bidi="bn-IN"/>
        </w:rPr>
      </w:pPr>
      <w:r w:rsidRPr="009462E1">
        <w:rPr>
          <w:rFonts w:ascii="Courier New" w:eastAsia="Times New Roman" w:hAnsi="Courier New" w:cs="Courier New"/>
          <w:color w:val="000000" w:themeColor="text1"/>
          <w:sz w:val="20"/>
          <w:szCs w:val="20"/>
          <w:lang w:val="en-US" w:eastAsia="zh-CN" w:bidi="bn-IN"/>
        </w:rPr>
        <w:t>OR "green practice*" OR "eco-friendly")) AND</w:t>
      </w:r>
      <w:r>
        <w:rPr>
          <w:rFonts w:ascii="Courier New" w:eastAsia="Times New Roman" w:hAnsi="Courier New" w:cs="Courier New"/>
          <w:color w:val="000000" w:themeColor="text1"/>
          <w:sz w:val="20"/>
          <w:szCs w:val="20"/>
          <w:lang w:val="en-US" w:eastAsia="zh-CN" w:bidi="bn-IN"/>
        </w:rPr>
        <w:t xml:space="preserve"> </w:t>
      </w:r>
      <w:r w:rsidRPr="009462E1">
        <w:rPr>
          <w:rFonts w:ascii="Courier New" w:eastAsia="Times New Roman" w:hAnsi="Courier New" w:cs="Courier New"/>
          <w:color w:val="000000" w:themeColor="text1"/>
          <w:sz w:val="20"/>
          <w:szCs w:val="20"/>
          <w:lang w:val="en-US" w:eastAsia="zh-CN" w:bidi="bn-IN"/>
        </w:rPr>
        <w:t>(TITLE-ABS-KEY ("greenwash*" OR "misleading environmental claim*" OR "false sustainability" OR "deceptive marketing" OR "green marketing" OR "CSR washing")) AND (TITLE-ABS-KEY ("fashion" OR "fashion industry" OR "apparel industry" OR "textile industry" OR clothing OR garment OR "luxury fashion" OR "fast fashion")) AND PUBYEAR &gt; 2014 AND PUBYEAR &lt; 2027 AND (LIMIT-TO (DOCTYPE, "</w:t>
      </w:r>
      <w:proofErr w:type="spellStart"/>
      <w:r w:rsidRPr="009462E1">
        <w:rPr>
          <w:rFonts w:ascii="Courier New" w:eastAsia="Times New Roman" w:hAnsi="Courier New" w:cs="Courier New"/>
          <w:color w:val="000000" w:themeColor="text1"/>
          <w:sz w:val="20"/>
          <w:szCs w:val="20"/>
          <w:lang w:val="en-US" w:eastAsia="zh-CN" w:bidi="bn-IN"/>
        </w:rPr>
        <w:t>ar</w:t>
      </w:r>
      <w:proofErr w:type="spellEnd"/>
      <w:r w:rsidRPr="009462E1">
        <w:rPr>
          <w:rFonts w:ascii="Courier New" w:eastAsia="Times New Roman" w:hAnsi="Courier New" w:cs="Courier New"/>
          <w:color w:val="000000" w:themeColor="text1"/>
          <w:sz w:val="20"/>
          <w:szCs w:val="20"/>
          <w:lang w:val="en-US" w:eastAsia="zh-CN" w:bidi="bn-IN"/>
        </w:rPr>
        <w:t>") OR LIMIT-TO (DOCTYPE, "cp"))AND (LIMIT-TO (LANGUAGE, "English"))</w:t>
      </w:r>
    </w:p>
    <w:p w14:paraId="6FFF3C4C" w14:textId="77777777" w:rsidR="009462E1" w:rsidRPr="009462E1" w:rsidRDefault="009462E1" w:rsidP="009462E1">
      <w:pPr>
        <w:rPr>
          <w:lang w:val="en-US" w:eastAsia="zh-CN" w:bidi="bn-IN"/>
        </w:rPr>
      </w:pPr>
      <w:r w:rsidRPr="009462E1">
        <w:rPr>
          <w:lang w:val="en-US" w:eastAsia="zh-CN" w:bidi="bn-IN"/>
        </w:rPr>
        <w:t>Filters were applied to ensure relevance and quality. The publication year range (2015–2026) ensured the inclusion of contemporary research that reflects current debates on sustainability and greenwashing. Restricting document type to journal articles and conference papers captured academically validated and peer-reviewed evidence. Limiting the search to English-language publications ensured accuracy and consistency in interpretation.</w:t>
      </w:r>
    </w:p>
    <w:p w14:paraId="286A480A" w14:textId="14BADA7B" w:rsidR="003B099C" w:rsidRPr="009462E1" w:rsidRDefault="009462E1" w:rsidP="009462E1">
      <w:pPr>
        <w:rPr>
          <w:lang w:val="en-US" w:eastAsia="zh-CN" w:bidi="bn-IN"/>
        </w:rPr>
      </w:pPr>
      <w:r w:rsidRPr="009462E1">
        <w:rPr>
          <w:lang w:val="en-US" w:eastAsia="zh-CN" w:bidi="bn-IN"/>
        </w:rPr>
        <w:lastRenderedPageBreak/>
        <w:t>This structured and filtered search process aligns with established guidance for conducting systematic reviews and supports the transparency, replicability and comprehensiveness expected in high-quality evidence synthesis (Higgins and Green, 2019; Shaheen et al., 2023).</w:t>
      </w:r>
    </w:p>
    <w:p w14:paraId="202EC911" w14:textId="60DF3748" w:rsidR="00295FB2" w:rsidRDefault="00295FB2" w:rsidP="00295FB2">
      <w:pPr>
        <w:pStyle w:val="Heading3"/>
      </w:pPr>
      <w:bookmarkStart w:id="31" w:name="_Toc214979388"/>
      <w:r>
        <w:t>Inclusion and exclusion criteria</w:t>
      </w:r>
      <w:bookmarkEnd w:id="31"/>
    </w:p>
    <w:p w14:paraId="0511350B" w14:textId="198A9029" w:rsidR="009462E1" w:rsidRDefault="009462E1" w:rsidP="009462E1">
      <w:r>
        <w:t>A clear set of inclusion and exclusion criteria is essential for ensuring transparency, rigour and consistency in the selection of studies for a systematic review. These criteria guide the screening process by defining which sources are relevant, credible and suitable for addressing the research questions. The criteria applied in this study were developed in line with methodological guidance for systematic reviews and applied during both the title–abstract screening and full-text review stages.</w:t>
      </w:r>
    </w:p>
    <w:tbl>
      <w:tblPr>
        <w:tblStyle w:val="TableGridLight"/>
        <w:tblW w:w="0" w:type="auto"/>
        <w:tblLook w:val="04A0" w:firstRow="1" w:lastRow="0" w:firstColumn="1" w:lastColumn="0" w:noHBand="0" w:noVBand="1"/>
      </w:tblPr>
      <w:tblGrid>
        <w:gridCol w:w="4495"/>
        <w:gridCol w:w="4521"/>
      </w:tblGrid>
      <w:tr w:rsidR="009462E1" w:rsidRPr="009462E1" w14:paraId="085C7D51" w14:textId="77777777" w:rsidTr="009462E1">
        <w:tc>
          <w:tcPr>
            <w:tcW w:w="4500" w:type="dxa"/>
            <w:vAlign w:val="center"/>
            <w:hideMark/>
          </w:tcPr>
          <w:p w14:paraId="142A30C5" w14:textId="77777777" w:rsidR="009462E1" w:rsidRPr="009462E1" w:rsidRDefault="009462E1" w:rsidP="009462E1">
            <w:pPr>
              <w:jc w:val="left"/>
              <w:rPr>
                <w:b/>
                <w:bCs/>
                <w:lang w:val="en-US" w:bidi="ar-SA"/>
              </w:rPr>
            </w:pPr>
            <w:r w:rsidRPr="009462E1">
              <w:rPr>
                <w:b/>
                <w:bCs/>
                <w:lang w:val="en-US" w:bidi="ar-SA"/>
              </w:rPr>
              <w:t>Inclusion Criteria</w:t>
            </w:r>
          </w:p>
        </w:tc>
        <w:tc>
          <w:tcPr>
            <w:tcW w:w="4526" w:type="dxa"/>
            <w:vAlign w:val="center"/>
            <w:hideMark/>
          </w:tcPr>
          <w:p w14:paraId="319DA8AB" w14:textId="77777777" w:rsidR="009462E1" w:rsidRPr="009462E1" w:rsidRDefault="009462E1" w:rsidP="009462E1">
            <w:pPr>
              <w:jc w:val="left"/>
              <w:rPr>
                <w:b/>
                <w:bCs/>
                <w:lang w:val="en-US" w:bidi="ar-SA"/>
              </w:rPr>
            </w:pPr>
            <w:r w:rsidRPr="009462E1">
              <w:rPr>
                <w:b/>
                <w:bCs/>
                <w:lang w:val="en-US" w:bidi="ar-SA"/>
              </w:rPr>
              <w:t>Exclusion Criteria</w:t>
            </w:r>
          </w:p>
        </w:tc>
      </w:tr>
      <w:tr w:rsidR="009462E1" w:rsidRPr="009462E1" w14:paraId="1ECA88D6" w14:textId="77777777" w:rsidTr="009462E1">
        <w:tc>
          <w:tcPr>
            <w:tcW w:w="4500" w:type="dxa"/>
            <w:vAlign w:val="center"/>
            <w:hideMark/>
          </w:tcPr>
          <w:p w14:paraId="5F40540E" w14:textId="77777777" w:rsidR="009462E1" w:rsidRPr="009462E1" w:rsidRDefault="009462E1" w:rsidP="009462E1">
            <w:pPr>
              <w:jc w:val="left"/>
              <w:rPr>
                <w:lang w:val="en-US" w:bidi="ar-SA"/>
              </w:rPr>
            </w:pPr>
            <w:r w:rsidRPr="009462E1">
              <w:rPr>
                <w:lang w:val="en-US" w:bidi="ar-SA"/>
              </w:rPr>
              <w:t>Peer-reviewed journal articles and conference papers</w:t>
            </w:r>
          </w:p>
        </w:tc>
        <w:tc>
          <w:tcPr>
            <w:tcW w:w="4526" w:type="dxa"/>
            <w:vAlign w:val="center"/>
            <w:hideMark/>
          </w:tcPr>
          <w:p w14:paraId="41E58FCD" w14:textId="77777777" w:rsidR="009462E1" w:rsidRPr="009462E1" w:rsidRDefault="009462E1" w:rsidP="009462E1">
            <w:pPr>
              <w:jc w:val="left"/>
              <w:rPr>
                <w:lang w:val="en-US" w:bidi="ar-SA"/>
              </w:rPr>
            </w:pPr>
            <w:r w:rsidRPr="009462E1">
              <w:rPr>
                <w:lang w:val="en-US" w:bidi="ar-SA"/>
              </w:rPr>
              <w:t>Non-peer-reviewed sources (blogs, news articles, opinion pieces)</w:t>
            </w:r>
          </w:p>
        </w:tc>
      </w:tr>
      <w:tr w:rsidR="009462E1" w:rsidRPr="009462E1" w14:paraId="643B0FB1" w14:textId="77777777" w:rsidTr="009462E1">
        <w:tc>
          <w:tcPr>
            <w:tcW w:w="4500" w:type="dxa"/>
            <w:vAlign w:val="center"/>
            <w:hideMark/>
          </w:tcPr>
          <w:p w14:paraId="5AF039A8" w14:textId="77777777" w:rsidR="009462E1" w:rsidRPr="009462E1" w:rsidRDefault="009462E1" w:rsidP="009462E1">
            <w:pPr>
              <w:jc w:val="left"/>
              <w:rPr>
                <w:lang w:val="en-US" w:bidi="ar-SA"/>
              </w:rPr>
            </w:pPr>
            <w:r w:rsidRPr="009462E1">
              <w:rPr>
                <w:lang w:val="en-US" w:bidi="ar-SA"/>
              </w:rPr>
              <w:t>Publications in English</w:t>
            </w:r>
          </w:p>
        </w:tc>
        <w:tc>
          <w:tcPr>
            <w:tcW w:w="4526" w:type="dxa"/>
            <w:vAlign w:val="center"/>
            <w:hideMark/>
          </w:tcPr>
          <w:p w14:paraId="4CE0B98C" w14:textId="77777777" w:rsidR="009462E1" w:rsidRPr="009462E1" w:rsidRDefault="009462E1" w:rsidP="009462E1">
            <w:pPr>
              <w:jc w:val="left"/>
              <w:rPr>
                <w:lang w:val="en-US" w:bidi="ar-SA"/>
              </w:rPr>
            </w:pPr>
            <w:r w:rsidRPr="009462E1">
              <w:rPr>
                <w:lang w:val="en-US" w:bidi="ar-SA"/>
              </w:rPr>
              <w:t>Publications in languages other than English</w:t>
            </w:r>
          </w:p>
        </w:tc>
      </w:tr>
      <w:tr w:rsidR="009462E1" w:rsidRPr="009462E1" w14:paraId="554A5451" w14:textId="77777777" w:rsidTr="009462E1">
        <w:tc>
          <w:tcPr>
            <w:tcW w:w="4500" w:type="dxa"/>
            <w:vAlign w:val="center"/>
            <w:hideMark/>
          </w:tcPr>
          <w:p w14:paraId="48D5DF5A" w14:textId="77777777" w:rsidR="009462E1" w:rsidRPr="009462E1" w:rsidRDefault="009462E1" w:rsidP="009462E1">
            <w:pPr>
              <w:jc w:val="left"/>
              <w:rPr>
                <w:lang w:val="en-US" w:bidi="ar-SA"/>
              </w:rPr>
            </w:pPr>
            <w:r w:rsidRPr="009462E1">
              <w:rPr>
                <w:lang w:val="en-US" w:bidi="ar-SA"/>
              </w:rPr>
              <w:t>Studies published between 2015 and 2026</w:t>
            </w:r>
          </w:p>
        </w:tc>
        <w:tc>
          <w:tcPr>
            <w:tcW w:w="4526" w:type="dxa"/>
            <w:vAlign w:val="center"/>
            <w:hideMark/>
          </w:tcPr>
          <w:p w14:paraId="4FE668AB" w14:textId="77777777" w:rsidR="009462E1" w:rsidRPr="009462E1" w:rsidRDefault="009462E1" w:rsidP="009462E1">
            <w:pPr>
              <w:jc w:val="left"/>
              <w:rPr>
                <w:lang w:val="en-US" w:bidi="ar-SA"/>
              </w:rPr>
            </w:pPr>
            <w:r w:rsidRPr="009462E1">
              <w:rPr>
                <w:lang w:val="en-US" w:bidi="ar-SA"/>
              </w:rPr>
              <w:t>Studies published before 2015</w:t>
            </w:r>
          </w:p>
        </w:tc>
      </w:tr>
      <w:tr w:rsidR="009462E1" w:rsidRPr="009462E1" w14:paraId="11F37716" w14:textId="77777777" w:rsidTr="009462E1">
        <w:tc>
          <w:tcPr>
            <w:tcW w:w="4500" w:type="dxa"/>
            <w:vAlign w:val="center"/>
            <w:hideMark/>
          </w:tcPr>
          <w:p w14:paraId="1F918C5B" w14:textId="77777777" w:rsidR="009462E1" w:rsidRPr="009462E1" w:rsidRDefault="009462E1" w:rsidP="009462E1">
            <w:pPr>
              <w:jc w:val="left"/>
              <w:rPr>
                <w:lang w:val="en-US" w:bidi="ar-SA"/>
              </w:rPr>
            </w:pPr>
            <w:r w:rsidRPr="009462E1">
              <w:rPr>
                <w:lang w:val="en-US" w:bidi="ar-SA"/>
              </w:rPr>
              <w:t>Research focused on sustainability, greenwashing or ESG/CSR within the fashion, apparel or textile industry</w:t>
            </w:r>
          </w:p>
        </w:tc>
        <w:tc>
          <w:tcPr>
            <w:tcW w:w="4526" w:type="dxa"/>
            <w:vAlign w:val="center"/>
            <w:hideMark/>
          </w:tcPr>
          <w:p w14:paraId="2DC24C3C" w14:textId="77777777" w:rsidR="009462E1" w:rsidRPr="009462E1" w:rsidRDefault="009462E1" w:rsidP="009462E1">
            <w:pPr>
              <w:jc w:val="left"/>
              <w:rPr>
                <w:lang w:val="en-US" w:bidi="ar-SA"/>
              </w:rPr>
            </w:pPr>
            <w:r w:rsidRPr="009462E1">
              <w:rPr>
                <w:lang w:val="en-US" w:bidi="ar-SA"/>
              </w:rPr>
              <w:t>Studies unrelated to sustainability or greenwashing, or not linked to the fashion sector</w:t>
            </w:r>
          </w:p>
        </w:tc>
      </w:tr>
      <w:tr w:rsidR="009462E1" w:rsidRPr="009462E1" w14:paraId="6D553F1C" w14:textId="77777777" w:rsidTr="009462E1">
        <w:tc>
          <w:tcPr>
            <w:tcW w:w="4500" w:type="dxa"/>
            <w:vAlign w:val="center"/>
            <w:hideMark/>
          </w:tcPr>
          <w:p w14:paraId="442C3FF0" w14:textId="77777777" w:rsidR="009462E1" w:rsidRPr="009462E1" w:rsidRDefault="009462E1" w:rsidP="009462E1">
            <w:pPr>
              <w:jc w:val="left"/>
              <w:rPr>
                <w:lang w:val="en-US" w:bidi="ar-SA"/>
              </w:rPr>
            </w:pPr>
            <w:r w:rsidRPr="009462E1">
              <w:rPr>
                <w:lang w:val="en-US" w:bidi="ar-SA"/>
              </w:rPr>
              <w:t>Empirical, conceptual or theoretical studies relevant to industry practices or consumer perceptions</w:t>
            </w:r>
          </w:p>
        </w:tc>
        <w:tc>
          <w:tcPr>
            <w:tcW w:w="4526" w:type="dxa"/>
            <w:vAlign w:val="center"/>
            <w:hideMark/>
          </w:tcPr>
          <w:p w14:paraId="709DB5D2" w14:textId="77777777" w:rsidR="009462E1" w:rsidRPr="009462E1" w:rsidRDefault="009462E1" w:rsidP="009462E1">
            <w:pPr>
              <w:jc w:val="left"/>
              <w:rPr>
                <w:lang w:val="en-US" w:bidi="ar-SA"/>
              </w:rPr>
            </w:pPr>
            <w:r w:rsidRPr="009462E1">
              <w:rPr>
                <w:lang w:val="en-US" w:bidi="ar-SA"/>
              </w:rPr>
              <w:t>Duplicates, inaccessible full texts or studies lacking relevance to the research questions</w:t>
            </w:r>
          </w:p>
        </w:tc>
      </w:tr>
    </w:tbl>
    <w:p w14:paraId="613DEDE6" w14:textId="77777777" w:rsidR="009462E1" w:rsidRPr="009462E1" w:rsidRDefault="009462E1" w:rsidP="009462E1">
      <w:pPr>
        <w:rPr>
          <w:lang w:val="en-US"/>
        </w:rPr>
      </w:pPr>
    </w:p>
    <w:p w14:paraId="056CD479" w14:textId="77777777" w:rsidR="009462E1" w:rsidRDefault="009462E1" w:rsidP="009462E1">
      <w:pPr>
        <w:pStyle w:val="Heading3"/>
      </w:pPr>
      <w:bookmarkStart w:id="32" w:name="_Toc214979389"/>
      <w:r>
        <w:t>Study Selection, Screening, and Inclusion</w:t>
      </w:r>
      <w:bookmarkEnd w:id="32"/>
    </w:p>
    <w:p w14:paraId="0FE87707" w14:textId="77777777" w:rsidR="009462E1" w:rsidRDefault="009462E1" w:rsidP="009462E1">
      <w:pPr>
        <w:rPr>
          <w:lang w:val="en-US" w:eastAsia="zh-CN" w:bidi="bn-IN"/>
        </w:rPr>
      </w:pPr>
      <w:r w:rsidRPr="009462E1">
        <w:rPr>
          <w:lang w:val="en-US" w:eastAsia="zh-CN" w:bidi="bn-IN"/>
        </w:rPr>
        <w:t xml:space="preserve">The study selection process followed the PRISMA 2020 guidelines to ensure a transparent, systematic and reproducible approach to identifying and screening </w:t>
      </w:r>
      <w:r w:rsidRPr="009462E1">
        <w:rPr>
          <w:lang w:val="en-US" w:eastAsia="zh-CN" w:bidi="bn-IN"/>
        </w:rPr>
        <w:lastRenderedPageBreak/>
        <w:t>relevant literature. All records were sourced from Scopus and underwent a multi-stage screening procedure comprising identification, screening, eligibility assessment and final inclusion.</w:t>
      </w:r>
    </w:p>
    <w:p w14:paraId="1E13B7C2" w14:textId="7EB75813" w:rsidR="009462E1" w:rsidRDefault="009462E1" w:rsidP="009462E1">
      <w:pPr>
        <w:jc w:val="center"/>
        <w:rPr>
          <w:lang w:val="en-US" w:eastAsia="zh-CN" w:bidi="bn-IN"/>
        </w:rPr>
      </w:pPr>
      <w:r w:rsidRPr="00D03F60">
        <w:rPr>
          <w:noProof/>
        </w:rPr>
        <w:drawing>
          <wp:inline distT="0" distB="0" distL="0" distR="0" wp14:anchorId="5ABADA9F" wp14:editId="4D983584">
            <wp:extent cx="5057222" cy="5410200"/>
            <wp:effectExtent l="0" t="0" r="0" b="0"/>
            <wp:docPr id="23" name="Picture 22">
              <a:extLst xmlns:a="http://schemas.openxmlformats.org/drawingml/2006/main">
                <a:ext uri="{FF2B5EF4-FFF2-40B4-BE49-F238E27FC236}">
                  <a16:creationId xmlns:a16="http://schemas.microsoft.com/office/drawing/2014/main" id="{F5D5C01F-64AB-FD39-8358-488B43A225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F5D5C01F-64AB-FD39-8358-488B43A225D1}"/>
                        </a:ext>
                      </a:extLst>
                    </pic:cNvPr>
                    <pic:cNvPicPr>
                      <a:picLocks noChangeAspect="1"/>
                    </pic:cNvPicPr>
                  </pic:nvPicPr>
                  <pic:blipFill>
                    <a:blip r:embed="rId10"/>
                    <a:stretch>
                      <a:fillRect/>
                    </a:stretch>
                  </pic:blipFill>
                  <pic:spPr>
                    <a:xfrm>
                      <a:off x="0" y="0"/>
                      <a:ext cx="5081470" cy="5436141"/>
                    </a:xfrm>
                    <a:prstGeom prst="rect">
                      <a:avLst/>
                    </a:prstGeom>
                  </pic:spPr>
                </pic:pic>
              </a:graphicData>
            </a:graphic>
          </wp:inline>
        </w:drawing>
      </w:r>
    </w:p>
    <w:p w14:paraId="4EC21FE2" w14:textId="58758BB6" w:rsidR="009462E1" w:rsidRPr="009462E1" w:rsidRDefault="009462E1" w:rsidP="009462E1">
      <w:pPr>
        <w:pStyle w:val="NoSpacing"/>
        <w:rPr>
          <w:lang w:val="en-US" w:eastAsia="zh-CN" w:bidi="bn-IN"/>
        </w:rPr>
      </w:pPr>
      <w:bookmarkStart w:id="33" w:name="_Toc216197019"/>
      <w:r>
        <w:t xml:space="preserve">Figure </w:t>
      </w:r>
      <w:r>
        <w:fldChar w:fldCharType="begin"/>
      </w:r>
      <w:r>
        <w:instrText xml:space="preserve"> SEQ Figure \* ARABIC </w:instrText>
      </w:r>
      <w:r>
        <w:fldChar w:fldCharType="separate"/>
      </w:r>
      <w:r>
        <w:rPr>
          <w:noProof/>
        </w:rPr>
        <w:t>2</w:t>
      </w:r>
      <w:r>
        <w:rPr>
          <w:noProof/>
        </w:rPr>
        <w:fldChar w:fldCharType="end"/>
      </w:r>
      <w:r>
        <w:t xml:space="preserve"> </w:t>
      </w:r>
      <w:r>
        <w:rPr>
          <w:lang w:val="en-US" w:eastAsia="zh-CN" w:bidi="bn-IN"/>
        </w:rPr>
        <w:t>PRISMA Framework (Adapted by the Author)</w:t>
      </w:r>
      <w:bookmarkEnd w:id="33"/>
    </w:p>
    <w:p w14:paraId="642AF40D" w14:textId="77777777" w:rsidR="009462E1" w:rsidRPr="009462E1" w:rsidRDefault="009462E1" w:rsidP="009462E1">
      <w:pPr>
        <w:rPr>
          <w:lang w:val="en-US" w:eastAsia="zh-CN" w:bidi="bn-IN"/>
        </w:rPr>
      </w:pPr>
      <w:r w:rsidRPr="009462E1">
        <w:rPr>
          <w:lang w:val="en-US" w:eastAsia="zh-CN" w:bidi="bn-IN"/>
        </w:rPr>
        <w:t xml:space="preserve">In the identification stage, 106 records were retrieved from Scopus. These records proceeded to title and abstract screening, during which 25 were excluded for lacking relevance to the research topic. The remaining 81 records were sought for retrieval, although 3 could not be accessed due to availability constraints. A total of 78 full-text studies were subsequently assessed for eligibility. During this phase, studies were excluded for several reasons: irrelevant research aims (n = 9), classification as systematic reviews (n = 6), narrative reviews (n = 4), other non-empirical formats (n = 5) and insufficient quality or methodological </w:t>
      </w:r>
      <w:proofErr w:type="spellStart"/>
      <w:r w:rsidRPr="009462E1">
        <w:rPr>
          <w:lang w:val="en-US" w:eastAsia="zh-CN" w:bidi="bn-IN"/>
        </w:rPr>
        <w:t>rigour</w:t>
      </w:r>
      <w:proofErr w:type="spellEnd"/>
      <w:r w:rsidRPr="009462E1">
        <w:rPr>
          <w:lang w:val="en-US" w:eastAsia="zh-CN" w:bidi="bn-IN"/>
        </w:rPr>
        <w:t xml:space="preserve"> (n = 4).</w:t>
      </w:r>
    </w:p>
    <w:p w14:paraId="76FE94CD" w14:textId="0EEBD8DA" w:rsidR="009462E1" w:rsidRDefault="009462E1" w:rsidP="009462E1">
      <w:pPr>
        <w:rPr>
          <w:lang w:val="en-US" w:eastAsia="zh-CN" w:bidi="bn-IN"/>
        </w:rPr>
      </w:pPr>
      <w:r w:rsidRPr="009462E1">
        <w:rPr>
          <w:lang w:val="en-US" w:eastAsia="zh-CN" w:bidi="bn-IN"/>
        </w:rPr>
        <w:lastRenderedPageBreak/>
        <w:t>Following this structured assessment, 50 studies met all inclusion criteria and were incorporated into the final review. This process ensured that the resulting dataset was methodologically robust, directly relevant to the research questions and aligned with best practice recommendations for conducting high-quality systematic reviews.</w:t>
      </w:r>
    </w:p>
    <w:p w14:paraId="506F42CA" w14:textId="1DE71E01" w:rsidR="009462E1" w:rsidRDefault="006A6E25" w:rsidP="009462E1">
      <w:pPr>
        <w:pStyle w:val="Heading3"/>
      </w:pPr>
      <w:bookmarkStart w:id="34" w:name="_Toc214979390"/>
      <w:r>
        <w:t>Quality Appraisal of the Included Articles</w:t>
      </w:r>
      <w:bookmarkEnd w:id="34"/>
    </w:p>
    <w:p w14:paraId="6C04281A" w14:textId="135575A7" w:rsidR="006A6E25" w:rsidRDefault="006A6E25" w:rsidP="006A6E25">
      <w:r>
        <w:t>Quality appraisal was undertaken to ensure that all included studies met acceptable standards of methodological rigour, credibility and relevance. To achieve this, a set of Critical Appraisal Skills Programme (CASP) tools was applied, selected according to the methodological design of each study. Specifically, the CASP Qualitative Checklist, the CASP Cohort Study Checklist and the CASP Cross-sectional Study Checklist were used to evaluate qualitative, observational and comparative studies respectively. Employing multiple CASP instruments allowed for a tailored appraisal approach that accounted for variations in research design while maintaining consistency in evaluative standards.</w:t>
      </w:r>
    </w:p>
    <w:p w14:paraId="12602D8B" w14:textId="717C8A16" w:rsidR="006A6E25" w:rsidRDefault="006A6E25" w:rsidP="006A6E25">
      <w:r>
        <w:t>These tools were chosen because CASP provides structured, transparent and widely recognised criteria for appraising validity, methodological coherence, ethical considerations and the contribution of each study to the overall evidence base. Each study was assessed across the relevant CASP domains, including clarity of aims, appropriateness of methodology, rigour of data collection, robustness of analysis, ethical integrity and the extent to which findings were grounded in the data. Scores and detailed assessments for each study are presented in the  demonstrate that only studies meeting an adequate quality threshold were retained for synthesis. This systematic appraisal strengthened the reliability of the review and ensured that the narrative synthesis was informed by high-quality evidence.</w:t>
      </w:r>
    </w:p>
    <w:p w14:paraId="75DE5E5B" w14:textId="1C2ED75F" w:rsidR="0037671D" w:rsidRDefault="0037671D" w:rsidP="0037671D">
      <w:pPr>
        <w:pStyle w:val="Heading2"/>
      </w:pPr>
      <w:bookmarkStart w:id="35" w:name="_Toc214979391"/>
      <w:r>
        <w:t>Data Extraction and Synthesis</w:t>
      </w:r>
      <w:bookmarkEnd w:id="35"/>
    </w:p>
    <w:p w14:paraId="4CEE5BE5" w14:textId="77777777" w:rsidR="0037671D" w:rsidRPr="0037671D" w:rsidRDefault="0037671D" w:rsidP="0037671D">
      <w:pPr>
        <w:rPr>
          <w:lang w:val="en-US"/>
        </w:rPr>
      </w:pPr>
      <w:r w:rsidRPr="0037671D">
        <w:rPr>
          <w:lang w:val="en-US"/>
        </w:rPr>
        <w:t>Data extraction was conducted systematically using a structured extraction table, presented in Chapter 4 as Table 1: Summary of the Included Articles (N = 50). The table captures the essential characteristics of each study, including author(s), year of publication, article title, methodological details such as study design, sample and analytical approach, as well as the key themes relevant to the research questions. This structured format ensured consistency, transparency and comparability across the diverse body of literature included in the review.</w:t>
      </w:r>
    </w:p>
    <w:p w14:paraId="421913E5" w14:textId="60DCCD19" w:rsidR="0037671D" w:rsidRPr="0037671D" w:rsidRDefault="0037671D" w:rsidP="006A6E25">
      <w:pPr>
        <w:rPr>
          <w:lang w:val="en-US"/>
        </w:rPr>
      </w:pPr>
      <w:r w:rsidRPr="0037671D">
        <w:rPr>
          <w:lang w:val="en-US"/>
        </w:rPr>
        <w:lastRenderedPageBreak/>
        <w:t>Synthesis was undertaken through a combination of thematic analysis and narrative synthesis. Thematic analysis enabled the identification, organisation and interpretation of recurring patterns across the studies, forming the basis for the thematic tables that structure Chapter 4. Narrative synthesis was then used to integrate these themes into a coherent interpretive account, allowing for a critical and contextually informed discussion of sustainable practices, greenwashing forms and their implications. This dual approach ensured that the synthesis captured both the breadth of the evidence and the depth of theoretical and empirical insights.</w:t>
      </w:r>
    </w:p>
    <w:p w14:paraId="3E409A97" w14:textId="77777777" w:rsidR="00391EB6" w:rsidRDefault="00391EB6" w:rsidP="008C5097">
      <w:pPr>
        <w:pStyle w:val="Heading2"/>
      </w:pPr>
      <w:bookmarkStart w:id="36" w:name="_Toc214979392"/>
      <w:r w:rsidRPr="008C5097">
        <w:t>Ethical Considerations</w:t>
      </w:r>
      <w:bookmarkEnd w:id="36"/>
    </w:p>
    <w:p w14:paraId="47678DC6" w14:textId="77777777" w:rsidR="0037671D" w:rsidRDefault="0037671D" w:rsidP="0037671D">
      <w:pPr>
        <w:rPr>
          <w:rFonts w:ascii="Times New Roman" w:hAnsi="Times New Roman"/>
        </w:rPr>
      </w:pPr>
      <w:r>
        <w:t>Ethical considerations in research refer to the principles and standards that guide the responsible conduct of research, ensuring respect for participants, integrity in data collection and analysis, and accountability in reporting findings. In primary research, these typically involve informed consent, confidentiality, the protection of vulnerable populations, and minimisation of harm. However, as this study is a systematic review based exclusively on secondary data, direct ethical issues relating to human participants are not applicable.</w:t>
      </w:r>
    </w:p>
    <w:p w14:paraId="1CD9D60F" w14:textId="30AB8EB8" w:rsidR="0037671D" w:rsidRPr="0037671D" w:rsidRDefault="0037671D" w:rsidP="0037671D">
      <w:pPr>
        <w:rPr>
          <w:lang w:val="en-US"/>
        </w:rPr>
      </w:pPr>
      <w:r>
        <w:t>Nonetheless, ethical considerations remain relevant to the conduct of systematic reviews. These include maintaining transparency and rigor in literature search, selection, appraisal, and synthesis, ensuring accurate representation of the findings, avoiding plagiarism, and providing proper attribution to original authors (Suri, 2020; Wager and Wiffen, 2011). This review adhered to established ethical guidelines for systematic reviews, including those outlined by the University of Wales Trinity Saint David (UWTSD, 2022), ensuring integrity, reproducibility, and unbiased reporting throughout the research process. All sources were critically evaluated, correctly cited, and synthesized with transparency to uphold ethical standards in knowledge synthesis.</w:t>
      </w:r>
    </w:p>
    <w:p w14:paraId="4F776128" w14:textId="6DAE4722" w:rsidR="00391EB6" w:rsidRDefault="00391EB6" w:rsidP="008C5097">
      <w:pPr>
        <w:pStyle w:val="Heading2"/>
      </w:pPr>
      <w:bookmarkStart w:id="37" w:name="_Toc214979393"/>
      <w:r w:rsidRPr="008C5097">
        <w:t>Conclusion</w:t>
      </w:r>
      <w:bookmarkEnd w:id="37"/>
    </w:p>
    <w:p w14:paraId="611B3531" w14:textId="5DF1F119" w:rsidR="0037671D" w:rsidRPr="0037671D" w:rsidRDefault="0037671D" w:rsidP="0037671D">
      <w:pPr>
        <w:rPr>
          <w:lang w:val="en-US"/>
        </w:rPr>
      </w:pPr>
      <w:r>
        <w:t xml:space="preserve">This chapter has outlined the methodological foundations of the study, detailing the research philosophy, design, approach, and data collection processes underpinning the systematic review. Justifications were provided for adopting an interpretivist-aligned philosophy, a qualitative deductive approach, and a secondary-data methodology focused on peer-reviewed literature. The search strategy, inclusion and </w:t>
      </w:r>
      <w:r>
        <w:lastRenderedPageBreak/>
        <w:t>exclusion criteria, study selection process, and quality appraisal ensured methodological rigour and transparency. Ethical considerations specific to systematic reviews were maintained throughout. Collectively, these methodological choices provide a robust framework for synthesising the literature, supporting the subsequent analysis and discussion of sustainable and greenwashing practices in the fashion industry.</w:t>
      </w:r>
      <w:r w:rsidR="00F11AF0">
        <w:t xml:space="preserve"> </w:t>
      </w:r>
    </w:p>
    <w:p w14:paraId="183C9965" w14:textId="77777777" w:rsidR="008C5097" w:rsidRDefault="008C5097">
      <w:r>
        <w:br w:type="page"/>
      </w:r>
    </w:p>
    <w:p w14:paraId="31D70E41" w14:textId="6D41E2A5" w:rsidR="00391EB6" w:rsidRPr="008C5097" w:rsidRDefault="00786750" w:rsidP="008C5097">
      <w:pPr>
        <w:pStyle w:val="Heading1"/>
      </w:pPr>
      <w:bookmarkStart w:id="38" w:name="_Toc214979394"/>
      <w:r w:rsidRPr="008C5097">
        <w:lastRenderedPageBreak/>
        <w:t>CHAPTER 4: FINDINGS, ANALYSIS AND DISCUSSION</w:t>
      </w:r>
      <w:bookmarkEnd w:id="38"/>
    </w:p>
    <w:p w14:paraId="6ED36AF7" w14:textId="202ECEB1" w:rsidR="00AB6AC0" w:rsidRPr="0037671D" w:rsidRDefault="00AB6AC0" w:rsidP="00AB6AC0">
      <w:pPr>
        <w:pStyle w:val="Heading2"/>
      </w:pPr>
      <w:bookmarkStart w:id="39" w:name="_Toc214979395"/>
      <w:r>
        <w:t>Introduction</w:t>
      </w:r>
      <w:bookmarkEnd w:id="39"/>
    </w:p>
    <w:p w14:paraId="1A6D1461" w14:textId="77777777" w:rsidR="0037671D" w:rsidRPr="0037671D" w:rsidRDefault="0037671D" w:rsidP="0037671D">
      <w:pPr>
        <w:rPr>
          <w:lang w:val="en-US"/>
        </w:rPr>
      </w:pPr>
      <w:r w:rsidRPr="0037671D">
        <w:rPr>
          <w:lang w:val="en-US"/>
        </w:rPr>
        <w:t>This chapter presents the findings, analysis, and discussion derived from the systematic review of literature on sustainability and greenwashing practices in the fashion industry. It begins with a summary of the included studies, highlighting their methodological characteristics, key themes, and relevance to the research questions. The chapter then presents a thematic analysis to identify recurring patterns and insights across the literature, followed by a narrative synthesis that integrates these findings into a coherent account. Finally, the discussion compares the synthesized evidence with the theoretical frameworks outlined in Chapter 2, critically examining how the findings support, extend, or challenge existing theory.</w:t>
      </w:r>
    </w:p>
    <w:p w14:paraId="7BCB1D2E" w14:textId="77777777" w:rsidR="00B56C66" w:rsidRPr="0037671D" w:rsidRDefault="00B56C66" w:rsidP="0037671D">
      <w:pPr>
        <w:rPr>
          <w:lang w:val="en-US"/>
        </w:rPr>
        <w:sectPr w:rsidR="00B56C66" w:rsidRPr="0037671D" w:rsidSect="001F7590">
          <w:footerReference w:type="default" r:id="rId11"/>
          <w:pgSz w:w="11906" w:h="16838" w:code="9"/>
          <w:pgMar w:top="1440" w:right="1440" w:bottom="1440" w:left="1440" w:header="708" w:footer="708" w:gutter="0"/>
          <w:cols w:space="708"/>
          <w:titlePg/>
          <w:docGrid w:linePitch="360"/>
        </w:sectPr>
      </w:pPr>
    </w:p>
    <w:p w14:paraId="3D3D9CC1" w14:textId="2FE9429F" w:rsidR="00AB6AC0" w:rsidRDefault="00AB6AC0" w:rsidP="00AB6AC0">
      <w:pPr>
        <w:pStyle w:val="Heading2"/>
        <w:rPr>
          <w:lang w:bidi="bn-IN"/>
        </w:rPr>
      </w:pPr>
      <w:bookmarkStart w:id="40" w:name="_Toc214979396"/>
      <w:r w:rsidRPr="00AB6AC0">
        <w:rPr>
          <w:lang w:bidi="bn-IN"/>
        </w:rPr>
        <w:lastRenderedPageBreak/>
        <w:t>Summary of Included Studies for the Systematic Review</w:t>
      </w:r>
      <w:bookmarkEnd w:id="40"/>
    </w:p>
    <w:p w14:paraId="79A4E064" w14:textId="0822CE20" w:rsidR="00AB6AC0" w:rsidRPr="00AB6AC0" w:rsidRDefault="00AB6AC0" w:rsidP="00AB6AC0">
      <w:pPr>
        <w:rPr>
          <w:lang w:val="en-US" w:bidi="bn-IN"/>
        </w:rPr>
      </w:pPr>
      <w:r>
        <w:t>This table presents a consolidated overview of the fifty studies that met the eligibility criteria for inclusion in the systematic review. It summarises the core bibliographic and analytical information for each article, including author(s), title, methodological approach, and the key themes identified. The themes correspond to the three research questions guiding the review and provide an initial mapping of how the literature addresses these areas. These thematic insights serve as a foundation for the subsequent, more detailed analysis that follows the summary table.</w:t>
      </w:r>
    </w:p>
    <w:p w14:paraId="283AEDBF" w14:textId="14212D60" w:rsidR="00B56C66" w:rsidRDefault="00B56C66" w:rsidP="007A6353">
      <w:pPr>
        <w:pStyle w:val="NoSpacing"/>
      </w:pPr>
      <w:bookmarkStart w:id="41" w:name="_Toc216197050"/>
      <w:r>
        <w:t xml:space="preserve">Table </w:t>
      </w:r>
      <w:r w:rsidR="00050EB0">
        <w:fldChar w:fldCharType="begin"/>
      </w:r>
      <w:r w:rsidR="00050EB0">
        <w:instrText xml:space="preserve"> SEQ Table \* ARABIC </w:instrText>
      </w:r>
      <w:r w:rsidR="00050EB0">
        <w:fldChar w:fldCharType="separate"/>
      </w:r>
      <w:r w:rsidR="00050EB0">
        <w:rPr>
          <w:noProof/>
        </w:rPr>
        <w:t>2</w:t>
      </w:r>
      <w:r w:rsidR="00050EB0">
        <w:rPr>
          <w:noProof/>
        </w:rPr>
        <w:fldChar w:fldCharType="end"/>
      </w:r>
      <w:r>
        <w:t xml:space="preserve"> Summary of the Included Articles (N = 50)</w:t>
      </w:r>
      <w:bookmarkEnd w:id="41"/>
    </w:p>
    <w:tbl>
      <w:tblPr>
        <w:tblStyle w:val="TableGridLight"/>
        <w:tblW w:w="13945" w:type="dxa"/>
        <w:tblLook w:val="04A0" w:firstRow="1" w:lastRow="0" w:firstColumn="1" w:lastColumn="0" w:noHBand="0" w:noVBand="1"/>
      </w:tblPr>
      <w:tblGrid>
        <w:gridCol w:w="843"/>
        <w:gridCol w:w="1790"/>
        <w:gridCol w:w="3881"/>
        <w:gridCol w:w="3111"/>
        <w:gridCol w:w="4320"/>
      </w:tblGrid>
      <w:tr w:rsidR="007A6353" w:rsidRPr="000845DC" w14:paraId="5B8D314B" w14:textId="77777777" w:rsidTr="007A6353">
        <w:trPr>
          <w:trHeight w:val="288"/>
        </w:trPr>
        <w:tc>
          <w:tcPr>
            <w:tcW w:w="843" w:type="dxa"/>
            <w:noWrap/>
            <w:vAlign w:val="center"/>
            <w:hideMark/>
          </w:tcPr>
          <w:p w14:paraId="58425DEA" w14:textId="77777777" w:rsidR="007A6353" w:rsidRPr="000845DC" w:rsidRDefault="007A6353" w:rsidP="00937732">
            <w:pPr>
              <w:spacing w:line="276" w:lineRule="auto"/>
              <w:jc w:val="center"/>
              <w:rPr>
                <w:rFonts w:eastAsia="Times New Roman" w:cs="Arial"/>
                <w:b/>
                <w:bCs/>
                <w:color w:val="000000"/>
                <w:lang w:val="en-US"/>
              </w:rPr>
            </w:pPr>
            <w:r w:rsidRPr="000845DC">
              <w:rPr>
                <w:rFonts w:eastAsia="Times New Roman" w:cs="Arial"/>
                <w:b/>
                <w:bCs/>
                <w:color w:val="000000"/>
                <w:lang w:val="en-US"/>
              </w:rPr>
              <w:t>Index</w:t>
            </w:r>
          </w:p>
        </w:tc>
        <w:tc>
          <w:tcPr>
            <w:tcW w:w="1790" w:type="dxa"/>
            <w:noWrap/>
            <w:vAlign w:val="center"/>
            <w:hideMark/>
          </w:tcPr>
          <w:p w14:paraId="0519BC78" w14:textId="13C6846E" w:rsidR="007A6353" w:rsidRPr="000845DC" w:rsidRDefault="00D03F60" w:rsidP="00937732">
            <w:pPr>
              <w:spacing w:line="276" w:lineRule="auto"/>
              <w:jc w:val="center"/>
              <w:rPr>
                <w:rFonts w:eastAsia="Times New Roman" w:cs="Arial"/>
                <w:b/>
                <w:bCs/>
                <w:color w:val="000000"/>
                <w:lang w:val="en-US"/>
              </w:rPr>
            </w:pPr>
            <w:r>
              <w:rPr>
                <w:rFonts w:eastAsia="Times New Roman" w:cs="Arial"/>
                <w:b/>
                <w:bCs/>
                <w:color w:val="000000"/>
                <w:lang w:val="en-US"/>
              </w:rPr>
              <w:t>Author(s)</w:t>
            </w:r>
          </w:p>
        </w:tc>
        <w:tc>
          <w:tcPr>
            <w:tcW w:w="3881" w:type="dxa"/>
            <w:vAlign w:val="center"/>
            <w:hideMark/>
          </w:tcPr>
          <w:p w14:paraId="475FEEA2" w14:textId="77777777" w:rsidR="007A6353" w:rsidRPr="000845DC" w:rsidRDefault="007A6353" w:rsidP="00937732">
            <w:pPr>
              <w:spacing w:line="276" w:lineRule="auto"/>
              <w:jc w:val="center"/>
              <w:rPr>
                <w:rFonts w:eastAsia="Times New Roman" w:cs="Arial"/>
                <w:b/>
                <w:bCs/>
                <w:color w:val="000000"/>
                <w:lang w:val="en-US"/>
              </w:rPr>
            </w:pPr>
            <w:r w:rsidRPr="000845DC">
              <w:rPr>
                <w:rFonts w:eastAsia="Times New Roman" w:cs="Arial"/>
                <w:b/>
                <w:bCs/>
                <w:color w:val="000000"/>
              </w:rPr>
              <w:t>Title</w:t>
            </w:r>
          </w:p>
        </w:tc>
        <w:tc>
          <w:tcPr>
            <w:tcW w:w="3111" w:type="dxa"/>
            <w:noWrap/>
            <w:vAlign w:val="center"/>
            <w:hideMark/>
          </w:tcPr>
          <w:p w14:paraId="465288AE" w14:textId="77777777" w:rsidR="007A6353" w:rsidRPr="000845DC" w:rsidRDefault="007A6353" w:rsidP="00937732">
            <w:pPr>
              <w:spacing w:line="276" w:lineRule="auto"/>
              <w:jc w:val="center"/>
              <w:rPr>
                <w:rFonts w:eastAsia="Times New Roman" w:cs="Arial"/>
                <w:b/>
                <w:bCs/>
                <w:color w:val="000000"/>
                <w:lang w:val="en-US"/>
              </w:rPr>
            </w:pPr>
            <w:r w:rsidRPr="000845DC">
              <w:rPr>
                <w:rFonts w:eastAsia="Times New Roman" w:cs="Arial"/>
                <w:b/>
                <w:bCs/>
                <w:color w:val="000000"/>
              </w:rPr>
              <w:t>Methodology</w:t>
            </w:r>
          </w:p>
        </w:tc>
        <w:tc>
          <w:tcPr>
            <w:tcW w:w="4320" w:type="dxa"/>
            <w:noWrap/>
            <w:vAlign w:val="center"/>
            <w:hideMark/>
          </w:tcPr>
          <w:p w14:paraId="67524E28" w14:textId="77777777" w:rsidR="007A6353" w:rsidRPr="000845DC" w:rsidRDefault="007A6353" w:rsidP="00937732">
            <w:pPr>
              <w:spacing w:line="276" w:lineRule="auto"/>
              <w:jc w:val="center"/>
              <w:rPr>
                <w:rFonts w:eastAsia="Times New Roman" w:cs="Arial"/>
                <w:b/>
                <w:bCs/>
                <w:color w:val="000000"/>
                <w:lang w:val="en-US"/>
              </w:rPr>
            </w:pPr>
            <w:r w:rsidRPr="000845DC">
              <w:rPr>
                <w:rFonts w:eastAsia="Times New Roman" w:cs="Arial"/>
                <w:b/>
                <w:bCs/>
                <w:color w:val="000000"/>
                <w:lang w:val="en-US"/>
              </w:rPr>
              <w:t>Key Themes</w:t>
            </w:r>
          </w:p>
        </w:tc>
      </w:tr>
      <w:tr w:rsidR="007A6353" w:rsidRPr="000845DC" w14:paraId="5DCE058C" w14:textId="77777777" w:rsidTr="007A6353">
        <w:trPr>
          <w:trHeight w:val="288"/>
        </w:trPr>
        <w:tc>
          <w:tcPr>
            <w:tcW w:w="843" w:type="dxa"/>
            <w:noWrap/>
            <w:vAlign w:val="center"/>
            <w:hideMark/>
          </w:tcPr>
          <w:p w14:paraId="52A8DF24"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1</w:t>
            </w:r>
          </w:p>
        </w:tc>
        <w:tc>
          <w:tcPr>
            <w:tcW w:w="1790" w:type="dxa"/>
            <w:noWrap/>
            <w:vAlign w:val="center"/>
            <w:hideMark/>
          </w:tcPr>
          <w:p w14:paraId="33853A33" w14:textId="5A819111"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 xml:space="preserve">Andria </w:t>
            </w:r>
            <w:r w:rsidR="00A7080E" w:rsidRPr="00A7080E">
              <w:rPr>
                <w:rFonts w:eastAsia="Times New Roman" w:cs="Arial"/>
                <w:i/>
                <w:iCs/>
                <w:color w:val="000000"/>
                <w:lang w:val="en-US"/>
              </w:rPr>
              <w:t>et al</w:t>
            </w:r>
            <w:r w:rsidRPr="000845DC">
              <w:rPr>
                <w:rFonts w:eastAsia="Times New Roman" w:cs="Arial"/>
                <w:color w:val="000000"/>
                <w:lang w:val="en-US"/>
              </w:rPr>
              <w:t>. (2023)</w:t>
            </w:r>
          </w:p>
        </w:tc>
        <w:tc>
          <w:tcPr>
            <w:tcW w:w="3881" w:type="dxa"/>
            <w:noWrap/>
            <w:vAlign w:val="center"/>
            <w:hideMark/>
          </w:tcPr>
          <w:p w14:paraId="1916935E"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Encouraging Consumption Enhancement: Green Marketing Mix Study with Customer Satisfaction in Indonesians Sustainable Fashion</w:t>
            </w:r>
          </w:p>
        </w:tc>
        <w:tc>
          <w:tcPr>
            <w:tcW w:w="3111" w:type="dxa"/>
            <w:noWrap/>
            <w:vAlign w:val="center"/>
            <w:hideMark/>
          </w:tcPr>
          <w:p w14:paraId="122032A6"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 xml:space="preserve">Descriptive &amp; exploratory methods; classification &amp; clustering analysis (R-Studio, </w:t>
            </w:r>
            <w:proofErr w:type="spellStart"/>
            <w:r w:rsidRPr="000845DC">
              <w:rPr>
                <w:rFonts w:eastAsia="Times New Roman" w:cs="Arial"/>
                <w:color w:val="000000"/>
              </w:rPr>
              <w:t>Rapidminer</w:t>
            </w:r>
            <w:proofErr w:type="spellEnd"/>
            <w:r w:rsidRPr="000845DC">
              <w:rPr>
                <w:rFonts w:eastAsia="Times New Roman" w:cs="Arial"/>
                <w:color w:val="000000"/>
              </w:rPr>
              <w:t>)</w:t>
            </w:r>
          </w:p>
        </w:tc>
        <w:tc>
          <w:tcPr>
            <w:tcW w:w="4320" w:type="dxa"/>
            <w:noWrap/>
            <w:vAlign w:val="center"/>
            <w:hideMark/>
          </w:tcPr>
          <w:p w14:paraId="7843D84D"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Green marketing mix; consumer satisfaction; sustainable fashion adoption (RQ1)</w:t>
            </w:r>
          </w:p>
        </w:tc>
      </w:tr>
      <w:tr w:rsidR="007A6353" w:rsidRPr="000845DC" w14:paraId="4502FF7B" w14:textId="77777777" w:rsidTr="007A6353">
        <w:trPr>
          <w:trHeight w:val="288"/>
        </w:trPr>
        <w:tc>
          <w:tcPr>
            <w:tcW w:w="843" w:type="dxa"/>
            <w:noWrap/>
            <w:vAlign w:val="center"/>
            <w:hideMark/>
          </w:tcPr>
          <w:p w14:paraId="43B7A433"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2</w:t>
            </w:r>
          </w:p>
        </w:tc>
        <w:tc>
          <w:tcPr>
            <w:tcW w:w="1790" w:type="dxa"/>
            <w:noWrap/>
            <w:vAlign w:val="center"/>
            <w:hideMark/>
          </w:tcPr>
          <w:p w14:paraId="77231848" w14:textId="21715C88"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 xml:space="preserve">Boateng </w:t>
            </w:r>
            <w:r w:rsidR="00A7080E" w:rsidRPr="00A7080E">
              <w:rPr>
                <w:rFonts w:eastAsia="Times New Roman" w:cs="Arial"/>
                <w:i/>
                <w:iCs/>
                <w:color w:val="000000"/>
                <w:lang w:val="en-US"/>
              </w:rPr>
              <w:t>et al</w:t>
            </w:r>
            <w:r w:rsidRPr="000845DC">
              <w:rPr>
                <w:rFonts w:eastAsia="Times New Roman" w:cs="Arial"/>
                <w:color w:val="000000"/>
                <w:lang w:val="en-US"/>
              </w:rPr>
              <w:t>. (2025)</w:t>
            </w:r>
          </w:p>
        </w:tc>
        <w:tc>
          <w:tcPr>
            <w:tcW w:w="3881" w:type="dxa"/>
            <w:noWrap/>
            <w:vAlign w:val="center"/>
            <w:hideMark/>
          </w:tcPr>
          <w:p w14:paraId="1867879B"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Unravelling the motivations for the environmental harm posed by the unsustainable practices by the apparel industry in Ghana</w:t>
            </w:r>
          </w:p>
        </w:tc>
        <w:tc>
          <w:tcPr>
            <w:tcW w:w="3111" w:type="dxa"/>
            <w:noWrap/>
            <w:vAlign w:val="center"/>
            <w:hideMark/>
          </w:tcPr>
          <w:p w14:paraId="56CA0C1D"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Qualitative interviews (n=25 designers); RAT framework</w:t>
            </w:r>
          </w:p>
        </w:tc>
        <w:tc>
          <w:tcPr>
            <w:tcW w:w="4320" w:type="dxa"/>
            <w:noWrap/>
            <w:vAlign w:val="center"/>
            <w:hideMark/>
          </w:tcPr>
          <w:p w14:paraId="203FA754"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Unsustainable practices &amp; greenwashing as barrier; enforcement gaps; need for credible sustainability strategies (RQ2 / RQ3)</w:t>
            </w:r>
          </w:p>
        </w:tc>
      </w:tr>
      <w:tr w:rsidR="007A6353" w:rsidRPr="000845DC" w14:paraId="4F7A6AAC" w14:textId="77777777" w:rsidTr="007A6353">
        <w:trPr>
          <w:trHeight w:val="288"/>
        </w:trPr>
        <w:tc>
          <w:tcPr>
            <w:tcW w:w="843" w:type="dxa"/>
            <w:noWrap/>
            <w:vAlign w:val="center"/>
            <w:hideMark/>
          </w:tcPr>
          <w:p w14:paraId="1F0FF3D8"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3</w:t>
            </w:r>
          </w:p>
        </w:tc>
        <w:tc>
          <w:tcPr>
            <w:tcW w:w="1790" w:type="dxa"/>
            <w:noWrap/>
            <w:vAlign w:val="center"/>
            <w:hideMark/>
          </w:tcPr>
          <w:p w14:paraId="420A56FF" w14:textId="77777777"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Brugman</w:t>
            </w:r>
            <w:proofErr w:type="spellEnd"/>
            <w:r w:rsidRPr="000845DC">
              <w:rPr>
                <w:rFonts w:eastAsia="Times New Roman" w:cs="Arial"/>
                <w:color w:val="000000"/>
                <w:lang w:val="en-US"/>
              </w:rPr>
              <w:t xml:space="preserve">, van </w:t>
            </w:r>
            <w:proofErr w:type="spellStart"/>
            <w:r w:rsidRPr="000845DC">
              <w:rPr>
                <w:rFonts w:eastAsia="Times New Roman" w:cs="Arial"/>
                <w:color w:val="000000"/>
                <w:lang w:val="en-US"/>
              </w:rPr>
              <w:t>Huijstee</w:t>
            </w:r>
            <w:proofErr w:type="spellEnd"/>
            <w:r w:rsidRPr="000845DC">
              <w:rPr>
                <w:rFonts w:eastAsia="Times New Roman" w:cs="Arial"/>
                <w:color w:val="000000"/>
                <w:lang w:val="en-US"/>
              </w:rPr>
              <w:t xml:space="preserve"> &amp; Droog (2024)</w:t>
            </w:r>
          </w:p>
        </w:tc>
        <w:tc>
          <w:tcPr>
            <w:tcW w:w="3881" w:type="dxa"/>
            <w:noWrap/>
            <w:vAlign w:val="center"/>
            <w:hideMark/>
          </w:tcPr>
          <w:p w14:paraId="21B850F3"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Debunking the corporate paint shop: Examining the effects of misleading corporate social responsibility claims on social media</w:t>
            </w:r>
          </w:p>
        </w:tc>
        <w:tc>
          <w:tcPr>
            <w:tcW w:w="3111" w:type="dxa"/>
            <w:noWrap/>
            <w:vAlign w:val="center"/>
            <w:hideMark/>
          </w:tcPr>
          <w:p w14:paraId="37064BB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Preregistered 2×3 between-subjects online experiment (N=657, UK)</w:t>
            </w:r>
          </w:p>
        </w:tc>
        <w:tc>
          <w:tcPr>
            <w:tcW w:w="4320" w:type="dxa"/>
            <w:noWrap/>
            <w:vAlign w:val="center"/>
            <w:hideMark/>
          </w:tcPr>
          <w:p w14:paraId="0793E30F"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CSR-washing (green/blue/</w:t>
            </w:r>
            <w:proofErr w:type="spellStart"/>
            <w:r w:rsidRPr="000845DC">
              <w:rPr>
                <w:rFonts w:eastAsia="Times New Roman" w:cs="Arial"/>
                <w:color w:val="000000"/>
                <w:lang w:val="en-US"/>
              </w:rPr>
              <w:t>purplewashing</w:t>
            </w:r>
            <w:proofErr w:type="spellEnd"/>
            <w:r w:rsidRPr="000845DC">
              <w:rPr>
                <w:rFonts w:eastAsia="Times New Roman" w:cs="Arial"/>
                <w:color w:val="000000"/>
                <w:lang w:val="en-US"/>
              </w:rPr>
              <w:t>); effectiveness of debunks; reduced purchase intentions; correcting misleading sustainability claims (RQ2)</w:t>
            </w:r>
          </w:p>
        </w:tc>
      </w:tr>
      <w:tr w:rsidR="007A6353" w:rsidRPr="000845DC" w14:paraId="17C871F0" w14:textId="77777777" w:rsidTr="007A6353">
        <w:trPr>
          <w:trHeight w:val="288"/>
        </w:trPr>
        <w:tc>
          <w:tcPr>
            <w:tcW w:w="843" w:type="dxa"/>
            <w:noWrap/>
            <w:vAlign w:val="center"/>
            <w:hideMark/>
          </w:tcPr>
          <w:p w14:paraId="265B397A"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lastRenderedPageBreak/>
              <w:t>4</w:t>
            </w:r>
          </w:p>
        </w:tc>
        <w:tc>
          <w:tcPr>
            <w:tcW w:w="1790" w:type="dxa"/>
            <w:noWrap/>
            <w:vAlign w:val="center"/>
            <w:hideMark/>
          </w:tcPr>
          <w:p w14:paraId="14B8D3DE"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Brydges, Henninger &amp; Hanlon (2022)</w:t>
            </w:r>
          </w:p>
        </w:tc>
        <w:tc>
          <w:tcPr>
            <w:tcW w:w="3881" w:type="dxa"/>
            <w:noWrap/>
            <w:vAlign w:val="center"/>
            <w:hideMark/>
          </w:tcPr>
          <w:p w14:paraId="11A49743"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Selling sustainability: investigating how Swedish fashion brands communicate sustainability to consumers</w:t>
            </w:r>
          </w:p>
        </w:tc>
        <w:tc>
          <w:tcPr>
            <w:tcW w:w="3111" w:type="dxa"/>
            <w:noWrap/>
            <w:vAlign w:val="center"/>
            <w:hideMark/>
          </w:tcPr>
          <w:p w14:paraId="724B8DE0"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Multi-site communication analysis (websites/CSR, social media, in-store)</w:t>
            </w:r>
          </w:p>
        </w:tc>
        <w:tc>
          <w:tcPr>
            <w:tcW w:w="4320" w:type="dxa"/>
            <w:noWrap/>
            <w:vAlign w:val="center"/>
            <w:hideMark/>
          </w:tcPr>
          <w:p w14:paraId="578EAE7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Varied/ambiguous definitions of “sustainability”; history of greenwashing and call for clearer standards; authenticity of narratives (RQ2 / RQ3)</w:t>
            </w:r>
          </w:p>
        </w:tc>
      </w:tr>
      <w:tr w:rsidR="007A6353" w:rsidRPr="000845DC" w14:paraId="26807997" w14:textId="77777777" w:rsidTr="007A6353">
        <w:trPr>
          <w:trHeight w:val="288"/>
        </w:trPr>
        <w:tc>
          <w:tcPr>
            <w:tcW w:w="843" w:type="dxa"/>
            <w:noWrap/>
            <w:vAlign w:val="center"/>
            <w:hideMark/>
          </w:tcPr>
          <w:p w14:paraId="7FC7C213"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5</w:t>
            </w:r>
          </w:p>
        </w:tc>
        <w:tc>
          <w:tcPr>
            <w:tcW w:w="1790" w:type="dxa"/>
            <w:noWrap/>
            <w:vAlign w:val="center"/>
            <w:hideMark/>
          </w:tcPr>
          <w:p w14:paraId="2D6D5474"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Burnstine &amp; Ghattas (2025)</w:t>
            </w:r>
          </w:p>
        </w:tc>
        <w:tc>
          <w:tcPr>
            <w:tcW w:w="3881" w:type="dxa"/>
            <w:noWrap/>
            <w:vAlign w:val="center"/>
            <w:hideMark/>
          </w:tcPr>
          <w:p w14:paraId="564DC23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Assessing the Sustainable Circular Fashion Supply Chain as a Model for Achieving Economic Growth in the Global Market</w:t>
            </w:r>
          </w:p>
        </w:tc>
        <w:tc>
          <w:tcPr>
            <w:tcW w:w="3111" w:type="dxa"/>
            <w:noWrap/>
            <w:vAlign w:val="center"/>
            <w:hideMark/>
          </w:tcPr>
          <w:p w14:paraId="00210DFB"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Conceptual framework + illustrative case studies (brands &amp; policy)</w:t>
            </w:r>
          </w:p>
        </w:tc>
        <w:tc>
          <w:tcPr>
            <w:tcW w:w="4320" w:type="dxa"/>
            <w:noWrap/>
            <w:vAlign w:val="center"/>
            <w:hideMark/>
          </w:tcPr>
          <w:p w14:paraId="0F2200AC"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Circularity vs. systemic greenwashing; waste colonialism; transparency; policy shift beyond incrementalism (RQ3)</w:t>
            </w:r>
          </w:p>
        </w:tc>
      </w:tr>
      <w:tr w:rsidR="007A6353" w:rsidRPr="000845DC" w14:paraId="0B1DE3A7" w14:textId="77777777" w:rsidTr="007A6353">
        <w:trPr>
          <w:trHeight w:val="288"/>
        </w:trPr>
        <w:tc>
          <w:tcPr>
            <w:tcW w:w="843" w:type="dxa"/>
            <w:noWrap/>
            <w:vAlign w:val="center"/>
            <w:hideMark/>
          </w:tcPr>
          <w:p w14:paraId="29C5530E"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6</w:t>
            </w:r>
          </w:p>
        </w:tc>
        <w:tc>
          <w:tcPr>
            <w:tcW w:w="1790" w:type="dxa"/>
            <w:noWrap/>
            <w:vAlign w:val="center"/>
            <w:hideMark/>
          </w:tcPr>
          <w:p w14:paraId="12100ACB" w14:textId="76600C8A"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 xml:space="preserve">Crapa </w:t>
            </w:r>
            <w:r w:rsidR="00A7080E" w:rsidRPr="00A7080E">
              <w:rPr>
                <w:rFonts w:eastAsia="Times New Roman" w:cs="Arial"/>
                <w:i/>
                <w:iCs/>
                <w:color w:val="000000"/>
                <w:lang w:val="en-US"/>
              </w:rPr>
              <w:t>et al</w:t>
            </w:r>
            <w:r w:rsidRPr="000845DC">
              <w:rPr>
                <w:rFonts w:eastAsia="Times New Roman" w:cs="Arial"/>
                <w:color w:val="000000"/>
                <w:lang w:val="en-US"/>
              </w:rPr>
              <w:t>. (2025)</w:t>
            </w:r>
          </w:p>
        </w:tc>
        <w:tc>
          <w:tcPr>
            <w:tcW w:w="3881" w:type="dxa"/>
            <w:noWrap/>
            <w:vAlign w:val="center"/>
            <w:hideMark/>
          </w:tcPr>
          <w:p w14:paraId="0C7AC4E6"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The influence of NGO-corporate relationship on environmental disclosure: Evidence from the fashion industry</w:t>
            </w:r>
          </w:p>
        </w:tc>
        <w:tc>
          <w:tcPr>
            <w:tcW w:w="3111" w:type="dxa"/>
            <w:noWrap/>
            <w:vAlign w:val="center"/>
            <w:hideMark/>
          </w:tcPr>
          <w:p w14:paraId="5CE0530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Qualitative longitudinal study; interviews (Greenpeace Detox lead) + corporate comms content analysis</w:t>
            </w:r>
          </w:p>
        </w:tc>
        <w:tc>
          <w:tcPr>
            <w:tcW w:w="4320" w:type="dxa"/>
            <w:noWrap/>
            <w:vAlign w:val="center"/>
            <w:hideMark/>
          </w:tcPr>
          <w:p w14:paraId="24DE9C46"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NGO pressure &amp; greenwashing risk; conflict vs. collaboration effects on disclosure quality; activism intensity; selective transparency (RQ3)</w:t>
            </w:r>
          </w:p>
        </w:tc>
      </w:tr>
      <w:tr w:rsidR="007A6353" w:rsidRPr="000845DC" w14:paraId="6F1088AC" w14:textId="77777777" w:rsidTr="007A6353">
        <w:trPr>
          <w:trHeight w:val="288"/>
        </w:trPr>
        <w:tc>
          <w:tcPr>
            <w:tcW w:w="843" w:type="dxa"/>
            <w:noWrap/>
            <w:vAlign w:val="center"/>
            <w:hideMark/>
          </w:tcPr>
          <w:p w14:paraId="14B33651"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7</w:t>
            </w:r>
          </w:p>
        </w:tc>
        <w:tc>
          <w:tcPr>
            <w:tcW w:w="1790" w:type="dxa"/>
            <w:noWrap/>
            <w:vAlign w:val="center"/>
            <w:hideMark/>
          </w:tcPr>
          <w:p w14:paraId="3A378131"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Dalecki (2023)</w:t>
            </w:r>
          </w:p>
        </w:tc>
        <w:tc>
          <w:tcPr>
            <w:tcW w:w="3881" w:type="dxa"/>
            <w:noWrap/>
            <w:vAlign w:val="center"/>
            <w:hideMark/>
          </w:tcPr>
          <w:p w14:paraId="7E63FE60" w14:textId="77777777" w:rsidR="007A6353" w:rsidRPr="000845DC" w:rsidRDefault="007A6353" w:rsidP="00937732">
            <w:pPr>
              <w:spacing w:line="276" w:lineRule="auto"/>
              <w:jc w:val="left"/>
              <w:rPr>
                <w:rFonts w:eastAsia="Times New Roman" w:cs="Arial"/>
                <w:color w:val="000000"/>
                <w:lang w:val="en-US"/>
              </w:rPr>
            </w:pPr>
            <w:proofErr w:type="spellStart"/>
            <w:r w:rsidRPr="000845DC">
              <w:rPr>
                <w:rFonts w:eastAsia="Times New Roman" w:cs="Arial"/>
                <w:color w:val="000000"/>
              </w:rPr>
              <w:t>Ecotton</w:t>
            </w:r>
            <w:proofErr w:type="spellEnd"/>
            <w:r w:rsidRPr="000845DC">
              <w:rPr>
                <w:rFonts w:eastAsia="Times New Roman" w:cs="Arial"/>
                <w:color w:val="000000"/>
              </w:rPr>
              <w:t xml:space="preserve">: Rebranding a </w:t>
            </w:r>
            <w:proofErr w:type="spellStart"/>
            <w:r w:rsidRPr="000845DC">
              <w:rPr>
                <w:rFonts w:eastAsia="Times New Roman" w:cs="Arial"/>
                <w:color w:val="000000"/>
              </w:rPr>
              <w:t>substantiable</w:t>
            </w:r>
            <w:proofErr w:type="spellEnd"/>
            <w:r w:rsidRPr="000845DC">
              <w:rPr>
                <w:rFonts w:eastAsia="Times New Roman" w:cs="Arial"/>
                <w:color w:val="000000"/>
              </w:rPr>
              <w:t>, sustainable ingredient brand</w:t>
            </w:r>
          </w:p>
        </w:tc>
        <w:tc>
          <w:tcPr>
            <w:tcW w:w="3111" w:type="dxa"/>
            <w:noWrap/>
            <w:vAlign w:val="center"/>
            <w:hideMark/>
          </w:tcPr>
          <w:p w14:paraId="5D22B750"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Managerial case study (B2B rebrand)</w:t>
            </w:r>
          </w:p>
        </w:tc>
        <w:tc>
          <w:tcPr>
            <w:tcW w:w="4320" w:type="dxa"/>
            <w:noWrap/>
            <w:vAlign w:val="center"/>
            <w:hideMark/>
          </w:tcPr>
          <w:p w14:paraId="17DF5D71"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 xml:space="preserve">Overcoming greenwashing </w:t>
            </w:r>
            <w:proofErr w:type="spellStart"/>
            <w:r w:rsidRPr="000845DC">
              <w:rPr>
                <w:rFonts w:eastAsia="Times New Roman" w:cs="Arial"/>
                <w:color w:val="000000"/>
                <w:lang w:val="en-US"/>
              </w:rPr>
              <w:t>scepticism</w:t>
            </w:r>
            <w:proofErr w:type="spellEnd"/>
            <w:r w:rsidRPr="000845DC">
              <w:rPr>
                <w:rFonts w:eastAsia="Times New Roman" w:cs="Arial"/>
                <w:color w:val="000000"/>
                <w:lang w:val="en-US"/>
              </w:rPr>
              <w:t>; proof vs. mere certification; litigation/regulatory pressure; authenticity/verification of claims (RQ2 / RQ3)</w:t>
            </w:r>
          </w:p>
        </w:tc>
      </w:tr>
      <w:tr w:rsidR="007A6353" w:rsidRPr="000845DC" w14:paraId="5A170BE1" w14:textId="77777777" w:rsidTr="007A6353">
        <w:trPr>
          <w:trHeight w:val="288"/>
        </w:trPr>
        <w:tc>
          <w:tcPr>
            <w:tcW w:w="843" w:type="dxa"/>
            <w:noWrap/>
            <w:vAlign w:val="center"/>
            <w:hideMark/>
          </w:tcPr>
          <w:p w14:paraId="68581968"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8</w:t>
            </w:r>
          </w:p>
        </w:tc>
        <w:tc>
          <w:tcPr>
            <w:tcW w:w="1790" w:type="dxa"/>
            <w:noWrap/>
            <w:vAlign w:val="center"/>
            <w:hideMark/>
          </w:tcPr>
          <w:p w14:paraId="16D38C6A" w14:textId="406D253C" w:rsidR="007A6353" w:rsidRPr="000845DC" w:rsidRDefault="007A6353" w:rsidP="00937732">
            <w:pPr>
              <w:spacing w:line="276" w:lineRule="auto"/>
              <w:jc w:val="center"/>
              <w:rPr>
                <w:rFonts w:eastAsia="Times New Roman" w:cs="Arial"/>
                <w:color w:val="000000"/>
                <w:lang w:val="nl-NL"/>
              </w:rPr>
            </w:pPr>
            <w:r w:rsidRPr="000845DC">
              <w:rPr>
                <w:rFonts w:eastAsia="Times New Roman" w:cs="Arial"/>
                <w:color w:val="000000"/>
                <w:lang w:val="nl-NL"/>
              </w:rPr>
              <w:t xml:space="preserve">de Magalhães Silva </w:t>
            </w:r>
            <w:r w:rsidR="00A7080E" w:rsidRPr="00A7080E">
              <w:rPr>
                <w:rFonts w:eastAsia="Times New Roman" w:cs="Arial"/>
                <w:i/>
                <w:iCs/>
                <w:color w:val="000000"/>
                <w:lang w:val="nl-NL"/>
              </w:rPr>
              <w:t>et al</w:t>
            </w:r>
            <w:r w:rsidRPr="000845DC">
              <w:rPr>
                <w:rFonts w:eastAsia="Times New Roman" w:cs="Arial"/>
                <w:color w:val="000000"/>
                <w:lang w:val="nl-NL"/>
              </w:rPr>
              <w:t>. (2025)</w:t>
            </w:r>
          </w:p>
        </w:tc>
        <w:tc>
          <w:tcPr>
            <w:tcW w:w="3881" w:type="dxa"/>
            <w:noWrap/>
            <w:vAlign w:val="center"/>
            <w:hideMark/>
          </w:tcPr>
          <w:p w14:paraId="4CBE8BFC"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Greenwashing and the preservation of corporate identity: A study of ESG actions in luxury fashion</w:t>
            </w:r>
          </w:p>
        </w:tc>
        <w:tc>
          <w:tcPr>
            <w:tcW w:w="3111" w:type="dxa"/>
            <w:noWrap/>
            <w:vAlign w:val="center"/>
            <w:hideMark/>
          </w:tcPr>
          <w:p w14:paraId="450D1558"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Qualitative discourse analysis (IRaMuTeQ) of ESG communication by luxury groups</w:t>
            </w:r>
          </w:p>
        </w:tc>
        <w:tc>
          <w:tcPr>
            <w:tcW w:w="4320" w:type="dxa"/>
            <w:noWrap/>
            <w:vAlign w:val="center"/>
            <w:hideMark/>
          </w:tcPr>
          <w:p w14:paraId="21F89FCC"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ESG disclosure authenticity; corporate identity vs. greenwashing; transparency; stakeholder engagement; accountability (RQ3)</w:t>
            </w:r>
          </w:p>
        </w:tc>
      </w:tr>
      <w:tr w:rsidR="007A6353" w:rsidRPr="000845DC" w14:paraId="548BC5B1" w14:textId="77777777" w:rsidTr="007A6353">
        <w:trPr>
          <w:trHeight w:val="288"/>
        </w:trPr>
        <w:tc>
          <w:tcPr>
            <w:tcW w:w="843" w:type="dxa"/>
            <w:noWrap/>
            <w:vAlign w:val="center"/>
            <w:hideMark/>
          </w:tcPr>
          <w:p w14:paraId="412FAE79"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lastRenderedPageBreak/>
              <w:t>9</w:t>
            </w:r>
          </w:p>
        </w:tc>
        <w:tc>
          <w:tcPr>
            <w:tcW w:w="1790" w:type="dxa"/>
            <w:noWrap/>
            <w:vAlign w:val="center"/>
            <w:hideMark/>
          </w:tcPr>
          <w:p w14:paraId="5D453BD6" w14:textId="73499AAC"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Díaz-Bustamante-Ventisca</w:t>
            </w:r>
            <w:proofErr w:type="spellEnd"/>
            <w:r w:rsidRPr="000845DC">
              <w:rPr>
                <w:rFonts w:eastAsia="Times New Roman" w:cs="Arial"/>
                <w:color w:val="000000"/>
                <w:lang w:val="en-US"/>
              </w:rPr>
              <w:t xml:space="preserve"> </w:t>
            </w:r>
            <w:r w:rsidR="00A7080E" w:rsidRPr="00A7080E">
              <w:rPr>
                <w:rFonts w:eastAsia="Times New Roman" w:cs="Arial"/>
                <w:i/>
                <w:iCs/>
                <w:color w:val="000000"/>
                <w:lang w:val="en-US"/>
              </w:rPr>
              <w:t>et al</w:t>
            </w:r>
            <w:r w:rsidRPr="000845DC">
              <w:rPr>
                <w:rFonts w:eastAsia="Times New Roman" w:cs="Arial"/>
                <w:color w:val="000000"/>
                <w:lang w:val="en-US"/>
              </w:rPr>
              <w:t>. (2025)</w:t>
            </w:r>
          </w:p>
        </w:tc>
        <w:tc>
          <w:tcPr>
            <w:tcW w:w="3881" w:type="dxa"/>
            <w:noWrap/>
            <w:vAlign w:val="center"/>
            <w:hideMark/>
          </w:tcPr>
          <w:p w14:paraId="44155F74"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 xml:space="preserve">Greenwashing perception in Spanish fast-fashion brands’ communication: </w:t>
            </w:r>
            <w:proofErr w:type="spellStart"/>
            <w:r w:rsidRPr="000845DC">
              <w:rPr>
                <w:rFonts w:eastAsia="Times New Roman" w:cs="Arial"/>
                <w:color w:val="000000"/>
              </w:rPr>
              <w:t>modelling</w:t>
            </w:r>
            <w:proofErr w:type="spellEnd"/>
            <w:r w:rsidRPr="000845DC">
              <w:rPr>
                <w:rFonts w:eastAsia="Times New Roman" w:cs="Arial"/>
                <w:color w:val="000000"/>
              </w:rPr>
              <w:t xml:space="preserve"> sustainable </w:t>
            </w:r>
            <w:proofErr w:type="spellStart"/>
            <w:r w:rsidRPr="000845DC">
              <w:rPr>
                <w:rFonts w:eastAsia="Times New Roman" w:cs="Arial"/>
                <w:color w:val="000000"/>
              </w:rPr>
              <w:t>behaviours</w:t>
            </w:r>
            <w:proofErr w:type="spellEnd"/>
            <w:r w:rsidRPr="000845DC">
              <w:rPr>
                <w:rFonts w:eastAsia="Times New Roman" w:cs="Arial"/>
                <w:color w:val="000000"/>
              </w:rPr>
              <w:t xml:space="preserve"> and attitudes</w:t>
            </w:r>
          </w:p>
        </w:tc>
        <w:tc>
          <w:tcPr>
            <w:tcW w:w="3111" w:type="dxa"/>
            <w:noWrap/>
            <w:vAlign w:val="center"/>
            <w:hideMark/>
          </w:tcPr>
          <w:p w14:paraId="02FBAF66"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Cross-sectional online survey; modelling links between perception and behaviour</w:t>
            </w:r>
          </w:p>
        </w:tc>
        <w:tc>
          <w:tcPr>
            <w:tcW w:w="4320" w:type="dxa"/>
            <w:noWrap/>
            <w:vAlign w:val="center"/>
            <w:hideMark/>
          </w:tcPr>
          <w:p w14:paraId="0C848FC2"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 xml:space="preserve">Consumer perception of greenwashing; effects of influencer/website campaigns; </w:t>
            </w:r>
            <w:proofErr w:type="spellStart"/>
            <w:r w:rsidRPr="000845DC">
              <w:rPr>
                <w:rFonts w:eastAsia="Times New Roman" w:cs="Arial"/>
                <w:color w:val="000000"/>
                <w:lang w:val="en-US"/>
              </w:rPr>
              <w:t>scepticism</w:t>
            </w:r>
            <w:proofErr w:type="spellEnd"/>
            <w:r w:rsidRPr="000845DC">
              <w:rPr>
                <w:rFonts w:eastAsia="Times New Roman" w:cs="Arial"/>
                <w:color w:val="000000"/>
                <w:lang w:val="en-US"/>
              </w:rPr>
              <w:t>; links to sustainable behaviour (RQ2)</w:t>
            </w:r>
          </w:p>
        </w:tc>
      </w:tr>
      <w:tr w:rsidR="007A6353" w:rsidRPr="000845DC" w14:paraId="3D63157C" w14:textId="77777777" w:rsidTr="007A6353">
        <w:trPr>
          <w:trHeight w:val="288"/>
        </w:trPr>
        <w:tc>
          <w:tcPr>
            <w:tcW w:w="843" w:type="dxa"/>
            <w:noWrap/>
            <w:vAlign w:val="center"/>
            <w:hideMark/>
          </w:tcPr>
          <w:p w14:paraId="112BFB53"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10</w:t>
            </w:r>
          </w:p>
        </w:tc>
        <w:tc>
          <w:tcPr>
            <w:tcW w:w="1790" w:type="dxa"/>
            <w:noWrap/>
            <w:vAlign w:val="center"/>
            <w:hideMark/>
          </w:tcPr>
          <w:p w14:paraId="5F555626" w14:textId="77CD0FC2"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 xml:space="preserve">Do </w:t>
            </w:r>
            <w:r w:rsidR="00A7080E" w:rsidRPr="00A7080E">
              <w:rPr>
                <w:rFonts w:eastAsia="Times New Roman" w:cs="Arial"/>
                <w:i/>
                <w:iCs/>
                <w:color w:val="000000"/>
                <w:lang w:val="en-US"/>
              </w:rPr>
              <w:t>et al</w:t>
            </w:r>
            <w:r w:rsidRPr="000845DC">
              <w:rPr>
                <w:rFonts w:eastAsia="Times New Roman" w:cs="Arial"/>
                <w:color w:val="000000"/>
                <w:lang w:val="en-US"/>
              </w:rPr>
              <w:t>. (2025)</w:t>
            </w:r>
          </w:p>
        </w:tc>
        <w:tc>
          <w:tcPr>
            <w:tcW w:w="3881" w:type="dxa"/>
            <w:noWrap/>
            <w:vAlign w:val="center"/>
            <w:hideMark/>
          </w:tcPr>
          <w:p w14:paraId="67D6D614"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Antecedents of Gen Z’s green purchase intention in Vietnam’s fashion industry with the moderating role of greenwash perception</w:t>
            </w:r>
          </w:p>
        </w:tc>
        <w:tc>
          <w:tcPr>
            <w:tcW w:w="3111" w:type="dxa"/>
            <w:noWrap/>
            <w:vAlign w:val="center"/>
            <w:hideMark/>
          </w:tcPr>
          <w:p w14:paraId="37DFBB25"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Survey (n=467); SEM with bootstrapping</w:t>
            </w:r>
          </w:p>
        </w:tc>
        <w:tc>
          <w:tcPr>
            <w:tcW w:w="4320" w:type="dxa"/>
            <w:noWrap/>
            <w:vAlign w:val="center"/>
            <w:hideMark/>
          </w:tcPr>
          <w:p w14:paraId="1D1B5A47"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Greenwash perception as negative moderator; transparency, third-party certification; authentic communication (RQ2 / RQ3)</w:t>
            </w:r>
          </w:p>
        </w:tc>
      </w:tr>
      <w:tr w:rsidR="007A6353" w:rsidRPr="000845DC" w14:paraId="4D165929" w14:textId="77777777" w:rsidTr="007A6353">
        <w:trPr>
          <w:trHeight w:val="288"/>
        </w:trPr>
        <w:tc>
          <w:tcPr>
            <w:tcW w:w="843" w:type="dxa"/>
            <w:noWrap/>
            <w:vAlign w:val="center"/>
            <w:hideMark/>
          </w:tcPr>
          <w:p w14:paraId="1D3BF8A9"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11</w:t>
            </w:r>
          </w:p>
        </w:tc>
        <w:tc>
          <w:tcPr>
            <w:tcW w:w="1790" w:type="dxa"/>
            <w:noWrap/>
            <w:vAlign w:val="center"/>
            <w:hideMark/>
          </w:tcPr>
          <w:p w14:paraId="20BF313B"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Dobos &amp; Éltető (2023)</w:t>
            </w:r>
          </w:p>
        </w:tc>
        <w:tc>
          <w:tcPr>
            <w:tcW w:w="3881" w:type="dxa"/>
            <w:noWrap/>
            <w:vAlign w:val="center"/>
            <w:hideMark/>
          </w:tcPr>
          <w:p w14:paraId="61D062FF"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Regulation of the fashion supply chains and the sustainability–growth balance</w:t>
            </w:r>
          </w:p>
        </w:tc>
        <w:tc>
          <w:tcPr>
            <w:tcW w:w="3111" w:type="dxa"/>
            <w:noWrap/>
            <w:vAlign w:val="center"/>
            <w:hideMark/>
          </w:tcPr>
          <w:p w14:paraId="1272C42E"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Documentary analysis + single-firm case</w:t>
            </w:r>
          </w:p>
        </w:tc>
        <w:tc>
          <w:tcPr>
            <w:tcW w:w="4320" w:type="dxa"/>
            <w:noWrap/>
            <w:vAlign w:val="center"/>
            <w:hideMark/>
          </w:tcPr>
          <w:p w14:paraId="57DCCFA2"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Misleading/exaggerated claims; regulatory gaps; monitoring/oversight proposals; growth vs. genuine sustainability (RQ2)</w:t>
            </w:r>
          </w:p>
        </w:tc>
      </w:tr>
      <w:tr w:rsidR="007A6353" w:rsidRPr="000845DC" w14:paraId="7D797BAC" w14:textId="77777777" w:rsidTr="007A6353">
        <w:trPr>
          <w:trHeight w:val="288"/>
        </w:trPr>
        <w:tc>
          <w:tcPr>
            <w:tcW w:w="843" w:type="dxa"/>
            <w:noWrap/>
            <w:vAlign w:val="center"/>
            <w:hideMark/>
          </w:tcPr>
          <w:p w14:paraId="6D675588"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12</w:t>
            </w:r>
          </w:p>
        </w:tc>
        <w:tc>
          <w:tcPr>
            <w:tcW w:w="1790" w:type="dxa"/>
            <w:noWrap/>
            <w:vAlign w:val="center"/>
            <w:hideMark/>
          </w:tcPr>
          <w:p w14:paraId="304921DE"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Eppinger (2022)</w:t>
            </w:r>
          </w:p>
        </w:tc>
        <w:tc>
          <w:tcPr>
            <w:tcW w:w="3881" w:type="dxa"/>
            <w:noWrap/>
            <w:vAlign w:val="center"/>
            <w:hideMark/>
          </w:tcPr>
          <w:p w14:paraId="00A50503"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Recycling technologies for enabling sustainability transitions of the fashion industry</w:t>
            </w:r>
          </w:p>
        </w:tc>
        <w:tc>
          <w:tcPr>
            <w:tcW w:w="3111" w:type="dxa"/>
            <w:noWrap/>
            <w:vAlign w:val="center"/>
            <w:hideMark/>
          </w:tcPr>
          <w:p w14:paraId="55BE02E1"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Case studies + expert interviews</w:t>
            </w:r>
          </w:p>
        </w:tc>
        <w:tc>
          <w:tcPr>
            <w:tcW w:w="4320" w:type="dxa"/>
            <w:noWrap/>
            <w:vAlign w:val="center"/>
            <w:hideMark/>
          </w:tcPr>
          <w:p w14:paraId="758153D1"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Greenwashing via recycled PET bottle narratives; incentive distortion; transparency standards in recycling claims (RQ2)</w:t>
            </w:r>
          </w:p>
        </w:tc>
      </w:tr>
      <w:tr w:rsidR="007A6353" w:rsidRPr="000845DC" w14:paraId="010B2BDF" w14:textId="77777777" w:rsidTr="007A6353">
        <w:trPr>
          <w:trHeight w:val="288"/>
        </w:trPr>
        <w:tc>
          <w:tcPr>
            <w:tcW w:w="843" w:type="dxa"/>
            <w:noWrap/>
            <w:vAlign w:val="center"/>
            <w:hideMark/>
          </w:tcPr>
          <w:p w14:paraId="388A7457"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13</w:t>
            </w:r>
          </w:p>
        </w:tc>
        <w:tc>
          <w:tcPr>
            <w:tcW w:w="1790" w:type="dxa"/>
            <w:noWrap/>
            <w:vAlign w:val="center"/>
            <w:hideMark/>
          </w:tcPr>
          <w:p w14:paraId="329DF503"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Evans &amp; Peirson-Smith (2018)</w:t>
            </w:r>
          </w:p>
        </w:tc>
        <w:tc>
          <w:tcPr>
            <w:tcW w:w="3881" w:type="dxa"/>
            <w:noWrap/>
            <w:vAlign w:val="center"/>
            <w:hideMark/>
          </w:tcPr>
          <w:p w14:paraId="70CD51E6"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The sustainability word challenge: Exploring consumer interpretations of frequently used words to promote sustainable fashion brand behaviors and imagery</w:t>
            </w:r>
          </w:p>
        </w:tc>
        <w:tc>
          <w:tcPr>
            <w:tcW w:w="3111" w:type="dxa"/>
            <w:noWrap/>
            <w:vAlign w:val="center"/>
            <w:hideMark/>
          </w:tcPr>
          <w:p w14:paraId="0FCBCE48"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Survey (n=100) + 20 ethnographic interviews</w:t>
            </w:r>
          </w:p>
        </w:tc>
        <w:tc>
          <w:tcPr>
            <w:tcW w:w="4320" w:type="dxa"/>
            <w:noWrap/>
            <w:vAlign w:val="center"/>
            <w:hideMark/>
          </w:tcPr>
          <w:p w14:paraId="18B55F06"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 xml:space="preserve">Misunderstood sustainability terms → confusion &amp; </w:t>
            </w:r>
            <w:proofErr w:type="spellStart"/>
            <w:r w:rsidRPr="000845DC">
              <w:rPr>
                <w:rFonts w:eastAsia="Times New Roman" w:cs="Arial"/>
                <w:color w:val="000000"/>
                <w:lang w:val="en-US"/>
              </w:rPr>
              <w:t>scepticism</w:t>
            </w:r>
            <w:proofErr w:type="spellEnd"/>
            <w:r w:rsidRPr="000845DC">
              <w:rPr>
                <w:rFonts w:eastAsia="Times New Roman" w:cs="Arial"/>
                <w:color w:val="000000"/>
                <w:lang w:val="en-US"/>
              </w:rPr>
              <w:t>; clarity to reduce perceived greenwashing; brand trust (RQ2 / RQ3)</w:t>
            </w:r>
          </w:p>
        </w:tc>
      </w:tr>
      <w:tr w:rsidR="007A6353" w:rsidRPr="000845DC" w14:paraId="099969F9" w14:textId="77777777" w:rsidTr="007A6353">
        <w:trPr>
          <w:trHeight w:val="288"/>
        </w:trPr>
        <w:tc>
          <w:tcPr>
            <w:tcW w:w="843" w:type="dxa"/>
            <w:noWrap/>
            <w:vAlign w:val="center"/>
            <w:hideMark/>
          </w:tcPr>
          <w:p w14:paraId="249EB074"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lastRenderedPageBreak/>
              <w:t>14</w:t>
            </w:r>
          </w:p>
        </w:tc>
        <w:tc>
          <w:tcPr>
            <w:tcW w:w="1790" w:type="dxa"/>
            <w:noWrap/>
            <w:vAlign w:val="center"/>
            <w:hideMark/>
          </w:tcPr>
          <w:p w14:paraId="76E40C95"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Fang (2024)</w:t>
            </w:r>
          </w:p>
        </w:tc>
        <w:tc>
          <w:tcPr>
            <w:tcW w:w="3881" w:type="dxa"/>
            <w:noWrap/>
            <w:vAlign w:val="center"/>
            <w:hideMark/>
          </w:tcPr>
          <w:p w14:paraId="25C3AF8C"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Greenwashing Versus Green Authenticity: How Green Social Media Influences Consumer Perceptions and Green Purchase Decisions</w:t>
            </w:r>
          </w:p>
        </w:tc>
        <w:tc>
          <w:tcPr>
            <w:tcW w:w="3111" w:type="dxa"/>
            <w:noWrap/>
            <w:vAlign w:val="center"/>
            <w:hideMark/>
          </w:tcPr>
          <w:p w14:paraId="5F325005"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Survey (n=413, Guangzhou, China); PLS-SEM (SmartPLS)</w:t>
            </w:r>
          </w:p>
        </w:tc>
        <w:tc>
          <w:tcPr>
            <w:tcW w:w="4320" w:type="dxa"/>
            <w:noWrap/>
            <w:vAlign w:val="center"/>
            <w:hideMark/>
          </w:tcPr>
          <w:p w14:paraId="2834B891"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Green social media influence; perceived greenwashing vs authenticity; authenticity mediates purchase decisions; implications for fashion brand communication (RQ2 / RQ3)</w:t>
            </w:r>
          </w:p>
        </w:tc>
      </w:tr>
      <w:tr w:rsidR="007A6353" w:rsidRPr="000845DC" w14:paraId="7BCC5BE2" w14:textId="77777777" w:rsidTr="007A6353">
        <w:trPr>
          <w:trHeight w:val="288"/>
        </w:trPr>
        <w:tc>
          <w:tcPr>
            <w:tcW w:w="843" w:type="dxa"/>
            <w:noWrap/>
            <w:vAlign w:val="center"/>
            <w:hideMark/>
          </w:tcPr>
          <w:p w14:paraId="5D831A05"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15</w:t>
            </w:r>
          </w:p>
        </w:tc>
        <w:tc>
          <w:tcPr>
            <w:tcW w:w="1790" w:type="dxa"/>
            <w:noWrap/>
            <w:vAlign w:val="center"/>
            <w:hideMark/>
          </w:tcPr>
          <w:p w14:paraId="098A243C" w14:textId="5B54EB5F"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 xml:space="preserve">Garcia-Ortega </w:t>
            </w:r>
            <w:r w:rsidR="00A7080E" w:rsidRPr="00A7080E">
              <w:rPr>
                <w:rFonts w:eastAsia="Times New Roman" w:cs="Arial"/>
                <w:i/>
                <w:iCs/>
                <w:color w:val="000000"/>
                <w:lang w:val="en-US"/>
              </w:rPr>
              <w:t>et al</w:t>
            </w:r>
            <w:r w:rsidRPr="000845DC">
              <w:rPr>
                <w:rFonts w:eastAsia="Times New Roman" w:cs="Arial"/>
                <w:color w:val="000000"/>
                <w:lang w:val="en-US"/>
              </w:rPr>
              <w:t>. (2023)</w:t>
            </w:r>
          </w:p>
        </w:tc>
        <w:tc>
          <w:tcPr>
            <w:tcW w:w="3881" w:type="dxa"/>
            <w:noWrap/>
            <w:vAlign w:val="center"/>
            <w:hideMark/>
          </w:tcPr>
          <w:p w14:paraId="139CD34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Sufficient consumption as a missing link toward sustainability: The case of fast fashion</w:t>
            </w:r>
          </w:p>
        </w:tc>
        <w:tc>
          <w:tcPr>
            <w:tcW w:w="3111" w:type="dxa"/>
            <w:noWrap/>
            <w:vAlign w:val="center"/>
            <w:hideMark/>
          </w:tcPr>
          <w:p w14:paraId="026267EC"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Multiple case study; qualitative content analysis of annual reports (2013–14; 2020–21) of 10 fast-fashion firms</w:t>
            </w:r>
          </w:p>
        </w:tc>
        <w:tc>
          <w:tcPr>
            <w:tcW w:w="4320" w:type="dxa"/>
            <w:noWrap/>
            <w:vAlign w:val="center"/>
            <w:hideMark/>
          </w:tcPr>
          <w:p w14:paraId="14397864"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Sufficiency vs. growth logic; SDG12 laxity; anti-consumerist washing (variant of greenwashing); credibility of corporate sufficiency claims (RQ2)</w:t>
            </w:r>
          </w:p>
        </w:tc>
      </w:tr>
      <w:tr w:rsidR="007A6353" w:rsidRPr="000845DC" w14:paraId="661FA867" w14:textId="77777777" w:rsidTr="007A6353">
        <w:trPr>
          <w:trHeight w:val="288"/>
        </w:trPr>
        <w:tc>
          <w:tcPr>
            <w:tcW w:w="843" w:type="dxa"/>
            <w:noWrap/>
            <w:vAlign w:val="center"/>
            <w:hideMark/>
          </w:tcPr>
          <w:p w14:paraId="69EDEFD9"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16</w:t>
            </w:r>
          </w:p>
        </w:tc>
        <w:tc>
          <w:tcPr>
            <w:tcW w:w="1790" w:type="dxa"/>
            <w:noWrap/>
            <w:vAlign w:val="center"/>
            <w:hideMark/>
          </w:tcPr>
          <w:p w14:paraId="681756AF" w14:textId="35D0EA53"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 xml:space="preserve">Garcia-Ortega </w:t>
            </w:r>
            <w:r w:rsidR="00A7080E" w:rsidRPr="00A7080E">
              <w:rPr>
                <w:rFonts w:eastAsia="Times New Roman" w:cs="Arial"/>
                <w:i/>
                <w:iCs/>
                <w:color w:val="000000"/>
                <w:lang w:val="en-US"/>
              </w:rPr>
              <w:t>et al</w:t>
            </w:r>
            <w:r w:rsidRPr="000845DC">
              <w:rPr>
                <w:rFonts w:eastAsia="Times New Roman" w:cs="Arial"/>
                <w:color w:val="000000"/>
                <w:lang w:val="en-US"/>
              </w:rPr>
              <w:t>. (2025)</w:t>
            </w:r>
          </w:p>
        </w:tc>
        <w:tc>
          <w:tcPr>
            <w:tcW w:w="3881" w:type="dxa"/>
            <w:noWrap/>
            <w:vAlign w:val="center"/>
            <w:hideMark/>
          </w:tcPr>
          <w:p w14:paraId="62656544"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Decoding business strategies toward sufficient consumption in the fashion industry</w:t>
            </w:r>
          </w:p>
        </w:tc>
        <w:tc>
          <w:tcPr>
            <w:tcW w:w="3111" w:type="dxa"/>
            <w:noWrap/>
            <w:vAlign w:val="center"/>
            <w:hideMark/>
          </w:tcPr>
          <w:p w14:paraId="66EADEE8"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Qualitative content analysis of corporate reports, websites &amp; social media across 15 firms</w:t>
            </w:r>
          </w:p>
        </w:tc>
        <w:tc>
          <w:tcPr>
            <w:tcW w:w="4320" w:type="dxa"/>
            <w:noWrap/>
            <w:vAlign w:val="center"/>
            <w:hideMark/>
          </w:tcPr>
          <w:p w14:paraId="5B765820"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Sufficiency vs. anti-consumerist washing; consistency of sustainability messaging; credibility of sufficiency claims; cross-channel alignment (RQ2 / RQ3)</w:t>
            </w:r>
          </w:p>
        </w:tc>
      </w:tr>
      <w:tr w:rsidR="007A6353" w:rsidRPr="000845DC" w14:paraId="2982AF6B" w14:textId="77777777" w:rsidTr="007A6353">
        <w:trPr>
          <w:trHeight w:val="288"/>
        </w:trPr>
        <w:tc>
          <w:tcPr>
            <w:tcW w:w="843" w:type="dxa"/>
            <w:noWrap/>
            <w:vAlign w:val="center"/>
            <w:hideMark/>
          </w:tcPr>
          <w:p w14:paraId="678C5D05"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17</w:t>
            </w:r>
          </w:p>
        </w:tc>
        <w:tc>
          <w:tcPr>
            <w:tcW w:w="1790" w:type="dxa"/>
            <w:noWrap/>
            <w:vAlign w:val="center"/>
            <w:hideMark/>
          </w:tcPr>
          <w:p w14:paraId="0ED96E59"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Goswami &amp; Jaiswal (2023)</w:t>
            </w:r>
          </w:p>
        </w:tc>
        <w:tc>
          <w:tcPr>
            <w:tcW w:w="3881" w:type="dxa"/>
            <w:noWrap/>
            <w:vAlign w:val="center"/>
            <w:hideMark/>
          </w:tcPr>
          <w:p w14:paraId="466B0487"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Lying by telling the truth – the risks of deception by paltering and hypocrisy in corporate social responsibilities context</w:t>
            </w:r>
          </w:p>
        </w:tc>
        <w:tc>
          <w:tcPr>
            <w:tcW w:w="3111" w:type="dxa"/>
            <w:noWrap/>
            <w:vAlign w:val="center"/>
            <w:hideMark/>
          </w:tcPr>
          <w:p w14:paraId="129991B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Two-factor online experiment (paltering × message replication); PROCESS mediation</w:t>
            </w:r>
          </w:p>
        </w:tc>
        <w:tc>
          <w:tcPr>
            <w:tcW w:w="4320" w:type="dxa"/>
            <w:noWrap/>
            <w:vAlign w:val="center"/>
            <w:hideMark/>
          </w:tcPr>
          <w:p w14:paraId="28784884"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Paltering (technically true but misleading claims); perceived hypocrisy; reputational/relational harm; purchase-intention effects in fashion CSR (RQ2)</w:t>
            </w:r>
          </w:p>
        </w:tc>
      </w:tr>
      <w:tr w:rsidR="007A6353" w:rsidRPr="000845DC" w14:paraId="5B7C76B3" w14:textId="77777777" w:rsidTr="007A6353">
        <w:trPr>
          <w:trHeight w:val="288"/>
        </w:trPr>
        <w:tc>
          <w:tcPr>
            <w:tcW w:w="843" w:type="dxa"/>
            <w:noWrap/>
            <w:vAlign w:val="center"/>
            <w:hideMark/>
          </w:tcPr>
          <w:p w14:paraId="15906FF2"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18</w:t>
            </w:r>
          </w:p>
        </w:tc>
        <w:tc>
          <w:tcPr>
            <w:tcW w:w="1790" w:type="dxa"/>
            <w:noWrap/>
            <w:vAlign w:val="center"/>
            <w:hideMark/>
          </w:tcPr>
          <w:p w14:paraId="612342BF" w14:textId="77777777"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Habtemaryam</w:t>
            </w:r>
            <w:proofErr w:type="spellEnd"/>
            <w:r w:rsidRPr="000845DC">
              <w:rPr>
                <w:rFonts w:eastAsia="Times New Roman" w:cs="Arial"/>
                <w:color w:val="000000"/>
                <w:lang w:val="en-US"/>
              </w:rPr>
              <w:t xml:space="preserve">, </w:t>
            </w:r>
            <w:proofErr w:type="spellStart"/>
            <w:r w:rsidRPr="000845DC">
              <w:rPr>
                <w:rFonts w:eastAsia="Times New Roman" w:cs="Arial"/>
                <w:color w:val="000000"/>
                <w:lang w:val="en-US"/>
              </w:rPr>
              <w:t>Degoma</w:t>
            </w:r>
            <w:proofErr w:type="spellEnd"/>
            <w:r w:rsidRPr="000845DC">
              <w:rPr>
                <w:rFonts w:eastAsia="Times New Roman" w:cs="Arial"/>
                <w:color w:val="000000"/>
                <w:lang w:val="en-US"/>
              </w:rPr>
              <w:t xml:space="preserve"> &amp; </w:t>
            </w:r>
            <w:proofErr w:type="spellStart"/>
            <w:r w:rsidRPr="000845DC">
              <w:rPr>
                <w:rFonts w:eastAsia="Times New Roman" w:cs="Arial"/>
                <w:color w:val="000000"/>
                <w:lang w:val="en-US"/>
              </w:rPr>
              <w:lastRenderedPageBreak/>
              <w:t>Tsegaye</w:t>
            </w:r>
            <w:proofErr w:type="spellEnd"/>
            <w:r w:rsidRPr="000845DC">
              <w:rPr>
                <w:rFonts w:eastAsia="Times New Roman" w:cs="Arial"/>
                <w:color w:val="000000"/>
                <w:lang w:val="en-US"/>
              </w:rPr>
              <w:t xml:space="preserve"> (2025)</w:t>
            </w:r>
          </w:p>
        </w:tc>
        <w:tc>
          <w:tcPr>
            <w:tcW w:w="3881" w:type="dxa"/>
            <w:noWrap/>
            <w:vAlign w:val="center"/>
            <w:hideMark/>
          </w:tcPr>
          <w:p w14:paraId="20C47D32"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lastRenderedPageBreak/>
              <w:t xml:space="preserve">Driving environmental sustainability through synergistic green business practices and </w:t>
            </w:r>
            <w:r w:rsidRPr="000845DC">
              <w:rPr>
                <w:rFonts w:eastAsia="Times New Roman" w:cs="Arial"/>
                <w:color w:val="000000"/>
              </w:rPr>
              <w:lastRenderedPageBreak/>
              <w:t>green innovation in developing economies’ leather, textile and garment industries</w:t>
            </w:r>
          </w:p>
        </w:tc>
        <w:tc>
          <w:tcPr>
            <w:tcW w:w="3111" w:type="dxa"/>
            <w:noWrap/>
            <w:vAlign w:val="center"/>
            <w:hideMark/>
          </w:tcPr>
          <w:p w14:paraId="2D03988B"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lastRenderedPageBreak/>
              <w:t>Quantitative cross-sectional survey; PLS-SEM analysis</w:t>
            </w:r>
          </w:p>
        </w:tc>
        <w:tc>
          <w:tcPr>
            <w:tcW w:w="4320" w:type="dxa"/>
            <w:noWrap/>
            <w:vAlign w:val="center"/>
            <w:hideMark/>
          </w:tcPr>
          <w:p w14:paraId="7DFFDADE"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 xml:space="preserve">Green innovation (GINO); green marketing orientation (GMO); manufacturing and HR practices; </w:t>
            </w:r>
            <w:r w:rsidRPr="000845DC">
              <w:rPr>
                <w:rFonts w:eastAsia="Times New Roman" w:cs="Arial"/>
                <w:color w:val="000000"/>
                <w:lang w:val="en-US"/>
              </w:rPr>
              <w:lastRenderedPageBreak/>
              <w:t>genuine environmental performance improvement (RQ1)</w:t>
            </w:r>
          </w:p>
        </w:tc>
      </w:tr>
      <w:tr w:rsidR="007A6353" w:rsidRPr="000845DC" w14:paraId="051045E1" w14:textId="77777777" w:rsidTr="007A6353">
        <w:trPr>
          <w:trHeight w:val="288"/>
        </w:trPr>
        <w:tc>
          <w:tcPr>
            <w:tcW w:w="843" w:type="dxa"/>
            <w:noWrap/>
            <w:vAlign w:val="center"/>
            <w:hideMark/>
          </w:tcPr>
          <w:p w14:paraId="50E29B33"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lastRenderedPageBreak/>
              <w:t>19</w:t>
            </w:r>
          </w:p>
        </w:tc>
        <w:tc>
          <w:tcPr>
            <w:tcW w:w="1790" w:type="dxa"/>
            <w:noWrap/>
            <w:vAlign w:val="center"/>
            <w:hideMark/>
          </w:tcPr>
          <w:p w14:paraId="2068DC21" w14:textId="77777777"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Hairudinor</w:t>
            </w:r>
            <w:proofErr w:type="spellEnd"/>
            <w:r w:rsidRPr="000845DC">
              <w:rPr>
                <w:rFonts w:eastAsia="Times New Roman" w:cs="Arial"/>
                <w:color w:val="000000"/>
                <w:lang w:val="en-US"/>
              </w:rPr>
              <w:t xml:space="preserve"> &amp; </w:t>
            </w:r>
            <w:proofErr w:type="spellStart"/>
            <w:r w:rsidRPr="000845DC">
              <w:rPr>
                <w:rFonts w:eastAsia="Times New Roman" w:cs="Arial"/>
                <w:color w:val="000000"/>
                <w:lang w:val="en-US"/>
              </w:rPr>
              <w:t>Barkatullah</w:t>
            </w:r>
            <w:proofErr w:type="spellEnd"/>
            <w:r w:rsidRPr="000845DC">
              <w:rPr>
                <w:rFonts w:eastAsia="Times New Roman" w:cs="Arial"/>
                <w:color w:val="000000"/>
                <w:lang w:val="en-US"/>
              </w:rPr>
              <w:t xml:space="preserve"> (2020)</w:t>
            </w:r>
          </w:p>
        </w:tc>
        <w:tc>
          <w:tcPr>
            <w:tcW w:w="3881" w:type="dxa"/>
            <w:noWrap/>
            <w:vAlign w:val="center"/>
            <w:hideMark/>
          </w:tcPr>
          <w:p w14:paraId="71D1A757"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 xml:space="preserve">Implications of </w:t>
            </w:r>
            <w:proofErr w:type="spellStart"/>
            <w:r w:rsidRPr="000845DC">
              <w:rPr>
                <w:rFonts w:eastAsia="Times New Roman" w:cs="Arial"/>
                <w:color w:val="000000"/>
              </w:rPr>
              <w:t>Enviropreneurial</w:t>
            </w:r>
            <w:proofErr w:type="spellEnd"/>
            <w:r w:rsidRPr="000845DC">
              <w:rPr>
                <w:rFonts w:eastAsia="Times New Roman" w:cs="Arial"/>
                <w:color w:val="000000"/>
              </w:rPr>
              <w:t xml:space="preserve"> Orientation for Garments Brands in Indonesia: Can Suitability be Achieved through Green Marketing, Eco-Labeling and Greenwashing Strategies?</w:t>
            </w:r>
          </w:p>
        </w:tc>
        <w:tc>
          <w:tcPr>
            <w:tcW w:w="3111" w:type="dxa"/>
            <w:noWrap/>
            <w:vAlign w:val="center"/>
            <w:hideMark/>
          </w:tcPr>
          <w:p w14:paraId="130DAE24"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Online survey; CFA + SEM</w:t>
            </w:r>
          </w:p>
        </w:tc>
        <w:tc>
          <w:tcPr>
            <w:tcW w:w="4320" w:type="dxa"/>
            <w:noWrap/>
            <w:vAlign w:val="center"/>
            <w:hideMark/>
          </w:tcPr>
          <w:p w14:paraId="0EDE6689"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Garment sector; green marketing/eco-labels/greenwashing as mediators; (in)authentic sustainability performance; risks of instrumental greenwashing (RQ1 / RQ2)</w:t>
            </w:r>
          </w:p>
        </w:tc>
      </w:tr>
      <w:tr w:rsidR="007A6353" w:rsidRPr="000845DC" w14:paraId="05029874" w14:textId="77777777" w:rsidTr="007A6353">
        <w:trPr>
          <w:trHeight w:val="288"/>
        </w:trPr>
        <w:tc>
          <w:tcPr>
            <w:tcW w:w="843" w:type="dxa"/>
            <w:noWrap/>
            <w:vAlign w:val="center"/>
            <w:hideMark/>
          </w:tcPr>
          <w:p w14:paraId="5C556D60"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20</w:t>
            </w:r>
          </w:p>
        </w:tc>
        <w:tc>
          <w:tcPr>
            <w:tcW w:w="1790" w:type="dxa"/>
            <w:noWrap/>
            <w:vAlign w:val="center"/>
            <w:hideMark/>
          </w:tcPr>
          <w:p w14:paraId="5451F542"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Haque &amp; Lang (2025)</w:t>
            </w:r>
          </w:p>
        </w:tc>
        <w:tc>
          <w:tcPr>
            <w:tcW w:w="3881" w:type="dxa"/>
            <w:noWrap/>
            <w:vAlign w:val="center"/>
            <w:hideMark/>
          </w:tcPr>
          <w:p w14:paraId="673AC8B4"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Unraveling the Green Veil: Investigating the Affective Responses of U.S. Generation Z to Fast Fashion Greenwashing Through C-A-B Theory</w:t>
            </w:r>
          </w:p>
        </w:tc>
        <w:tc>
          <w:tcPr>
            <w:tcW w:w="3111" w:type="dxa"/>
            <w:noWrap/>
            <w:vAlign w:val="center"/>
            <w:hideMark/>
          </w:tcPr>
          <w:p w14:paraId="55329887"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 xml:space="preserve">Survey (n=345 </w:t>
            </w:r>
            <w:proofErr w:type="spellStart"/>
            <w:r w:rsidRPr="000845DC">
              <w:rPr>
                <w:rFonts w:eastAsia="Times New Roman" w:cs="Arial"/>
                <w:color w:val="000000"/>
              </w:rPr>
              <w:t>MTurk</w:t>
            </w:r>
            <w:proofErr w:type="spellEnd"/>
            <w:r w:rsidRPr="000845DC">
              <w:rPr>
                <w:rFonts w:eastAsia="Times New Roman" w:cs="Arial"/>
                <w:color w:val="000000"/>
              </w:rPr>
              <w:t>); two-step SEM; 5,000-bootstrapped indirect effects</w:t>
            </w:r>
          </w:p>
        </w:tc>
        <w:tc>
          <w:tcPr>
            <w:tcW w:w="4320" w:type="dxa"/>
            <w:noWrap/>
            <w:vAlign w:val="center"/>
            <w:hideMark/>
          </w:tcPr>
          <w:p w14:paraId="1112458B"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 xml:space="preserve">Fast-fashion greenwashing; </w:t>
            </w:r>
            <w:proofErr w:type="spellStart"/>
            <w:r w:rsidRPr="000845DC">
              <w:rPr>
                <w:rFonts w:eastAsia="Times New Roman" w:cs="Arial"/>
                <w:color w:val="000000"/>
                <w:lang w:val="en-US"/>
              </w:rPr>
              <w:t>scepticism</w:t>
            </w:r>
            <w:proofErr w:type="spellEnd"/>
            <w:r w:rsidRPr="000845DC">
              <w:rPr>
                <w:rFonts w:eastAsia="Times New Roman" w:cs="Arial"/>
                <w:color w:val="000000"/>
                <w:lang w:val="en-US"/>
              </w:rPr>
              <w:t xml:space="preserve"> vs. purchase intention paradox; affective responses; optimism bias; message design boundaries (RQ2)</w:t>
            </w:r>
          </w:p>
        </w:tc>
      </w:tr>
      <w:tr w:rsidR="007A6353" w:rsidRPr="000845DC" w14:paraId="4D2A077B" w14:textId="77777777" w:rsidTr="007A6353">
        <w:trPr>
          <w:trHeight w:val="288"/>
        </w:trPr>
        <w:tc>
          <w:tcPr>
            <w:tcW w:w="843" w:type="dxa"/>
            <w:noWrap/>
            <w:vAlign w:val="center"/>
            <w:hideMark/>
          </w:tcPr>
          <w:p w14:paraId="4F9F3B09"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21</w:t>
            </w:r>
          </w:p>
        </w:tc>
        <w:tc>
          <w:tcPr>
            <w:tcW w:w="1790" w:type="dxa"/>
            <w:noWrap/>
            <w:vAlign w:val="center"/>
            <w:hideMark/>
          </w:tcPr>
          <w:p w14:paraId="2AA89825" w14:textId="77777777"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Heidenstrøm</w:t>
            </w:r>
            <w:proofErr w:type="spellEnd"/>
            <w:r w:rsidRPr="000845DC">
              <w:rPr>
                <w:rFonts w:eastAsia="Times New Roman" w:cs="Arial"/>
                <w:color w:val="000000"/>
                <w:lang w:val="en-US"/>
              </w:rPr>
              <w:t xml:space="preserve"> (2024)</w:t>
            </w:r>
          </w:p>
        </w:tc>
        <w:tc>
          <w:tcPr>
            <w:tcW w:w="3881" w:type="dxa"/>
            <w:noWrap/>
            <w:vAlign w:val="center"/>
            <w:hideMark/>
          </w:tcPr>
          <w:p w14:paraId="20E18F0C"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Green marketing in the fashion industry: a critical analysis of sustainability narratives</w:t>
            </w:r>
          </w:p>
        </w:tc>
        <w:tc>
          <w:tcPr>
            <w:tcW w:w="3111" w:type="dxa"/>
            <w:noWrap/>
            <w:vAlign w:val="center"/>
            <w:hideMark/>
          </w:tcPr>
          <w:p w14:paraId="08397D67"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Critical/deconstructive textual analysis of narratives across 41 fashion stores</w:t>
            </w:r>
          </w:p>
        </w:tc>
        <w:tc>
          <w:tcPr>
            <w:tcW w:w="4320" w:type="dxa"/>
            <w:noWrap/>
            <w:vAlign w:val="center"/>
            <w:hideMark/>
          </w:tcPr>
          <w:p w14:paraId="208C9B2E"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Authenticity of “sustainability” narratives; myth-making (tech-utopia, sovereign consumer); narrative greenwashing; legitimacy vs. reality (RQ2 / RQ3)</w:t>
            </w:r>
          </w:p>
        </w:tc>
      </w:tr>
      <w:tr w:rsidR="007A6353" w:rsidRPr="000845DC" w14:paraId="42EA6844" w14:textId="77777777" w:rsidTr="007A6353">
        <w:trPr>
          <w:trHeight w:val="288"/>
        </w:trPr>
        <w:tc>
          <w:tcPr>
            <w:tcW w:w="843" w:type="dxa"/>
            <w:noWrap/>
            <w:vAlign w:val="center"/>
            <w:hideMark/>
          </w:tcPr>
          <w:p w14:paraId="606DD65E"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22</w:t>
            </w:r>
          </w:p>
        </w:tc>
        <w:tc>
          <w:tcPr>
            <w:tcW w:w="1790" w:type="dxa"/>
            <w:noWrap/>
            <w:vAlign w:val="center"/>
            <w:hideMark/>
          </w:tcPr>
          <w:p w14:paraId="70C5C86F" w14:textId="46DA0E44"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Hejlova</w:t>
            </w:r>
            <w:proofErr w:type="spellEnd"/>
            <w:r w:rsidRPr="000845DC">
              <w:rPr>
                <w:rFonts w:eastAsia="Times New Roman" w:cs="Arial"/>
                <w:color w:val="000000"/>
                <w:lang w:val="en-US"/>
              </w:rPr>
              <w:t xml:space="preserve"> </w:t>
            </w:r>
            <w:r w:rsidR="00A7080E" w:rsidRPr="00A7080E">
              <w:rPr>
                <w:rFonts w:eastAsia="Times New Roman" w:cs="Arial"/>
                <w:i/>
                <w:iCs/>
                <w:color w:val="000000"/>
                <w:lang w:val="en-US"/>
              </w:rPr>
              <w:t>et al</w:t>
            </w:r>
            <w:r w:rsidRPr="000845DC">
              <w:rPr>
                <w:rFonts w:eastAsia="Times New Roman" w:cs="Arial"/>
                <w:color w:val="000000"/>
                <w:lang w:val="en-US"/>
              </w:rPr>
              <w:t>. (2025)</w:t>
            </w:r>
          </w:p>
        </w:tc>
        <w:tc>
          <w:tcPr>
            <w:tcW w:w="3881" w:type="dxa"/>
            <w:noWrap/>
            <w:vAlign w:val="center"/>
            <w:hideMark/>
          </w:tcPr>
          <w:p w14:paraId="6EA746ED"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Strategic silence in corporate communication concerning deadstock and overstock in the fashion industry</w:t>
            </w:r>
          </w:p>
        </w:tc>
        <w:tc>
          <w:tcPr>
            <w:tcW w:w="3111" w:type="dxa"/>
            <w:noWrap/>
            <w:vAlign w:val="center"/>
            <w:hideMark/>
          </w:tcPr>
          <w:p w14:paraId="2258F500"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Content analysis of sustainability/CSR reports from 95 Fashion Charter signatories; NVivo deep-dive on 23</w:t>
            </w:r>
          </w:p>
        </w:tc>
        <w:tc>
          <w:tcPr>
            <w:tcW w:w="4320" w:type="dxa"/>
            <w:noWrap/>
            <w:vAlign w:val="center"/>
            <w:hideMark/>
          </w:tcPr>
          <w:p w14:paraId="49BBC110"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Strategic silence / greenhushing on overproduction; discrepancy between claims and disclosures; transparency gaps; authenticity of reporting (RQ2 / RQ3)</w:t>
            </w:r>
          </w:p>
        </w:tc>
      </w:tr>
      <w:tr w:rsidR="007A6353" w:rsidRPr="000845DC" w14:paraId="5C56DC3C" w14:textId="77777777" w:rsidTr="007A6353">
        <w:trPr>
          <w:trHeight w:val="288"/>
        </w:trPr>
        <w:tc>
          <w:tcPr>
            <w:tcW w:w="843" w:type="dxa"/>
            <w:noWrap/>
            <w:vAlign w:val="center"/>
            <w:hideMark/>
          </w:tcPr>
          <w:p w14:paraId="35AED04C"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lastRenderedPageBreak/>
              <w:t>23</w:t>
            </w:r>
          </w:p>
        </w:tc>
        <w:tc>
          <w:tcPr>
            <w:tcW w:w="1790" w:type="dxa"/>
            <w:noWrap/>
            <w:vAlign w:val="center"/>
            <w:hideMark/>
          </w:tcPr>
          <w:p w14:paraId="0E79B40D" w14:textId="77777777"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Henninger</w:t>
            </w:r>
            <w:proofErr w:type="spellEnd"/>
            <w:r w:rsidRPr="000845DC">
              <w:rPr>
                <w:rFonts w:eastAsia="Times New Roman" w:cs="Arial"/>
                <w:color w:val="000000"/>
                <w:lang w:val="en-US"/>
              </w:rPr>
              <w:t xml:space="preserve">, </w:t>
            </w:r>
            <w:proofErr w:type="spellStart"/>
            <w:r w:rsidRPr="000845DC">
              <w:rPr>
                <w:rFonts w:eastAsia="Times New Roman" w:cs="Arial"/>
                <w:color w:val="000000"/>
                <w:lang w:val="en-US"/>
              </w:rPr>
              <w:t>Alevizou</w:t>
            </w:r>
            <w:proofErr w:type="spellEnd"/>
            <w:r w:rsidRPr="000845DC">
              <w:rPr>
                <w:rFonts w:eastAsia="Times New Roman" w:cs="Arial"/>
                <w:color w:val="000000"/>
                <w:lang w:val="en-US"/>
              </w:rPr>
              <w:t xml:space="preserve"> &amp; Oates (2016)</w:t>
            </w:r>
          </w:p>
        </w:tc>
        <w:tc>
          <w:tcPr>
            <w:tcW w:w="3881" w:type="dxa"/>
            <w:noWrap/>
            <w:vAlign w:val="center"/>
            <w:hideMark/>
          </w:tcPr>
          <w:p w14:paraId="6DFD124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What is sustainable fashion?</w:t>
            </w:r>
          </w:p>
        </w:tc>
        <w:tc>
          <w:tcPr>
            <w:tcW w:w="3111" w:type="dxa"/>
            <w:noWrap/>
            <w:vAlign w:val="center"/>
            <w:hideMark/>
          </w:tcPr>
          <w:p w14:paraId="20B38A3C"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Multi-method qualitative case study (interviews, semiotics, questionnaires); grounded analysis</w:t>
            </w:r>
          </w:p>
        </w:tc>
        <w:tc>
          <w:tcPr>
            <w:tcW w:w="4320" w:type="dxa"/>
            <w:noWrap/>
            <w:vAlign w:val="center"/>
            <w:hideMark/>
          </w:tcPr>
          <w:p w14:paraId="22CAE243"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Definitional clarity to avoid greenwashing; criteria matrix for micro-brands; consumer assurance (fair wages/conditions) (RQ1)</w:t>
            </w:r>
          </w:p>
        </w:tc>
      </w:tr>
      <w:tr w:rsidR="007A6353" w:rsidRPr="000845DC" w14:paraId="374E7E9B" w14:textId="77777777" w:rsidTr="007A6353">
        <w:trPr>
          <w:trHeight w:val="288"/>
        </w:trPr>
        <w:tc>
          <w:tcPr>
            <w:tcW w:w="843" w:type="dxa"/>
            <w:noWrap/>
            <w:vAlign w:val="center"/>
            <w:hideMark/>
          </w:tcPr>
          <w:p w14:paraId="0B4BD6F9"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24</w:t>
            </w:r>
          </w:p>
        </w:tc>
        <w:tc>
          <w:tcPr>
            <w:tcW w:w="1790" w:type="dxa"/>
            <w:noWrap/>
            <w:vAlign w:val="center"/>
            <w:hideMark/>
          </w:tcPr>
          <w:p w14:paraId="7782B484" w14:textId="77777777"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Jestratijevic</w:t>
            </w:r>
            <w:proofErr w:type="spellEnd"/>
            <w:r w:rsidRPr="000845DC">
              <w:rPr>
                <w:rFonts w:eastAsia="Times New Roman" w:cs="Arial"/>
                <w:color w:val="000000"/>
                <w:lang w:val="en-US"/>
              </w:rPr>
              <w:t xml:space="preserve">, </w:t>
            </w:r>
            <w:proofErr w:type="spellStart"/>
            <w:r w:rsidRPr="000845DC">
              <w:rPr>
                <w:rFonts w:eastAsia="Times New Roman" w:cs="Arial"/>
                <w:color w:val="000000"/>
                <w:lang w:val="en-US"/>
              </w:rPr>
              <w:t>Uanhoro</w:t>
            </w:r>
            <w:proofErr w:type="spellEnd"/>
            <w:r w:rsidRPr="000845DC">
              <w:rPr>
                <w:rFonts w:eastAsia="Times New Roman" w:cs="Arial"/>
                <w:color w:val="000000"/>
                <w:lang w:val="en-US"/>
              </w:rPr>
              <w:t xml:space="preserve"> &amp; Rana (2024)</w:t>
            </w:r>
          </w:p>
        </w:tc>
        <w:tc>
          <w:tcPr>
            <w:tcW w:w="3881" w:type="dxa"/>
            <w:noWrap/>
            <w:vAlign w:val="center"/>
            <w:hideMark/>
          </w:tcPr>
          <w:p w14:paraId="6C5436A5"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Transparency of sustainability disclosures among luxury and mass-market fashion brands: Longitudinal approach</w:t>
            </w:r>
          </w:p>
        </w:tc>
        <w:tc>
          <w:tcPr>
            <w:tcW w:w="3111" w:type="dxa"/>
            <w:noWrap/>
            <w:vAlign w:val="center"/>
            <w:hideMark/>
          </w:tcPr>
          <w:p w14:paraId="75C13A2B"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Longitudinal quantitative–qualitative content analysis of 90 fashion brands’ disclosures (2017–2023)</w:t>
            </w:r>
          </w:p>
        </w:tc>
        <w:tc>
          <w:tcPr>
            <w:tcW w:w="4320" w:type="dxa"/>
            <w:noWrap/>
            <w:vAlign w:val="center"/>
            <w:hideMark/>
          </w:tcPr>
          <w:p w14:paraId="10E188EC"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Selective sustainability disclosure; greenwashing vs. true transparency; luxury vs. mass-market differences; need for audited reporting; policy enforcement against “window dressing” (RQ2 / RQ3)</w:t>
            </w:r>
          </w:p>
        </w:tc>
      </w:tr>
      <w:tr w:rsidR="007A6353" w:rsidRPr="000845DC" w14:paraId="73DCC9A3" w14:textId="77777777" w:rsidTr="007A6353">
        <w:trPr>
          <w:trHeight w:val="288"/>
        </w:trPr>
        <w:tc>
          <w:tcPr>
            <w:tcW w:w="843" w:type="dxa"/>
            <w:noWrap/>
            <w:vAlign w:val="center"/>
            <w:hideMark/>
          </w:tcPr>
          <w:p w14:paraId="595BD4FA"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25</w:t>
            </w:r>
          </w:p>
        </w:tc>
        <w:tc>
          <w:tcPr>
            <w:tcW w:w="1790" w:type="dxa"/>
            <w:noWrap/>
            <w:vAlign w:val="center"/>
            <w:hideMark/>
          </w:tcPr>
          <w:p w14:paraId="33065E67"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Kim &amp; Oh (2020)</w:t>
            </w:r>
          </w:p>
        </w:tc>
        <w:tc>
          <w:tcPr>
            <w:tcW w:w="3881" w:type="dxa"/>
            <w:noWrap/>
            <w:vAlign w:val="center"/>
            <w:hideMark/>
          </w:tcPr>
          <w:p w14:paraId="16605842"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Which consumer associations can build a sustainable fashion brand image? Evidence from fast fashion brands</w:t>
            </w:r>
          </w:p>
        </w:tc>
        <w:tc>
          <w:tcPr>
            <w:tcW w:w="3111" w:type="dxa"/>
            <w:noWrap/>
            <w:vAlign w:val="center"/>
            <w:hideMark/>
          </w:tcPr>
          <w:p w14:paraId="0926905B"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Qualitative interviews + quantitative survey; network analysis</w:t>
            </w:r>
          </w:p>
        </w:tc>
        <w:tc>
          <w:tcPr>
            <w:tcW w:w="4320" w:type="dxa"/>
            <w:noWrap/>
            <w:vAlign w:val="center"/>
            <w:hideMark/>
          </w:tcPr>
          <w:p w14:paraId="277CA543"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Consumer perception; eco-friendly image building; greenwash marketing signals (RQ2)</w:t>
            </w:r>
          </w:p>
        </w:tc>
      </w:tr>
      <w:tr w:rsidR="007A6353" w:rsidRPr="000845DC" w14:paraId="3996678C" w14:textId="77777777" w:rsidTr="007A6353">
        <w:trPr>
          <w:trHeight w:val="288"/>
        </w:trPr>
        <w:tc>
          <w:tcPr>
            <w:tcW w:w="843" w:type="dxa"/>
            <w:noWrap/>
            <w:vAlign w:val="center"/>
            <w:hideMark/>
          </w:tcPr>
          <w:p w14:paraId="78306B4C"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26</w:t>
            </w:r>
          </w:p>
        </w:tc>
        <w:tc>
          <w:tcPr>
            <w:tcW w:w="1790" w:type="dxa"/>
            <w:noWrap/>
            <w:vAlign w:val="center"/>
            <w:hideMark/>
          </w:tcPr>
          <w:p w14:paraId="749130D3"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Li, Cavender &amp; Lee (2025)</w:t>
            </w:r>
          </w:p>
        </w:tc>
        <w:tc>
          <w:tcPr>
            <w:tcW w:w="3881" w:type="dxa"/>
            <w:noWrap/>
            <w:vAlign w:val="center"/>
            <w:hideMark/>
          </w:tcPr>
          <w:p w14:paraId="010B165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Consumer Awareness of Fashion Greenwashing: Insights from Social Media Discussions</w:t>
            </w:r>
          </w:p>
        </w:tc>
        <w:tc>
          <w:tcPr>
            <w:tcW w:w="3111" w:type="dxa"/>
            <w:noWrap/>
            <w:vAlign w:val="center"/>
            <w:hideMark/>
          </w:tcPr>
          <w:p w14:paraId="21652C60"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Text-mining (LDA) + manual content analysis of Reddit &amp; Instagram posts</w:t>
            </w:r>
          </w:p>
        </w:tc>
        <w:tc>
          <w:tcPr>
            <w:tcW w:w="4320" w:type="dxa"/>
            <w:noWrap/>
            <w:vAlign w:val="center"/>
            <w:hideMark/>
          </w:tcPr>
          <w:p w14:paraId="416422C3"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 xml:space="preserve">Consumer </w:t>
            </w:r>
            <w:proofErr w:type="spellStart"/>
            <w:r w:rsidRPr="000845DC">
              <w:rPr>
                <w:rFonts w:eastAsia="Times New Roman" w:cs="Arial"/>
                <w:color w:val="000000"/>
                <w:lang w:val="en-US"/>
              </w:rPr>
              <w:t>scepticism</w:t>
            </w:r>
            <w:proofErr w:type="spellEnd"/>
            <w:r w:rsidRPr="000845DC">
              <w:rPr>
                <w:rFonts w:eastAsia="Times New Roman" w:cs="Arial"/>
                <w:color w:val="000000"/>
                <w:lang w:val="en-US"/>
              </w:rPr>
              <w:t>; advocacy; authentic communication; transparency (RQ2 / RQ3)</w:t>
            </w:r>
          </w:p>
        </w:tc>
      </w:tr>
      <w:tr w:rsidR="007A6353" w:rsidRPr="000845DC" w14:paraId="575CBC1C" w14:textId="77777777" w:rsidTr="007A6353">
        <w:trPr>
          <w:trHeight w:val="288"/>
        </w:trPr>
        <w:tc>
          <w:tcPr>
            <w:tcW w:w="843" w:type="dxa"/>
            <w:noWrap/>
            <w:vAlign w:val="center"/>
            <w:hideMark/>
          </w:tcPr>
          <w:p w14:paraId="5A0F39C7"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27</w:t>
            </w:r>
          </w:p>
        </w:tc>
        <w:tc>
          <w:tcPr>
            <w:tcW w:w="1790" w:type="dxa"/>
            <w:noWrap/>
            <w:vAlign w:val="center"/>
            <w:hideMark/>
          </w:tcPr>
          <w:p w14:paraId="152871EB" w14:textId="6DD4E2AC"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Liedong</w:t>
            </w:r>
            <w:proofErr w:type="spellEnd"/>
            <w:r w:rsidRPr="000845DC">
              <w:rPr>
                <w:rFonts w:eastAsia="Times New Roman" w:cs="Arial"/>
                <w:color w:val="000000"/>
                <w:lang w:val="en-US"/>
              </w:rPr>
              <w:t xml:space="preserve"> </w:t>
            </w:r>
            <w:r w:rsidR="00A7080E" w:rsidRPr="00A7080E">
              <w:rPr>
                <w:rFonts w:eastAsia="Times New Roman" w:cs="Arial"/>
                <w:i/>
                <w:iCs/>
                <w:color w:val="000000"/>
                <w:lang w:val="en-US"/>
              </w:rPr>
              <w:t>et al</w:t>
            </w:r>
            <w:r w:rsidRPr="000845DC">
              <w:rPr>
                <w:rFonts w:eastAsia="Times New Roman" w:cs="Arial"/>
                <w:color w:val="000000"/>
                <w:lang w:val="en-US"/>
              </w:rPr>
              <w:t>. (2022)</w:t>
            </w:r>
          </w:p>
        </w:tc>
        <w:tc>
          <w:tcPr>
            <w:tcW w:w="3881" w:type="dxa"/>
            <w:noWrap/>
            <w:vAlign w:val="center"/>
            <w:hideMark/>
          </w:tcPr>
          <w:p w14:paraId="4BA70A0E"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Gracious growth: How to manage the trade-off between corporate greening and corporate growth</w:t>
            </w:r>
          </w:p>
        </w:tc>
        <w:tc>
          <w:tcPr>
            <w:tcW w:w="3111" w:type="dxa"/>
            <w:noWrap/>
            <w:vAlign w:val="center"/>
            <w:hideMark/>
          </w:tcPr>
          <w:p w14:paraId="62399213"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Single-firm qualitative case (Brunello Cucinelli); process framework</w:t>
            </w:r>
          </w:p>
        </w:tc>
        <w:tc>
          <w:tcPr>
            <w:tcW w:w="4320" w:type="dxa"/>
            <w:noWrap/>
            <w:vAlign w:val="center"/>
            <w:hideMark/>
          </w:tcPr>
          <w:p w14:paraId="55A5DEAF"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Substantive vs. symbolic sustainability; avoiding greenwashing; growth–sustainability trade-off; managerial framework (RQ3)</w:t>
            </w:r>
          </w:p>
        </w:tc>
      </w:tr>
      <w:tr w:rsidR="007A6353" w:rsidRPr="000845DC" w14:paraId="25844929" w14:textId="77777777" w:rsidTr="007A6353">
        <w:trPr>
          <w:trHeight w:val="288"/>
        </w:trPr>
        <w:tc>
          <w:tcPr>
            <w:tcW w:w="843" w:type="dxa"/>
            <w:noWrap/>
            <w:vAlign w:val="center"/>
            <w:hideMark/>
          </w:tcPr>
          <w:p w14:paraId="1BA96487"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lastRenderedPageBreak/>
              <w:t>28</w:t>
            </w:r>
          </w:p>
        </w:tc>
        <w:tc>
          <w:tcPr>
            <w:tcW w:w="1790" w:type="dxa"/>
            <w:noWrap/>
            <w:vAlign w:val="center"/>
            <w:hideMark/>
          </w:tcPr>
          <w:p w14:paraId="4C82472A"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Lovrić &amp; Čagalj (2025)</w:t>
            </w:r>
          </w:p>
        </w:tc>
        <w:tc>
          <w:tcPr>
            <w:tcW w:w="3881" w:type="dxa"/>
            <w:noWrap/>
            <w:vAlign w:val="center"/>
            <w:hideMark/>
          </w:tcPr>
          <w:p w14:paraId="3CF0F1F8"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Fast Fashion as a Reflection of Risk Society and the Culture of Unsustainability</w:t>
            </w:r>
          </w:p>
        </w:tc>
        <w:tc>
          <w:tcPr>
            <w:tcW w:w="3111" w:type="dxa"/>
            <w:noWrap/>
            <w:vAlign w:val="center"/>
            <w:hideMark/>
          </w:tcPr>
          <w:p w14:paraId="027F9D86"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Quantitative survey (802 Croatian youth)</w:t>
            </w:r>
          </w:p>
        </w:tc>
        <w:tc>
          <w:tcPr>
            <w:tcW w:w="4320" w:type="dxa"/>
            <w:noWrap/>
            <w:vAlign w:val="center"/>
            <w:hideMark/>
          </w:tcPr>
          <w:p w14:paraId="74CADCC4"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Youth attitudes; brand trust vs ignorance of greenwashing; consumer culture and unsustainability (RQ2)</w:t>
            </w:r>
          </w:p>
        </w:tc>
      </w:tr>
      <w:tr w:rsidR="007A6353" w:rsidRPr="000845DC" w14:paraId="463E9D0C" w14:textId="77777777" w:rsidTr="007A6353">
        <w:trPr>
          <w:trHeight w:val="288"/>
        </w:trPr>
        <w:tc>
          <w:tcPr>
            <w:tcW w:w="843" w:type="dxa"/>
            <w:noWrap/>
            <w:vAlign w:val="center"/>
            <w:hideMark/>
          </w:tcPr>
          <w:p w14:paraId="5EF78156"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29</w:t>
            </w:r>
          </w:p>
        </w:tc>
        <w:tc>
          <w:tcPr>
            <w:tcW w:w="1790" w:type="dxa"/>
            <w:noWrap/>
            <w:vAlign w:val="center"/>
            <w:hideMark/>
          </w:tcPr>
          <w:p w14:paraId="5829991B" w14:textId="3F21EBCA"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 xml:space="preserve">Lu </w:t>
            </w:r>
            <w:r w:rsidR="00A7080E" w:rsidRPr="00A7080E">
              <w:rPr>
                <w:rFonts w:eastAsia="Times New Roman" w:cs="Arial"/>
                <w:i/>
                <w:iCs/>
                <w:color w:val="000000"/>
                <w:lang w:val="en-US"/>
              </w:rPr>
              <w:t>et al</w:t>
            </w:r>
            <w:r w:rsidRPr="000845DC">
              <w:rPr>
                <w:rFonts w:eastAsia="Times New Roman" w:cs="Arial"/>
                <w:color w:val="000000"/>
                <w:lang w:val="en-US"/>
              </w:rPr>
              <w:t>. (2022)</w:t>
            </w:r>
          </w:p>
        </w:tc>
        <w:tc>
          <w:tcPr>
            <w:tcW w:w="3881" w:type="dxa"/>
            <w:noWrap/>
            <w:vAlign w:val="center"/>
            <w:hideMark/>
          </w:tcPr>
          <w:p w14:paraId="4EE38AFB"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How Does Young Consumers’ Greenwashing Perception Impact Their Green Purchase Intention in the Fast Fashion Industry?</w:t>
            </w:r>
          </w:p>
        </w:tc>
        <w:tc>
          <w:tcPr>
            <w:tcW w:w="3111" w:type="dxa"/>
            <w:noWrap/>
            <w:vAlign w:val="center"/>
            <w:hideMark/>
          </w:tcPr>
          <w:p w14:paraId="0A57A7C9"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Quantitative survey (433 respondents); PLS-SEM</w:t>
            </w:r>
          </w:p>
        </w:tc>
        <w:tc>
          <w:tcPr>
            <w:tcW w:w="4320" w:type="dxa"/>
            <w:noWrap/>
            <w:vAlign w:val="center"/>
            <w:hideMark/>
          </w:tcPr>
          <w:p w14:paraId="5FCC935F"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Perceived greenwashing; risk perception; purchase intention; consumer trust (RQ2)</w:t>
            </w:r>
          </w:p>
        </w:tc>
      </w:tr>
      <w:tr w:rsidR="007A6353" w:rsidRPr="000845DC" w14:paraId="04D1E760" w14:textId="77777777" w:rsidTr="007A6353">
        <w:trPr>
          <w:trHeight w:val="288"/>
        </w:trPr>
        <w:tc>
          <w:tcPr>
            <w:tcW w:w="843" w:type="dxa"/>
            <w:noWrap/>
            <w:vAlign w:val="center"/>
            <w:hideMark/>
          </w:tcPr>
          <w:p w14:paraId="6B1BA0A9"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30</w:t>
            </w:r>
          </w:p>
        </w:tc>
        <w:tc>
          <w:tcPr>
            <w:tcW w:w="1790" w:type="dxa"/>
            <w:noWrap/>
            <w:vAlign w:val="center"/>
            <w:hideMark/>
          </w:tcPr>
          <w:p w14:paraId="1DEF624A"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 xml:space="preserve">Marko &amp; </w:t>
            </w:r>
            <w:proofErr w:type="spellStart"/>
            <w:r w:rsidRPr="000845DC">
              <w:rPr>
                <w:rFonts w:eastAsia="Times New Roman" w:cs="Arial"/>
                <w:color w:val="000000"/>
                <w:lang w:val="en-US"/>
              </w:rPr>
              <w:t>Kusá</w:t>
            </w:r>
            <w:proofErr w:type="spellEnd"/>
            <w:r w:rsidRPr="000845DC">
              <w:rPr>
                <w:rFonts w:eastAsia="Times New Roman" w:cs="Arial"/>
                <w:color w:val="000000"/>
                <w:lang w:val="en-US"/>
              </w:rPr>
              <w:t xml:space="preserve"> (2023)</w:t>
            </w:r>
          </w:p>
        </w:tc>
        <w:tc>
          <w:tcPr>
            <w:tcW w:w="3881" w:type="dxa"/>
            <w:noWrap/>
            <w:vAlign w:val="center"/>
            <w:hideMark/>
          </w:tcPr>
          <w:p w14:paraId="039A8422" w14:textId="07840698" w:rsidR="007A6353" w:rsidRPr="000845DC" w:rsidRDefault="00050EB0" w:rsidP="00937732">
            <w:pPr>
              <w:spacing w:line="276" w:lineRule="auto"/>
              <w:jc w:val="left"/>
              <w:rPr>
                <w:rFonts w:eastAsia="Times New Roman" w:cs="Arial"/>
                <w:color w:val="000000"/>
                <w:lang w:val="en-US"/>
              </w:rPr>
            </w:pPr>
            <w:r w:rsidRPr="000845DC">
              <w:rPr>
                <w:rFonts w:eastAsia="Times New Roman" w:cs="Arial"/>
                <w:color w:val="000000"/>
              </w:rPr>
              <w:t xml:space="preserve">Greenwashing </w:t>
            </w:r>
            <w:r>
              <w:rPr>
                <w:rFonts w:eastAsia="Times New Roman" w:cs="Arial"/>
                <w:color w:val="000000"/>
              </w:rPr>
              <w:t>a</w:t>
            </w:r>
            <w:r w:rsidRPr="000845DC">
              <w:rPr>
                <w:rFonts w:eastAsia="Times New Roman" w:cs="Arial"/>
                <w:color w:val="000000"/>
              </w:rPr>
              <w:t xml:space="preserve">nd </w:t>
            </w:r>
            <w:r>
              <w:rPr>
                <w:rFonts w:eastAsia="Times New Roman" w:cs="Arial"/>
                <w:color w:val="000000"/>
              </w:rPr>
              <w:t>t</w:t>
            </w:r>
            <w:r w:rsidRPr="000845DC">
              <w:rPr>
                <w:rFonts w:eastAsia="Times New Roman" w:cs="Arial"/>
                <w:color w:val="000000"/>
              </w:rPr>
              <w:t xml:space="preserve">he Nature </w:t>
            </w:r>
            <w:r>
              <w:rPr>
                <w:rFonts w:eastAsia="Times New Roman" w:cs="Arial"/>
                <w:color w:val="000000"/>
              </w:rPr>
              <w:t>o</w:t>
            </w:r>
            <w:r w:rsidRPr="000845DC">
              <w:rPr>
                <w:rFonts w:eastAsia="Times New Roman" w:cs="Arial"/>
                <w:color w:val="000000"/>
              </w:rPr>
              <w:t xml:space="preserve">f Education </w:t>
            </w:r>
            <w:r>
              <w:rPr>
                <w:rFonts w:eastAsia="Times New Roman" w:cs="Arial"/>
                <w:color w:val="000000"/>
              </w:rPr>
              <w:t>i</w:t>
            </w:r>
            <w:r w:rsidRPr="000845DC">
              <w:rPr>
                <w:rFonts w:eastAsia="Times New Roman" w:cs="Arial"/>
                <w:color w:val="000000"/>
              </w:rPr>
              <w:t xml:space="preserve">n Relation </w:t>
            </w:r>
            <w:r>
              <w:rPr>
                <w:rFonts w:eastAsia="Times New Roman" w:cs="Arial"/>
                <w:color w:val="000000"/>
              </w:rPr>
              <w:t>t</w:t>
            </w:r>
            <w:r w:rsidRPr="000845DC">
              <w:rPr>
                <w:rFonts w:eastAsia="Times New Roman" w:cs="Arial"/>
                <w:color w:val="000000"/>
              </w:rPr>
              <w:t xml:space="preserve">o Consumer Trust </w:t>
            </w:r>
            <w:r>
              <w:rPr>
                <w:rFonts w:eastAsia="Times New Roman" w:cs="Arial"/>
                <w:color w:val="000000"/>
              </w:rPr>
              <w:t>i</w:t>
            </w:r>
            <w:r w:rsidRPr="000845DC">
              <w:rPr>
                <w:rFonts w:eastAsia="Times New Roman" w:cs="Arial"/>
                <w:color w:val="000000"/>
              </w:rPr>
              <w:t>n Fast Fashion Marketing Communication</w:t>
            </w:r>
          </w:p>
        </w:tc>
        <w:tc>
          <w:tcPr>
            <w:tcW w:w="3111" w:type="dxa"/>
            <w:noWrap/>
            <w:vAlign w:val="center"/>
            <w:hideMark/>
          </w:tcPr>
          <w:p w14:paraId="59CBB842"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Neuromarketing experiment comparing informed vs. uninformed Gen Y/Z consumers</w:t>
            </w:r>
          </w:p>
        </w:tc>
        <w:tc>
          <w:tcPr>
            <w:tcW w:w="4320" w:type="dxa"/>
            <w:noWrap/>
            <w:vAlign w:val="center"/>
            <w:hideMark/>
          </w:tcPr>
          <w:p w14:paraId="7768A6BF"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Greenwashing in fast fashion; consumer trust; role of environmental education; authenticity of sustainability claims (RQ2 / RQ3)</w:t>
            </w:r>
          </w:p>
        </w:tc>
      </w:tr>
      <w:tr w:rsidR="007A6353" w:rsidRPr="000845DC" w14:paraId="11169F2D" w14:textId="77777777" w:rsidTr="007A6353">
        <w:trPr>
          <w:trHeight w:val="288"/>
        </w:trPr>
        <w:tc>
          <w:tcPr>
            <w:tcW w:w="843" w:type="dxa"/>
            <w:noWrap/>
            <w:vAlign w:val="center"/>
            <w:hideMark/>
          </w:tcPr>
          <w:p w14:paraId="03A5F644"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31</w:t>
            </w:r>
          </w:p>
        </w:tc>
        <w:tc>
          <w:tcPr>
            <w:tcW w:w="1790" w:type="dxa"/>
            <w:noWrap/>
            <w:vAlign w:val="center"/>
            <w:hideMark/>
          </w:tcPr>
          <w:p w14:paraId="10E53E83"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Mofokeng (2025)</w:t>
            </w:r>
          </w:p>
        </w:tc>
        <w:tc>
          <w:tcPr>
            <w:tcW w:w="3881" w:type="dxa"/>
            <w:noWrap/>
            <w:vAlign w:val="center"/>
            <w:hideMark/>
          </w:tcPr>
          <w:p w14:paraId="459BD6B8"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Mediating and moderating effects of green practices on environmental and operational performance in South African textiles</w:t>
            </w:r>
          </w:p>
        </w:tc>
        <w:tc>
          <w:tcPr>
            <w:tcW w:w="3111" w:type="dxa"/>
            <w:noWrap/>
            <w:vAlign w:val="center"/>
            <w:hideMark/>
          </w:tcPr>
          <w:p w14:paraId="0689345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Quantitative correlational survey; PLS-SEM</w:t>
            </w:r>
          </w:p>
        </w:tc>
        <w:tc>
          <w:tcPr>
            <w:tcW w:w="4320" w:type="dxa"/>
            <w:noWrap/>
            <w:vAlign w:val="center"/>
            <w:hideMark/>
          </w:tcPr>
          <w:p w14:paraId="58AA1C90"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Green logistics and marketing practices; environmental performance; strategic sustainability integration (RQ1)</w:t>
            </w:r>
          </w:p>
        </w:tc>
      </w:tr>
      <w:tr w:rsidR="007A6353" w:rsidRPr="000845DC" w14:paraId="14F91068" w14:textId="77777777" w:rsidTr="007A6353">
        <w:trPr>
          <w:trHeight w:val="288"/>
        </w:trPr>
        <w:tc>
          <w:tcPr>
            <w:tcW w:w="843" w:type="dxa"/>
            <w:noWrap/>
            <w:vAlign w:val="center"/>
            <w:hideMark/>
          </w:tcPr>
          <w:p w14:paraId="2BE5332D"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32</w:t>
            </w:r>
          </w:p>
        </w:tc>
        <w:tc>
          <w:tcPr>
            <w:tcW w:w="1790" w:type="dxa"/>
            <w:noWrap/>
            <w:vAlign w:val="center"/>
            <w:hideMark/>
          </w:tcPr>
          <w:p w14:paraId="12E9172C" w14:textId="525D3829"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 xml:space="preserve">Mousavi </w:t>
            </w:r>
            <w:r w:rsidR="00A7080E" w:rsidRPr="00A7080E">
              <w:rPr>
                <w:rFonts w:eastAsia="Times New Roman" w:cs="Arial"/>
                <w:i/>
                <w:iCs/>
                <w:color w:val="000000"/>
                <w:lang w:val="en-US"/>
              </w:rPr>
              <w:t>et al</w:t>
            </w:r>
            <w:r w:rsidRPr="000845DC">
              <w:rPr>
                <w:rFonts w:eastAsia="Times New Roman" w:cs="Arial"/>
                <w:color w:val="000000"/>
                <w:lang w:val="en-US"/>
              </w:rPr>
              <w:t>. (2025)</w:t>
            </w:r>
          </w:p>
        </w:tc>
        <w:tc>
          <w:tcPr>
            <w:tcW w:w="3881" w:type="dxa"/>
            <w:noWrap/>
            <w:vAlign w:val="center"/>
            <w:hideMark/>
          </w:tcPr>
          <w:p w14:paraId="132AB3F3"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A comprehensive review of greenwashing in the textile industry (life cycle assessment, life cycle cost, and eco-labeling)</w:t>
            </w:r>
          </w:p>
        </w:tc>
        <w:tc>
          <w:tcPr>
            <w:tcW w:w="3111" w:type="dxa"/>
            <w:noWrap/>
            <w:vAlign w:val="center"/>
            <w:hideMark/>
          </w:tcPr>
          <w:p w14:paraId="68463742"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Narrative/systematic review across LCA/LCC, eco-labels</w:t>
            </w:r>
          </w:p>
        </w:tc>
        <w:tc>
          <w:tcPr>
            <w:tcW w:w="4320" w:type="dxa"/>
            <w:noWrap/>
            <w:vAlign w:val="center"/>
            <w:hideMark/>
          </w:tcPr>
          <w:p w14:paraId="68C2D1D7"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Greenwashing typologies; LCA evidence; eco-label credibility; policy/</w:t>
            </w:r>
            <w:proofErr w:type="spellStart"/>
            <w:r w:rsidRPr="000845DC">
              <w:rPr>
                <w:rFonts w:eastAsia="Times New Roman" w:cs="Arial"/>
                <w:color w:val="000000"/>
                <w:lang w:val="en-US"/>
              </w:rPr>
              <w:t>standardisation</w:t>
            </w:r>
            <w:proofErr w:type="spellEnd"/>
            <w:r w:rsidRPr="000845DC">
              <w:rPr>
                <w:rFonts w:eastAsia="Times New Roman" w:cs="Arial"/>
                <w:color w:val="000000"/>
                <w:lang w:val="en-US"/>
              </w:rPr>
              <w:t xml:space="preserve"> against misleading claims (RQ2 / RQ3)</w:t>
            </w:r>
          </w:p>
        </w:tc>
      </w:tr>
      <w:tr w:rsidR="007A6353" w:rsidRPr="000845DC" w14:paraId="472BDBC2" w14:textId="77777777" w:rsidTr="007A6353">
        <w:trPr>
          <w:trHeight w:val="288"/>
        </w:trPr>
        <w:tc>
          <w:tcPr>
            <w:tcW w:w="843" w:type="dxa"/>
            <w:noWrap/>
            <w:vAlign w:val="center"/>
            <w:hideMark/>
          </w:tcPr>
          <w:p w14:paraId="31F71D74"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33</w:t>
            </w:r>
          </w:p>
        </w:tc>
        <w:tc>
          <w:tcPr>
            <w:tcW w:w="1790" w:type="dxa"/>
            <w:noWrap/>
            <w:vAlign w:val="center"/>
            <w:hideMark/>
          </w:tcPr>
          <w:p w14:paraId="7031C367" w14:textId="77777777"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Nigatu</w:t>
            </w:r>
            <w:proofErr w:type="spellEnd"/>
            <w:r w:rsidRPr="000845DC">
              <w:rPr>
                <w:rFonts w:eastAsia="Times New Roman" w:cs="Arial"/>
                <w:color w:val="000000"/>
                <w:lang w:val="en-US"/>
              </w:rPr>
              <w:t xml:space="preserve">, </w:t>
            </w:r>
            <w:proofErr w:type="spellStart"/>
            <w:r w:rsidRPr="000845DC">
              <w:rPr>
                <w:rFonts w:eastAsia="Times New Roman" w:cs="Arial"/>
                <w:color w:val="000000"/>
                <w:lang w:val="en-US"/>
              </w:rPr>
              <w:t>Degoma</w:t>
            </w:r>
            <w:proofErr w:type="spellEnd"/>
            <w:r w:rsidRPr="000845DC">
              <w:rPr>
                <w:rFonts w:eastAsia="Times New Roman" w:cs="Arial"/>
                <w:color w:val="000000"/>
                <w:lang w:val="en-US"/>
              </w:rPr>
              <w:t xml:space="preserve"> &amp; </w:t>
            </w:r>
            <w:proofErr w:type="spellStart"/>
            <w:r w:rsidRPr="000845DC">
              <w:rPr>
                <w:rFonts w:eastAsia="Times New Roman" w:cs="Arial"/>
                <w:color w:val="000000"/>
                <w:lang w:val="en-US"/>
              </w:rPr>
              <w:lastRenderedPageBreak/>
              <w:t>Tsegaye</w:t>
            </w:r>
            <w:proofErr w:type="spellEnd"/>
            <w:r w:rsidRPr="000845DC">
              <w:rPr>
                <w:rFonts w:eastAsia="Times New Roman" w:cs="Arial"/>
                <w:color w:val="000000"/>
                <w:lang w:val="en-US"/>
              </w:rPr>
              <w:t xml:space="preserve"> (2024)</w:t>
            </w:r>
          </w:p>
        </w:tc>
        <w:tc>
          <w:tcPr>
            <w:tcW w:w="3881" w:type="dxa"/>
            <w:noWrap/>
            <w:vAlign w:val="center"/>
            <w:hideMark/>
          </w:tcPr>
          <w:p w14:paraId="40224592"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lastRenderedPageBreak/>
              <w:t xml:space="preserve">Green practices and economic performance: Mediating role of green innovation in Ethiopian </w:t>
            </w:r>
            <w:r w:rsidRPr="000845DC">
              <w:rPr>
                <w:rFonts w:eastAsia="Times New Roman" w:cs="Arial"/>
                <w:color w:val="000000"/>
              </w:rPr>
              <w:lastRenderedPageBreak/>
              <w:t>leather, textile, and garment industries</w:t>
            </w:r>
          </w:p>
        </w:tc>
        <w:tc>
          <w:tcPr>
            <w:tcW w:w="3111" w:type="dxa"/>
            <w:noWrap/>
            <w:vAlign w:val="center"/>
            <w:hideMark/>
          </w:tcPr>
          <w:p w14:paraId="7DD3D551"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lastRenderedPageBreak/>
              <w:t>Quantitative survey; PLS-SEM</w:t>
            </w:r>
          </w:p>
        </w:tc>
        <w:tc>
          <w:tcPr>
            <w:tcW w:w="4320" w:type="dxa"/>
            <w:noWrap/>
            <w:vAlign w:val="center"/>
            <w:hideMark/>
          </w:tcPr>
          <w:p w14:paraId="42AB781D"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 xml:space="preserve">Green manufacturing, marketing, investment; innovation link to </w:t>
            </w:r>
            <w:r w:rsidRPr="000845DC">
              <w:rPr>
                <w:rFonts w:eastAsia="Times New Roman" w:cs="Arial"/>
                <w:color w:val="000000"/>
                <w:lang w:val="en-US"/>
              </w:rPr>
              <w:lastRenderedPageBreak/>
              <w:t>economic and environmental outcomes (RQ1)</w:t>
            </w:r>
          </w:p>
        </w:tc>
      </w:tr>
      <w:tr w:rsidR="007A6353" w:rsidRPr="000845DC" w14:paraId="65823FA8" w14:textId="77777777" w:rsidTr="007A6353">
        <w:trPr>
          <w:trHeight w:val="288"/>
        </w:trPr>
        <w:tc>
          <w:tcPr>
            <w:tcW w:w="843" w:type="dxa"/>
            <w:noWrap/>
            <w:vAlign w:val="center"/>
            <w:hideMark/>
          </w:tcPr>
          <w:p w14:paraId="789A788A"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lastRenderedPageBreak/>
              <w:t>34</w:t>
            </w:r>
          </w:p>
        </w:tc>
        <w:tc>
          <w:tcPr>
            <w:tcW w:w="1790" w:type="dxa"/>
            <w:noWrap/>
            <w:vAlign w:val="center"/>
            <w:hideMark/>
          </w:tcPr>
          <w:p w14:paraId="590F48E2" w14:textId="0B2EFABC"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 xml:space="preserve">Policarpo </w:t>
            </w:r>
            <w:r w:rsidR="00A7080E" w:rsidRPr="00A7080E">
              <w:rPr>
                <w:rFonts w:eastAsia="Times New Roman" w:cs="Arial"/>
                <w:i/>
                <w:iCs/>
                <w:color w:val="000000"/>
                <w:lang w:val="en-US"/>
              </w:rPr>
              <w:t>et al</w:t>
            </w:r>
            <w:r w:rsidRPr="000845DC">
              <w:rPr>
                <w:rFonts w:eastAsia="Times New Roman" w:cs="Arial"/>
                <w:color w:val="000000"/>
                <w:lang w:val="en-US"/>
              </w:rPr>
              <w:t>. (2023)</w:t>
            </w:r>
          </w:p>
        </w:tc>
        <w:tc>
          <w:tcPr>
            <w:tcW w:w="3881" w:type="dxa"/>
            <w:noWrap/>
            <w:vAlign w:val="center"/>
            <w:hideMark/>
          </w:tcPr>
          <w:p w14:paraId="3A6BDE98"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Social cynicism, greenwashing, and trust in green clothing brands</w:t>
            </w:r>
          </w:p>
        </w:tc>
        <w:tc>
          <w:tcPr>
            <w:tcW w:w="3111" w:type="dxa"/>
            <w:noWrap/>
            <w:vAlign w:val="center"/>
            <w:hideMark/>
          </w:tcPr>
          <w:p w14:paraId="5747348D"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National online survey (Australia); structural modeling</w:t>
            </w:r>
          </w:p>
        </w:tc>
        <w:tc>
          <w:tcPr>
            <w:tcW w:w="4320" w:type="dxa"/>
            <w:noWrap/>
            <w:vAlign w:val="center"/>
            <w:hideMark/>
          </w:tcPr>
          <w:p w14:paraId="61B7DC10"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Perceived greenwashing → lower brand trust; personality (social cynicism) and conspicuous consumption as moderators (RQ2)</w:t>
            </w:r>
          </w:p>
        </w:tc>
      </w:tr>
      <w:tr w:rsidR="007A6353" w:rsidRPr="000845DC" w14:paraId="67AECEAF" w14:textId="77777777" w:rsidTr="007A6353">
        <w:trPr>
          <w:trHeight w:val="288"/>
        </w:trPr>
        <w:tc>
          <w:tcPr>
            <w:tcW w:w="843" w:type="dxa"/>
            <w:noWrap/>
            <w:vAlign w:val="center"/>
            <w:hideMark/>
          </w:tcPr>
          <w:p w14:paraId="50D0F4CF"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35</w:t>
            </w:r>
          </w:p>
        </w:tc>
        <w:tc>
          <w:tcPr>
            <w:tcW w:w="1790" w:type="dxa"/>
            <w:noWrap/>
            <w:vAlign w:val="center"/>
            <w:hideMark/>
          </w:tcPr>
          <w:p w14:paraId="7B4C8ECC"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Pozzo (2023)</w:t>
            </w:r>
          </w:p>
        </w:tc>
        <w:tc>
          <w:tcPr>
            <w:tcW w:w="3881" w:type="dxa"/>
            <w:noWrap/>
            <w:vAlign w:val="center"/>
            <w:hideMark/>
          </w:tcPr>
          <w:p w14:paraId="430F3400"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Sustainable Fashion… Italian Style!</w:t>
            </w:r>
          </w:p>
        </w:tc>
        <w:tc>
          <w:tcPr>
            <w:tcW w:w="3111" w:type="dxa"/>
            <w:noWrap/>
            <w:vAlign w:val="center"/>
            <w:hideMark/>
          </w:tcPr>
          <w:p w14:paraId="394AC2A3"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Legal/policy analysis (EU framework; industry codes)</w:t>
            </w:r>
          </w:p>
        </w:tc>
        <w:tc>
          <w:tcPr>
            <w:tcW w:w="4320" w:type="dxa"/>
            <w:noWrap/>
            <w:vAlign w:val="center"/>
            <w:hideMark/>
          </w:tcPr>
          <w:p w14:paraId="0419AA81"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Prevalence of greenwashing within EU legal context; labelling/registration norms; accountability mechanisms (RQ2)</w:t>
            </w:r>
          </w:p>
        </w:tc>
      </w:tr>
      <w:tr w:rsidR="007A6353" w:rsidRPr="000845DC" w14:paraId="02BED77C" w14:textId="77777777" w:rsidTr="007A6353">
        <w:trPr>
          <w:trHeight w:val="288"/>
        </w:trPr>
        <w:tc>
          <w:tcPr>
            <w:tcW w:w="843" w:type="dxa"/>
            <w:noWrap/>
            <w:vAlign w:val="center"/>
            <w:hideMark/>
          </w:tcPr>
          <w:p w14:paraId="383BF5C7"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36</w:t>
            </w:r>
          </w:p>
        </w:tc>
        <w:tc>
          <w:tcPr>
            <w:tcW w:w="1790" w:type="dxa"/>
            <w:noWrap/>
            <w:vAlign w:val="center"/>
            <w:hideMark/>
          </w:tcPr>
          <w:p w14:paraId="6F50A3D7" w14:textId="77777777"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Promalessy</w:t>
            </w:r>
            <w:proofErr w:type="spellEnd"/>
            <w:r w:rsidRPr="000845DC">
              <w:rPr>
                <w:rFonts w:eastAsia="Times New Roman" w:cs="Arial"/>
                <w:color w:val="000000"/>
                <w:lang w:val="en-US"/>
              </w:rPr>
              <w:t xml:space="preserve"> &amp; </w:t>
            </w:r>
            <w:proofErr w:type="spellStart"/>
            <w:r w:rsidRPr="000845DC">
              <w:rPr>
                <w:rFonts w:eastAsia="Times New Roman" w:cs="Arial"/>
                <w:color w:val="000000"/>
                <w:lang w:val="en-US"/>
              </w:rPr>
              <w:t>Handriana</w:t>
            </w:r>
            <w:proofErr w:type="spellEnd"/>
            <w:r w:rsidRPr="000845DC">
              <w:rPr>
                <w:rFonts w:eastAsia="Times New Roman" w:cs="Arial"/>
                <w:color w:val="000000"/>
                <w:lang w:val="en-US"/>
              </w:rPr>
              <w:t xml:space="preserve"> (2024)</w:t>
            </w:r>
          </w:p>
        </w:tc>
        <w:tc>
          <w:tcPr>
            <w:tcW w:w="3881" w:type="dxa"/>
            <w:noWrap/>
            <w:vAlign w:val="center"/>
            <w:hideMark/>
          </w:tcPr>
          <w:p w14:paraId="03AA5310"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How does greenwashing affect green word of mouth through green skepticism? Empirical research for fast fashion business</w:t>
            </w:r>
          </w:p>
        </w:tc>
        <w:tc>
          <w:tcPr>
            <w:tcW w:w="3111" w:type="dxa"/>
            <w:noWrap/>
            <w:vAlign w:val="center"/>
            <w:hideMark/>
          </w:tcPr>
          <w:p w14:paraId="38414C47"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Survey (n=397 Gen Z, Indonesia); PLS-SEM</w:t>
            </w:r>
          </w:p>
        </w:tc>
        <w:tc>
          <w:tcPr>
            <w:tcW w:w="4320" w:type="dxa"/>
            <w:noWrap/>
            <w:vAlign w:val="center"/>
            <w:hideMark/>
          </w:tcPr>
          <w:p w14:paraId="3C1813DD"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 xml:space="preserve">Greenwashing → green </w:t>
            </w:r>
            <w:proofErr w:type="spellStart"/>
            <w:r w:rsidRPr="000845DC">
              <w:rPr>
                <w:rFonts w:eastAsia="Times New Roman" w:cs="Arial"/>
                <w:color w:val="000000"/>
                <w:lang w:val="en-US"/>
              </w:rPr>
              <w:t>scepticism</w:t>
            </w:r>
            <w:proofErr w:type="spellEnd"/>
            <w:r w:rsidRPr="000845DC">
              <w:rPr>
                <w:rFonts w:eastAsia="Times New Roman" w:cs="Arial"/>
                <w:color w:val="000000"/>
                <w:lang w:val="en-US"/>
              </w:rPr>
              <w:t xml:space="preserve"> → negative WOM; consumer protection/regulation implications (RQ2)</w:t>
            </w:r>
          </w:p>
        </w:tc>
      </w:tr>
      <w:tr w:rsidR="007A6353" w:rsidRPr="000845DC" w14:paraId="5BA070F0" w14:textId="77777777" w:rsidTr="007A6353">
        <w:trPr>
          <w:trHeight w:val="288"/>
        </w:trPr>
        <w:tc>
          <w:tcPr>
            <w:tcW w:w="843" w:type="dxa"/>
            <w:noWrap/>
            <w:vAlign w:val="center"/>
            <w:hideMark/>
          </w:tcPr>
          <w:p w14:paraId="6E5D6D7C"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37</w:t>
            </w:r>
          </w:p>
        </w:tc>
        <w:tc>
          <w:tcPr>
            <w:tcW w:w="1790" w:type="dxa"/>
            <w:noWrap/>
            <w:vAlign w:val="center"/>
            <w:hideMark/>
          </w:tcPr>
          <w:p w14:paraId="113E2C28"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Rausch &amp; Kopplin (2021)</w:t>
            </w:r>
          </w:p>
        </w:tc>
        <w:tc>
          <w:tcPr>
            <w:tcW w:w="3881" w:type="dxa"/>
            <w:noWrap/>
            <w:vAlign w:val="center"/>
            <w:hideMark/>
          </w:tcPr>
          <w:p w14:paraId="1930B98C"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Bridge the gap: Consumers’ purchase intention and behavior regarding sustainable clothing</w:t>
            </w:r>
          </w:p>
        </w:tc>
        <w:tc>
          <w:tcPr>
            <w:tcW w:w="3111" w:type="dxa"/>
            <w:noWrap/>
            <w:vAlign w:val="center"/>
            <w:hideMark/>
          </w:tcPr>
          <w:p w14:paraId="7D4B007B"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Survey (n=464); extended TRA with greenwashing concerns, risk constructs</w:t>
            </w:r>
          </w:p>
        </w:tc>
        <w:tc>
          <w:tcPr>
            <w:tcW w:w="4320" w:type="dxa"/>
            <w:noWrap/>
            <w:vAlign w:val="center"/>
            <w:hideMark/>
          </w:tcPr>
          <w:p w14:paraId="415E599B"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Greenwashing concerns weaken attitude → intention link; intention–behaviour gap; credibility of sustainability claims (RQ2)</w:t>
            </w:r>
          </w:p>
        </w:tc>
      </w:tr>
      <w:tr w:rsidR="007A6353" w:rsidRPr="000845DC" w14:paraId="5D183D2B" w14:textId="77777777" w:rsidTr="007A6353">
        <w:trPr>
          <w:trHeight w:val="288"/>
        </w:trPr>
        <w:tc>
          <w:tcPr>
            <w:tcW w:w="843" w:type="dxa"/>
            <w:noWrap/>
            <w:vAlign w:val="center"/>
            <w:hideMark/>
          </w:tcPr>
          <w:p w14:paraId="35199B07"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38</w:t>
            </w:r>
          </w:p>
        </w:tc>
        <w:tc>
          <w:tcPr>
            <w:tcW w:w="1790" w:type="dxa"/>
            <w:noWrap/>
            <w:vAlign w:val="center"/>
            <w:hideMark/>
          </w:tcPr>
          <w:p w14:paraId="325D2E57" w14:textId="08C25163"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 xml:space="preserve">Reck </w:t>
            </w:r>
            <w:r w:rsidR="00A7080E" w:rsidRPr="00A7080E">
              <w:rPr>
                <w:rFonts w:eastAsia="Times New Roman" w:cs="Arial"/>
                <w:i/>
                <w:iCs/>
                <w:color w:val="000000"/>
                <w:lang w:val="en-US"/>
              </w:rPr>
              <w:t>et al</w:t>
            </w:r>
            <w:r w:rsidRPr="000845DC">
              <w:rPr>
                <w:rFonts w:eastAsia="Times New Roman" w:cs="Arial"/>
                <w:color w:val="000000"/>
                <w:lang w:val="en-US"/>
              </w:rPr>
              <w:t>. (2022)</w:t>
            </w:r>
          </w:p>
        </w:tc>
        <w:tc>
          <w:tcPr>
            <w:tcW w:w="3881" w:type="dxa"/>
            <w:noWrap/>
            <w:vAlign w:val="center"/>
            <w:hideMark/>
          </w:tcPr>
          <w:p w14:paraId="3BC78E6E"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The transparency paradox: When transparency cues helps or backfires for brands?</w:t>
            </w:r>
          </w:p>
        </w:tc>
        <w:tc>
          <w:tcPr>
            <w:tcW w:w="3111" w:type="dxa"/>
            <w:noWrap/>
            <w:vAlign w:val="center"/>
            <w:hideMark/>
          </w:tcPr>
          <w:p w14:paraId="71AFEF18"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Series of experiments on fashion products (transparency cues × brand strength), trust mediation</w:t>
            </w:r>
          </w:p>
        </w:tc>
        <w:tc>
          <w:tcPr>
            <w:tcW w:w="4320" w:type="dxa"/>
            <w:noWrap/>
            <w:vAlign w:val="center"/>
            <w:hideMark/>
          </w:tcPr>
          <w:p w14:paraId="05746375"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Transparency cues; boundary condition of greenwashing vs. honest CSR; trust; differential effects for small vs. large brands (RQ2 / RQ3)</w:t>
            </w:r>
          </w:p>
        </w:tc>
      </w:tr>
      <w:tr w:rsidR="007A6353" w:rsidRPr="000845DC" w14:paraId="500907C3" w14:textId="77777777" w:rsidTr="007A6353">
        <w:trPr>
          <w:trHeight w:val="288"/>
        </w:trPr>
        <w:tc>
          <w:tcPr>
            <w:tcW w:w="843" w:type="dxa"/>
            <w:noWrap/>
            <w:vAlign w:val="center"/>
            <w:hideMark/>
          </w:tcPr>
          <w:p w14:paraId="05EF8745"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lastRenderedPageBreak/>
              <w:t>39</w:t>
            </w:r>
          </w:p>
        </w:tc>
        <w:tc>
          <w:tcPr>
            <w:tcW w:w="1790" w:type="dxa"/>
            <w:noWrap/>
            <w:vAlign w:val="center"/>
            <w:hideMark/>
          </w:tcPr>
          <w:p w14:paraId="51252414"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Redman (2025)</w:t>
            </w:r>
          </w:p>
        </w:tc>
        <w:tc>
          <w:tcPr>
            <w:tcW w:w="3881" w:type="dxa"/>
            <w:noWrap/>
            <w:vAlign w:val="center"/>
            <w:hideMark/>
          </w:tcPr>
          <w:p w14:paraId="18E5EE15"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“There Is No Fashion on a Dead Planet:” Mandatory US-EU reporting directive centered on transparency</w:t>
            </w:r>
          </w:p>
        </w:tc>
        <w:tc>
          <w:tcPr>
            <w:tcW w:w="3111" w:type="dxa"/>
            <w:noWrap/>
            <w:vAlign w:val="center"/>
            <w:hideMark/>
          </w:tcPr>
          <w:p w14:paraId="47EB54CD"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Legal/policy analysis; comparative framework</w:t>
            </w:r>
          </w:p>
        </w:tc>
        <w:tc>
          <w:tcPr>
            <w:tcW w:w="4320" w:type="dxa"/>
            <w:noWrap/>
            <w:vAlign w:val="center"/>
            <w:hideMark/>
          </w:tcPr>
          <w:p w14:paraId="2A2106A7"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 xml:space="preserve">Mandatory disclosure to curb greenwashing; </w:t>
            </w:r>
            <w:proofErr w:type="spellStart"/>
            <w:r w:rsidRPr="000845DC">
              <w:rPr>
                <w:rFonts w:eastAsia="Times New Roman" w:cs="Arial"/>
                <w:color w:val="000000"/>
                <w:lang w:val="en-US"/>
              </w:rPr>
              <w:t>standardised</w:t>
            </w:r>
            <w:proofErr w:type="spellEnd"/>
            <w:r w:rsidRPr="000845DC">
              <w:rPr>
                <w:rFonts w:eastAsia="Times New Roman" w:cs="Arial"/>
                <w:color w:val="000000"/>
                <w:lang w:val="en-US"/>
              </w:rPr>
              <w:t xml:space="preserve"> transparency; accountability mechanisms for fashion supply chains (RQ3)</w:t>
            </w:r>
          </w:p>
        </w:tc>
      </w:tr>
      <w:tr w:rsidR="007A6353" w:rsidRPr="000845DC" w14:paraId="114A58D3" w14:textId="77777777" w:rsidTr="007A6353">
        <w:trPr>
          <w:trHeight w:val="288"/>
        </w:trPr>
        <w:tc>
          <w:tcPr>
            <w:tcW w:w="843" w:type="dxa"/>
            <w:noWrap/>
            <w:vAlign w:val="center"/>
            <w:hideMark/>
          </w:tcPr>
          <w:p w14:paraId="057BAE8B"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40</w:t>
            </w:r>
          </w:p>
        </w:tc>
        <w:tc>
          <w:tcPr>
            <w:tcW w:w="1790" w:type="dxa"/>
            <w:noWrap/>
            <w:vAlign w:val="center"/>
            <w:hideMark/>
          </w:tcPr>
          <w:p w14:paraId="74E3B0C8"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Reza &amp; Du Plessis (2022)</w:t>
            </w:r>
          </w:p>
        </w:tc>
        <w:tc>
          <w:tcPr>
            <w:tcW w:w="3881" w:type="dxa"/>
            <w:noWrap/>
            <w:vAlign w:val="center"/>
            <w:hideMark/>
          </w:tcPr>
          <w:p w14:paraId="5E01E1E4"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The Garment Industry in Bangladesh, CSR of Multinational Corporations, and the Impact of COVID-19</w:t>
            </w:r>
          </w:p>
        </w:tc>
        <w:tc>
          <w:tcPr>
            <w:tcW w:w="3111" w:type="dxa"/>
            <w:noWrap/>
            <w:vAlign w:val="center"/>
            <w:hideMark/>
          </w:tcPr>
          <w:p w14:paraId="0943BDC6"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Doctrinal/legal analysis + meta-analysis of cases</w:t>
            </w:r>
          </w:p>
        </w:tc>
        <w:tc>
          <w:tcPr>
            <w:tcW w:w="4320" w:type="dxa"/>
            <w:noWrap/>
            <w:vAlign w:val="center"/>
            <w:hideMark/>
          </w:tcPr>
          <w:p w14:paraId="06D41586"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CSR claims vs. supply-chain realities; CSR-as-greenwashing risk; reporting requirements; governance gaps (RQ2)</w:t>
            </w:r>
          </w:p>
        </w:tc>
      </w:tr>
      <w:tr w:rsidR="007A6353" w:rsidRPr="000845DC" w14:paraId="06F07BB0" w14:textId="77777777" w:rsidTr="007A6353">
        <w:trPr>
          <w:trHeight w:val="288"/>
        </w:trPr>
        <w:tc>
          <w:tcPr>
            <w:tcW w:w="843" w:type="dxa"/>
            <w:noWrap/>
            <w:vAlign w:val="center"/>
            <w:hideMark/>
          </w:tcPr>
          <w:p w14:paraId="6C3E5165"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41</w:t>
            </w:r>
          </w:p>
        </w:tc>
        <w:tc>
          <w:tcPr>
            <w:tcW w:w="1790" w:type="dxa"/>
            <w:noWrap/>
            <w:vAlign w:val="center"/>
            <w:hideMark/>
          </w:tcPr>
          <w:p w14:paraId="2DC5791E" w14:textId="77777777"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Roozen</w:t>
            </w:r>
            <w:proofErr w:type="spellEnd"/>
            <w:r w:rsidRPr="000845DC">
              <w:rPr>
                <w:rFonts w:eastAsia="Times New Roman" w:cs="Arial"/>
                <w:color w:val="000000"/>
                <w:lang w:val="en-US"/>
              </w:rPr>
              <w:t xml:space="preserve">, </w:t>
            </w:r>
            <w:proofErr w:type="spellStart"/>
            <w:r w:rsidRPr="000845DC">
              <w:rPr>
                <w:rFonts w:eastAsia="Times New Roman" w:cs="Arial"/>
                <w:color w:val="000000"/>
                <w:lang w:val="en-US"/>
              </w:rPr>
              <w:t>Raedts</w:t>
            </w:r>
            <w:proofErr w:type="spellEnd"/>
            <w:r w:rsidRPr="000845DC">
              <w:rPr>
                <w:rFonts w:eastAsia="Times New Roman" w:cs="Arial"/>
                <w:color w:val="000000"/>
                <w:lang w:val="en-US"/>
              </w:rPr>
              <w:t xml:space="preserve"> &amp; </w:t>
            </w:r>
            <w:proofErr w:type="spellStart"/>
            <w:r w:rsidRPr="000845DC">
              <w:rPr>
                <w:rFonts w:eastAsia="Times New Roman" w:cs="Arial"/>
                <w:color w:val="000000"/>
                <w:lang w:val="en-US"/>
              </w:rPr>
              <w:t>Henderix</w:t>
            </w:r>
            <w:proofErr w:type="spellEnd"/>
            <w:r w:rsidRPr="000845DC">
              <w:rPr>
                <w:rFonts w:eastAsia="Times New Roman" w:cs="Arial"/>
                <w:color w:val="000000"/>
                <w:lang w:val="en-US"/>
              </w:rPr>
              <w:t xml:space="preserve"> (2025)</w:t>
            </w:r>
          </w:p>
        </w:tc>
        <w:tc>
          <w:tcPr>
            <w:tcW w:w="3881" w:type="dxa"/>
            <w:noWrap/>
            <w:vAlign w:val="center"/>
            <w:hideMark/>
          </w:tcPr>
          <w:p w14:paraId="0BC43D42"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Exploring the role of green brand extensions and greenwashing in the fashion industry</w:t>
            </w:r>
          </w:p>
        </w:tc>
        <w:tc>
          <w:tcPr>
            <w:tcW w:w="3111" w:type="dxa"/>
            <w:noWrap/>
            <w:vAlign w:val="center"/>
            <w:hideMark/>
          </w:tcPr>
          <w:p w14:paraId="026EB9C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2×2 between-subjects experiment (brand strategy × greenwashing claims)</w:t>
            </w:r>
          </w:p>
        </w:tc>
        <w:tc>
          <w:tcPr>
            <w:tcW w:w="4320" w:type="dxa"/>
            <w:noWrap/>
            <w:vAlign w:val="center"/>
            <w:hideMark/>
          </w:tcPr>
          <w:p w14:paraId="6CDA1F52"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Greenwashing impact on purchase intention; brand-extension strategy vs. new brand; credibility of sustainability claims (RQ2)</w:t>
            </w:r>
          </w:p>
        </w:tc>
      </w:tr>
      <w:tr w:rsidR="007A6353" w:rsidRPr="000845DC" w14:paraId="7F2448A0" w14:textId="77777777" w:rsidTr="007A6353">
        <w:trPr>
          <w:trHeight w:val="288"/>
        </w:trPr>
        <w:tc>
          <w:tcPr>
            <w:tcW w:w="843" w:type="dxa"/>
            <w:noWrap/>
            <w:vAlign w:val="center"/>
            <w:hideMark/>
          </w:tcPr>
          <w:p w14:paraId="52C5D2E6"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42</w:t>
            </w:r>
          </w:p>
        </w:tc>
        <w:tc>
          <w:tcPr>
            <w:tcW w:w="1790" w:type="dxa"/>
            <w:noWrap/>
            <w:vAlign w:val="center"/>
            <w:hideMark/>
          </w:tcPr>
          <w:p w14:paraId="0A3891BB"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Sailer, Wilfing &amp; Straus (2022)</w:t>
            </w:r>
          </w:p>
        </w:tc>
        <w:tc>
          <w:tcPr>
            <w:tcW w:w="3881" w:type="dxa"/>
            <w:noWrap/>
            <w:vAlign w:val="center"/>
            <w:hideMark/>
          </w:tcPr>
          <w:p w14:paraId="373B740C"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 xml:space="preserve">Greenwashing and </w:t>
            </w:r>
            <w:proofErr w:type="spellStart"/>
            <w:r w:rsidRPr="000845DC">
              <w:rPr>
                <w:rFonts w:eastAsia="Times New Roman" w:cs="Arial"/>
                <w:color w:val="000000"/>
              </w:rPr>
              <w:t>Bluewashing</w:t>
            </w:r>
            <w:proofErr w:type="spellEnd"/>
            <w:r w:rsidRPr="000845DC">
              <w:rPr>
                <w:rFonts w:eastAsia="Times New Roman" w:cs="Arial"/>
                <w:color w:val="000000"/>
              </w:rPr>
              <w:t xml:space="preserve"> in Black Friday-Related Sustainable Fashion Marketing on Instagram</w:t>
            </w:r>
          </w:p>
        </w:tc>
        <w:tc>
          <w:tcPr>
            <w:tcW w:w="3111" w:type="dxa"/>
            <w:noWrap/>
            <w:vAlign w:val="center"/>
            <w:hideMark/>
          </w:tcPr>
          <w:p w14:paraId="7EDFC447"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Quantitative &amp; qualitative content analysis + online survey (regression)</w:t>
            </w:r>
          </w:p>
        </w:tc>
        <w:tc>
          <w:tcPr>
            <w:tcW w:w="4320" w:type="dxa"/>
            <w:noWrap/>
            <w:vAlign w:val="center"/>
            <w:hideMark/>
          </w:tcPr>
          <w:p w14:paraId="6979C26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Social-media green/</w:t>
            </w:r>
            <w:proofErr w:type="spellStart"/>
            <w:r w:rsidRPr="000845DC">
              <w:rPr>
                <w:rFonts w:eastAsia="Times New Roman" w:cs="Arial"/>
                <w:color w:val="000000"/>
                <w:lang w:val="en-US"/>
              </w:rPr>
              <w:t>bluewashing</w:t>
            </w:r>
            <w:proofErr w:type="spellEnd"/>
            <w:r w:rsidRPr="000845DC">
              <w:rPr>
                <w:rFonts w:eastAsia="Times New Roman" w:cs="Arial"/>
                <w:color w:val="000000"/>
                <w:lang w:val="en-US"/>
              </w:rPr>
              <w:t xml:space="preserve"> strategies (9-strategy model); ad </w:t>
            </w:r>
            <w:proofErr w:type="spellStart"/>
            <w:r w:rsidRPr="000845DC">
              <w:rPr>
                <w:rFonts w:eastAsia="Times New Roman" w:cs="Arial"/>
                <w:color w:val="000000"/>
                <w:lang w:val="en-US"/>
              </w:rPr>
              <w:t>scepticism</w:t>
            </w:r>
            <w:proofErr w:type="spellEnd"/>
            <w:r w:rsidRPr="000845DC">
              <w:rPr>
                <w:rFonts w:eastAsia="Times New Roman" w:cs="Arial"/>
                <w:color w:val="000000"/>
                <w:lang w:val="en-US"/>
              </w:rPr>
              <w:t>; campaign evaluation drivers (RQ2)</w:t>
            </w:r>
          </w:p>
        </w:tc>
      </w:tr>
      <w:tr w:rsidR="007A6353" w:rsidRPr="000845DC" w14:paraId="07CA7B5E" w14:textId="77777777" w:rsidTr="007A6353">
        <w:trPr>
          <w:trHeight w:val="288"/>
        </w:trPr>
        <w:tc>
          <w:tcPr>
            <w:tcW w:w="843" w:type="dxa"/>
            <w:noWrap/>
            <w:vAlign w:val="center"/>
            <w:hideMark/>
          </w:tcPr>
          <w:p w14:paraId="2E032673"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43</w:t>
            </w:r>
          </w:p>
        </w:tc>
        <w:tc>
          <w:tcPr>
            <w:tcW w:w="1790" w:type="dxa"/>
            <w:noWrap/>
            <w:vAlign w:val="center"/>
            <w:hideMark/>
          </w:tcPr>
          <w:p w14:paraId="49E6DB39" w14:textId="77777777"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Schwoy</w:t>
            </w:r>
            <w:proofErr w:type="spellEnd"/>
            <w:r w:rsidRPr="000845DC">
              <w:rPr>
                <w:rFonts w:eastAsia="Times New Roman" w:cs="Arial"/>
                <w:color w:val="000000"/>
                <w:lang w:val="en-US"/>
              </w:rPr>
              <w:t xml:space="preserve">, </w:t>
            </w:r>
            <w:proofErr w:type="spellStart"/>
            <w:r w:rsidRPr="000845DC">
              <w:rPr>
                <w:rFonts w:eastAsia="Times New Roman" w:cs="Arial"/>
                <w:color w:val="000000"/>
                <w:lang w:val="en-US"/>
              </w:rPr>
              <w:t>Dutzi</w:t>
            </w:r>
            <w:proofErr w:type="spellEnd"/>
            <w:r w:rsidRPr="000845DC">
              <w:rPr>
                <w:rFonts w:eastAsia="Times New Roman" w:cs="Arial"/>
                <w:color w:val="000000"/>
                <w:lang w:val="en-US"/>
              </w:rPr>
              <w:t xml:space="preserve"> &amp; Messing (2025)</w:t>
            </w:r>
          </w:p>
        </w:tc>
        <w:tc>
          <w:tcPr>
            <w:tcW w:w="3881" w:type="dxa"/>
            <w:noWrap/>
            <w:vAlign w:val="center"/>
            <w:hideMark/>
          </w:tcPr>
          <w:p w14:paraId="3875048E"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Silence is golden? – Analysing the transparency of ESG controversies in corporate reporting within the pharmaceutical and textile industry</w:t>
            </w:r>
          </w:p>
        </w:tc>
        <w:tc>
          <w:tcPr>
            <w:tcW w:w="3111" w:type="dxa"/>
            <w:noWrap/>
            <w:vAlign w:val="center"/>
            <w:hideMark/>
          </w:tcPr>
          <w:p w14:paraId="7C3C962C"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Conceptual content analysis of 190 ESG controversies across 104 reports (2018–2020); counter-accounting approach</w:t>
            </w:r>
          </w:p>
        </w:tc>
        <w:tc>
          <w:tcPr>
            <w:tcW w:w="4320" w:type="dxa"/>
            <w:noWrap/>
            <w:vAlign w:val="center"/>
            <w:hideMark/>
          </w:tcPr>
          <w:p w14:paraId="3B5A06F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Selective reporting/greenhushing; under-disclosure in textiles; limits of standards/assurance; credibility of claims (RQ2 / RQ3)</w:t>
            </w:r>
          </w:p>
        </w:tc>
      </w:tr>
      <w:tr w:rsidR="007A6353" w:rsidRPr="000845DC" w14:paraId="4B0B0028" w14:textId="77777777" w:rsidTr="007A6353">
        <w:trPr>
          <w:trHeight w:val="288"/>
        </w:trPr>
        <w:tc>
          <w:tcPr>
            <w:tcW w:w="843" w:type="dxa"/>
            <w:noWrap/>
            <w:vAlign w:val="center"/>
            <w:hideMark/>
          </w:tcPr>
          <w:p w14:paraId="7DEB70C1"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lastRenderedPageBreak/>
              <w:t>44</w:t>
            </w:r>
          </w:p>
        </w:tc>
        <w:tc>
          <w:tcPr>
            <w:tcW w:w="1790" w:type="dxa"/>
            <w:noWrap/>
            <w:vAlign w:val="center"/>
            <w:hideMark/>
          </w:tcPr>
          <w:p w14:paraId="4C519160"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Tolentino-Zondervan &amp; DiVito (2024)</w:t>
            </w:r>
          </w:p>
        </w:tc>
        <w:tc>
          <w:tcPr>
            <w:tcW w:w="3881" w:type="dxa"/>
            <w:noWrap/>
            <w:vAlign w:val="center"/>
            <w:hideMark/>
          </w:tcPr>
          <w:p w14:paraId="7042F40D"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Sustainability performance of Dutch firms and the role of digitalization: The case of textile and apparel industry</w:t>
            </w:r>
          </w:p>
        </w:tc>
        <w:tc>
          <w:tcPr>
            <w:tcW w:w="3111" w:type="dxa"/>
            <w:noWrap/>
            <w:vAlign w:val="center"/>
            <w:hideMark/>
          </w:tcPr>
          <w:p w14:paraId="5399914E"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Mixed-methods: text-mining of 94 firms’ websites + expert interviews/thematic coding</w:t>
            </w:r>
          </w:p>
        </w:tc>
        <w:tc>
          <w:tcPr>
            <w:tcW w:w="4320" w:type="dxa"/>
            <w:noWrap/>
            <w:vAlign w:val="center"/>
            <w:hideMark/>
          </w:tcPr>
          <w:p w14:paraId="45683D78"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Traceability, IoT/blockchain links to transparency; tying KPIs to data; accountability to address greenwashing (RQ1 / RQ3)</w:t>
            </w:r>
          </w:p>
        </w:tc>
      </w:tr>
      <w:tr w:rsidR="007A6353" w:rsidRPr="000845DC" w14:paraId="07379CBE" w14:textId="77777777" w:rsidTr="007A6353">
        <w:trPr>
          <w:trHeight w:val="288"/>
        </w:trPr>
        <w:tc>
          <w:tcPr>
            <w:tcW w:w="843" w:type="dxa"/>
            <w:noWrap/>
            <w:vAlign w:val="center"/>
            <w:hideMark/>
          </w:tcPr>
          <w:p w14:paraId="0011D707"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45</w:t>
            </w:r>
          </w:p>
        </w:tc>
        <w:tc>
          <w:tcPr>
            <w:tcW w:w="1790" w:type="dxa"/>
            <w:noWrap/>
            <w:vAlign w:val="center"/>
            <w:hideMark/>
          </w:tcPr>
          <w:p w14:paraId="4772C883" w14:textId="500F7C02"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Vehbi</w:t>
            </w:r>
            <w:proofErr w:type="spellEnd"/>
            <w:r w:rsidRPr="000845DC">
              <w:rPr>
                <w:rFonts w:eastAsia="Times New Roman" w:cs="Arial"/>
                <w:color w:val="000000"/>
                <w:lang w:val="en-US"/>
              </w:rPr>
              <w:t xml:space="preserve"> </w:t>
            </w:r>
            <w:r w:rsidR="00A7080E" w:rsidRPr="00A7080E">
              <w:rPr>
                <w:rFonts w:eastAsia="Times New Roman" w:cs="Arial"/>
                <w:i/>
                <w:iCs/>
                <w:color w:val="000000"/>
                <w:lang w:val="en-US"/>
              </w:rPr>
              <w:t>et al</w:t>
            </w:r>
            <w:r w:rsidRPr="000845DC">
              <w:rPr>
                <w:rFonts w:eastAsia="Times New Roman" w:cs="Arial"/>
                <w:color w:val="000000"/>
                <w:lang w:val="en-US"/>
              </w:rPr>
              <w:t>. (2025)</w:t>
            </w:r>
          </w:p>
        </w:tc>
        <w:tc>
          <w:tcPr>
            <w:tcW w:w="3881" w:type="dxa"/>
            <w:noWrap/>
            <w:vAlign w:val="center"/>
            <w:hideMark/>
          </w:tcPr>
          <w:p w14:paraId="19832070"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Nexus Amid Green Marketing, Green Business Strategy, and Competitive Business Among the Fashion Industry: Does Environmental Turbulence Matter?</w:t>
            </w:r>
          </w:p>
        </w:tc>
        <w:tc>
          <w:tcPr>
            <w:tcW w:w="3111" w:type="dxa"/>
            <w:noWrap/>
            <w:vAlign w:val="center"/>
            <w:hideMark/>
          </w:tcPr>
          <w:p w14:paraId="56801771"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Quantitative survey of textile managers; PLS-SEM</w:t>
            </w:r>
          </w:p>
        </w:tc>
        <w:tc>
          <w:tcPr>
            <w:tcW w:w="4320" w:type="dxa"/>
            <w:noWrap/>
            <w:vAlign w:val="center"/>
            <w:hideMark/>
          </w:tcPr>
          <w:p w14:paraId="0B103115"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Green marketing strategy; competitiveness; environmental turbulence; sustainable market advantage (RQ1)</w:t>
            </w:r>
          </w:p>
        </w:tc>
      </w:tr>
      <w:tr w:rsidR="007A6353" w:rsidRPr="000845DC" w14:paraId="4E1D5D93" w14:textId="77777777" w:rsidTr="007A6353">
        <w:trPr>
          <w:trHeight w:val="288"/>
        </w:trPr>
        <w:tc>
          <w:tcPr>
            <w:tcW w:w="843" w:type="dxa"/>
            <w:noWrap/>
            <w:vAlign w:val="center"/>
            <w:hideMark/>
          </w:tcPr>
          <w:p w14:paraId="7B84DBA5"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46</w:t>
            </w:r>
          </w:p>
        </w:tc>
        <w:tc>
          <w:tcPr>
            <w:tcW w:w="1790" w:type="dxa"/>
            <w:noWrap/>
            <w:vAlign w:val="center"/>
            <w:hideMark/>
          </w:tcPr>
          <w:p w14:paraId="32EB32BE" w14:textId="2FB7E811"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Velasco-Molpeceres</w:t>
            </w:r>
            <w:proofErr w:type="spellEnd"/>
            <w:r w:rsidRPr="000845DC">
              <w:rPr>
                <w:rFonts w:eastAsia="Times New Roman" w:cs="Arial"/>
                <w:color w:val="000000"/>
                <w:lang w:val="en-US"/>
              </w:rPr>
              <w:t xml:space="preserve"> </w:t>
            </w:r>
            <w:r w:rsidR="00A7080E" w:rsidRPr="00A7080E">
              <w:rPr>
                <w:rFonts w:eastAsia="Times New Roman" w:cs="Arial"/>
                <w:i/>
                <w:iCs/>
                <w:color w:val="000000"/>
                <w:lang w:val="en-US"/>
              </w:rPr>
              <w:t>et al</w:t>
            </w:r>
            <w:r w:rsidRPr="000845DC">
              <w:rPr>
                <w:rFonts w:eastAsia="Times New Roman" w:cs="Arial"/>
                <w:color w:val="000000"/>
                <w:lang w:val="en-US"/>
              </w:rPr>
              <w:t>. (2023)</w:t>
            </w:r>
          </w:p>
        </w:tc>
        <w:tc>
          <w:tcPr>
            <w:tcW w:w="3881" w:type="dxa"/>
            <w:noWrap/>
            <w:vAlign w:val="center"/>
            <w:hideMark/>
          </w:tcPr>
          <w:p w14:paraId="040668C9"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Slow Fashion as a Communication Strategy of Fashion Brands on Instagram</w:t>
            </w:r>
          </w:p>
        </w:tc>
        <w:tc>
          <w:tcPr>
            <w:tcW w:w="3111" w:type="dxa"/>
            <w:noWrap/>
            <w:vAlign w:val="center"/>
            <w:hideMark/>
          </w:tcPr>
          <w:p w14:paraId="04EE9E9F"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Mixed methods (content analysis + expert interviews)</w:t>
            </w:r>
          </w:p>
        </w:tc>
        <w:tc>
          <w:tcPr>
            <w:tcW w:w="4320" w:type="dxa"/>
            <w:noWrap/>
            <w:vAlign w:val="center"/>
            <w:hideMark/>
          </w:tcPr>
          <w:p w14:paraId="5147E4B2"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Brand communication; slow fashion ethics; CSR messaging without greenwashing (RQ1 / RQ3)</w:t>
            </w:r>
          </w:p>
        </w:tc>
      </w:tr>
      <w:tr w:rsidR="007A6353" w:rsidRPr="000845DC" w14:paraId="2D917541" w14:textId="77777777" w:rsidTr="007A6353">
        <w:trPr>
          <w:trHeight w:val="288"/>
        </w:trPr>
        <w:tc>
          <w:tcPr>
            <w:tcW w:w="843" w:type="dxa"/>
            <w:noWrap/>
            <w:vAlign w:val="center"/>
            <w:hideMark/>
          </w:tcPr>
          <w:p w14:paraId="579BB33B"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47</w:t>
            </w:r>
          </w:p>
        </w:tc>
        <w:tc>
          <w:tcPr>
            <w:tcW w:w="1790" w:type="dxa"/>
            <w:noWrap/>
            <w:vAlign w:val="center"/>
            <w:hideMark/>
          </w:tcPr>
          <w:p w14:paraId="0B37CEAE" w14:textId="0CC77487" w:rsidR="007A6353" w:rsidRPr="000845DC" w:rsidRDefault="007A6353" w:rsidP="00937732">
            <w:pPr>
              <w:spacing w:line="276" w:lineRule="auto"/>
              <w:jc w:val="center"/>
              <w:rPr>
                <w:rFonts w:eastAsia="Times New Roman" w:cs="Arial"/>
                <w:color w:val="000000"/>
                <w:lang w:val="en-US"/>
              </w:rPr>
            </w:pPr>
            <w:proofErr w:type="spellStart"/>
            <w:r w:rsidRPr="000845DC">
              <w:rPr>
                <w:rFonts w:eastAsia="Times New Roman" w:cs="Arial"/>
                <w:color w:val="000000"/>
                <w:lang w:val="en-US"/>
              </w:rPr>
              <w:t>Venciute</w:t>
            </w:r>
            <w:proofErr w:type="spellEnd"/>
            <w:r w:rsidRPr="000845DC">
              <w:rPr>
                <w:rFonts w:eastAsia="Times New Roman" w:cs="Arial"/>
                <w:color w:val="000000"/>
                <w:lang w:val="en-US"/>
              </w:rPr>
              <w:t xml:space="preserve"> </w:t>
            </w:r>
            <w:r w:rsidR="00A7080E" w:rsidRPr="00A7080E">
              <w:rPr>
                <w:rFonts w:eastAsia="Times New Roman" w:cs="Arial"/>
                <w:i/>
                <w:iCs/>
                <w:color w:val="000000"/>
                <w:lang w:val="en-US"/>
              </w:rPr>
              <w:t>et al</w:t>
            </w:r>
            <w:r w:rsidRPr="000845DC">
              <w:rPr>
                <w:rFonts w:eastAsia="Times New Roman" w:cs="Arial"/>
                <w:color w:val="000000"/>
                <w:lang w:val="en-US"/>
              </w:rPr>
              <w:t>. (2025)</w:t>
            </w:r>
          </w:p>
        </w:tc>
        <w:tc>
          <w:tcPr>
            <w:tcW w:w="3881" w:type="dxa"/>
            <w:noWrap/>
            <w:vAlign w:val="center"/>
            <w:hideMark/>
          </w:tcPr>
          <w:p w14:paraId="7700A06E"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Leveraging sustainability cues in fashion advertising: comparative insights from Lithuania’s slow and fast fashion markets</w:t>
            </w:r>
          </w:p>
        </w:tc>
        <w:tc>
          <w:tcPr>
            <w:tcW w:w="3111" w:type="dxa"/>
            <w:noWrap/>
            <w:vAlign w:val="center"/>
            <w:hideMark/>
          </w:tcPr>
          <w:p w14:paraId="6E179724"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Online experiment (n=400); PLS-SEM + necessary condition analysis</w:t>
            </w:r>
          </w:p>
        </w:tc>
        <w:tc>
          <w:tcPr>
            <w:tcW w:w="4320" w:type="dxa"/>
            <w:noWrap/>
            <w:vAlign w:val="center"/>
            <w:hideMark/>
          </w:tcPr>
          <w:p w14:paraId="1A0E3199"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Sustainability cues → trust/desirability; mitigating greenwashing perceptions; authenticity and transparency in ads (RQ2 / RQ3)</w:t>
            </w:r>
          </w:p>
        </w:tc>
      </w:tr>
      <w:tr w:rsidR="007A6353" w:rsidRPr="000845DC" w14:paraId="1208E669" w14:textId="77777777" w:rsidTr="007A6353">
        <w:trPr>
          <w:trHeight w:val="288"/>
        </w:trPr>
        <w:tc>
          <w:tcPr>
            <w:tcW w:w="843" w:type="dxa"/>
            <w:noWrap/>
            <w:vAlign w:val="center"/>
            <w:hideMark/>
          </w:tcPr>
          <w:p w14:paraId="404BFAB5"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48</w:t>
            </w:r>
          </w:p>
        </w:tc>
        <w:tc>
          <w:tcPr>
            <w:tcW w:w="1790" w:type="dxa"/>
            <w:noWrap/>
            <w:vAlign w:val="center"/>
            <w:hideMark/>
          </w:tcPr>
          <w:p w14:paraId="3DDDBF28"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Wang &amp; Jung (2025)</w:t>
            </w:r>
          </w:p>
        </w:tc>
        <w:tc>
          <w:tcPr>
            <w:tcW w:w="3881" w:type="dxa"/>
            <w:noWrap/>
            <w:vAlign w:val="center"/>
            <w:hideMark/>
          </w:tcPr>
          <w:p w14:paraId="7EFB2D5B"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The aftermath of greenwashing in the fashion industry: Chinese consumer responses to different types of greenwashing</w:t>
            </w:r>
          </w:p>
        </w:tc>
        <w:tc>
          <w:tcPr>
            <w:tcW w:w="3111" w:type="dxa"/>
            <w:noWrap/>
            <w:vAlign w:val="center"/>
            <w:hideMark/>
          </w:tcPr>
          <w:p w14:paraId="0507F55F"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Between-subjects experiment using news stimuli; survey (n=210)</w:t>
            </w:r>
          </w:p>
        </w:tc>
        <w:tc>
          <w:tcPr>
            <w:tcW w:w="4320" w:type="dxa"/>
            <w:noWrap/>
            <w:vAlign w:val="center"/>
            <w:hideMark/>
          </w:tcPr>
          <w:p w14:paraId="1D5CF3FD"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 xml:space="preserve">Greenwashing types (false labelling, vagueness, selective omission); hypocrisy → moral inequity → complaint </w:t>
            </w:r>
            <w:proofErr w:type="spellStart"/>
            <w:r w:rsidRPr="000845DC">
              <w:rPr>
                <w:rFonts w:eastAsia="Times New Roman" w:cs="Arial"/>
                <w:color w:val="000000"/>
                <w:lang w:val="en-US"/>
              </w:rPr>
              <w:t>behaviours</w:t>
            </w:r>
            <w:proofErr w:type="spellEnd"/>
            <w:r w:rsidRPr="000845DC">
              <w:rPr>
                <w:rFonts w:eastAsia="Times New Roman" w:cs="Arial"/>
                <w:color w:val="000000"/>
                <w:lang w:val="en-US"/>
              </w:rPr>
              <w:t xml:space="preserve"> (RQ2)</w:t>
            </w:r>
          </w:p>
        </w:tc>
      </w:tr>
      <w:tr w:rsidR="007A6353" w:rsidRPr="000845DC" w14:paraId="2EE10A16" w14:textId="77777777" w:rsidTr="007A6353">
        <w:trPr>
          <w:trHeight w:val="288"/>
        </w:trPr>
        <w:tc>
          <w:tcPr>
            <w:tcW w:w="843" w:type="dxa"/>
            <w:noWrap/>
            <w:vAlign w:val="center"/>
            <w:hideMark/>
          </w:tcPr>
          <w:p w14:paraId="7A7C1824"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lastRenderedPageBreak/>
              <w:t>49</w:t>
            </w:r>
          </w:p>
        </w:tc>
        <w:tc>
          <w:tcPr>
            <w:tcW w:w="1790" w:type="dxa"/>
            <w:noWrap/>
            <w:vAlign w:val="center"/>
            <w:hideMark/>
          </w:tcPr>
          <w:p w14:paraId="05B720A8" w14:textId="2F3EC344"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 xml:space="preserve">Wu </w:t>
            </w:r>
            <w:r w:rsidR="00A7080E" w:rsidRPr="00A7080E">
              <w:rPr>
                <w:rFonts w:eastAsia="Times New Roman" w:cs="Arial"/>
                <w:i/>
                <w:iCs/>
                <w:color w:val="000000"/>
                <w:lang w:val="en-US"/>
              </w:rPr>
              <w:t>et al</w:t>
            </w:r>
            <w:r w:rsidRPr="000845DC">
              <w:rPr>
                <w:rFonts w:eastAsia="Times New Roman" w:cs="Arial"/>
                <w:color w:val="000000"/>
                <w:lang w:val="en-US"/>
              </w:rPr>
              <w:t>. (2022)</w:t>
            </w:r>
          </w:p>
        </w:tc>
        <w:tc>
          <w:tcPr>
            <w:tcW w:w="3881" w:type="dxa"/>
            <w:noWrap/>
            <w:vAlign w:val="center"/>
            <w:hideMark/>
          </w:tcPr>
          <w:p w14:paraId="5D6C7F02"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Consortium blockchain-enabled smart ESG reporting platform with token-based incentives for corporate crowdsensing</w:t>
            </w:r>
          </w:p>
        </w:tc>
        <w:tc>
          <w:tcPr>
            <w:tcW w:w="3111" w:type="dxa"/>
            <w:noWrap/>
            <w:vAlign w:val="center"/>
            <w:hideMark/>
          </w:tcPr>
          <w:p w14:paraId="26514F7D"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System architecture + simulation (HK apparel industry context)</w:t>
            </w:r>
          </w:p>
        </w:tc>
        <w:tc>
          <w:tcPr>
            <w:tcW w:w="4320" w:type="dxa"/>
            <w:noWrap/>
            <w:vAlign w:val="center"/>
            <w:hideMark/>
          </w:tcPr>
          <w:p w14:paraId="18632722"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Anti-greenwashing ESG transparency; IoT/blockchain reporting; data integrity; incentives &amp; verification (RQ3)</w:t>
            </w:r>
          </w:p>
        </w:tc>
      </w:tr>
      <w:tr w:rsidR="007A6353" w:rsidRPr="000845DC" w14:paraId="44504AA5" w14:textId="77777777" w:rsidTr="007A6353">
        <w:trPr>
          <w:trHeight w:val="288"/>
        </w:trPr>
        <w:tc>
          <w:tcPr>
            <w:tcW w:w="843" w:type="dxa"/>
            <w:noWrap/>
            <w:vAlign w:val="center"/>
            <w:hideMark/>
          </w:tcPr>
          <w:p w14:paraId="0A4CB374"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50</w:t>
            </w:r>
          </w:p>
        </w:tc>
        <w:tc>
          <w:tcPr>
            <w:tcW w:w="1790" w:type="dxa"/>
            <w:noWrap/>
            <w:vAlign w:val="center"/>
            <w:hideMark/>
          </w:tcPr>
          <w:p w14:paraId="3B8D2B3A" w14:textId="77777777" w:rsidR="007A6353" w:rsidRPr="000845DC" w:rsidRDefault="007A6353" w:rsidP="00937732">
            <w:pPr>
              <w:spacing w:line="276" w:lineRule="auto"/>
              <w:jc w:val="center"/>
              <w:rPr>
                <w:rFonts w:eastAsia="Times New Roman" w:cs="Arial"/>
                <w:color w:val="000000"/>
                <w:lang w:val="en-US"/>
              </w:rPr>
            </w:pPr>
            <w:r w:rsidRPr="000845DC">
              <w:rPr>
                <w:rFonts w:eastAsia="Times New Roman" w:cs="Arial"/>
                <w:color w:val="000000"/>
                <w:lang w:val="en-US"/>
              </w:rPr>
              <w:t>Yang, Chen &amp; Meng (2024)</w:t>
            </w:r>
          </w:p>
        </w:tc>
        <w:tc>
          <w:tcPr>
            <w:tcW w:w="3881" w:type="dxa"/>
            <w:noWrap/>
            <w:vAlign w:val="center"/>
            <w:hideMark/>
          </w:tcPr>
          <w:p w14:paraId="31C031D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The drivers of sharing willingness regarding sustainable fashion brand image based on commitment theory</w:t>
            </w:r>
          </w:p>
        </w:tc>
        <w:tc>
          <w:tcPr>
            <w:tcW w:w="3111" w:type="dxa"/>
            <w:noWrap/>
            <w:vAlign w:val="center"/>
            <w:hideMark/>
          </w:tcPr>
          <w:p w14:paraId="3545539C"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rPr>
              <w:t>Survey-based empirical study; commitment-theory model; mediation analysis</w:t>
            </w:r>
          </w:p>
        </w:tc>
        <w:tc>
          <w:tcPr>
            <w:tcW w:w="4320" w:type="dxa"/>
            <w:noWrap/>
            <w:vAlign w:val="center"/>
            <w:hideMark/>
          </w:tcPr>
          <w:p w14:paraId="3FA5523A" w14:textId="77777777" w:rsidR="007A6353" w:rsidRPr="000845DC" w:rsidRDefault="007A6353" w:rsidP="00937732">
            <w:pPr>
              <w:spacing w:line="276" w:lineRule="auto"/>
              <w:jc w:val="left"/>
              <w:rPr>
                <w:rFonts w:eastAsia="Times New Roman" w:cs="Arial"/>
                <w:color w:val="000000"/>
                <w:lang w:val="en-US"/>
              </w:rPr>
            </w:pPr>
            <w:r w:rsidRPr="000845DC">
              <w:rPr>
                <w:rFonts w:eastAsia="Times New Roman" w:cs="Arial"/>
                <w:color w:val="000000"/>
                <w:lang w:val="en-US"/>
              </w:rPr>
              <w:t>Perception of greenwashing (negative antecedent); ESG perception; social media content quality; willingness to share brand’s sustainability image (RQ2 / RQ3)</w:t>
            </w:r>
          </w:p>
        </w:tc>
      </w:tr>
    </w:tbl>
    <w:p w14:paraId="3A2B6A18" w14:textId="77777777" w:rsidR="00A4691E" w:rsidRPr="007A6353" w:rsidRDefault="00A4691E" w:rsidP="004D602A">
      <w:pPr>
        <w:rPr>
          <w:lang w:val="en-US"/>
        </w:rPr>
        <w:sectPr w:rsidR="00A4691E" w:rsidRPr="007A6353" w:rsidSect="007A6353">
          <w:pgSz w:w="16838" w:h="11906" w:orient="landscape" w:code="9"/>
          <w:pgMar w:top="1440" w:right="1440" w:bottom="1440" w:left="1440" w:header="708" w:footer="708" w:gutter="0"/>
          <w:cols w:space="708"/>
          <w:titlePg/>
          <w:docGrid w:linePitch="360"/>
        </w:sectPr>
      </w:pPr>
    </w:p>
    <w:p w14:paraId="7F784F64" w14:textId="10B5AC80" w:rsidR="00D03F60" w:rsidRDefault="008019B4" w:rsidP="00AB6AC0">
      <w:pPr>
        <w:pStyle w:val="Heading2"/>
      </w:pPr>
      <w:bookmarkStart w:id="42" w:name="_Toc214979397"/>
      <w:r>
        <w:lastRenderedPageBreak/>
        <w:t xml:space="preserve">Thematic </w:t>
      </w:r>
      <w:r w:rsidR="00391EB6" w:rsidRPr="008C5097">
        <w:t>Analysis of Results</w:t>
      </w:r>
      <w:bookmarkEnd w:id="42"/>
    </w:p>
    <w:p w14:paraId="474269A9" w14:textId="60490A78" w:rsidR="008019B4" w:rsidRDefault="008019B4" w:rsidP="008019B4">
      <w:pPr>
        <w:pStyle w:val="Heading3"/>
      </w:pPr>
      <w:bookmarkStart w:id="43" w:name="_Toc214979398"/>
      <w:r w:rsidRPr="008019B4">
        <w:t>Environmental Stewardship and Social Responsibility Practices (RQ1)</w:t>
      </w:r>
      <w:bookmarkEnd w:id="43"/>
    </w:p>
    <w:p w14:paraId="7E832397" w14:textId="17715B36" w:rsidR="00AB6AC0" w:rsidRPr="00AB6AC0" w:rsidRDefault="00AB6AC0" w:rsidP="00AB6AC0">
      <w:pPr>
        <w:rPr>
          <w:lang w:val="en-US"/>
        </w:rPr>
      </w:pPr>
      <w:r>
        <w:t>The table summarises fifty studies included in this systematic review, organised according to four key themes: Environmental Stewardship, Social Responsibility, Avoidance of Greenwashing, and Consumer-Facing Impacts. Each study is presented with its author(s), title, methodology, and associated sub-themes and codes, providing an overview of how the literature addresses the three research questions. These thematic summaries form the basis for the subsequent detailed analysis and discussion.</w:t>
      </w:r>
    </w:p>
    <w:tbl>
      <w:tblPr>
        <w:tblStyle w:val="TableGridLight"/>
        <w:tblW w:w="0" w:type="auto"/>
        <w:tblLook w:val="04A0" w:firstRow="1" w:lastRow="0" w:firstColumn="1" w:lastColumn="0" w:noHBand="0" w:noVBand="1"/>
      </w:tblPr>
      <w:tblGrid>
        <w:gridCol w:w="2323"/>
        <w:gridCol w:w="2802"/>
        <w:gridCol w:w="4923"/>
        <w:gridCol w:w="3900"/>
      </w:tblGrid>
      <w:tr w:rsidR="008E2284" w:rsidRPr="008E2284" w14:paraId="12AAE524" w14:textId="77777777" w:rsidTr="00A9343B">
        <w:tc>
          <w:tcPr>
            <w:tcW w:w="2323" w:type="dxa"/>
            <w:vAlign w:val="center"/>
            <w:hideMark/>
          </w:tcPr>
          <w:p w14:paraId="515C1887" w14:textId="77777777" w:rsidR="008E2284" w:rsidRPr="008E2284" w:rsidRDefault="008E2284" w:rsidP="008E2284">
            <w:pPr>
              <w:spacing w:line="276" w:lineRule="auto"/>
              <w:jc w:val="left"/>
              <w:rPr>
                <w:rFonts w:cs="Arial"/>
                <w:b/>
                <w:bCs/>
                <w:lang w:val="en-US" w:bidi="ar-SA"/>
              </w:rPr>
            </w:pPr>
            <w:r w:rsidRPr="008E2284">
              <w:rPr>
                <w:rFonts w:cs="Arial"/>
                <w:b/>
                <w:bCs/>
                <w:lang w:val="en-US" w:bidi="ar-SA"/>
              </w:rPr>
              <w:t>Theme</w:t>
            </w:r>
          </w:p>
        </w:tc>
        <w:tc>
          <w:tcPr>
            <w:tcW w:w="2802" w:type="dxa"/>
            <w:vAlign w:val="center"/>
            <w:hideMark/>
          </w:tcPr>
          <w:p w14:paraId="5525D041" w14:textId="77777777" w:rsidR="008E2284" w:rsidRPr="008E2284" w:rsidRDefault="008E2284" w:rsidP="008E2284">
            <w:pPr>
              <w:spacing w:line="276" w:lineRule="auto"/>
              <w:jc w:val="left"/>
              <w:rPr>
                <w:rFonts w:cs="Arial"/>
                <w:b/>
                <w:bCs/>
                <w:lang w:val="en-US" w:bidi="ar-SA"/>
              </w:rPr>
            </w:pPr>
            <w:r w:rsidRPr="008E2284">
              <w:rPr>
                <w:rFonts w:cs="Arial"/>
                <w:b/>
                <w:bCs/>
                <w:lang w:val="en-US" w:bidi="ar-SA"/>
              </w:rPr>
              <w:t>Sub-theme</w:t>
            </w:r>
          </w:p>
        </w:tc>
        <w:tc>
          <w:tcPr>
            <w:tcW w:w="4923" w:type="dxa"/>
            <w:vAlign w:val="center"/>
            <w:hideMark/>
          </w:tcPr>
          <w:p w14:paraId="26B325F5" w14:textId="77777777" w:rsidR="008E2284" w:rsidRPr="008E2284" w:rsidRDefault="008E2284" w:rsidP="008E2284">
            <w:pPr>
              <w:spacing w:line="276" w:lineRule="auto"/>
              <w:jc w:val="left"/>
              <w:rPr>
                <w:rFonts w:cs="Arial"/>
                <w:b/>
                <w:bCs/>
                <w:lang w:val="en-US" w:bidi="ar-SA"/>
              </w:rPr>
            </w:pPr>
            <w:r w:rsidRPr="008E2284">
              <w:rPr>
                <w:rFonts w:cs="Arial"/>
                <w:b/>
                <w:bCs/>
                <w:lang w:val="en-US" w:bidi="ar-SA"/>
              </w:rPr>
              <w:t>Code</w:t>
            </w:r>
          </w:p>
        </w:tc>
        <w:tc>
          <w:tcPr>
            <w:tcW w:w="3900" w:type="dxa"/>
            <w:vAlign w:val="center"/>
            <w:hideMark/>
          </w:tcPr>
          <w:p w14:paraId="41C3E166" w14:textId="77777777" w:rsidR="008E2284" w:rsidRPr="008E2284" w:rsidRDefault="008E2284" w:rsidP="008E2284">
            <w:pPr>
              <w:spacing w:line="276" w:lineRule="auto"/>
              <w:jc w:val="left"/>
              <w:rPr>
                <w:rFonts w:cs="Arial"/>
                <w:b/>
                <w:bCs/>
                <w:lang w:val="en-US" w:bidi="ar-SA"/>
              </w:rPr>
            </w:pPr>
            <w:r w:rsidRPr="008E2284">
              <w:rPr>
                <w:rFonts w:cs="Arial"/>
                <w:b/>
                <w:bCs/>
                <w:lang w:val="en-US" w:bidi="ar-SA"/>
              </w:rPr>
              <w:t>Citation</w:t>
            </w:r>
          </w:p>
        </w:tc>
      </w:tr>
      <w:tr w:rsidR="008E2284" w:rsidRPr="008E2284" w14:paraId="4095B376" w14:textId="77777777" w:rsidTr="00A9343B">
        <w:tc>
          <w:tcPr>
            <w:tcW w:w="2323" w:type="dxa"/>
            <w:vMerge w:val="restart"/>
            <w:vAlign w:val="center"/>
            <w:hideMark/>
          </w:tcPr>
          <w:p w14:paraId="41255CD0" w14:textId="77777777" w:rsidR="008E2284" w:rsidRPr="008E2284" w:rsidRDefault="008E2284" w:rsidP="008E2284">
            <w:pPr>
              <w:spacing w:line="276" w:lineRule="auto"/>
              <w:jc w:val="left"/>
              <w:rPr>
                <w:rFonts w:cs="Arial"/>
                <w:lang w:val="en-US" w:bidi="ar-SA"/>
              </w:rPr>
            </w:pPr>
            <w:r w:rsidRPr="008E2284">
              <w:rPr>
                <w:rFonts w:cs="Arial"/>
                <w:b/>
                <w:bCs/>
                <w:lang w:val="en-US" w:bidi="ar-SA"/>
              </w:rPr>
              <w:t>Environmental Stewardship</w:t>
            </w:r>
          </w:p>
        </w:tc>
        <w:tc>
          <w:tcPr>
            <w:tcW w:w="2802" w:type="dxa"/>
            <w:vMerge w:val="restart"/>
            <w:vAlign w:val="center"/>
            <w:hideMark/>
          </w:tcPr>
          <w:p w14:paraId="51665D05" w14:textId="77777777" w:rsidR="008E2284" w:rsidRPr="008E2284" w:rsidRDefault="008E2284" w:rsidP="008E2284">
            <w:pPr>
              <w:spacing w:line="276" w:lineRule="auto"/>
              <w:jc w:val="left"/>
              <w:rPr>
                <w:rFonts w:cs="Arial"/>
                <w:lang w:val="en-US" w:bidi="ar-SA"/>
              </w:rPr>
            </w:pPr>
            <w:r w:rsidRPr="008E2284">
              <w:rPr>
                <w:rFonts w:cs="Arial"/>
                <w:lang w:val="en-US" w:bidi="ar-SA"/>
              </w:rPr>
              <w:t>Circularity &amp; Resource Efficiency</w:t>
            </w:r>
          </w:p>
        </w:tc>
        <w:tc>
          <w:tcPr>
            <w:tcW w:w="4923" w:type="dxa"/>
            <w:vAlign w:val="center"/>
            <w:hideMark/>
          </w:tcPr>
          <w:p w14:paraId="5F0B7144" w14:textId="77777777" w:rsidR="008E2284" w:rsidRPr="008E2284" w:rsidRDefault="008E2284" w:rsidP="008E2284">
            <w:pPr>
              <w:spacing w:line="276" w:lineRule="auto"/>
              <w:jc w:val="left"/>
              <w:rPr>
                <w:rFonts w:cs="Arial"/>
                <w:lang w:val="en-US" w:bidi="ar-SA"/>
              </w:rPr>
            </w:pPr>
            <w:r w:rsidRPr="008E2284">
              <w:rPr>
                <w:rFonts w:cs="Arial"/>
                <w:lang w:val="en-US" w:bidi="ar-SA"/>
              </w:rPr>
              <w:t>Circularity vs. systemic greenwashing</w:t>
            </w:r>
          </w:p>
        </w:tc>
        <w:tc>
          <w:tcPr>
            <w:tcW w:w="3900" w:type="dxa"/>
            <w:vAlign w:val="center"/>
            <w:hideMark/>
          </w:tcPr>
          <w:p w14:paraId="55051F7C" w14:textId="77777777" w:rsidR="008E2284" w:rsidRPr="008E2284" w:rsidRDefault="008E2284" w:rsidP="008E2284">
            <w:pPr>
              <w:spacing w:line="276" w:lineRule="auto"/>
              <w:jc w:val="left"/>
              <w:rPr>
                <w:rFonts w:cs="Arial"/>
                <w:lang w:val="en-US" w:bidi="ar-SA"/>
              </w:rPr>
            </w:pPr>
            <w:r w:rsidRPr="008E2284">
              <w:rPr>
                <w:rFonts w:cs="Arial"/>
                <w:lang w:val="en-US" w:bidi="ar-SA"/>
              </w:rPr>
              <w:t>Burnstine &amp; Ghattas (2025)</w:t>
            </w:r>
          </w:p>
        </w:tc>
      </w:tr>
      <w:tr w:rsidR="008E2284" w:rsidRPr="008E2284" w14:paraId="1241D532" w14:textId="77777777" w:rsidTr="00A9343B">
        <w:tc>
          <w:tcPr>
            <w:tcW w:w="2323" w:type="dxa"/>
            <w:vMerge/>
            <w:vAlign w:val="center"/>
            <w:hideMark/>
          </w:tcPr>
          <w:p w14:paraId="4A12806C"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42D57ECF"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136EA14B" w14:textId="77777777" w:rsidR="008E2284" w:rsidRPr="008E2284" w:rsidRDefault="008E2284" w:rsidP="008E2284">
            <w:pPr>
              <w:spacing w:line="276" w:lineRule="auto"/>
              <w:jc w:val="left"/>
              <w:rPr>
                <w:rFonts w:cs="Arial"/>
                <w:lang w:val="en-US" w:bidi="ar-SA"/>
              </w:rPr>
            </w:pPr>
            <w:r w:rsidRPr="008E2284">
              <w:rPr>
                <w:rFonts w:cs="Arial"/>
                <w:lang w:val="en-US" w:bidi="ar-SA"/>
              </w:rPr>
              <w:t>Green logistics and marketing practices</w:t>
            </w:r>
          </w:p>
        </w:tc>
        <w:tc>
          <w:tcPr>
            <w:tcW w:w="3900" w:type="dxa"/>
            <w:vAlign w:val="center"/>
            <w:hideMark/>
          </w:tcPr>
          <w:p w14:paraId="162E88C6" w14:textId="77777777" w:rsidR="008E2284" w:rsidRPr="008E2284" w:rsidRDefault="008E2284" w:rsidP="008E2284">
            <w:pPr>
              <w:spacing w:line="276" w:lineRule="auto"/>
              <w:jc w:val="left"/>
              <w:rPr>
                <w:rFonts w:cs="Arial"/>
                <w:lang w:val="en-US" w:bidi="ar-SA"/>
              </w:rPr>
            </w:pPr>
            <w:r w:rsidRPr="008E2284">
              <w:rPr>
                <w:rFonts w:cs="Arial"/>
                <w:lang w:val="en-US" w:bidi="ar-SA"/>
              </w:rPr>
              <w:t>Mofokeng (2025)</w:t>
            </w:r>
          </w:p>
        </w:tc>
      </w:tr>
      <w:tr w:rsidR="008E2284" w:rsidRPr="008E2284" w14:paraId="10547F5F" w14:textId="77777777" w:rsidTr="00A9343B">
        <w:tc>
          <w:tcPr>
            <w:tcW w:w="2323" w:type="dxa"/>
            <w:vMerge/>
            <w:vAlign w:val="center"/>
            <w:hideMark/>
          </w:tcPr>
          <w:p w14:paraId="029C9AA9"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4CE60169"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2ED105F2" w14:textId="77777777" w:rsidR="008E2284" w:rsidRPr="008E2284" w:rsidRDefault="008E2284" w:rsidP="008E2284">
            <w:pPr>
              <w:spacing w:line="276" w:lineRule="auto"/>
              <w:jc w:val="left"/>
              <w:rPr>
                <w:rFonts w:cs="Arial"/>
                <w:lang w:val="en-US" w:bidi="ar-SA"/>
              </w:rPr>
            </w:pPr>
            <w:r w:rsidRPr="008E2284">
              <w:rPr>
                <w:rFonts w:cs="Arial"/>
                <w:lang w:val="en-US" w:bidi="ar-SA"/>
              </w:rPr>
              <w:t>Green manufacturing, marketing, investment</w:t>
            </w:r>
          </w:p>
        </w:tc>
        <w:tc>
          <w:tcPr>
            <w:tcW w:w="3900" w:type="dxa"/>
            <w:vAlign w:val="center"/>
            <w:hideMark/>
          </w:tcPr>
          <w:p w14:paraId="23DDD581" w14:textId="77777777" w:rsidR="008E2284" w:rsidRPr="008E2284" w:rsidRDefault="008E2284" w:rsidP="008E2284">
            <w:pPr>
              <w:spacing w:line="276" w:lineRule="auto"/>
              <w:jc w:val="left"/>
              <w:rPr>
                <w:rFonts w:cs="Arial"/>
                <w:lang w:val="en-US" w:bidi="ar-SA"/>
              </w:rPr>
            </w:pPr>
            <w:proofErr w:type="spellStart"/>
            <w:r w:rsidRPr="008E2284">
              <w:rPr>
                <w:rFonts w:cs="Arial"/>
                <w:lang w:val="en-US" w:bidi="ar-SA"/>
              </w:rPr>
              <w:t>Nigatu</w:t>
            </w:r>
            <w:proofErr w:type="spellEnd"/>
            <w:r w:rsidRPr="008E2284">
              <w:rPr>
                <w:rFonts w:cs="Arial"/>
                <w:lang w:val="en-US" w:bidi="ar-SA"/>
              </w:rPr>
              <w:t xml:space="preserve">, </w:t>
            </w:r>
            <w:proofErr w:type="spellStart"/>
            <w:r w:rsidRPr="008E2284">
              <w:rPr>
                <w:rFonts w:cs="Arial"/>
                <w:lang w:val="en-US" w:bidi="ar-SA"/>
              </w:rPr>
              <w:t>Degoma</w:t>
            </w:r>
            <w:proofErr w:type="spellEnd"/>
            <w:r w:rsidRPr="008E2284">
              <w:rPr>
                <w:rFonts w:cs="Arial"/>
                <w:lang w:val="en-US" w:bidi="ar-SA"/>
              </w:rPr>
              <w:t xml:space="preserve"> &amp; </w:t>
            </w:r>
            <w:proofErr w:type="spellStart"/>
            <w:r w:rsidRPr="008E2284">
              <w:rPr>
                <w:rFonts w:cs="Arial"/>
                <w:lang w:val="en-US" w:bidi="ar-SA"/>
              </w:rPr>
              <w:t>Tsegaye</w:t>
            </w:r>
            <w:proofErr w:type="spellEnd"/>
            <w:r w:rsidRPr="008E2284">
              <w:rPr>
                <w:rFonts w:cs="Arial"/>
                <w:lang w:val="en-US" w:bidi="ar-SA"/>
              </w:rPr>
              <w:t xml:space="preserve"> (2024)</w:t>
            </w:r>
          </w:p>
        </w:tc>
      </w:tr>
      <w:tr w:rsidR="008E2284" w:rsidRPr="008E2284" w14:paraId="4E70350A" w14:textId="77777777" w:rsidTr="00A9343B">
        <w:tc>
          <w:tcPr>
            <w:tcW w:w="2323" w:type="dxa"/>
            <w:vMerge/>
            <w:vAlign w:val="center"/>
            <w:hideMark/>
          </w:tcPr>
          <w:p w14:paraId="14A71A42"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69A71909"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4A785DEA" w14:textId="77777777" w:rsidR="008E2284" w:rsidRPr="008E2284" w:rsidRDefault="008E2284" w:rsidP="008E2284">
            <w:pPr>
              <w:spacing w:line="276" w:lineRule="auto"/>
              <w:jc w:val="left"/>
              <w:rPr>
                <w:rFonts w:cs="Arial"/>
                <w:lang w:val="en-US" w:bidi="ar-SA"/>
              </w:rPr>
            </w:pPr>
            <w:r w:rsidRPr="008E2284">
              <w:rPr>
                <w:rFonts w:cs="Arial"/>
                <w:lang w:val="en-US" w:bidi="ar-SA"/>
              </w:rPr>
              <w:t>LCA evidence, eco-label credibility</w:t>
            </w:r>
          </w:p>
        </w:tc>
        <w:tc>
          <w:tcPr>
            <w:tcW w:w="3900" w:type="dxa"/>
            <w:vAlign w:val="center"/>
            <w:hideMark/>
          </w:tcPr>
          <w:p w14:paraId="06B7A637" w14:textId="45CACABE" w:rsidR="008E2284" w:rsidRPr="008E2284" w:rsidRDefault="008E2284" w:rsidP="008E2284">
            <w:pPr>
              <w:spacing w:line="276" w:lineRule="auto"/>
              <w:jc w:val="left"/>
              <w:rPr>
                <w:rFonts w:cs="Arial"/>
                <w:lang w:val="en-US" w:bidi="ar-SA"/>
              </w:rPr>
            </w:pPr>
            <w:r w:rsidRPr="008E2284">
              <w:rPr>
                <w:rFonts w:cs="Arial"/>
                <w:lang w:val="en-US" w:bidi="ar-SA"/>
              </w:rPr>
              <w:t xml:space="preserve">Mousavi </w:t>
            </w:r>
            <w:r w:rsidR="00A7080E" w:rsidRPr="00A7080E">
              <w:rPr>
                <w:rFonts w:cs="Arial"/>
                <w:i/>
                <w:iCs/>
                <w:lang w:val="en-US" w:bidi="ar-SA"/>
              </w:rPr>
              <w:t>et al</w:t>
            </w:r>
            <w:r w:rsidRPr="008E2284">
              <w:rPr>
                <w:rFonts w:cs="Arial"/>
                <w:lang w:val="en-US" w:bidi="ar-SA"/>
              </w:rPr>
              <w:t>. (2025)</w:t>
            </w:r>
          </w:p>
        </w:tc>
      </w:tr>
      <w:tr w:rsidR="008E2284" w:rsidRPr="008E2284" w14:paraId="70E04C53" w14:textId="77777777" w:rsidTr="00A9343B">
        <w:tc>
          <w:tcPr>
            <w:tcW w:w="2323" w:type="dxa"/>
            <w:vMerge/>
            <w:vAlign w:val="center"/>
            <w:hideMark/>
          </w:tcPr>
          <w:p w14:paraId="41AFAF27"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0BDF41F0"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0EF154B4" w14:textId="77777777" w:rsidR="008E2284" w:rsidRPr="008E2284" w:rsidRDefault="008E2284" w:rsidP="008E2284">
            <w:pPr>
              <w:spacing w:line="276" w:lineRule="auto"/>
              <w:jc w:val="left"/>
              <w:rPr>
                <w:rFonts w:cs="Arial"/>
                <w:lang w:val="en-US" w:bidi="ar-SA"/>
              </w:rPr>
            </w:pPr>
            <w:r w:rsidRPr="008E2284">
              <w:rPr>
                <w:rFonts w:cs="Arial"/>
                <w:lang w:val="en-US" w:bidi="ar-SA"/>
              </w:rPr>
              <w:t>Recycling narratives &amp; transparency standards</w:t>
            </w:r>
          </w:p>
        </w:tc>
        <w:tc>
          <w:tcPr>
            <w:tcW w:w="3900" w:type="dxa"/>
            <w:vAlign w:val="center"/>
            <w:hideMark/>
          </w:tcPr>
          <w:p w14:paraId="5B4B3FED" w14:textId="77777777" w:rsidR="008E2284" w:rsidRPr="008E2284" w:rsidRDefault="008E2284" w:rsidP="008E2284">
            <w:pPr>
              <w:spacing w:line="276" w:lineRule="auto"/>
              <w:jc w:val="left"/>
              <w:rPr>
                <w:rFonts w:cs="Arial"/>
                <w:lang w:val="en-US" w:bidi="ar-SA"/>
              </w:rPr>
            </w:pPr>
            <w:r w:rsidRPr="008E2284">
              <w:rPr>
                <w:rFonts w:cs="Arial"/>
                <w:lang w:val="en-US" w:bidi="ar-SA"/>
              </w:rPr>
              <w:t>Eppinger (2022)</w:t>
            </w:r>
          </w:p>
        </w:tc>
      </w:tr>
      <w:tr w:rsidR="008E2284" w:rsidRPr="008E2284" w14:paraId="2318AD74" w14:textId="77777777" w:rsidTr="00A9343B">
        <w:tc>
          <w:tcPr>
            <w:tcW w:w="2323" w:type="dxa"/>
            <w:vMerge/>
            <w:vAlign w:val="center"/>
            <w:hideMark/>
          </w:tcPr>
          <w:p w14:paraId="67DCF533" w14:textId="77777777" w:rsidR="008E2284" w:rsidRPr="008E2284" w:rsidRDefault="008E2284" w:rsidP="008E2284">
            <w:pPr>
              <w:spacing w:line="276" w:lineRule="auto"/>
              <w:jc w:val="left"/>
              <w:rPr>
                <w:rFonts w:cs="Arial"/>
                <w:lang w:val="en-US" w:bidi="ar-SA"/>
              </w:rPr>
            </w:pPr>
          </w:p>
        </w:tc>
        <w:tc>
          <w:tcPr>
            <w:tcW w:w="2802" w:type="dxa"/>
            <w:vMerge w:val="restart"/>
            <w:vAlign w:val="center"/>
            <w:hideMark/>
          </w:tcPr>
          <w:p w14:paraId="22B798D8" w14:textId="77777777" w:rsidR="008E2284" w:rsidRPr="008E2284" w:rsidRDefault="008E2284" w:rsidP="008E2284">
            <w:pPr>
              <w:spacing w:line="276" w:lineRule="auto"/>
              <w:jc w:val="left"/>
              <w:rPr>
                <w:rFonts w:cs="Arial"/>
                <w:lang w:val="en-US" w:bidi="ar-SA"/>
              </w:rPr>
            </w:pPr>
            <w:r w:rsidRPr="008E2284">
              <w:rPr>
                <w:rFonts w:cs="Arial"/>
                <w:lang w:val="en-US" w:bidi="ar-SA"/>
              </w:rPr>
              <w:t>Green Innovation &amp; Performance</w:t>
            </w:r>
          </w:p>
        </w:tc>
        <w:tc>
          <w:tcPr>
            <w:tcW w:w="4923" w:type="dxa"/>
            <w:vAlign w:val="center"/>
            <w:hideMark/>
          </w:tcPr>
          <w:p w14:paraId="786F5ED9" w14:textId="77777777" w:rsidR="008E2284" w:rsidRPr="008E2284" w:rsidRDefault="008E2284" w:rsidP="008E2284">
            <w:pPr>
              <w:spacing w:line="276" w:lineRule="auto"/>
              <w:jc w:val="left"/>
              <w:rPr>
                <w:rFonts w:cs="Arial"/>
                <w:lang w:val="en-US" w:bidi="ar-SA"/>
              </w:rPr>
            </w:pPr>
            <w:r w:rsidRPr="008E2284">
              <w:rPr>
                <w:rFonts w:cs="Arial"/>
                <w:lang w:val="en-US" w:bidi="ar-SA"/>
              </w:rPr>
              <w:t>Green innovation (GINO)</w:t>
            </w:r>
          </w:p>
        </w:tc>
        <w:tc>
          <w:tcPr>
            <w:tcW w:w="3900" w:type="dxa"/>
            <w:vAlign w:val="center"/>
            <w:hideMark/>
          </w:tcPr>
          <w:p w14:paraId="63969681" w14:textId="77777777" w:rsidR="008E2284" w:rsidRPr="008E2284" w:rsidRDefault="008E2284" w:rsidP="008E2284">
            <w:pPr>
              <w:spacing w:line="276" w:lineRule="auto"/>
              <w:jc w:val="left"/>
              <w:rPr>
                <w:rFonts w:cs="Arial"/>
                <w:lang w:val="en-US" w:bidi="ar-SA"/>
              </w:rPr>
            </w:pPr>
            <w:proofErr w:type="spellStart"/>
            <w:r w:rsidRPr="008E2284">
              <w:rPr>
                <w:rFonts w:cs="Arial"/>
                <w:lang w:val="en-US" w:bidi="ar-SA"/>
              </w:rPr>
              <w:t>Habtemaryam</w:t>
            </w:r>
            <w:proofErr w:type="spellEnd"/>
            <w:r w:rsidRPr="008E2284">
              <w:rPr>
                <w:rFonts w:cs="Arial"/>
                <w:lang w:val="en-US" w:bidi="ar-SA"/>
              </w:rPr>
              <w:t xml:space="preserve">, </w:t>
            </w:r>
            <w:proofErr w:type="spellStart"/>
            <w:r w:rsidRPr="008E2284">
              <w:rPr>
                <w:rFonts w:cs="Arial"/>
                <w:lang w:val="en-US" w:bidi="ar-SA"/>
              </w:rPr>
              <w:t>Degoma</w:t>
            </w:r>
            <w:proofErr w:type="spellEnd"/>
            <w:r w:rsidRPr="008E2284">
              <w:rPr>
                <w:rFonts w:cs="Arial"/>
                <w:lang w:val="en-US" w:bidi="ar-SA"/>
              </w:rPr>
              <w:t xml:space="preserve"> &amp; </w:t>
            </w:r>
            <w:proofErr w:type="spellStart"/>
            <w:r w:rsidRPr="008E2284">
              <w:rPr>
                <w:rFonts w:cs="Arial"/>
                <w:lang w:val="en-US" w:bidi="ar-SA"/>
              </w:rPr>
              <w:t>Tsegaye</w:t>
            </w:r>
            <w:proofErr w:type="spellEnd"/>
            <w:r w:rsidRPr="008E2284">
              <w:rPr>
                <w:rFonts w:cs="Arial"/>
                <w:lang w:val="en-US" w:bidi="ar-SA"/>
              </w:rPr>
              <w:t xml:space="preserve"> (2025)</w:t>
            </w:r>
          </w:p>
        </w:tc>
      </w:tr>
      <w:tr w:rsidR="008E2284" w:rsidRPr="008E2284" w14:paraId="645EA4B5" w14:textId="77777777" w:rsidTr="00A9343B">
        <w:tc>
          <w:tcPr>
            <w:tcW w:w="2323" w:type="dxa"/>
            <w:vMerge/>
            <w:vAlign w:val="center"/>
            <w:hideMark/>
          </w:tcPr>
          <w:p w14:paraId="04C305C6"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48C12D1C"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35EC5D25" w14:textId="77777777" w:rsidR="008E2284" w:rsidRPr="008E2284" w:rsidRDefault="008E2284" w:rsidP="008E2284">
            <w:pPr>
              <w:spacing w:line="276" w:lineRule="auto"/>
              <w:jc w:val="left"/>
              <w:rPr>
                <w:rFonts w:cs="Arial"/>
                <w:lang w:val="en-US" w:bidi="ar-SA"/>
              </w:rPr>
            </w:pPr>
            <w:r w:rsidRPr="008E2284">
              <w:rPr>
                <w:rFonts w:cs="Arial"/>
                <w:lang w:val="en-US" w:bidi="ar-SA"/>
              </w:rPr>
              <w:t>Genuine environmental performance improvement</w:t>
            </w:r>
          </w:p>
        </w:tc>
        <w:tc>
          <w:tcPr>
            <w:tcW w:w="3900" w:type="dxa"/>
            <w:vAlign w:val="center"/>
            <w:hideMark/>
          </w:tcPr>
          <w:p w14:paraId="47BE2357" w14:textId="77777777" w:rsidR="008E2284" w:rsidRPr="008E2284" w:rsidRDefault="008E2284" w:rsidP="008E2284">
            <w:pPr>
              <w:spacing w:line="276" w:lineRule="auto"/>
              <w:jc w:val="left"/>
              <w:rPr>
                <w:rFonts w:cs="Arial"/>
                <w:lang w:val="en-US" w:bidi="ar-SA"/>
              </w:rPr>
            </w:pPr>
            <w:proofErr w:type="spellStart"/>
            <w:r w:rsidRPr="008E2284">
              <w:rPr>
                <w:rFonts w:cs="Arial"/>
                <w:lang w:val="en-US" w:bidi="ar-SA"/>
              </w:rPr>
              <w:t>Habtemaryam</w:t>
            </w:r>
            <w:proofErr w:type="spellEnd"/>
            <w:r w:rsidRPr="008E2284">
              <w:rPr>
                <w:rFonts w:cs="Arial"/>
                <w:lang w:val="en-US" w:bidi="ar-SA"/>
              </w:rPr>
              <w:t xml:space="preserve">, </w:t>
            </w:r>
            <w:proofErr w:type="spellStart"/>
            <w:r w:rsidRPr="008E2284">
              <w:rPr>
                <w:rFonts w:cs="Arial"/>
                <w:lang w:val="en-US" w:bidi="ar-SA"/>
              </w:rPr>
              <w:t>Degoma</w:t>
            </w:r>
            <w:proofErr w:type="spellEnd"/>
            <w:r w:rsidRPr="008E2284">
              <w:rPr>
                <w:rFonts w:cs="Arial"/>
                <w:lang w:val="en-US" w:bidi="ar-SA"/>
              </w:rPr>
              <w:t xml:space="preserve"> &amp; </w:t>
            </w:r>
            <w:proofErr w:type="spellStart"/>
            <w:r w:rsidRPr="008E2284">
              <w:rPr>
                <w:rFonts w:cs="Arial"/>
                <w:lang w:val="en-US" w:bidi="ar-SA"/>
              </w:rPr>
              <w:t>Tsegaye</w:t>
            </w:r>
            <w:proofErr w:type="spellEnd"/>
            <w:r w:rsidRPr="008E2284">
              <w:rPr>
                <w:rFonts w:cs="Arial"/>
                <w:lang w:val="en-US" w:bidi="ar-SA"/>
              </w:rPr>
              <w:t xml:space="preserve"> (2025)</w:t>
            </w:r>
          </w:p>
        </w:tc>
      </w:tr>
      <w:tr w:rsidR="008E2284" w:rsidRPr="008E2284" w14:paraId="6C955698" w14:textId="77777777" w:rsidTr="00A9343B">
        <w:tc>
          <w:tcPr>
            <w:tcW w:w="2323" w:type="dxa"/>
            <w:vMerge/>
            <w:vAlign w:val="center"/>
            <w:hideMark/>
          </w:tcPr>
          <w:p w14:paraId="1DE1A75F"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74DEA566"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1C7C3B9C" w14:textId="77777777" w:rsidR="008E2284" w:rsidRPr="008E2284" w:rsidRDefault="008E2284" w:rsidP="008E2284">
            <w:pPr>
              <w:spacing w:line="276" w:lineRule="auto"/>
              <w:jc w:val="left"/>
              <w:rPr>
                <w:rFonts w:cs="Arial"/>
                <w:lang w:val="en-US" w:bidi="ar-SA"/>
              </w:rPr>
            </w:pPr>
            <w:r w:rsidRPr="008E2284">
              <w:rPr>
                <w:rFonts w:cs="Arial"/>
                <w:lang w:val="en-US" w:bidi="ar-SA"/>
              </w:rPr>
              <w:t>Environmental performance monitoring</w:t>
            </w:r>
          </w:p>
        </w:tc>
        <w:tc>
          <w:tcPr>
            <w:tcW w:w="3900" w:type="dxa"/>
            <w:vAlign w:val="center"/>
            <w:hideMark/>
          </w:tcPr>
          <w:p w14:paraId="65078565" w14:textId="77777777" w:rsidR="008E2284" w:rsidRPr="008E2284" w:rsidRDefault="008E2284" w:rsidP="008E2284">
            <w:pPr>
              <w:spacing w:line="276" w:lineRule="auto"/>
              <w:jc w:val="left"/>
              <w:rPr>
                <w:rFonts w:cs="Arial"/>
                <w:lang w:val="en-US" w:bidi="ar-SA"/>
              </w:rPr>
            </w:pPr>
            <w:r w:rsidRPr="008E2284">
              <w:rPr>
                <w:rFonts w:cs="Arial"/>
                <w:lang w:val="en-US" w:bidi="ar-SA"/>
              </w:rPr>
              <w:t>Mofokeng (2025)</w:t>
            </w:r>
          </w:p>
        </w:tc>
      </w:tr>
      <w:tr w:rsidR="008E2284" w:rsidRPr="008E2284" w14:paraId="7E9C4B9B" w14:textId="77777777" w:rsidTr="00A9343B">
        <w:tc>
          <w:tcPr>
            <w:tcW w:w="2323" w:type="dxa"/>
            <w:vMerge/>
            <w:vAlign w:val="center"/>
            <w:hideMark/>
          </w:tcPr>
          <w:p w14:paraId="3827FC6E" w14:textId="77777777" w:rsidR="008E2284" w:rsidRPr="008E2284" w:rsidRDefault="008E2284" w:rsidP="008E2284">
            <w:pPr>
              <w:spacing w:line="276" w:lineRule="auto"/>
              <w:jc w:val="left"/>
              <w:rPr>
                <w:rFonts w:cs="Arial"/>
                <w:lang w:val="en-US" w:bidi="ar-SA"/>
              </w:rPr>
            </w:pPr>
          </w:p>
        </w:tc>
        <w:tc>
          <w:tcPr>
            <w:tcW w:w="2802" w:type="dxa"/>
            <w:vMerge w:val="restart"/>
            <w:vAlign w:val="center"/>
            <w:hideMark/>
          </w:tcPr>
          <w:p w14:paraId="710BE17F" w14:textId="77777777" w:rsidR="008E2284" w:rsidRPr="008E2284" w:rsidRDefault="008E2284" w:rsidP="008E2284">
            <w:pPr>
              <w:spacing w:line="276" w:lineRule="auto"/>
              <w:jc w:val="left"/>
              <w:rPr>
                <w:rFonts w:cs="Arial"/>
                <w:lang w:val="en-US" w:bidi="ar-SA"/>
              </w:rPr>
            </w:pPr>
            <w:r w:rsidRPr="008E2284">
              <w:rPr>
                <w:rFonts w:cs="Arial"/>
                <w:lang w:val="en-US" w:bidi="ar-SA"/>
              </w:rPr>
              <w:t>Sustainable Marketing &amp; Communication</w:t>
            </w:r>
          </w:p>
        </w:tc>
        <w:tc>
          <w:tcPr>
            <w:tcW w:w="4923" w:type="dxa"/>
            <w:vAlign w:val="center"/>
            <w:hideMark/>
          </w:tcPr>
          <w:p w14:paraId="6FD6C7A9" w14:textId="77777777" w:rsidR="008E2284" w:rsidRPr="008E2284" w:rsidRDefault="008E2284" w:rsidP="008E2284">
            <w:pPr>
              <w:spacing w:line="276" w:lineRule="auto"/>
              <w:jc w:val="left"/>
              <w:rPr>
                <w:rFonts w:cs="Arial"/>
                <w:lang w:val="en-US" w:bidi="ar-SA"/>
              </w:rPr>
            </w:pPr>
            <w:r w:rsidRPr="008E2284">
              <w:rPr>
                <w:rFonts w:cs="Arial"/>
                <w:lang w:val="en-US" w:bidi="ar-SA"/>
              </w:rPr>
              <w:t>Green marketing mix</w:t>
            </w:r>
          </w:p>
        </w:tc>
        <w:tc>
          <w:tcPr>
            <w:tcW w:w="3900" w:type="dxa"/>
            <w:vAlign w:val="center"/>
            <w:hideMark/>
          </w:tcPr>
          <w:p w14:paraId="1DB6886C" w14:textId="53E85D44" w:rsidR="008E2284" w:rsidRPr="008E2284" w:rsidRDefault="008E2284" w:rsidP="008E2284">
            <w:pPr>
              <w:spacing w:line="276" w:lineRule="auto"/>
              <w:jc w:val="left"/>
              <w:rPr>
                <w:rFonts w:cs="Arial"/>
                <w:lang w:val="en-US" w:bidi="ar-SA"/>
              </w:rPr>
            </w:pPr>
            <w:r w:rsidRPr="008E2284">
              <w:rPr>
                <w:rFonts w:cs="Arial"/>
                <w:lang w:val="en-US" w:bidi="ar-SA"/>
              </w:rPr>
              <w:t xml:space="preserve">Andria </w:t>
            </w:r>
            <w:r w:rsidR="00A7080E" w:rsidRPr="00A7080E">
              <w:rPr>
                <w:rFonts w:cs="Arial"/>
                <w:i/>
                <w:iCs/>
                <w:lang w:val="en-US" w:bidi="ar-SA"/>
              </w:rPr>
              <w:t>et al</w:t>
            </w:r>
            <w:r w:rsidRPr="008E2284">
              <w:rPr>
                <w:rFonts w:cs="Arial"/>
                <w:lang w:val="en-US" w:bidi="ar-SA"/>
              </w:rPr>
              <w:t>. (2023)</w:t>
            </w:r>
          </w:p>
        </w:tc>
      </w:tr>
      <w:tr w:rsidR="008E2284" w:rsidRPr="008E2284" w14:paraId="44028AC8" w14:textId="77777777" w:rsidTr="00A9343B">
        <w:tc>
          <w:tcPr>
            <w:tcW w:w="2323" w:type="dxa"/>
            <w:vMerge/>
            <w:vAlign w:val="center"/>
            <w:hideMark/>
          </w:tcPr>
          <w:p w14:paraId="4D0D783D"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18CA8A9D"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2D346355" w14:textId="77777777" w:rsidR="008E2284" w:rsidRPr="008E2284" w:rsidRDefault="008E2284" w:rsidP="008E2284">
            <w:pPr>
              <w:spacing w:line="276" w:lineRule="auto"/>
              <w:jc w:val="left"/>
              <w:rPr>
                <w:rFonts w:cs="Arial"/>
                <w:lang w:val="en-US" w:bidi="ar-SA"/>
              </w:rPr>
            </w:pPr>
            <w:r w:rsidRPr="008E2284">
              <w:rPr>
                <w:rFonts w:cs="Arial"/>
                <w:lang w:val="en-US" w:bidi="ar-SA"/>
              </w:rPr>
              <w:t>Green marketing orientation (GMO)</w:t>
            </w:r>
          </w:p>
        </w:tc>
        <w:tc>
          <w:tcPr>
            <w:tcW w:w="3900" w:type="dxa"/>
            <w:vAlign w:val="center"/>
            <w:hideMark/>
          </w:tcPr>
          <w:p w14:paraId="4DD3737E" w14:textId="77777777" w:rsidR="008E2284" w:rsidRPr="008E2284" w:rsidRDefault="008E2284" w:rsidP="008E2284">
            <w:pPr>
              <w:spacing w:line="276" w:lineRule="auto"/>
              <w:jc w:val="left"/>
              <w:rPr>
                <w:rFonts w:cs="Arial"/>
                <w:lang w:val="en-US" w:bidi="ar-SA"/>
              </w:rPr>
            </w:pPr>
            <w:proofErr w:type="spellStart"/>
            <w:r w:rsidRPr="008E2284">
              <w:rPr>
                <w:rFonts w:cs="Arial"/>
                <w:lang w:val="en-US" w:bidi="ar-SA"/>
              </w:rPr>
              <w:t>Habtemaryam</w:t>
            </w:r>
            <w:proofErr w:type="spellEnd"/>
            <w:r w:rsidRPr="008E2284">
              <w:rPr>
                <w:rFonts w:cs="Arial"/>
                <w:lang w:val="en-US" w:bidi="ar-SA"/>
              </w:rPr>
              <w:t xml:space="preserve">, </w:t>
            </w:r>
            <w:proofErr w:type="spellStart"/>
            <w:r w:rsidRPr="008E2284">
              <w:rPr>
                <w:rFonts w:cs="Arial"/>
                <w:lang w:val="en-US" w:bidi="ar-SA"/>
              </w:rPr>
              <w:t>Degoma</w:t>
            </w:r>
            <w:proofErr w:type="spellEnd"/>
            <w:r w:rsidRPr="008E2284">
              <w:rPr>
                <w:rFonts w:cs="Arial"/>
                <w:lang w:val="en-US" w:bidi="ar-SA"/>
              </w:rPr>
              <w:t xml:space="preserve"> &amp; </w:t>
            </w:r>
            <w:proofErr w:type="spellStart"/>
            <w:r w:rsidRPr="008E2284">
              <w:rPr>
                <w:rFonts w:cs="Arial"/>
                <w:lang w:val="en-US" w:bidi="ar-SA"/>
              </w:rPr>
              <w:t>Tsegaye</w:t>
            </w:r>
            <w:proofErr w:type="spellEnd"/>
            <w:r w:rsidRPr="008E2284">
              <w:rPr>
                <w:rFonts w:cs="Arial"/>
                <w:lang w:val="en-US" w:bidi="ar-SA"/>
              </w:rPr>
              <w:t xml:space="preserve"> (2025)</w:t>
            </w:r>
          </w:p>
        </w:tc>
      </w:tr>
      <w:tr w:rsidR="008E2284" w:rsidRPr="008E2284" w14:paraId="22DAA928" w14:textId="77777777" w:rsidTr="00A9343B">
        <w:tc>
          <w:tcPr>
            <w:tcW w:w="2323" w:type="dxa"/>
            <w:vMerge/>
            <w:vAlign w:val="center"/>
            <w:hideMark/>
          </w:tcPr>
          <w:p w14:paraId="3092E49D"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0E59193B"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0B2996C6" w14:textId="77777777" w:rsidR="008E2284" w:rsidRPr="008E2284" w:rsidRDefault="008E2284" w:rsidP="008E2284">
            <w:pPr>
              <w:spacing w:line="276" w:lineRule="auto"/>
              <w:jc w:val="left"/>
              <w:rPr>
                <w:rFonts w:cs="Arial"/>
                <w:lang w:val="en-US" w:bidi="ar-SA"/>
              </w:rPr>
            </w:pPr>
            <w:r w:rsidRPr="008E2284">
              <w:rPr>
                <w:rFonts w:cs="Arial"/>
                <w:lang w:val="en-US" w:bidi="ar-SA"/>
              </w:rPr>
              <w:t>Green marketing strategy &amp; competitiveness</w:t>
            </w:r>
          </w:p>
        </w:tc>
        <w:tc>
          <w:tcPr>
            <w:tcW w:w="3900" w:type="dxa"/>
            <w:vAlign w:val="center"/>
            <w:hideMark/>
          </w:tcPr>
          <w:p w14:paraId="5589CF18" w14:textId="333DDD52" w:rsidR="008E2284" w:rsidRPr="008E2284" w:rsidRDefault="008E2284" w:rsidP="008E2284">
            <w:pPr>
              <w:spacing w:line="276" w:lineRule="auto"/>
              <w:jc w:val="left"/>
              <w:rPr>
                <w:rFonts w:cs="Arial"/>
                <w:lang w:val="en-US" w:bidi="ar-SA"/>
              </w:rPr>
            </w:pPr>
            <w:proofErr w:type="spellStart"/>
            <w:r w:rsidRPr="008E2284">
              <w:rPr>
                <w:rFonts w:cs="Arial"/>
                <w:lang w:val="en-US" w:bidi="ar-SA"/>
              </w:rPr>
              <w:t>Vehbi</w:t>
            </w:r>
            <w:proofErr w:type="spellEnd"/>
            <w:r w:rsidRPr="008E2284">
              <w:rPr>
                <w:rFonts w:cs="Arial"/>
                <w:lang w:val="en-US" w:bidi="ar-SA"/>
              </w:rPr>
              <w:t xml:space="preserve"> </w:t>
            </w:r>
            <w:r w:rsidR="00A7080E" w:rsidRPr="00A7080E">
              <w:rPr>
                <w:rFonts w:cs="Arial"/>
                <w:i/>
                <w:iCs/>
                <w:lang w:val="en-US" w:bidi="ar-SA"/>
              </w:rPr>
              <w:t>et al</w:t>
            </w:r>
            <w:r w:rsidRPr="008E2284">
              <w:rPr>
                <w:rFonts w:cs="Arial"/>
                <w:lang w:val="en-US" w:bidi="ar-SA"/>
              </w:rPr>
              <w:t>. (2025)</w:t>
            </w:r>
          </w:p>
        </w:tc>
      </w:tr>
      <w:tr w:rsidR="008E2284" w:rsidRPr="008E2284" w14:paraId="1CBAC9E7" w14:textId="77777777" w:rsidTr="00A9343B">
        <w:tc>
          <w:tcPr>
            <w:tcW w:w="2323" w:type="dxa"/>
            <w:vMerge/>
            <w:vAlign w:val="center"/>
            <w:hideMark/>
          </w:tcPr>
          <w:p w14:paraId="39982A6A"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1D9FF7E8"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1CF63921" w14:textId="77777777" w:rsidR="008E2284" w:rsidRPr="008E2284" w:rsidRDefault="008E2284" w:rsidP="008E2284">
            <w:pPr>
              <w:spacing w:line="276" w:lineRule="auto"/>
              <w:jc w:val="left"/>
              <w:rPr>
                <w:rFonts w:cs="Arial"/>
                <w:lang w:val="en-US" w:bidi="ar-SA"/>
              </w:rPr>
            </w:pPr>
            <w:r w:rsidRPr="008E2284">
              <w:rPr>
                <w:rFonts w:cs="Arial"/>
                <w:lang w:val="en-US" w:bidi="ar-SA"/>
              </w:rPr>
              <w:t>Green/social media influence on consumer behaviour</w:t>
            </w:r>
          </w:p>
        </w:tc>
        <w:tc>
          <w:tcPr>
            <w:tcW w:w="3900" w:type="dxa"/>
            <w:vAlign w:val="center"/>
            <w:hideMark/>
          </w:tcPr>
          <w:p w14:paraId="2CFA6328" w14:textId="77777777" w:rsidR="008E2284" w:rsidRPr="008E2284" w:rsidRDefault="008E2284" w:rsidP="008E2284">
            <w:pPr>
              <w:spacing w:line="276" w:lineRule="auto"/>
              <w:jc w:val="left"/>
              <w:rPr>
                <w:rFonts w:cs="Arial"/>
                <w:lang w:val="en-US" w:bidi="ar-SA"/>
              </w:rPr>
            </w:pPr>
            <w:r w:rsidRPr="008E2284">
              <w:rPr>
                <w:rFonts w:cs="Arial"/>
                <w:lang w:val="en-US" w:bidi="ar-SA"/>
              </w:rPr>
              <w:t>Fang (2024)</w:t>
            </w:r>
          </w:p>
        </w:tc>
      </w:tr>
      <w:tr w:rsidR="008E2284" w:rsidRPr="008E2284" w14:paraId="13037FA8" w14:textId="77777777" w:rsidTr="00A9343B">
        <w:tc>
          <w:tcPr>
            <w:tcW w:w="2323" w:type="dxa"/>
            <w:vMerge/>
            <w:vAlign w:val="center"/>
            <w:hideMark/>
          </w:tcPr>
          <w:p w14:paraId="44E06AA0" w14:textId="77777777" w:rsidR="008E2284" w:rsidRPr="008E2284" w:rsidRDefault="008E2284" w:rsidP="008E2284">
            <w:pPr>
              <w:spacing w:line="276" w:lineRule="auto"/>
              <w:jc w:val="left"/>
              <w:rPr>
                <w:rFonts w:cs="Arial"/>
                <w:lang w:val="en-US" w:bidi="ar-SA"/>
              </w:rPr>
            </w:pPr>
          </w:p>
        </w:tc>
        <w:tc>
          <w:tcPr>
            <w:tcW w:w="2802" w:type="dxa"/>
            <w:vMerge w:val="restart"/>
            <w:vAlign w:val="center"/>
            <w:hideMark/>
          </w:tcPr>
          <w:p w14:paraId="70674F71" w14:textId="77777777" w:rsidR="008E2284" w:rsidRPr="008E2284" w:rsidRDefault="008E2284" w:rsidP="008E2284">
            <w:pPr>
              <w:spacing w:line="276" w:lineRule="auto"/>
              <w:jc w:val="left"/>
              <w:rPr>
                <w:rFonts w:cs="Arial"/>
                <w:lang w:val="en-US" w:bidi="ar-SA"/>
              </w:rPr>
            </w:pPr>
            <w:r w:rsidRPr="008E2284">
              <w:rPr>
                <w:rFonts w:cs="Arial"/>
                <w:lang w:val="en-US" w:bidi="ar-SA"/>
              </w:rPr>
              <w:t>Supply Chain Transparency &amp; Traceability</w:t>
            </w:r>
          </w:p>
        </w:tc>
        <w:tc>
          <w:tcPr>
            <w:tcW w:w="4923" w:type="dxa"/>
            <w:vAlign w:val="center"/>
            <w:hideMark/>
          </w:tcPr>
          <w:p w14:paraId="465FA1A7" w14:textId="77777777" w:rsidR="008E2284" w:rsidRPr="008E2284" w:rsidRDefault="008E2284" w:rsidP="008E2284">
            <w:pPr>
              <w:spacing w:line="276" w:lineRule="auto"/>
              <w:jc w:val="left"/>
              <w:rPr>
                <w:rFonts w:cs="Arial"/>
                <w:lang w:val="en-US" w:bidi="ar-SA"/>
              </w:rPr>
            </w:pPr>
            <w:r w:rsidRPr="008E2284">
              <w:rPr>
                <w:rFonts w:cs="Arial"/>
                <w:lang w:val="en-US" w:bidi="ar-SA"/>
              </w:rPr>
              <w:t xml:space="preserve">Mandatory disclosure &amp; </w:t>
            </w:r>
            <w:proofErr w:type="spellStart"/>
            <w:r w:rsidRPr="008E2284">
              <w:rPr>
                <w:rFonts w:cs="Arial"/>
                <w:lang w:val="en-US" w:bidi="ar-SA"/>
              </w:rPr>
              <w:t>standardised</w:t>
            </w:r>
            <w:proofErr w:type="spellEnd"/>
            <w:r w:rsidRPr="008E2284">
              <w:rPr>
                <w:rFonts w:cs="Arial"/>
                <w:lang w:val="en-US" w:bidi="ar-SA"/>
              </w:rPr>
              <w:t xml:space="preserve"> transparency</w:t>
            </w:r>
          </w:p>
        </w:tc>
        <w:tc>
          <w:tcPr>
            <w:tcW w:w="3900" w:type="dxa"/>
            <w:vAlign w:val="center"/>
            <w:hideMark/>
          </w:tcPr>
          <w:p w14:paraId="5DC96A65" w14:textId="77777777" w:rsidR="008E2284" w:rsidRPr="008E2284" w:rsidRDefault="008E2284" w:rsidP="008E2284">
            <w:pPr>
              <w:spacing w:line="276" w:lineRule="auto"/>
              <w:jc w:val="left"/>
              <w:rPr>
                <w:rFonts w:cs="Arial"/>
                <w:lang w:val="en-US" w:bidi="ar-SA"/>
              </w:rPr>
            </w:pPr>
            <w:r w:rsidRPr="008E2284">
              <w:rPr>
                <w:rFonts w:cs="Arial"/>
                <w:lang w:val="en-US" w:bidi="ar-SA"/>
              </w:rPr>
              <w:t>Redman (2025)</w:t>
            </w:r>
          </w:p>
        </w:tc>
      </w:tr>
      <w:tr w:rsidR="008E2284" w:rsidRPr="008E2284" w14:paraId="4EF1E482" w14:textId="77777777" w:rsidTr="00A9343B">
        <w:tc>
          <w:tcPr>
            <w:tcW w:w="2323" w:type="dxa"/>
            <w:vMerge/>
            <w:vAlign w:val="center"/>
            <w:hideMark/>
          </w:tcPr>
          <w:p w14:paraId="08451724"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5D958203"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4BA9A74C" w14:textId="77777777" w:rsidR="008E2284" w:rsidRPr="008E2284" w:rsidRDefault="008E2284" w:rsidP="008E2284">
            <w:pPr>
              <w:spacing w:line="276" w:lineRule="auto"/>
              <w:jc w:val="left"/>
              <w:rPr>
                <w:rFonts w:cs="Arial"/>
                <w:lang w:val="en-US" w:bidi="ar-SA"/>
              </w:rPr>
            </w:pPr>
            <w:r w:rsidRPr="008E2284">
              <w:rPr>
                <w:rFonts w:cs="Arial"/>
                <w:lang w:val="en-US" w:bidi="ar-SA"/>
              </w:rPr>
              <w:t>Traceability via IoT/blockchain, KPIs</w:t>
            </w:r>
          </w:p>
        </w:tc>
        <w:tc>
          <w:tcPr>
            <w:tcW w:w="3900" w:type="dxa"/>
            <w:vAlign w:val="center"/>
            <w:hideMark/>
          </w:tcPr>
          <w:p w14:paraId="4683F244" w14:textId="77777777" w:rsidR="008E2284" w:rsidRPr="008E2284" w:rsidRDefault="008E2284" w:rsidP="008E2284">
            <w:pPr>
              <w:spacing w:line="276" w:lineRule="auto"/>
              <w:jc w:val="left"/>
              <w:rPr>
                <w:rFonts w:cs="Arial"/>
                <w:lang w:val="en-US" w:bidi="ar-SA"/>
              </w:rPr>
            </w:pPr>
            <w:r w:rsidRPr="008E2284">
              <w:rPr>
                <w:rFonts w:cs="Arial"/>
                <w:lang w:val="en-US" w:bidi="ar-SA"/>
              </w:rPr>
              <w:t>Tolentino-Zondervan &amp; DiVito (2024)</w:t>
            </w:r>
          </w:p>
        </w:tc>
      </w:tr>
      <w:tr w:rsidR="008E2284" w:rsidRPr="008E2284" w14:paraId="1EF53F74" w14:textId="77777777" w:rsidTr="00A9343B">
        <w:tc>
          <w:tcPr>
            <w:tcW w:w="2323" w:type="dxa"/>
            <w:vMerge/>
            <w:vAlign w:val="center"/>
            <w:hideMark/>
          </w:tcPr>
          <w:p w14:paraId="30D825D8"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6F30A868"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38B98EEC" w14:textId="77777777" w:rsidR="008E2284" w:rsidRPr="008E2284" w:rsidRDefault="008E2284" w:rsidP="008E2284">
            <w:pPr>
              <w:spacing w:line="276" w:lineRule="auto"/>
              <w:jc w:val="left"/>
              <w:rPr>
                <w:rFonts w:cs="Arial"/>
                <w:lang w:val="en-US" w:bidi="ar-SA"/>
              </w:rPr>
            </w:pPr>
            <w:r w:rsidRPr="008E2284">
              <w:rPr>
                <w:rFonts w:cs="Arial"/>
                <w:lang w:val="en-US" w:bidi="ar-SA"/>
              </w:rPr>
              <w:t>Anti-greenwashing ESG transparency</w:t>
            </w:r>
          </w:p>
        </w:tc>
        <w:tc>
          <w:tcPr>
            <w:tcW w:w="3900" w:type="dxa"/>
            <w:vAlign w:val="center"/>
            <w:hideMark/>
          </w:tcPr>
          <w:p w14:paraId="41ACD85D" w14:textId="74D8E056" w:rsidR="008E2284" w:rsidRPr="008E2284" w:rsidRDefault="008E2284" w:rsidP="008E2284">
            <w:pPr>
              <w:spacing w:line="276" w:lineRule="auto"/>
              <w:jc w:val="left"/>
              <w:rPr>
                <w:rFonts w:cs="Arial"/>
                <w:lang w:val="en-US" w:bidi="ar-SA"/>
              </w:rPr>
            </w:pPr>
            <w:r w:rsidRPr="008E2284">
              <w:rPr>
                <w:rFonts w:cs="Arial"/>
                <w:lang w:val="en-US" w:bidi="ar-SA"/>
              </w:rPr>
              <w:t xml:space="preserve">Wu </w:t>
            </w:r>
            <w:r w:rsidR="00A7080E" w:rsidRPr="00A7080E">
              <w:rPr>
                <w:rFonts w:cs="Arial"/>
                <w:i/>
                <w:iCs/>
                <w:lang w:val="en-US" w:bidi="ar-SA"/>
              </w:rPr>
              <w:t>et al</w:t>
            </w:r>
            <w:r w:rsidRPr="008E2284">
              <w:rPr>
                <w:rFonts w:cs="Arial"/>
                <w:lang w:val="en-US" w:bidi="ar-SA"/>
              </w:rPr>
              <w:t>. (2022)</w:t>
            </w:r>
          </w:p>
        </w:tc>
      </w:tr>
      <w:tr w:rsidR="008E2284" w:rsidRPr="008E2284" w14:paraId="29C5A1D8" w14:textId="77777777" w:rsidTr="00A9343B">
        <w:tc>
          <w:tcPr>
            <w:tcW w:w="2323" w:type="dxa"/>
            <w:vMerge w:val="restart"/>
            <w:vAlign w:val="center"/>
            <w:hideMark/>
          </w:tcPr>
          <w:p w14:paraId="41900C8C" w14:textId="77777777" w:rsidR="008E2284" w:rsidRPr="008E2284" w:rsidRDefault="008E2284" w:rsidP="008E2284">
            <w:pPr>
              <w:spacing w:line="276" w:lineRule="auto"/>
              <w:jc w:val="left"/>
              <w:rPr>
                <w:rFonts w:cs="Arial"/>
                <w:lang w:val="en-US" w:bidi="ar-SA"/>
              </w:rPr>
            </w:pPr>
            <w:r w:rsidRPr="008E2284">
              <w:rPr>
                <w:rFonts w:cs="Arial"/>
                <w:b/>
                <w:bCs/>
                <w:lang w:val="en-US" w:bidi="ar-SA"/>
              </w:rPr>
              <w:t>Social Responsibility</w:t>
            </w:r>
          </w:p>
        </w:tc>
        <w:tc>
          <w:tcPr>
            <w:tcW w:w="2802" w:type="dxa"/>
            <w:vMerge w:val="restart"/>
            <w:vAlign w:val="center"/>
            <w:hideMark/>
          </w:tcPr>
          <w:p w14:paraId="4E3E34AB" w14:textId="77777777" w:rsidR="008E2284" w:rsidRPr="008E2284" w:rsidRDefault="008E2284" w:rsidP="008E2284">
            <w:pPr>
              <w:spacing w:line="276" w:lineRule="auto"/>
              <w:jc w:val="left"/>
              <w:rPr>
                <w:rFonts w:cs="Arial"/>
                <w:lang w:val="en-US" w:bidi="ar-SA"/>
              </w:rPr>
            </w:pPr>
            <w:r w:rsidRPr="008E2284">
              <w:rPr>
                <w:rFonts w:cs="Arial"/>
                <w:lang w:val="en-US" w:bidi="ar-SA"/>
              </w:rPr>
              <w:t>Ethical Labour Practices</w:t>
            </w:r>
          </w:p>
        </w:tc>
        <w:tc>
          <w:tcPr>
            <w:tcW w:w="4923" w:type="dxa"/>
            <w:vAlign w:val="center"/>
            <w:hideMark/>
          </w:tcPr>
          <w:p w14:paraId="43776DD8" w14:textId="77777777" w:rsidR="008E2284" w:rsidRPr="008E2284" w:rsidRDefault="008E2284" w:rsidP="008E2284">
            <w:pPr>
              <w:spacing w:line="276" w:lineRule="auto"/>
              <w:jc w:val="left"/>
              <w:rPr>
                <w:rFonts w:cs="Arial"/>
                <w:lang w:val="en-US" w:bidi="ar-SA"/>
              </w:rPr>
            </w:pPr>
            <w:r w:rsidRPr="008E2284">
              <w:rPr>
                <w:rFonts w:cs="Arial"/>
                <w:lang w:val="en-US" w:bidi="ar-SA"/>
              </w:rPr>
              <w:t>Consumer assurance: fair wages &amp; conditions</w:t>
            </w:r>
          </w:p>
        </w:tc>
        <w:tc>
          <w:tcPr>
            <w:tcW w:w="3900" w:type="dxa"/>
            <w:vAlign w:val="center"/>
            <w:hideMark/>
          </w:tcPr>
          <w:p w14:paraId="57BDDC9F" w14:textId="77777777" w:rsidR="008E2284" w:rsidRPr="008E2284" w:rsidRDefault="008E2284" w:rsidP="008E2284">
            <w:pPr>
              <w:spacing w:line="276" w:lineRule="auto"/>
              <w:jc w:val="left"/>
              <w:rPr>
                <w:rFonts w:cs="Arial"/>
                <w:lang w:val="en-US" w:bidi="ar-SA"/>
              </w:rPr>
            </w:pPr>
            <w:proofErr w:type="spellStart"/>
            <w:r w:rsidRPr="008E2284">
              <w:rPr>
                <w:rFonts w:cs="Arial"/>
                <w:lang w:val="en-US" w:bidi="ar-SA"/>
              </w:rPr>
              <w:t>Henninger</w:t>
            </w:r>
            <w:proofErr w:type="spellEnd"/>
            <w:r w:rsidRPr="008E2284">
              <w:rPr>
                <w:rFonts w:cs="Arial"/>
                <w:lang w:val="en-US" w:bidi="ar-SA"/>
              </w:rPr>
              <w:t xml:space="preserve">, </w:t>
            </w:r>
            <w:proofErr w:type="spellStart"/>
            <w:r w:rsidRPr="008E2284">
              <w:rPr>
                <w:rFonts w:cs="Arial"/>
                <w:lang w:val="en-US" w:bidi="ar-SA"/>
              </w:rPr>
              <w:t>Alevizou</w:t>
            </w:r>
            <w:proofErr w:type="spellEnd"/>
            <w:r w:rsidRPr="008E2284">
              <w:rPr>
                <w:rFonts w:cs="Arial"/>
                <w:lang w:val="en-US" w:bidi="ar-SA"/>
              </w:rPr>
              <w:t xml:space="preserve"> &amp; Oates (2016)</w:t>
            </w:r>
          </w:p>
        </w:tc>
      </w:tr>
      <w:tr w:rsidR="008E2284" w:rsidRPr="008E2284" w14:paraId="42B51749" w14:textId="77777777" w:rsidTr="00A9343B">
        <w:tc>
          <w:tcPr>
            <w:tcW w:w="2323" w:type="dxa"/>
            <w:vMerge/>
            <w:vAlign w:val="center"/>
            <w:hideMark/>
          </w:tcPr>
          <w:p w14:paraId="1DDEAC65"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028858C4"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43C201EA" w14:textId="77777777" w:rsidR="008E2284" w:rsidRPr="008E2284" w:rsidRDefault="008E2284" w:rsidP="008E2284">
            <w:pPr>
              <w:spacing w:line="276" w:lineRule="auto"/>
              <w:jc w:val="left"/>
              <w:rPr>
                <w:rFonts w:cs="Arial"/>
                <w:lang w:val="en-US" w:bidi="ar-SA"/>
              </w:rPr>
            </w:pPr>
            <w:r w:rsidRPr="008E2284">
              <w:rPr>
                <w:rFonts w:cs="Arial"/>
                <w:lang w:val="en-US" w:bidi="ar-SA"/>
              </w:rPr>
              <w:t>Corporate social responsibility practices</w:t>
            </w:r>
          </w:p>
        </w:tc>
        <w:tc>
          <w:tcPr>
            <w:tcW w:w="3900" w:type="dxa"/>
            <w:vAlign w:val="center"/>
            <w:hideMark/>
          </w:tcPr>
          <w:p w14:paraId="04D03605" w14:textId="77777777" w:rsidR="008E2284" w:rsidRPr="008E2284" w:rsidRDefault="008E2284" w:rsidP="008E2284">
            <w:pPr>
              <w:spacing w:line="276" w:lineRule="auto"/>
              <w:jc w:val="left"/>
              <w:rPr>
                <w:rFonts w:cs="Arial"/>
                <w:lang w:val="en-US" w:bidi="ar-SA"/>
              </w:rPr>
            </w:pPr>
            <w:r w:rsidRPr="008E2284">
              <w:rPr>
                <w:rFonts w:cs="Arial"/>
                <w:lang w:val="en-US" w:bidi="ar-SA"/>
              </w:rPr>
              <w:t>Reza &amp; Du Plessis (2022)</w:t>
            </w:r>
          </w:p>
        </w:tc>
      </w:tr>
      <w:tr w:rsidR="008E2284" w:rsidRPr="00A7080E" w14:paraId="039EF3F5" w14:textId="77777777" w:rsidTr="00A9343B">
        <w:tc>
          <w:tcPr>
            <w:tcW w:w="2323" w:type="dxa"/>
            <w:vMerge/>
            <w:vAlign w:val="center"/>
            <w:hideMark/>
          </w:tcPr>
          <w:p w14:paraId="384B3193" w14:textId="77777777" w:rsidR="008E2284" w:rsidRPr="008E2284" w:rsidRDefault="008E2284" w:rsidP="008E2284">
            <w:pPr>
              <w:spacing w:line="276" w:lineRule="auto"/>
              <w:jc w:val="left"/>
              <w:rPr>
                <w:rFonts w:cs="Arial"/>
                <w:lang w:val="en-US" w:bidi="ar-SA"/>
              </w:rPr>
            </w:pPr>
          </w:p>
        </w:tc>
        <w:tc>
          <w:tcPr>
            <w:tcW w:w="2802" w:type="dxa"/>
            <w:vMerge w:val="restart"/>
            <w:vAlign w:val="center"/>
            <w:hideMark/>
          </w:tcPr>
          <w:p w14:paraId="37B99704" w14:textId="77777777" w:rsidR="008E2284" w:rsidRPr="008E2284" w:rsidRDefault="008E2284" w:rsidP="008E2284">
            <w:pPr>
              <w:spacing w:line="276" w:lineRule="auto"/>
              <w:jc w:val="left"/>
              <w:rPr>
                <w:rFonts w:cs="Arial"/>
                <w:lang w:val="en-US" w:bidi="ar-SA"/>
              </w:rPr>
            </w:pPr>
            <w:r w:rsidRPr="008E2284">
              <w:rPr>
                <w:rFonts w:cs="Arial"/>
                <w:lang w:val="en-US" w:bidi="ar-SA"/>
              </w:rPr>
              <w:t>Stakeholder Engagement &amp; Accountability</w:t>
            </w:r>
          </w:p>
        </w:tc>
        <w:tc>
          <w:tcPr>
            <w:tcW w:w="4923" w:type="dxa"/>
            <w:vAlign w:val="center"/>
            <w:hideMark/>
          </w:tcPr>
          <w:p w14:paraId="65E33A49" w14:textId="77777777" w:rsidR="008E2284" w:rsidRPr="008E2284" w:rsidRDefault="008E2284" w:rsidP="008E2284">
            <w:pPr>
              <w:spacing w:line="276" w:lineRule="auto"/>
              <w:jc w:val="left"/>
              <w:rPr>
                <w:rFonts w:cs="Arial"/>
                <w:lang w:val="en-US" w:bidi="ar-SA"/>
              </w:rPr>
            </w:pPr>
            <w:r w:rsidRPr="008E2284">
              <w:rPr>
                <w:rFonts w:cs="Arial"/>
                <w:lang w:val="en-US" w:bidi="ar-SA"/>
              </w:rPr>
              <w:t>ESG disclosure authenticity</w:t>
            </w:r>
          </w:p>
        </w:tc>
        <w:tc>
          <w:tcPr>
            <w:tcW w:w="3900" w:type="dxa"/>
            <w:vAlign w:val="center"/>
            <w:hideMark/>
          </w:tcPr>
          <w:p w14:paraId="593FE772" w14:textId="44F69425" w:rsidR="008E2284" w:rsidRPr="008E2284" w:rsidRDefault="008E2284" w:rsidP="008E2284">
            <w:pPr>
              <w:spacing w:line="276" w:lineRule="auto"/>
              <w:jc w:val="left"/>
              <w:rPr>
                <w:rFonts w:cs="Arial"/>
                <w:lang w:val="nl-NL" w:bidi="ar-SA"/>
              </w:rPr>
            </w:pPr>
            <w:r w:rsidRPr="008E2284">
              <w:rPr>
                <w:rFonts w:cs="Arial"/>
                <w:lang w:val="nl-NL" w:bidi="ar-SA"/>
              </w:rPr>
              <w:t xml:space="preserve">de Magalhães Silva </w:t>
            </w:r>
            <w:r w:rsidR="00A7080E" w:rsidRPr="00A7080E">
              <w:rPr>
                <w:rFonts w:cs="Arial"/>
                <w:i/>
                <w:iCs/>
                <w:lang w:val="nl-NL" w:bidi="ar-SA"/>
              </w:rPr>
              <w:t>et al</w:t>
            </w:r>
            <w:r w:rsidRPr="008E2284">
              <w:rPr>
                <w:rFonts w:cs="Arial"/>
                <w:lang w:val="nl-NL" w:bidi="ar-SA"/>
              </w:rPr>
              <w:t>. (2025)</w:t>
            </w:r>
          </w:p>
        </w:tc>
      </w:tr>
      <w:tr w:rsidR="008E2284" w:rsidRPr="00A7080E" w14:paraId="39E56417" w14:textId="77777777" w:rsidTr="00A9343B">
        <w:tc>
          <w:tcPr>
            <w:tcW w:w="2323" w:type="dxa"/>
            <w:vMerge/>
            <w:vAlign w:val="center"/>
            <w:hideMark/>
          </w:tcPr>
          <w:p w14:paraId="0401B4EE" w14:textId="77777777" w:rsidR="008E2284" w:rsidRPr="008E2284" w:rsidRDefault="008E2284" w:rsidP="008E2284">
            <w:pPr>
              <w:spacing w:line="276" w:lineRule="auto"/>
              <w:jc w:val="left"/>
              <w:rPr>
                <w:rFonts w:cs="Arial"/>
                <w:lang w:val="nl-NL" w:bidi="ar-SA"/>
              </w:rPr>
            </w:pPr>
          </w:p>
        </w:tc>
        <w:tc>
          <w:tcPr>
            <w:tcW w:w="2802" w:type="dxa"/>
            <w:vMerge/>
            <w:vAlign w:val="center"/>
            <w:hideMark/>
          </w:tcPr>
          <w:p w14:paraId="5086C768" w14:textId="77777777" w:rsidR="008E2284" w:rsidRPr="008E2284" w:rsidRDefault="008E2284" w:rsidP="008E2284">
            <w:pPr>
              <w:spacing w:line="276" w:lineRule="auto"/>
              <w:jc w:val="left"/>
              <w:rPr>
                <w:rFonts w:cs="Arial"/>
                <w:lang w:val="nl-NL" w:bidi="ar-SA"/>
              </w:rPr>
            </w:pPr>
          </w:p>
        </w:tc>
        <w:tc>
          <w:tcPr>
            <w:tcW w:w="4923" w:type="dxa"/>
            <w:vAlign w:val="center"/>
            <w:hideMark/>
          </w:tcPr>
          <w:p w14:paraId="5D9CBC6B" w14:textId="77777777" w:rsidR="008E2284" w:rsidRPr="008E2284" w:rsidRDefault="008E2284" w:rsidP="008E2284">
            <w:pPr>
              <w:spacing w:line="276" w:lineRule="auto"/>
              <w:jc w:val="left"/>
              <w:rPr>
                <w:rFonts w:cs="Arial"/>
                <w:lang w:val="en-US" w:bidi="ar-SA"/>
              </w:rPr>
            </w:pPr>
            <w:r w:rsidRPr="008E2284">
              <w:rPr>
                <w:rFonts w:cs="Arial"/>
                <w:lang w:val="en-US" w:bidi="ar-SA"/>
              </w:rPr>
              <w:t>Stakeholder engagement &amp; accountability</w:t>
            </w:r>
          </w:p>
        </w:tc>
        <w:tc>
          <w:tcPr>
            <w:tcW w:w="3900" w:type="dxa"/>
            <w:vAlign w:val="center"/>
            <w:hideMark/>
          </w:tcPr>
          <w:p w14:paraId="60F53454" w14:textId="4B1DC43F" w:rsidR="008E2284" w:rsidRPr="008E2284" w:rsidRDefault="008E2284" w:rsidP="008E2284">
            <w:pPr>
              <w:spacing w:line="276" w:lineRule="auto"/>
              <w:jc w:val="left"/>
              <w:rPr>
                <w:rFonts w:cs="Arial"/>
                <w:lang w:val="nl-NL" w:bidi="ar-SA"/>
              </w:rPr>
            </w:pPr>
            <w:r w:rsidRPr="008E2284">
              <w:rPr>
                <w:rFonts w:cs="Arial"/>
                <w:lang w:val="nl-NL" w:bidi="ar-SA"/>
              </w:rPr>
              <w:t xml:space="preserve">de Magalhães Silva </w:t>
            </w:r>
            <w:r w:rsidR="00A7080E" w:rsidRPr="00A7080E">
              <w:rPr>
                <w:rFonts w:cs="Arial"/>
                <w:i/>
                <w:iCs/>
                <w:lang w:val="nl-NL" w:bidi="ar-SA"/>
              </w:rPr>
              <w:t>et al</w:t>
            </w:r>
            <w:r w:rsidRPr="008E2284">
              <w:rPr>
                <w:rFonts w:cs="Arial"/>
                <w:lang w:val="nl-NL" w:bidi="ar-SA"/>
              </w:rPr>
              <w:t>. (2025)</w:t>
            </w:r>
          </w:p>
        </w:tc>
      </w:tr>
      <w:tr w:rsidR="008E2284" w:rsidRPr="008E2284" w14:paraId="355AC39B" w14:textId="77777777" w:rsidTr="00A9343B">
        <w:tc>
          <w:tcPr>
            <w:tcW w:w="2323" w:type="dxa"/>
            <w:vMerge/>
            <w:vAlign w:val="center"/>
            <w:hideMark/>
          </w:tcPr>
          <w:p w14:paraId="303D9D93" w14:textId="77777777" w:rsidR="008E2284" w:rsidRPr="008E2284" w:rsidRDefault="008E2284" w:rsidP="008E2284">
            <w:pPr>
              <w:spacing w:line="276" w:lineRule="auto"/>
              <w:jc w:val="left"/>
              <w:rPr>
                <w:rFonts w:cs="Arial"/>
                <w:lang w:val="nl-NL" w:bidi="ar-SA"/>
              </w:rPr>
            </w:pPr>
          </w:p>
        </w:tc>
        <w:tc>
          <w:tcPr>
            <w:tcW w:w="2802" w:type="dxa"/>
            <w:vMerge/>
            <w:vAlign w:val="center"/>
            <w:hideMark/>
          </w:tcPr>
          <w:p w14:paraId="46D2D45D" w14:textId="77777777" w:rsidR="008E2284" w:rsidRPr="008E2284" w:rsidRDefault="008E2284" w:rsidP="008E2284">
            <w:pPr>
              <w:spacing w:line="276" w:lineRule="auto"/>
              <w:jc w:val="left"/>
              <w:rPr>
                <w:rFonts w:cs="Arial"/>
                <w:lang w:val="nl-NL" w:bidi="ar-SA"/>
              </w:rPr>
            </w:pPr>
          </w:p>
        </w:tc>
        <w:tc>
          <w:tcPr>
            <w:tcW w:w="4923" w:type="dxa"/>
            <w:vAlign w:val="center"/>
            <w:hideMark/>
          </w:tcPr>
          <w:p w14:paraId="2129C3F6" w14:textId="77777777" w:rsidR="008E2284" w:rsidRPr="008E2284" w:rsidRDefault="008E2284" w:rsidP="008E2284">
            <w:pPr>
              <w:spacing w:line="276" w:lineRule="auto"/>
              <w:jc w:val="left"/>
              <w:rPr>
                <w:rFonts w:cs="Arial"/>
                <w:lang w:val="en-US" w:bidi="ar-SA"/>
              </w:rPr>
            </w:pPr>
            <w:r w:rsidRPr="008E2284">
              <w:rPr>
                <w:rFonts w:cs="Arial"/>
                <w:lang w:val="en-US" w:bidi="ar-SA"/>
              </w:rPr>
              <w:t>NGO pressure and selective transparency</w:t>
            </w:r>
          </w:p>
        </w:tc>
        <w:tc>
          <w:tcPr>
            <w:tcW w:w="3900" w:type="dxa"/>
            <w:vAlign w:val="center"/>
            <w:hideMark/>
          </w:tcPr>
          <w:p w14:paraId="5A4F757B" w14:textId="72BD86D1" w:rsidR="008E2284" w:rsidRPr="008E2284" w:rsidRDefault="008E2284" w:rsidP="008E2284">
            <w:pPr>
              <w:spacing w:line="276" w:lineRule="auto"/>
              <w:jc w:val="left"/>
              <w:rPr>
                <w:rFonts w:cs="Arial"/>
                <w:lang w:val="en-US" w:bidi="ar-SA"/>
              </w:rPr>
            </w:pPr>
            <w:r w:rsidRPr="008E2284">
              <w:rPr>
                <w:rFonts w:cs="Arial"/>
                <w:lang w:val="en-US" w:bidi="ar-SA"/>
              </w:rPr>
              <w:t xml:space="preserve">Crapa </w:t>
            </w:r>
            <w:r w:rsidR="00A7080E" w:rsidRPr="00A7080E">
              <w:rPr>
                <w:rFonts w:cs="Arial"/>
                <w:i/>
                <w:iCs/>
                <w:lang w:val="en-US" w:bidi="ar-SA"/>
              </w:rPr>
              <w:t>et al</w:t>
            </w:r>
            <w:r w:rsidRPr="008E2284">
              <w:rPr>
                <w:rFonts w:cs="Arial"/>
                <w:lang w:val="en-US" w:bidi="ar-SA"/>
              </w:rPr>
              <w:t>. (2025)</w:t>
            </w:r>
          </w:p>
        </w:tc>
      </w:tr>
      <w:tr w:rsidR="008E2284" w:rsidRPr="008E2284" w14:paraId="72791C3B" w14:textId="77777777" w:rsidTr="00A9343B">
        <w:tc>
          <w:tcPr>
            <w:tcW w:w="2323" w:type="dxa"/>
            <w:vMerge/>
            <w:vAlign w:val="center"/>
            <w:hideMark/>
          </w:tcPr>
          <w:p w14:paraId="760ED591"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322407B9"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2B491B5A" w14:textId="77777777" w:rsidR="008E2284" w:rsidRPr="008E2284" w:rsidRDefault="008E2284" w:rsidP="008E2284">
            <w:pPr>
              <w:spacing w:line="276" w:lineRule="auto"/>
              <w:jc w:val="left"/>
              <w:rPr>
                <w:rFonts w:cs="Arial"/>
                <w:lang w:val="en-US" w:bidi="ar-SA"/>
              </w:rPr>
            </w:pPr>
            <w:r w:rsidRPr="008E2284">
              <w:rPr>
                <w:rFonts w:cs="Arial"/>
                <w:lang w:val="en-US" w:bidi="ar-SA"/>
              </w:rPr>
              <w:t>Accountability mechanisms for supply chains</w:t>
            </w:r>
          </w:p>
        </w:tc>
        <w:tc>
          <w:tcPr>
            <w:tcW w:w="3900" w:type="dxa"/>
            <w:vAlign w:val="center"/>
            <w:hideMark/>
          </w:tcPr>
          <w:p w14:paraId="2EAB08B0" w14:textId="77777777" w:rsidR="008E2284" w:rsidRPr="008E2284" w:rsidRDefault="008E2284" w:rsidP="008E2284">
            <w:pPr>
              <w:spacing w:line="276" w:lineRule="auto"/>
              <w:jc w:val="left"/>
              <w:rPr>
                <w:rFonts w:cs="Arial"/>
                <w:lang w:val="en-US" w:bidi="ar-SA"/>
              </w:rPr>
            </w:pPr>
            <w:r w:rsidRPr="008E2284">
              <w:rPr>
                <w:rFonts w:cs="Arial"/>
                <w:lang w:val="en-US" w:bidi="ar-SA"/>
              </w:rPr>
              <w:t>Redman (2025)</w:t>
            </w:r>
          </w:p>
        </w:tc>
      </w:tr>
      <w:tr w:rsidR="008E2284" w:rsidRPr="008E2284" w14:paraId="5B01073B" w14:textId="77777777" w:rsidTr="00A9343B">
        <w:tc>
          <w:tcPr>
            <w:tcW w:w="2323" w:type="dxa"/>
            <w:vMerge w:val="restart"/>
            <w:vAlign w:val="center"/>
            <w:hideMark/>
          </w:tcPr>
          <w:p w14:paraId="2B3CEA89" w14:textId="77777777" w:rsidR="008E2284" w:rsidRPr="008E2284" w:rsidRDefault="008E2284" w:rsidP="008E2284">
            <w:pPr>
              <w:spacing w:line="276" w:lineRule="auto"/>
              <w:jc w:val="left"/>
              <w:rPr>
                <w:rFonts w:cs="Arial"/>
                <w:lang w:val="en-US" w:bidi="ar-SA"/>
              </w:rPr>
            </w:pPr>
            <w:r w:rsidRPr="008E2284">
              <w:rPr>
                <w:rFonts w:cs="Arial"/>
                <w:b/>
                <w:bCs/>
                <w:lang w:val="en-US" w:bidi="ar-SA"/>
              </w:rPr>
              <w:t>Avoidance of Greenwashing</w:t>
            </w:r>
          </w:p>
        </w:tc>
        <w:tc>
          <w:tcPr>
            <w:tcW w:w="2802" w:type="dxa"/>
            <w:vMerge w:val="restart"/>
            <w:vAlign w:val="center"/>
            <w:hideMark/>
          </w:tcPr>
          <w:p w14:paraId="5AFE6136" w14:textId="77777777" w:rsidR="008E2284" w:rsidRPr="008E2284" w:rsidRDefault="008E2284" w:rsidP="008E2284">
            <w:pPr>
              <w:spacing w:line="276" w:lineRule="auto"/>
              <w:jc w:val="left"/>
              <w:rPr>
                <w:rFonts w:cs="Arial"/>
                <w:lang w:val="en-US" w:bidi="ar-SA"/>
              </w:rPr>
            </w:pPr>
            <w:r w:rsidRPr="008E2284">
              <w:rPr>
                <w:rFonts w:cs="Arial"/>
                <w:lang w:val="en-US" w:bidi="ar-SA"/>
              </w:rPr>
              <w:t>Authenticity &amp; Verification</w:t>
            </w:r>
          </w:p>
        </w:tc>
        <w:tc>
          <w:tcPr>
            <w:tcW w:w="4923" w:type="dxa"/>
            <w:vAlign w:val="center"/>
            <w:hideMark/>
          </w:tcPr>
          <w:p w14:paraId="6BE42D7B" w14:textId="77777777" w:rsidR="008E2284" w:rsidRPr="008E2284" w:rsidRDefault="008E2284" w:rsidP="008E2284">
            <w:pPr>
              <w:spacing w:line="276" w:lineRule="auto"/>
              <w:jc w:val="left"/>
              <w:rPr>
                <w:rFonts w:cs="Arial"/>
                <w:lang w:val="en-US" w:bidi="ar-SA"/>
              </w:rPr>
            </w:pPr>
            <w:r w:rsidRPr="008E2284">
              <w:rPr>
                <w:rFonts w:cs="Arial"/>
                <w:lang w:val="en-US" w:bidi="ar-SA"/>
              </w:rPr>
              <w:t xml:space="preserve">Overcoming greenwashing </w:t>
            </w:r>
            <w:proofErr w:type="spellStart"/>
            <w:r w:rsidRPr="008E2284">
              <w:rPr>
                <w:rFonts w:cs="Arial"/>
                <w:lang w:val="en-US" w:bidi="ar-SA"/>
              </w:rPr>
              <w:t>scepticism</w:t>
            </w:r>
            <w:proofErr w:type="spellEnd"/>
          </w:p>
        </w:tc>
        <w:tc>
          <w:tcPr>
            <w:tcW w:w="3900" w:type="dxa"/>
            <w:vAlign w:val="center"/>
            <w:hideMark/>
          </w:tcPr>
          <w:p w14:paraId="2BB1B1DC" w14:textId="77777777" w:rsidR="008E2284" w:rsidRPr="008E2284" w:rsidRDefault="008E2284" w:rsidP="008E2284">
            <w:pPr>
              <w:spacing w:line="276" w:lineRule="auto"/>
              <w:jc w:val="left"/>
              <w:rPr>
                <w:rFonts w:cs="Arial"/>
                <w:lang w:val="en-US" w:bidi="ar-SA"/>
              </w:rPr>
            </w:pPr>
            <w:r w:rsidRPr="008E2284">
              <w:rPr>
                <w:rFonts w:cs="Arial"/>
                <w:lang w:val="en-US" w:bidi="ar-SA"/>
              </w:rPr>
              <w:t>Dalecki (2023)</w:t>
            </w:r>
          </w:p>
        </w:tc>
      </w:tr>
      <w:tr w:rsidR="008E2284" w:rsidRPr="008E2284" w14:paraId="0E1892FD" w14:textId="77777777" w:rsidTr="00A9343B">
        <w:tc>
          <w:tcPr>
            <w:tcW w:w="2323" w:type="dxa"/>
            <w:vMerge/>
            <w:vAlign w:val="center"/>
            <w:hideMark/>
          </w:tcPr>
          <w:p w14:paraId="517F591F"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1D8AC950"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7059CDBD" w14:textId="77777777" w:rsidR="008E2284" w:rsidRPr="008E2284" w:rsidRDefault="008E2284" w:rsidP="008E2284">
            <w:pPr>
              <w:spacing w:line="276" w:lineRule="auto"/>
              <w:jc w:val="left"/>
              <w:rPr>
                <w:rFonts w:cs="Arial"/>
                <w:lang w:val="en-US" w:bidi="ar-SA"/>
              </w:rPr>
            </w:pPr>
            <w:r w:rsidRPr="008E2284">
              <w:rPr>
                <w:rFonts w:cs="Arial"/>
                <w:lang w:val="en-US" w:bidi="ar-SA"/>
              </w:rPr>
              <w:t>Proof vs. mere certification</w:t>
            </w:r>
          </w:p>
        </w:tc>
        <w:tc>
          <w:tcPr>
            <w:tcW w:w="3900" w:type="dxa"/>
            <w:vAlign w:val="center"/>
            <w:hideMark/>
          </w:tcPr>
          <w:p w14:paraId="4036B708" w14:textId="77777777" w:rsidR="008E2284" w:rsidRPr="008E2284" w:rsidRDefault="008E2284" w:rsidP="008E2284">
            <w:pPr>
              <w:spacing w:line="276" w:lineRule="auto"/>
              <w:jc w:val="left"/>
              <w:rPr>
                <w:rFonts w:cs="Arial"/>
                <w:lang w:val="en-US" w:bidi="ar-SA"/>
              </w:rPr>
            </w:pPr>
            <w:r w:rsidRPr="008E2284">
              <w:rPr>
                <w:rFonts w:cs="Arial"/>
                <w:lang w:val="en-US" w:bidi="ar-SA"/>
              </w:rPr>
              <w:t>Dalecki (2023)</w:t>
            </w:r>
          </w:p>
        </w:tc>
      </w:tr>
      <w:tr w:rsidR="008E2284" w:rsidRPr="008E2284" w14:paraId="1C7F18CC" w14:textId="77777777" w:rsidTr="00A9343B">
        <w:tc>
          <w:tcPr>
            <w:tcW w:w="2323" w:type="dxa"/>
            <w:vMerge/>
            <w:vAlign w:val="center"/>
            <w:hideMark/>
          </w:tcPr>
          <w:p w14:paraId="5FCBA8A8"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23123071"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0BD918C0" w14:textId="77777777" w:rsidR="008E2284" w:rsidRPr="008E2284" w:rsidRDefault="008E2284" w:rsidP="008E2284">
            <w:pPr>
              <w:spacing w:line="276" w:lineRule="auto"/>
              <w:jc w:val="left"/>
              <w:rPr>
                <w:rFonts w:cs="Arial"/>
                <w:lang w:val="en-US" w:bidi="ar-SA"/>
              </w:rPr>
            </w:pPr>
            <w:r w:rsidRPr="008E2284">
              <w:rPr>
                <w:rFonts w:cs="Arial"/>
                <w:lang w:val="en-US" w:bidi="ar-SA"/>
              </w:rPr>
              <w:t>Authentic communication, cross-channel consistency</w:t>
            </w:r>
          </w:p>
        </w:tc>
        <w:tc>
          <w:tcPr>
            <w:tcW w:w="3900" w:type="dxa"/>
            <w:vAlign w:val="center"/>
            <w:hideMark/>
          </w:tcPr>
          <w:p w14:paraId="22972BFC" w14:textId="0750CEFD" w:rsidR="008E2284" w:rsidRPr="008E2284" w:rsidRDefault="008E2284" w:rsidP="008E2284">
            <w:pPr>
              <w:spacing w:line="276" w:lineRule="auto"/>
              <w:jc w:val="left"/>
              <w:rPr>
                <w:rFonts w:cs="Arial"/>
                <w:lang w:val="en-US" w:bidi="ar-SA"/>
              </w:rPr>
            </w:pPr>
            <w:r w:rsidRPr="008E2284">
              <w:rPr>
                <w:rFonts w:cs="Arial"/>
                <w:lang w:val="en-US" w:bidi="ar-SA"/>
              </w:rPr>
              <w:t xml:space="preserve">Garcia-Ortega </w:t>
            </w:r>
            <w:r w:rsidR="00A7080E" w:rsidRPr="00A7080E">
              <w:rPr>
                <w:rFonts w:cs="Arial"/>
                <w:i/>
                <w:iCs/>
                <w:lang w:val="en-US" w:bidi="ar-SA"/>
              </w:rPr>
              <w:t>et al</w:t>
            </w:r>
            <w:r w:rsidRPr="008E2284">
              <w:rPr>
                <w:rFonts w:cs="Arial"/>
                <w:lang w:val="en-US" w:bidi="ar-SA"/>
              </w:rPr>
              <w:t>. (2025)</w:t>
            </w:r>
          </w:p>
        </w:tc>
      </w:tr>
      <w:tr w:rsidR="008E2284" w:rsidRPr="008E2284" w14:paraId="080B6C1A" w14:textId="77777777" w:rsidTr="00A9343B">
        <w:tc>
          <w:tcPr>
            <w:tcW w:w="2323" w:type="dxa"/>
            <w:vMerge/>
            <w:vAlign w:val="center"/>
            <w:hideMark/>
          </w:tcPr>
          <w:p w14:paraId="52E71111"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0586938B"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16D6F139" w14:textId="77777777" w:rsidR="008E2284" w:rsidRPr="008E2284" w:rsidRDefault="008E2284" w:rsidP="008E2284">
            <w:pPr>
              <w:spacing w:line="276" w:lineRule="auto"/>
              <w:jc w:val="left"/>
              <w:rPr>
                <w:rFonts w:cs="Arial"/>
                <w:lang w:val="en-US" w:bidi="ar-SA"/>
              </w:rPr>
            </w:pPr>
            <w:r w:rsidRPr="008E2284">
              <w:rPr>
                <w:rFonts w:cs="Arial"/>
                <w:lang w:val="en-US" w:bidi="ar-SA"/>
              </w:rPr>
              <w:t>Avoiding paltering/misleading claims</w:t>
            </w:r>
          </w:p>
        </w:tc>
        <w:tc>
          <w:tcPr>
            <w:tcW w:w="3900" w:type="dxa"/>
            <w:vAlign w:val="center"/>
            <w:hideMark/>
          </w:tcPr>
          <w:p w14:paraId="4EF0D440" w14:textId="77777777" w:rsidR="008E2284" w:rsidRPr="008E2284" w:rsidRDefault="008E2284" w:rsidP="008E2284">
            <w:pPr>
              <w:spacing w:line="276" w:lineRule="auto"/>
              <w:jc w:val="left"/>
              <w:rPr>
                <w:rFonts w:cs="Arial"/>
                <w:lang w:val="en-US" w:bidi="ar-SA"/>
              </w:rPr>
            </w:pPr>
            <w:r w:rsidRPr="008E2284">
              <w:rPr>
                <w:rFonts w:cs="Arial"/>
                <w:lang w:val="en-US" w:bidi="ar-SA"/>
              </w:rPr>
              <w:t>Goswami &amp; Jaiswal (2023)</w:t>
            </w:r>
          </w:p>
        </w:tc>
      </w:tr>
      <w:tr w:rsidR="008E2284" w:rsidRPr="008E2284" w14:paraId="36A6E29A" w14:textId="77777777" w:rsidTr="00A9343B">
        <w:tc>
          <w:tcPr>
            <w:tcW w:w="2323" w:type="dxa"/>
            <w:vMerge/>
            <w:vAlign w:val="center"/>
            <w:hideMark/>
          </w:tcPr>
          <w:p w14:paraId="393ED48C" w14:textId="77777777" w:rsidR="008E2284" w:rsidRPr="008E2284" w:rsidRDefault="008E2284" w:rsidP="008E2284">
            <w:pPr>
              <w:spacing w:line="276" w:lineRule="auto"/>
              <w:jc w:val="left"/>
              <w:rPr>
                <w:rFonts w:cs="Arial"/>
                <w:lang w:val="en-US" w:bidi="ar-SA"/>
              </w:rPr>
            </w:pPr>
          </w:p>
        </w:tc>
        <w:tc>
          <w:tcPr>
            <w:tcW w:w="2802" w:type="dxa"/>
            <w:vMerge w:val="restart"/>
            <w:vAlign w:val="center"/>
            <w:hideMark/>
          </w:tcPr>
          <w:p w14:paraId="3A6CD40E" w14:textId="77777777" w:rsidR="008E2284" w:rsidRPr="008E2284" w:rsidRDefault="008E2284" w:rsidP="008E2284">
            <w:pPr>
              <w:spacing w:line="276" w:lineRule="auto"/>
              <w:jc w:val="left"/>
              <w:rPr>
                <w:rFonts w:cs="Arial"/>
                <w:lang w:val="en-US" w:bidi="ar-SA"/>
              </w:rPr>
            </w:pPr>
            <w:r w:rsidRPr="008E2284">
              <w:rPr>
                <w:rFonts w:cs="Arial"/>
                <w:lang w:val="en-US" w:bidi="ar-SA"/>
              </w:rPr>
              <w:t>Transparency &amp; Reporting</w:t>
            </w:r>
          </w:p>
        </w:tc>
        <w:tc>
          <w:tcPr>
            <w:tcW w:w="4923" w:type="dxa"/>
            <w:vAlign w:val="center"/>
            <w:hideMark/>
          </w:tcPr>
          <w:p w14:paraId="7C0FE4B7" w14:textId="77777777" w:rsidR="008E2284" w:rsidRPr="008E2284" w:rsidRDefault="008E2284" w:rsidP="008E2284">
            <w:pPr>
              <w:spacing w:line="276" w:lineRule="auto"/>
              <w:jc w:val="left"/>
              <w:rPr>
                <w:rFonts w:cs="Arial"/>
                <w:lang w:val="en-US" w:bidi="ar-SA"/>
              </w:rPr>
            </w:pPr>
            <w:r w:rsidRPr="008E2284">
              <w:rPr>
                <w:rFonts w:cs="Arial"/>
                <w:lang w:val="en-US" w:bidi="ar-SA"/>
              </w:rPr>
              <w:t>Selective sustainability disclosure &amp; greenhushing</w:t>
            </w:r>
          </w:p>
        </w:tc>
        <w:tc>
          <w:tcPr>
            <w:tcW w:w="3900" w:type="dxa"/>
            <w:vAlign w:val="center"/>
            <w:hideMark/>
          </w:tcPr>
          <w:p w14:paraId="08C63333" w14:textId="77777777" w:rsidR="008E2284" w:rsidRPr="008E2284" w:rsidRDefault="008E2284" w:rsidP="008E2284">
            <w:pPr>
              <w:spacing w:line="276" w:lineRule="auto"/>
              <w:jc w:val="left"/>
              <w:rPr>
                <w:rFonts w:cs="Arial"/>
                <w:lang w:val="en-US" w:bidi="ar-SA"/>
              </w:rPr>
            </w:pPr>
            <w:proofErr w:type="spellStart"/>
            <w:r w:rsidRPr="008E2284">
              <w:rPr>
                <w:rFonts w:cs="Arial"/>
                <w:lang w:val="en-US" w:bidi="ar-SA"/>
              </w:rPr>
              <w:t>Jestratijevic</w:t>
            </w:r>
            <w:proofErr w:type="spellEnd"/>
            <w:r w:rsidRPr="008E2284">
              <w:rPr>
                <w:rFonts w:cs="Arial"/>
                <w:lang w:val="en-US" w:bidi="ar-SA"/>
              </w:rPr>
              <w:t xml:space="preserve">, </w:t>
            </w:r>
            <w:proofErr w:type="spellStart"/>
            <w:r w:rsidRPr="008E2284">
              <w:rPr>
                <w:rFonts w:cs="Arial"/>
                <w:lang w:val="en-US" w:bidi="ar-SA"/>
              </w:rPr>
              <w:t>Uanhoro</w:t>
            </w:r>
            <w:proofErr w:type="spellEnd"/>
            <w:r w:rsidRPr="008E2284">
              <w:rPr>
                <w:rFonts w:cs="Arial"/>
                <w:lang w:val="en-US" w:bidi="ar-SA"/>
              </w:rPr>
              <w:t xml:space="preserve"> &amp; Rana (2024); </w:t>
            </w:r>
            <w:proofErr w:type="spellStart"/>
            <w:r w:rsidRPr="008E2284">
              <w:rPr>
                <w:rFonts w:cs="Arial"/>
                <w:lang w:val="en-US" w:bidi="ar-SA"/>
              </w:rPr>
              <w:t>Schwoy</w:t>
            </w:r>
            <w:proofErr w:type="spellEnd"/>
            <w:r w:rsidRPr="008E2284">
              <w:rPr>
                <w:rFonts w:cs="Arial"/>
                <w:lang w:val="en-US" w:bidi="ar-SA"/>
              </w:rPr>
              <w:t xml:space="preserve">, </w:t>
            </w:r>
            <w:proofErr w:type="spellStart"/>
            <w:r w:rsidRPr="008E2284">
              <w:rPr>
                <w:rFonts w:cs="Arial"/>
                <w:lang w:val="en-US" w:bidi="ar-SA"/>
              </w:rPr>
              <w:t>Dutzi</w:t>
            </w:r>
            <w:proofErr w:type="spellEnd"/>
            <w:r w:rsidRPr="008E2284">
              <w:rPr>
                <w:rFonts w:cs="Arial"/>
                <w:lang w:val="en-US" w:bidi="ar-SA"/>
              </w:rPr>
              <w:t xml:space="preserve"> &amp; Messing (2025)</w:t>
            </w:r>
          </w:p>
        </w:tc>
      </w:tr>
      <w:tr w:rsidR="008E2284" w:rsidRPr="008E2284" w14:paraId="6877B070" w14:textId="77777777" w:rsidTr="00A9343B">
        <w:tc>
          <w:tcPr>
            <w:tcW w:w="2323" w:type="dxa"/>
            <w:vMerge/>
            <w:vAlign w:val="center"/>
            <w:hideMark/>
          </w:tcPr>
          <w:p w14:paraId="3B4FF4D4"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05703C6A"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3DCA685A" w14:textId="77777777" w:rsidR="008E2284" w:rsidRPr="008E2284" w:rsidRDefault="008E2284" w:rsidP="008E2284">
            <w:pPr>
              <w:spacing w:line="276" w:lineRule="auto"/>
              <w:jc w:val="left"/>
              <w:rPr>
                <w:rFonts w:cs="Arial"/>
                <w:lang w:val="en-US" w:bidi="ar-SA"/>
              </w:rPr>
            </w:pPr>
            <w:r w:rsidRPr="008E2284">
              <w:rPr>
                <w:rFonts w:cs="Arial"/>
                <w:lang w:val="en-US" w:bidi="ar-SA"/>
              </w:rPr>
              <w:t>Regulatory gaps and oversight proposals</w:t>
            </w:r>
          </w:p>
        </w:tc>
        <w:tc>
          <w:tcPr>
            <w:tcW w:w="3900" w:type="dxa"/>
            <w:vAlign w:val="center"/>
            <w:hideMark/>
          </w:tcPr>
          <w:p w14:paraId="1912273B" w14:textId="77777777" w:rsidR="008E2284" w:rsidRPr="008E2284" w:rsidRDefault="008E2284" w:rsidP="008E2284">
            <w:pPr>
              <w:spacing w:line="276" w:lineRule="auto"/>
              <w:jc w:val="left"/>
              <w:rPr>
                <w:rFonts w:cs="Arial"/>
                <w:lang w:val="en-US" w:bidi="ar-SA"/>
              </w:rPr>
            </w:pPr>
            <w:r w:rsidRPr="008E2284">
              <w:rPr>
                <w:rFonts w:cs="Arial"/>
                <w:lang w:val="en-US" w:bidi="ar-SA"/>
              </w:rPr>
              <w:t>Dobos &amp; Éltető (2023)</w:t>
            </w:r>
          </w:p>
        </w:tc>
      </w:tr>
      <w:tr w:rsidR="008E2284" w:rsidRPr="00050EB0" w14:paraId="25FB658B" w14:textId="77777777" w:rsidTr="00A9343B">
        <w:tc>
          <w:tcPr>
            <w:tcW w:w="2323" w:type="dxa"/>
            <w:vMerge/>
            <w:vAlign w:val="center"/>
            <w:hideMark/>
          </w:tcPr>
          <w:p w14:paraId="52B8A6C2"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10E233CD"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50E9F259" w14:textId="77777777" w:rsidR="008E2284" w:rsidRPr="008E2284" w:rsidRDefault="008E2284" w:rsidP="008E2284">
            <w:pPr>
              <w:spacing w:line="276" w:lineRule="auto"/>
              <w:jc w:val="left"/>
              <w:rPr>
                <w:rFonts w:cs="Arial"/>
                <w:lang w:val="en-US" w:bidi="ar-SA"/>
              </w:rPr>
            </w:pPr>
            <w:r w:rsidRPr="008E2284">
              <w:rPr>
                <w:rFonts w:cs="Arial"/>
                <w:lang w:val="en-US" w:bidi="ar-SA"/>
              </w:rPr>
              <w:t>Certification, auditing, verified reporting</w:t>
            </w:r>
          </w:p>
        </w:tc>
        <w:tc>
          <w:tcPr>
            <w:tcW w:w="3900" w:type="dxa"/>
            <w:vAlign w:val="center"/>
            <w:hideMark/>
          </w:tcPr>
          <w:p w14:paraId="3A0326FC" w14:textId="1831F031" w:rsidR="008E2284" w:rsidRPr="008E2284" w:rsidRDefault="008E2284" w:rsidP="008E2284">
            <w:pPr>
              <w:spacing w:line="276" w:lineRule="auto"/>
              <w:jc w:val="left"/>
              <w:rPr>
                <w:rFonts w:cs="Arial"/>
                <w:lang w:val="nl-NL" w:bidi="ar-SA"/>
              </w:rPr>
            </w:pPr>
            <w:r w:rsidRPr="008E2284">
              <w:rPr>
                <w:rFonts w:cs="Arial"/>
                <w:lang w:val="nl-NL" w:bidi="ar-SA"/>
              </w:rPr>
              <w:t xml:space="preserve">Do </w:t>
            </w:r>
            <w:r w:rsidR="00A7080E" w:rsidRPr="00A7080E">
              <w:rPr>
                <w:rFonts w:cs="Arial"/>
                <w:i/>
                <w:iCs/>
                <w:lang w:val="nl-NL" w:bidi="ar-SA"/>
              </w:rPr>
              <w:t>et al</w:t>
            </w:r>
            <w:r w:rsidRPr="008E2284">
              <w:rPr>
                <w:rFonts w:cs="Arial"/>
                <w:lang w:val="nl-NL" w:bidi="ar-SA"/>
              </w:rPr>
              <w:t>. (2025); Li, Cavender &amp; Lee (2025)</w:t>
            </w:r>
          </w:p>
        </w:tc>
      </w:tr>
      <w:tr w:rsidR="008E2284" w:rsidRPr="00A7080E" w14:paraId="3B1CB0F5" w14:textId="77777777" w:rsidTr="00A9343B">
        <w:tc>
          <w:tcPr>
            <w:tcW w:w="2323" w:type="dxa"/>
            <w:vMerge/>
            <w:vAlign w:val="center"/>
            <w:hideMark/>
          </w:tcPr>
          <w:p w14:paraId="387350BA" w14:textId="77777777" w:rsidR="008E2284" w:rsidRPr="008E2284" w:rsidRDefault="008E2284" w:rsidP="008E2284">
            <w:pPr>
              <w:spacing w:line="276" w:lineRule="auto"/>
              <w:jc w:val="left"/>
              <w:rPr>
                <w:rFonts w:cs="Arial"/>
                <w:lang w:val="nl-NL" w:bidi="ar-SA"/>
              </w:rPr>
            </w:pPr>
          </w:p>
        </w:tc>
        <w:tc>
          <w:tcPr>
            <w:tcW w:w="2802" w:type="dxa"/>
            <w:vMerge w:val="restart"/>
            <w:vAlign w:val="center"/>
            <w:hideMark/>
          </w:tcPr>
          <w:p w14:paraId="3AECB122" w14:textId="77777777" w:rsidR="008E2284" w:rsidRPr="008E2284" w:rsidRDefault="008E2284" w:rsidP="008E2284">
            <w:pPr>
              <w:spacing w:line="276" w:lineRule="auto"/>
              <w:jc w:val="left"/>
              <w:rPr>
                <w:rFonts w:cs="Arial"/>
                <w:lang w:val="en-US" w:bidi="ar-SA"/>
              </w:rPr>
            </w:pPr>
            <w:r w:rsidRPr="008E2284">
              <w:rPr>
                <w:rFonts w:cs="Arial"/>
                <w:lang w:val="en-US" w:bidi="ar-SA"/>
              </w:rPr>
              <w:t>Consumer Perception &amp; Behaviour</w:t>
            </w:r>
          </w:p>
        </w:tc>
        <w:tc>
          <w:tcPr>
            <w:tcW w:w="4923" w:type="dxa"/>
            <w:vAlign w:val="center"/>
            <w:hideMark/>
          </w:tcPr>
          <w:p w14:paraId="25543CB8" w14:textId="77777777" w:rsidR="008E2284" w:rsidRPr="008E2284" w:rsidRDefault="008E2284" w:rsidP="008E2284">
            <w:pPr>
              <w:spacing w:line="276" w:lineRule="auto"/>
              <w:jc w:val="left"/>
              <w:rPr>
                <w:rFonts w:cs="Arial"/>
                <w:lang w:val="en-US" w:bidi="ar-SA"/>
              </w:rPr>
            </w:pPr>
            <w:proofErr w:type="spellStart"/>
            <w:r w:rsidRPr="008E2284">
              <w:rPr>
                <w:rFonts w:cs="Arial"/>
                <w:lang w:val="en-US" w:bidi="ar-SA"/>
              </w:rPr>
              <w:t>Scepticism</w:t>
            </w:r>
            <w:proofErr w:type="spellEnd"/>
            <w:r w:rsidRPr="008E2284">
              <w:rPr>
                <w:rFonts w:cs="Arial"/>
                <w:lang w:val="en-US" w:bidi="ar-SA"/>
              </w:rPr>
              <w:t>, perceived hypocrisy</w:t>
            </w:r>
          </w:p>
        </w:tc>
        <w:tc>
          <w:tcPr>
            <w:tcW w:w="3900" w:type="dxa"/>
            <w:vAlign w:val="center"/>
            <w:hideMark/>
          </w:tcPr>
          <w:p w14:paraId="2BAA30BE" w14:textId="528F58C7" w:rsidR="008E2284" w:rsidRPr="008E2284" w:rsidRDefault="008E2284" w:rsidP="008E2284">
            <w:pPr>
              <w:spacing w:line="276" w:lineRule="auto"/>
              <w:jc w:val="left"/>
              <w:rPr>
                <w:rFonts w:cs="Arial"/>
                <w:lang w:val="nl-NL" w:bidi="ar-SA"/>
              </w:rPr>
            </w:pPr>
            <w:r w:rsidRPr="008E2284">
              <w:rPr>
                <w:rFonts w:cs="Arial"/>
                <w:lang w:val="nl-NL" w:bidi="ar-SA"/>
              </w:rPr>
              <w:t xml:space="preserve">Díaz-Bustamante-Ventisca </w:t>
            </w:r>
            <w:r w:rsidR="00A7080E" w:rsidRPr="00A7080E">
              <w:rPr>
                <w:rFonts w:cs="Arial"/>
                <w:i/>
                <w:iCs/>
                <w:lang w:val="nl-NL" w:bidi="ar-SA"/>
              </w:rPr>
              <w:t>et al</w:t>
            </w:r>
            <w:r w:rsidRPr="008E2284">
              <w:rPr>
                <w:rFonts w:cs="Arial"/>
                <w:lang w:val="nl-NL" w:bidi="ar-SA"/>
              </w:rPr>
              <w:t xml:space="preserve">. (2025); Lu </w:t>
            </w:r>
            <w:r w:rsidR="00A7080E" w:rsidRPr="00A7080E">
              <w:rPr>
                <w:rFonts w:cs="Arial"/>
                <w:i/>
                <w:iCs/>
                <w:lang w:val="nl-NL" w:bidi="ar-SA"/>
              </w:rPr>
              <w:t>et al</w:t>
            </w:r>
            <w:r w:rsidRPr="008E2284">
              <w:rPr>
                <w:rFonts w:cs="Arial"/>
                <w:lang w:val="nl-NL" w:bidi="ar-SA"/>
              </w:rPr>
              <w:t>. (2022)</w:t>
            </w:r>
          </w:p>
        </w:tc>
      </w:tr>
      <w:tr w:rsidR="008E2284" w:rsidRPr="00050EB0" w14:paraId="2DD430F7" w14:textId="77777777" w:rsidTr="00A9343B">
        <w:tc>
          <w:tcPr>
            <w:tcW w:w="2323" w:type="dxa"/>
            <w:vMerge/>
            <w:vAlign w:val="center"/>
            <w:hideMark/>
          </w:tcPr>
          <w:p w14:paraId="56BD68DD" w14:textId="77777777" w:rsidR="008E2284" w:rsidRPr="008E2284" w:rsidRDefault="008E2284" w:rsidP="008E2284">
            <w:pPr>
              <w:spacing w:line="276" w:lineRule="auto"/>
              <w:jc w:val="left"/>
              <w:rPr>
                <w:rFonts w:cs="Arial"/>
                <w:lang w:val="nl-NL" w:bidi="ar-SA"/>
              </w:rPr>
            </w:pPr>
          </w:p>
        </w:tc>
        <w:tc>
          <w:tcPr>
            <w:tcW w:w="2802" w:type="dxa"/>
            <w:vMerge/>
            <w:vAlign w:val="center"/>
            <w:hideMark/>
          </w:tcPr>
          <w:p w14:paraId="3B6CD987" w14:textId="77777777" w:rsidR="008E2284" w:rsidRPr="008E2284" w:rsidRDefault="008E2284" w:rsidP="008E2284">
            <w:pPr>
              <w:spacing w:line="276" w:lineRule="auto"/>
              <w:jc w:val="left"/>
              <w:rPr>
                <w:rFonts w:cs="Arial"/>
                <w:lang w:val="nl-NL" w:bidi="ar-SA"/>
              </w:rPr>
            </w:pPr>
          </w:p>
        </w:tc>
        <w:tc>
          <w:tcPr>
            <w:tcW w:w="4923" w:type="dxa"/>
            <w:vAlign w:val="center"/>
            <w:hideMark/>
          </w:tcPr>
          <w:p w14:paraId="59E1D174" w14:textId="77777777" w:rsidR="008E2284" w:rsidRPr="008E2284" w:rsidRDefault="008E2284" w:rsidP="008E2284">
            <w:pPr>
              <w:spacing w:line="276" w:lineRule="auto"/>
              <w:jc w:val="left"/>
              <w:rPr>
                <w:rFonts w:cs="Arial"/>
                <w:lang w:val="en-US" w:bidi="ar-SA"/>
              </w:rPr>
            </w:pPr>
            <w:r w:rsidRPr="008E2284">
              <w:rPr>
                <w:rFonts w:cs="Arial"/>
                <w:lang w:val="en-US" w:bidi="ar-SA"/>
              </w:rPr>
              <w:t>Reduced purchase intention due to greenwashing</w:t>
            </w:r>
          </w:p>
        </w:tc>
        <w:tc>
          <w:tcPr>
            <w:tcW w:w="3900" w:type="dxa"/>
            <w:vAlign w:val="center"/>
            <w:hideMark/>
          </w:tcPr>
          <w:p w14:paraId="472D3EEF" w14:textId="77777777" w:rsidR="008E2284" w:rsidRPr="008E2284" w:rsidRDefault="008E2284" w:rsidP="008E2284">
            <w:pPr>
              <w:spacing w:line="276" w:lineRule="auto"/>
              <w:jc w:val="left"/>
              <w:rPr>
                <w:rFonts w:cs="Arial"/>
                <w:lang w:val="nl-NL" w:bidi="ar-SA"/>
              </w:rPr>
            </w:pPr>
            <w:r w:rsidRPr="008E2284">
              <w:rPr>
                <w:rFonts w:cs="Arial"/>
                <w:lang w:val="nl-NL" w:bidi="ar-SA"/>
              </w:rPr>
              <w:t>Brugman, van Huijstee &amp; Droog (2024); Roozen, Raedts &amp; Henderix (2025)</w:t>
            </w:r>
          </w:p>
        </w:tc>
      </w:tr>
      <w:tr w:rsidR="008E2284" w:rsidRPr="008E2284" w14:paraId="7DAEE603" w14:textId="77777777" w:rsidTr="00A9343B">
        <w:tc>
          <w:tcPr>
            <w:tcW w:w="2323" w:type="dxa"/>
            <w:vMerge/>
            <w:vAlign w:val="center"/>
            <w:hideMark/>
          </w:tcPr>
          <w:p w14:paraId="40673AEA" w14:textId="77777777" w:rsidR="008E2284" w:rsidRPr="008E2284" w:rsidRDefault="008E2284" w:rsidP="008E2284">
            <w:pPr>
              <w:spacing w:line="276" w:lineRule="auto"/>
              <w:jc w:val="left"/>
              <w:rPr>
                <w:rFonts w:cs="Arial"/>
                <w:lang w:val="nl-NL" w:bidi="ar-SA"/>
              </w:rPr>
            </w:pPr>
          </w:p>
        </w:tc>
        <w:tc>
          <w:tcPr>
            <w:tcW w:w="2802" w:type="dxa"/>
            <w:vMerge/>
            <w:vAlign w:val="center"/>
            <w:hideMark/>
          </w:tcPr>
          <w:p w14:paraId="534BEBEA" w14:textId="77777777" w:rsidR="008E2284" w:rsidRPr="008E2284" w:rsidRDefault="008E2284" w:rsidP="008E2284">
            <w:pPr>
              <w:spacing w:line="276" w:lineRule="auto"/>
              <w:jc w:val="left"/>
              <w:rPr>
                <w:rFonts w:cs="Arial"/>
                <w:lang w:val="nl-NL" w:bidi="ar-SA"/>
              </w:rPr>
            </w:pPr>
          </w:p>
        </w:tc>
        <w:tc>
          <w:tcPr>
            <w:tcW w:w="4923" w:type="dxa"/>
            <w:vAlign w:val="center"/>
            <w:hideMark/>
          </w:tcPr>
          <w:p w14:paraId="22A63FBC" w14:textId="77777777" w:rsidR="008E2284" w:rsidRPr="008E2284" w:rsidRDefault="008E2284" w:rsidP="008E2284">
            <w:pPr>
              <w:spacing w:line="276" w:lineRule="auto"/>
              <w:jc w:val="left"/>
              <w:rPr>
                <w:rFonts w:cs="Arial"/>
                <w:lang w:val="en-US" w:bidi="ar-SA"/>
              </w:rPr>
            </w:pPr>
            <w:r w:rsidRPr="008E2284">
              <w:rPr>
                <w:rFonts w:cs="Arial"/>
                <w:lang w:val="en-US" w:bidi="ar-SA"/>
              </w:rPr>
              <w:t>Influence of social media, influencers, advertising</w:t>
            </w:r>
          </w:p>
        </w:tc>
        <w:tc>
          <w:tcPr>
            <w:tcW w:w="3900" w:type="dxa"/>
            <w:vAlign w:val="center"/>
            <w:hideMark/>
          </w:tcPr>
          <w:p w14:paraId="5EE7CCF6" w14:textId="77777777" w:rsidR="008E2284" w:rsidRPr="008E2284" w:rsidRDefault="008E2284" w:rsidP="008E2284">
            <w:pPr>
              <w:spacing w:line="276" w:lineRule="auto"/>
              <w:jc w:val="left"/>
              <w:rPr>
                <w:rFonts w:cs="Arial"/>
                <w:lang w:val="en-US" w:bidi="ar-SA"/>
              </w:rPr>
            </w:pPr>
            <w:r w:rsidRPr="008E2284">
              <w:rPr>
                <w:rFonts w:cs="Arial"/>
                <w:lang w:val="en-US" w:bidi="ar-SA"/>
              </w:rPr>
              <w:t>Fang (2024); Sailer, Wilfing &amp; Straus (2022)</w:t>
            </w:r>
          </w:p>
        </w:tc>
      </w:tr>
      <w:tr w:rsidR="008E2284" w:rsidRPr="008E2284" w14:paraId="1DE652CB" w14:textId="77777777" w:rsidTr="00A9343B">
        <w:tc>
          <w:tcPr>
            <w:tcW w:w="2323" w:type="dxa"/>
            <w:vMerge/>
            <w:vAlign w:val="center"/>
            <w:hideMark/>
          </w:tcPr>
          <w:p w14:paraId="39BAE977" w14:textId="77777777" w:rsidR="008E2284" w:rsidRPr="008E2284" w:rsidRDefault="008E2284" w:rsidP="008E2284">
            <w:pPr>
              <w:spacing w:line="276" w:lineRule="auto"/>
              <w:jc w:val="left"/>
              <w:rPr>
                <w:rFonts w:cs="Arial"/>
                <w:lang w:val="en-US" w:bidi="ar-SA"/>
              </w:rPr>
            </w:pPr>
          </w:p>
        </w:tc>
        <w:tc>
          <w:tcPr>
            <w:tcW w:w="2802" w:type="dxa"/>
            <w:vMerge w:val="restart"/>
            <w:vAlign w:val="center"/>
            <w:hideMark/>
          </w:tcPr>
          <w:p w14:paraId="529B551E" w14:textId="77777777" w:rsidR="008E2284" w:rsidRPr="008E2284" w:rsidRDefault="008E2284" w:rsidP="008E2284">
            <w:pPr>
              <w:spacing w:line="276" w:lineRule="auto"/>
              <w:jc w:val="left"/>
              <w:rPr>
                <w:rFonts w:cs="Arial"/>
                <w:lang w:val="en-US" w:bidi="ar-SA"/>
              </w:rPr>
            </w:pPr>
            <w:r w:rsidRPr="008E2284">
              <w:rPr>
                <w:rFonts w:cs="Arial"/>
                <w:lang w:val="en-US" w:bidi="ar-SA"/>
              </w:rPr>
              <w:t>Policy &amp; Governance</w:t>
            </w:r>
          </w:p>
        </w:tc>
        <w:tc>
          <w:tcPr>
            <w:tcW w:w="4923" w:type="dxa"/>
            <w:vAlign w:val="center"/>
            <w:hideMark/>
          </w:tcPr>
          <w:p w14:paraId="2C1D4667" w14:textId="77777777" w:rsidR="008E2284" w:rsidRPr="008E2284" w:rsidRDefault="008E2284" w:rsidP="008E2284">
            <w:pPr>
              <w:spacing w:line="276" w:lineRule="auto"/>
              <w:jc w:val="left"/>
              <w:rPr>
                <w:rFonts w:cs="Arial"/>
                <w:lang w:val="en-US" w:bidi="ar-SA"/>
              </w:rPr>
            </w:pPr>
            <w:r w:rsidRPr="008E2284">
              <w:rPr>
                <w:rFonts w:cs="Arial"/>
                <w:lang w:val="en-US" w:bidi="ar-SA"/>
              </w:rPr>
              <w:t>Policy enforcement to curb greenwashing</w:t>
            </w:r>
          </w:p>
        </w:tc>
        <w:tc>
          <w:tcPr>
            <w:tcW w:w="3900" w:type="dxa"/>
            <w:vAlign w:val="center"/>
            <w:hideMark/>
          </w:tcPr>
          <w:p w14:paraId="7A22A379" w14:textId="77777777" w:rsidR="008E2284" w:rsidRPr="008E2284" w:rsidRDefault="008E2284" w:rsidP="008E2284">
            <w:pPr>
              <w:spacing w:line="276" w:lineRule="auto"/>
              <w:jc w:val="left"/>
              <w:rPr>
                <w:rFonts w:cs="Arial"/>
                <w:lang w:val="en-US" w:bidi="ar-SA"/>
              </w:rPr>
            </w:pPr>
            <w:proofErr w:type="spellStart"/>
            <w:r w:rsidRPr="008E2284">
              <w:rPr>
                <w:rFonts w:cs="Arial"/>
                <w:lang w:val="en-US" w:bidi="ar-SA"/>
              </w:rPr>
              <w:t>Jestratijevic</w:t>
            </w:r>
            <w:proofErr w:type="spellEnd"/>
            <w:r w:rsidRPr="008E2284">
              <w:rPr>
                <w:rFonts w:cs="Arial"/>
                <w:lang w:val="en-US" w:bidi="ar-SA"/>
              </w:rPr>
              <w:t xml:space="preserve">, </w:t>
            </w:r>
            <w:proofErr w:type="spellStart"/>
            <w:r w:rsidRPr="008E2284">
              <w:rPr>
                <w:rFonts w:cs="Arial"/>
                <w:lang w:val="en-US" w:bidi="ar-SA"/>
              </w:rPr>
              <w:t>Uanhoro</w:t>
            </w:r>
            <w:proofErr w:type="spellEnd"/>
            <w:r w:rsidRPr="008E2284">
              <w:rPr>
                <w:rFonts w:cs="Arial"/>
                <w:lang w:val="en-US" w:bidi="ar-SA"/>
              </w:rPr>
              <w:t xml:space="preserve"> &amp; Rana (2024); Burnstine &amp; Ghattas (2025)</w:t>
            </w:r>
          </w:p>
        </w:tc>
      </w:tr>
      <w:tr w:rsidR="008E2284" w:rsidRPr="008E2284" w14:paraId="3B4213A7" w14:textId="77777777" w:rsidTr="00A9343B">
        <w:tc>
          <w:tcPr>
            <w:tcW w:w="2323" w:type="dxa"/>
            <w:vMerge/>
            <w:vAlign w:val="center"/>
            <w:hideMark/>
          </w:tcPr>
          <w:p w14:paraId="2802F6B6"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14BF6A1A"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0E5633F3" w14:textId="77777777" w:rsidR="008E2284" w:rsidRPr="008E2284" w:rsidRDefault="008E2284" w:rsidP="008E2284">
            <w:pPr>
              <w:spacing w:line="276" w:lineRule="auto"/>
              <w:jc w:val="left"/>
              <w:rPr>
                <w:rFonts w:cs="Arial"/>
                <w:lang w:val="en-US" w:bidi="ar-SA"/>
              </w:rPr>
            </w:pPr>
            <w:r w:rsidRPr="008E2284">
              <w:rPr>
                <w:rFonts w:cs="Arial"/>
                <w:lang w:val="en-US" w:bidi="ar-SA"/>
              </w:rPr>
              <w:t>Governance &amp; labelling mechanisms</w:t>
            </w:r>
          </w:p>
        </w:tc>
        <w:tc>
          <w:tcPr>
            <w:tcW w:w="3900" w:type="dxa"/>
            <w:vAlign w:val="center"/>
            <w:hideMark/>
          </w:tcPr>
          <w:p w14:paraId="1C13B637" w14:textId="77777777" w:rsidR="008E2284" w:rsidRPr="008E2284" w:rsidRDefault="008E2284" w:rsidP="008E2284">
            <w:pPr>
              <w:spacing w:line="276" w:lineRule="auto"/>
              <w:jc w:val="left"/>
              <w:rPr>
                <w:rFonts w:cs="Arial"/>
                <w:lang w:val="en-US" w:bidi="ar-SA"/>
              </w:rPr>
            </w:pPr>
            <w:r w:rsidRPr="008E2284">
              <w:rPr>
                <w:rFonts w:cs="Arial"/>
                <w:lang w:val="en-US" w:bidi="ar-SA"/>
              </w:rPr>
              <w:t>Pozzo (2023)</w:t>
            </w:r>
          </w:p>
        </w:tc>
      </w:tr>
      <w:tr w:rsidR="008E2284" w:rsidRPr="00A7080E" w14:paraId="38093CF9" w14:textId="77777777" w:rsidTr="00A9343B">
        <w:tc>
          <w:tcPr>
            <w:tcW w:w="2323" w:type="dxa"/>
            <w:vMerge w:val="restart"/>
            <w:vAlign w:val="center"/>
            <w:hideMark/>
          </w:tcPr>
          <w:p w14:paraId="70F8C5EE" w14:textId="77777777" w:rsidR="008E2284" w:rsidRPr="008E2284" w:rsidRDefault="008E2284" w:rsidP="008E2284">
            <w:pPr>
              <w:spacing w:line="276" w:lineRule="auto"/>
              <w:jc w:val="left"/>
              <w:rPr>
                <w:rFonts w:cs="Arial"/>
                <w:lang w:val="en-US" w:bidi="ar-SA"/>
              </w:rPr>
            </w:pPr>
            <w:r w:rsidRPr="008E2284">
              <w:rPr>
                <w:rFonts w:cs="Arial"/>
                <w:b/>
                <w:bCs/>
                <w:lang w:val="en-US" w:bidi="ar-SA"/>
              </w:rPr>
              <w:t>Consumer-Facing Impacts</w:t>
            </w:r>
          </w:p>
        </w:tc>
        <w:tc>
          <w:tcPr>
            <w:tcW w:w="2802" w:type="dxa"/>
            <w:vMerge w:val="restart"/>
            <w:vAlign w:val="center"/>
            <w:hideMark/>
          </w:tcPr>
          <w:p w14:paraId="12CE3A9E" w14:textId="77777777" w:rsidR="008E2284" w:rsidRPr="008E2284" w:rsidRDefault="008E2284" w:rsidP="008E2284">
            <w:pPr>
              <w:spacing w:line="276" w:lineRule="auto"/>
              <w:jc w:val="left"/>
              <w:rPr>
                <w:rFonts w:cs="Arial"/>
                <w:lang w:val="en-US" w:bidi="ar-SA"/>
              </w:rPr>
            </w:pPr>
            <w:r w:rsidRPr="008E2284">
              <w:rPr>
                <w:rFonts w:cs="Arial"/>
                <w:lang w:val="en-US" w:bidi="ar-SA"/>
              </w:rPr>
              <w:t>Trust &amp; Brand Perception</w:t>
            </w:r>
          </w:p>
        </w:tc>
        <w:tc>
          <w:tcPr>
            <w:tcW w:w="4923" w:type="dxa"/>
            <w:vAlign w:val="center"/>
            <w:hideMark/>
          </w:tcPr>
          <w:p w14:paraId="0CAB7C52" w14:textId="77777777" w:rsidR="008E2284" w:rsidRPr="008E2284" w:rsidRDefault="008E2284" w:rsidP="008E2284">
            <w:pPr>
              <w:spacing w:line="276" w:lineRule="auto"/>
              <w:jc w:val="left"/>
              <w:rPr>
                <w:rFonts w:cs="Arial"/>
                <w:lang w:val="en-US" w:bidi="ar-SA"/>
              </w:rPr>
            </w:pPr>
            <w:r w:rsidRPr="008E2284">
              <w:rPr>
                <w:rFonts w:cs="Arial"/>
                <w:lang w:val="en-US" w:bidi="ar-SA"/>
              </w:rPr>
              <w:t>Consumer trust affected by greenwashing</w:t>
            </w:r>
          </w:p>
        </w:tc>
        <w:tc>
          <w:tcPr>
            <w:tcW w:w="3900" w:type="dxa"/>
            <w:vAlign w:val="center"/>
            <w:hideMark/>
          </w:tcPr>
          <w:p w14:paraId="29CCFCC1" w14:textId="210E1674" w:rsidR="008E2284" w:rsidRPr="008E2284" w:rsidRDefault="008E2284" w:rsidP="008E2284">
            <w:pPr>
              <w:spacing w:line="276" w:lineRule="auto"/>
              <w:jc w:val="left"/>
              <w:rPr>
                <w:rFonts w:cs="Arial"/>
                <w:lang w:val="de-DE" w:bidi="ar-SA"/>
              </w:rPr>
            </w:pPr>
            <w:r w:rsidRPr="008E2284">
              <w:rPr>
                <w:rFonts w:cs="Arial"/>
                <w:lang w:val="de-DE" w:bidi="ar-SA"/>
              </w:rPr>
              <w:t xml:space="preserve">Marko &amp; Kusá (2023); Policarpo </w:t>
            </w:r>
            <w:r w:rsidR="00A7080E" w:rsidRPr="00A7080E">
              <w:rPr>
                <w:rFonts w:cs="Arial"/>
                <w:i/>
                <w:iCs/>
                <w:lang w:val="de-DE" w:bidi="ar-SA"/>
              </w:rPr>
              <w:t>et al</w:t>
            </w:r>
            <w:r w:rsidRPr="008E2284">
              <w:rPr>
                <w:rFonts w:cs="Arial"/>
                <w:lang w:val="de-DE" w:bidi="ar-SA"/>
              </w:rPr>
              <w:t>. (2023)</w:t>
            </w:r>
          </w:p>
        </w:tc>
      </w:tr>
      <w:tr w:rsidR="008E2284" w:rsidRPr="008E2284" w14:paraId="0E2AED19" w14:textId="77777777" w:rsidTr="00A9343B">
        <w:tc>
          <w:tcPr>
            <w:tcW w:w="2323" w:type="dxa"/>
            <w:vMerge/>
            <w:vAlign w:val="center"/>
            <w:hideMark/>
          </w:tcPr>
          <w:p w14:paraId="5574F386" w14:textId="77777777" w:rsidR="008E2284" w:rsidRPr="008E2284" w:rsidRDefault="008E2284" w:rsidP="008E2284">
            <w:pPr>
              <w:spacing w:line="276" w:lineRule="auto"/>
              <w:jc w:val="left"/>
              <w:rPr>
                <w:rFonts w:cs="Arial"/>
                <w:lang w:val="de-DE" w:bidi="ar-SA"/>
              </w:rPr>
            </w:pPr>
          </w:p>
        </w:tc>
        <w:tc>
          <w:tcPr>
            <w:tcW w:w="2802" w:type="dxa"/>
            <w:vMerge/>
            <w:vAlign w:val="center"/>
            <w:hideMark/>
          </w:tcPr>
          <w:p w14:paraId="02AF3812" w14:textId="77777777" w:rsidR="008E2284" w:rsidRPr="008E2284" w:rsidRDefault="008E2284" w:rsidP="008E2284">
            <w:pPr>
              <w:spacing w:line="276" w:lineRule="auto"/>
              <w:jc w:val="left"/>
              <w:rPr>
                <w:rFonts w:cs="Arial"/>
                <w:lang w:val="de-DE" w:bidi="ar-SA"/>
              </w:rPr>
            </w:pPr>
          </w:p>
        </w:tc>
        <w:tc>
          <w:tcPr>
            <w:tcW w:w="4923" w:type="dxa"/>
            <w:vAlign w:val="center"/>
            <w:hideMark/>
          </w:tcPr>
          <w:p w14:paraId="1706BC98" w14:textId="77777777" w:rsidR="008E2284" w:rsidRPr="008E2284" w:rsidRDefault="008E2284" w:rsidP="008E2284">
            <w:pPr>
              <w:spacing w:line="276" w:lineRule="auto"/>
              <w:jc w:val="left"/>
              <w:rPr>
                <w:rFonts w:cs="Arial"/>
                <w:lang w:val="en-US" w:bidi="ar-SA"/>
              </w:rPr>
            </w:pPr>
            <w:r w:rsidRPr="008E2284">
              <w:rPr>
                <w:rFonts w:cs="Arial"/>
                <w:lang w:val="en-US" w:bidi="ar-SA"/>
              </w:rPr>
              <w:t>Brand trust vs. ignorance of greenwashing</w:t>
            </w:r>
          </w:p>
        </w:tc>
        <w:tc>
          <w:tcPr>
            <w:tcW w:w="3900" w:type="dxa"/>
            <w:vAlign w:val="center"/>
            <w:hideMark/>
          </w:tcPr>
          <w:p w14:paraId="787DD395" w14:textId="77777777" w:rsidR="008E2284" w:rsidRPr="008E2284" w:rsidRDefault="008E2284" w:rsidP="008E2284">
            <w:pPr>
              <w:spacing w:line="276" w:lineRule="auto"/>
              <w:jc w:val="left"/>
              <w:rPr>
                <w:rFonts w:cs="Arial"/>
                <w:lang w:val="en-US" w:bidi="ar-SA"/>
              </w:rPr>
            </w:pPr>
            <w:r w:rsidRPr="008E2284">
              <w:rPr>
                <w:rFonts w:cs="Arial"/>
                <w:lang w:val="en-US" w:bidi="ar-SA"/>
              </w:rPr>
              <w:t>Lovrić &amp; Čagalj (2025)</w:t>
            </w:r>
          </w:p>
        </w:tc>
      </w:tr>
      <w:tr w:rsidR="008E2284" w:rsidRPr="008E2284" w14:paraId="3F3A3DD7" w14:textId="77777777" w:rsidTr="00A9343B">
        <w:tc>
          <w:tcPr>
            <w:tcW w:w="2323" w:type="dxa"/>
            <w:vMerge/>
            <w:vAlign w:val="center"/>
            <w:hideMark/>
          </w:tcPr>
          <w:p w14:paraId="1FD69633" w14:textId="77777777" w:rsidR="008E2284" w:rsidRPr="008E2284" w:rsidRDefault="008E2284" w:rsidP="008E2284">
            <w:pPr>
              <w:spacing w:line="276" w:lineRule="auto"/>
              <w:jc w:val="left"/>
              <w:rPr>
                <w:rFonts w:cs="Arial"/>
                <w:lang w:val="en-US" w:bidi="ar-SA"/>
              </w:rPr>
            </w:pPr>
          </w:p>
        </w:tc>
        <w:tc>
          <w:tcPr>
            <w:tcW w:w="2802" w:type="dxa"/>
            <w:vMerge w:val="restart"/>
            <w:vAlign w:val="center"/>
            <w:hideMark/>
          </w:tcPr>
          <w:p w14:paraId="064CEC43" w14:textId="77777777" w:rsidR="008E2284" w:rsidRPr="008E2284" w:rsidRDefault="008E2284" w:rsidP="008E2284">
            <w:pPr>
              <w:spacing w:line="276" w:lineRule="auto"/>
              <w:jc w:val="left"/>
              <w:rPr>
                <w:rFonts w:cs="Arial"/>
                <w:lang w:val="en-US" w:bidi="ar-SA"/>
              </w:rPr>
            </w:pPr>
            <w:r w:rsidRPr="008E2284">
              <w:rPr>
                <w:rFonts w:cs="Arial"/>
                <w:lang w:val="en-US" w:bidi="ar-SA"/>
              </w:rPr>
              <w:t>Purchase Intentions &amp; Behaviour</w:t>
            </w:r>
          </w:p>
        </w:tc>
        <w:tc>
          <w:tcPr>
            <w:tcW w:w="4923" w:type="dxa"/>
            <w:vAlign w:val="center"/>
            <w:hideMark/>
          </w:tcPr>
          <w:p w14:paraId="50106FA0" w14:textId="77777777" w:rsidR="008E2284" w:rsidRPr="008E2284" w:rsidRDefault="008E2284" w:rsidP="008E2284">
            <w:pPr>
              <w:spacing w:line="276" w:lineRule="auto"/>
              <w:jc w:val="left"/>
              <w:rPr>
                <w:rFonts w:cs="Arial"/>
                <w:lang w:val="en-US" w:bidi="ar-SA"/>
              </w:rPr>
            </w:pPr>
            <w:proofErr w:type="spellStart"/>
            <w:r w:rsidRPr="008E2284">
              <w:rPr>
                <w:rFonts w:cs="Arial"/>
                <w:lang w:val="en-US" w:bidi="ar-SA"/>
              </w:rPr>
              <w:t>Scepticism</w:t>
            </w:r>
            <w:proofErr w:type="spellEnd"/>
            <w:r w:rsidRPr="008E2284">
              <w:rPr>
                <w:rFonts w:cs="Arial"/>
                <w:lang w:val="en-US" w:bidi="ar-SA"/>
              </w:rPr>
              <w:t xml:space="preserve"> vs. purchase intention paradox</w:t>
            </w:r>
          </w:p>
        </w:tc>
        <w:tc>
          <w:tcPr>
            <w:tcW w:w="3900" w:type="dxa"/>
            <w:vAlign w:val="center"/>
            <w:hideMark/>
          </w:tcPr>
          <w:p w14:paraId="21972A30" w14:textId="77777777" w:rsidR="008E2284" w:rsidRPr="008E2284" w:rsidRDefault="008E2284" w:rsidP="008E2284">
            <w:pPr>
              <w:spacing w:line="276" w:lineRule="auto"/>
              <w:jc w:val="left"/>
              <w:rPr>
                <w:rFonts w:cs="Arial"/>
                <w:lang w:val="en-US" w:bidi="ar-SA"/>
              </w:rPr>
            </w:pPr>
            <w:r w:rsidRPr="008E2284">
              <w:rPr>
                <w:rFonts w:cs="Arial"/>
                <w:lang w:val="en-US" w:bidi="ar-SA"/>
              </w:rPr>
              <w:t>Haque &amp; Lang (2025)</w:t>
            </w:r>
          </w:p>
        </w:tc>
      </w:tr>
      <w:tr w:rsidR="008E2284" w:rsidRPr="008E2284" w14:paraId="020DCD16" w14:textId="77777777" w:rsidTr="00A9343B">
        <w:tc>
          <w:tcPr>
            <w:tcW w:w="2323" w:type="dxa"/>
            <w:vMerge/>
            <w:vAlign w:val="center"/>
            <w:hideMark/>
          </w:tcPr>
          <w:p w14:paraId="3863491B"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53F86F24"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7CCCAC37" w14:textId="77777777" w:rsidR="008E2284" w:rsidRPr="008E2284" w:rsidRDefault="008E2284" w:rsidP="008E2284">
            <w:pPr>
              <w:spacing w:line="276" w:lineRule="auto"/>
              <w:jc w:val="left"/>
              <w:rPr>
                <w:rFonts w:cs="Arial"/>
                <w:lang w:val="en-US" w:bidi="ar-SA"/>
              </w:rPr>
            </w:pPr>
            <w:r w:rsidRPr="008E2284">
              <w:rPr>
                <w:rFonts w:cs="Arial"/>
                <w:lang w:val="en-US" w:bidi="ar-SA"/>
              </w:rPr>
              <w:t>Intention–behaviour gap</w:t>
            </w:r>
          </w:p>
        </w:tc>
        <w:tc>
          <w:tcPr>
            <w:tcW w:w="3900" w:type="dxa"/>
            <w:vAlign w:val="center"/>
            <w:hideMark/>
          </w:tcPr>
          <w:p w14:paraId="52F7A8A6" w14:textId="77777777" w:rsidR="008E2284" w:rsidRPr="008E2284" w:rsidRDefault="008E2284" w:rsidP="008E2284">
            <w:pPr>
              <w:spacing w:line="276" w:lineRule="auto"/>
              <w:jc w:val="left"/>
              <w:rPr>
                <w:rFonts w:cs="Arial"/>
                <w:lang w:val="en-US" w:bidi="ar-SA"/>
              </w:rPr>
            </w:pPr>
            <w:r w:rsidRPr="008E2284">
              <w:rPr>
                <w:rFonts w:cs="Arial"/>
                <w:lang w:val="en-US" w:bidi="ar-SA"/>
              </w:rPr>
              <w:t>Rausch &amp; Kopplin (2021)</w:t>
            </w:r>
          </w:p>
        </w:tc>
      </w:tr>
      <w:tr w:rsidR="008E2284" w:rsidRPr="008E2284" w14:paraId="41950208" w14:textId="77777777" w:rsidTr="00A9343B">
        <w:tc>
          <w:tcPr>
            <w:tcW w:w="2323" w:type="dxa"/>
            <w:vMerge/>
            <w:vAlign w:val="center"/>
            <w:hideMark/>
          </w:tcPr>
          <w:p w14:paraId="6681843B" w14:textId="77777777" w:rsidR="008E2284" w:rsidRPr="008E2284" w:rsidRDefault="008E2284" w:rsidP="008E2284">
            <w:pPr>
              <w:spacing w:line="276" w:lineRule="auto"/>
              <w:jc w:val="left"/>
              <w:rPr>
                <w:rFonts w:cs="Arial"/>
                <w:lang w:val="en-US" w:bidi="ar-SA"/>
              </w:rPr>
            </w:pPr>
          </w:p>
        </w:tc>
        <w:tc>
          <w:tcPr>
            <w:tcW w:w="2802" w:type="dxa"/>
            <w:vMerge w:val="restart"/>
            <w:vAlign w:val="center"/>
            <w:hideMark/>
          </w:tcPr>
          <w:p w14:paraId="11BAB0F8" w14:textId="77777777" w:rsidR="008E2284" w:rsidRPr="008E2284" w:rsidRDefault="008E2284" w:rsidP="008E2284">
            <w:pPr>
              <w:spacing w:line="276" w:lineRule="auto"/>
              <w:jc w:val="left"/>
              <w:rPr>
                <w:rFonts w:cs="Arial"/>
                <w:lang w:val="en-US" w:bidi="ar-SA"/>
              </w:rPr>
            </w:pPr>
            <w:r w:rsidRPr="008E2284">
              <w:rPr>
                <w:rFonts w:cs="Arial"/>
                <w:lang w:val="en-US" w:bidi="ar-SA"/>
              </w:rPr>
              <w:t>Communication &amp; Education</w:t>
            </w:r>
          </w:p>
        </w:tc>
        <w:tc>
          <w:tcPr>
            <w:tcW w:w="4923" w:type="dxa"/>
            <w:vAlign w:val="center"/>
            <w:hideMark/>
          </w:tcPr>
          <w:p w14:paraId="4223C2EE" w14:textId="77777777" w:rsidR="008E2284" w:rsidRPr="008E2284" w:rsidRDefault="008E2284" w:rsidP="008E2284">
            <w:pPr>
              <w:spacing w:line="276" w:lineRule="auto"/>
              <w:jc w:val="left"/>
              <w:rPr>
                <w:rFonts w:cs="Arial"/>
                <w:lang w:val="en-US" w:bidi="ar-SA"/>
              </w:rPr>
            </w:pPr>
            <w:r w:rsidRPr="008E2284">
              <w:rPr>
                <w:rFonts w:cs="Arial"/>
                <w:lang w:val="en-US" w:bidi="ar-SA"/>
              </w:rPr>
              <w:t>Environmental education to improve authenticity perception</w:t>
            </w:r>
          </w:p>
        </w:tc>
        <w:tc>
          <w:tcPr>
            <w:tcW w:w="3900" w:type="dxa"/>
            <w:vAlign w:val="center"/>
            <w:hideMark/>
          </w:tcPr>
          <w:p w14:paraId="70F9FE13" w14:textId="77777777" w:rsidR="008E2284" w:rsidRPr="008E2284" w:rsidRDefault="008E2284" w:rsidP="008E2284">
            <w:pPr>
              <w:spacing w:line="276" w:lineRule="auto"/>
              <w:jc w:val="left"/>
              <w:rPr>
                <w:rFonts w:cs="Arial"/>
                <w:lang w:val="en-US" w:bidi="ar-SA"/>
              </w:rPr>
            </w:pPr>
            <w:r w:rsidRPr="008E2284">
              <w:rPr>
                <w:rFonts w:cs="Arial"/>
                <w:lang w:val="en-US" w:bidi="ar-SA"/>
              </w:rPr>
              <w:t xml:space="preserve">Marko &amp; </w:t>
            </w:r>
            <w:proofErr w:type="spellStart"/>
            <w:r w:rsidRPr="008E2284">
              <w:rPr>
                <w:rFonts w:cs="Arial"/>
                <w:lang w:val="en-US" w:bidi="ar-SA"/>
              </w:rPr>
              <w:t>Kusá</w:t>
            </w:r>
            <w:proofErr w:type="spellEnd"/>
            <w:r w:rsidRPr="008E2284">
              <w:rPr>
                <w:rFonts w:cs="Arial"/>
                <w:lang w:val="en-US" w:bidi="ar-SA"/>
              </w:rPr>
              <w:t xml:space="preserve"> (2023)</w:t>
            </w:r>
          </w:p>
        </w:tc>
      </w:tr>
      <w:tr w:rsidR="008E2284" w:rsidRPr="008E2284" w14:paraId="623F04AB" w14:textId="77777777" w:rsidTr="00A9343B">
        <w:tc>
          <w:tcPr>
            <w:tcW w:w="2323" w:type="dxa"/>
            <w:vMerge/>
            <w:vAlign w:val="center"/>
            <w:hideMark/>
          </w:tcPr>
          <w:p w14:paraId="0C7BD2BD" w14:textId="77777777" w:rsidR="008E2284" w:rsidRPr="008E2284" w:rsidRDefault="008E2284" w:rsidP="008E2284">
            <w:pPr>
              <w:spacing w:line="276" w:lineRule="auto"/>
              <w:jc w:val="left"/>
              <w:rPr>
                <w:rFonts w:cs="Arial"/>
                <w:lang w:val="en-US" w:bidi="ar-SA"/>
              </w:rPr>
            </w:pPr>
          </w:p>
        </w:tc>
        <w:tc>
          <w:tcPr>
            <w:tcW w:w="2802" w:type="dxa"/>
            <w:vMerge/>
            <w:vAlign w:val="center"/>
            <w:hideMark/>
          </w:tcPr>
          <w:p w14:paraId="05504A5F" w14:textId="77777777" w:rsidR="008E2284" w:rsidRPr="008E2284" w:rsidRDefault="008E2284" w:rsidP="008E2284">
            <w:pPr>
              <w:spacing w:line="276" w:lineRule="auto"/>
              <w:jc w:val="left"/>
              <w:rPr>
                <w:rFonts w:cs="Arial"/>
                <w:lang w:val="en-US" w:bidi="ar-SA"/>
              </w:rPr>
            </w:pPr>
          </w:p>
        </w:tc>
        <w:tc>
          <w:tcPr>
            <w:tcW w:w="4923" w:type="dxa"/>
            <w:vAlign w:val="center"/>
            <w:hideMark/>
          </w:tcPr>
          <w:p w14:paraId="7441CA58" w14:textId="77777777" w:rsidR="008E2284" w:rsidRPr="008E2284" w:rsidRDefault="008E2284" w:rsidP="008E2284">
            <w:pPr>
              <w:spacing w:line="276" w:lineRule="auto"/>
              <w:jc w:val="left"/>
              <w:rPr>
                <w:rFonts w:cs="Arial"/>
                <w:lang w:val="en-US" w:bidi="ar-SA"/>
              </w:rPr>
            </w:pPr>
            <w:r w:rsidRPr="008E2284">
              <w:rPr>
                <w:rFonts w:cs="Arial"/>
                <w:lang w:val="en-US" w:bidi="ar-SA"/>
              </w:rPr>
              <w:t>Slow fashion ethics &amp; CSR messaging</w:t>
            </w:r>
          </w:p>
        </w:tc>
        <w:tc>
          <w:tcPr>
            <w:tcW w:w="3900" w:type="dxa"/>
            <w:vAlign w:val="center"/>
            <w:hideMark/>
          </w:tcPr>
          <w:p w14:paraId="1AFC75C7" w14:textId="3129DE50" w:rsidR="008E2284" w:rsidRPr="008E2284" w:rsidRDefault="008E2284" w:rsidP="008E2284">
            <w:pPr>
              <w:spacing w:line="276" w:lineRule="auto"/>
              <w:jc w:val="left"/>
              <w:rPr>
                <w:rFonts w:cs="Arial"/>
                <w:lang w:val="en-US" w:bidi="ar-SA"/>
              </w:rPr>
            </w:pPr>
            <w:proofErr w:type="spellStart"/>
            <w:r w:rsidRPr="008E2284">
              <w:rPr>
                <w:rFonts w:cs="Arial"/>
                <w:lang w:val="en-US" w:bidi="ar-SA"/>
              </w:rPr>
              <w:t>Velasco-Molpeceres</w:t>
            </w:r>
            <w:proofErr w:type="spellEnd"/>
            <w:r w:rsidRPr="008E2284">
              <w:rPr>
                <w:rFonts w:cs="Arial"/>
                <w:lang w:val="en-US" w:bidi="ar-SA"/>
              </w:rPr>
              <w:t xml:space="preserve"> </w:t>
            </w:r>
            <w:r w:rsidR="00A7080E" w:rsidRPr="00A7080E">
              <w:rPr>
                <w:rFonts w:cs="Arial"/>
                <w:i/>
                <w:iCs/>
                <w:lang w:val="en-US" w:bidi="ar-SA"/>
              </w:rPr>
              <w:t>et al</w:t>
            </w:r>
            <w:r w:rsidRPr="008E2284">
              <w:rPr>
                <w:rFonts w:cs="Arial"/>
                <w:lang w:val="en-US" w:bidi="ar-SA"/>
              </w:rPr>
              <w:t>. (2023)</w:t>
            </w:r>
          </w:p>
        </w:tc>
      </w:tr>
    </w:tbl>
    <w:p w14:paraId="5E59C7AE" w14:textId="77777777" w:rsidR="00A9343B" w:rsidRDefault="00A9343B" w:rsidP="00AB6AC0"/>
    <w:p w14:paraId="1832F515" w14:textId="77777777" w:rsidR="00A9343B" w:rsidRDefault="00A9343B">
      <w:pPr>
        <w:spacing w:before="0" w:after="160" w:line="259" w:lineRule="auto"/>
        <w:jc w:val="left"/>
        <w:rPr>
          <w:rFonts w:eastAsiaTheme="majorEastAsia" w:cstheme="majorBidi"/>
          <w:b/>
          <w:bCs/>
          <w:color w:val="000000" w:themeColor="text1"/>
        </w:rPr>
      </w:pPr>
      <w:r>
        <w:br w:type="page"/>
      </w:r>
    </w:p>
    <w:p w14:paraId="7429FC18" w14:textId="354E4ED4" w:rsidR="00DD0977" w:rsidRDefault="008019B4" w:rsidP="00A9343B">
      <w:pPr>
        <w:pStyle w:val="Heading3"/>
      </w:pPr>
      <w:bookmarkStart w:id="44" w:name="_Toc214979399"/>
      <w:r w:rsidRPr="008019B4">
        <w:lastRenderedPageBreak/>
        <w:t>Manifestations and Drivers of Greenwashing in the Fashion Industry (RQ2)</w:t>
      </w:r>
      <w:bookmarkEnd w:id="44"/>
    </w:p>
    <w:p w14:paraId="3905D835" w14:textId="1E758F91" w:rsidR="00AB6AC0" w:rsidRPr="00AB6AC0" w:rsidRDefault="00AB6AC0" w:rsidP="00AB6AC0">
      <w:pPr>
        <w:rPr>
          <w:lang w:val="en-US"/>
        </w:rPr>
      </w:pPr>
      <w:r>
        <w:t>The table summarises fifty studies included in this systematic review, organised according to four key themes: Misleading Environmental Claims, Corporate Social Responsibility (CSR) Washing, Symbolic and Marketing-Focused Greenwashing, and Prevalence and Consumer Impact. Each study is presented with its author(s), sub-themes, codes, and citations, providing a structured overview of the manifestations and drivers of greenwashing in the fashion industry (RQ2). These thematic summaries provide the foundation for the subsequent detailed analysis and discussion of patterns, gaps, and implications.</w:t>
      </w:r>
    </w:p>
    <w:tbl>
      <w:tblPr>
        <w:tblStyle w:val="TableGridLight"/>
        <w:tblW w:w="0" w:type="auto"/>
        <w:tblLook w:val="04A0" w:firstRow="1" w:lastRow="0" w:firstColumn="1" w:lastColumn="0" w:noHBand="0" w:noVBand="1"/>
      </w:tblPr>
      <w:tblGrid>
        <w:gridCol w:w="2335"/>
        <w:gridCol w:w="2610"/>
        <w:gridCol w:w="4410"/>
        <w:gridCol w:w="4593"/>
      </w:tblGrid>
      <w:tr w:rsidR="00A9343B" w:rsidRPr="00DD0977" w14:paraId="7FBEBF0D" w14:textId="77777777" w:rsidTr="00A9343B">
        <w:tc>
          <w:tcPr>
            <w:tcW w:w="2335" w:type="dxa"/>
            <w:vAlign w:val="center"/>
            <w:hideMark/>
          </w:tcPr>
          <w:p w14:paraId="703AADD5" w14:textId="77777777" w:rsidR="00DD0977" w:rsidRPr="00DD0977" w:rsidRDefault="00DD0977" w:rsidP="00DD0977">
            <w:pPr>
              <w:spacing w:line="276" w:lineRule="auto"/>
              <w:jc w:val="left"/>
              <w:rPr>
                <w:rFonts w:cs="Arial"/>
                <w:b/>
                <w:bCs/>
                <w:lang w:val="en-US" w:bidi="ar-SA"/>
              </w:rPr>
            </w:pPr>
            <w:r w:rsidRPr="00DD0977">
              <w:rPr>
                <w:rFonts w:cs="Arial"/>
                <w:b/>
                <w:bCs/>
                <w:lang w:val="en-US" w:bidi="ar-SA"/>
              </w:rPr>
              <w:t>Theme</w:t>
            </w:r>
          </w:p>
        </w:tc>
        <w:tc>
          <w:tcPr>
            <w:tcW w:w="2610" w:type="dxa"/>
            <w:vAlign w:val="center"/>
            <w:hideMark/>
          </w:tcPr>
          <w:p w14:paraId="162BAAF5" w14:textId="77777777" w:rsidR="00DD0977" w:rsidRPr="00DD0977" w:rsidRDefault="00DD0977" w:rsidP="00DD0977">
            <w:pPr>
              <w:spacing w:line="276" w:lineRule="auto"/>
              <w:jc w:val="left"/>
              <w:rPr>
                <w:rFonts w:cs="Arial"/>
                <w:b/>
                <w:bCs/>
                <w:lang w:val="en-US" w:bidi="ar-SA"/>
              </w:rPr>
            </w:pPr>
            <w:r w:rsidRPr="00DD0977">
              <w:rPr>
                <w:rFonts w:cs="Arial"/>
                <w:b/>
                <w:bCs/>
                <w:lang w:val="en-US" w:bidi="ar-SA"/>
              </w:rPr>
              <w:t>Sub-theme</w:t>
            </w:r>
          </w:p>
        </w:tc>
        <w:tc>
          <w:tcPr>
            <w:tcW w:w="4410" w:type="dxa"/>
            <w:vAlign w:val="center"/>
            <w:hideMark/>
          </w:tcPr>
          <w:p w14:paraId="244A461B" w14:textId="77777777" w:rsidR="00DD0977" w:rsidRPr="00DD0977" w:rsidRDefault="00DD0977" w:rsidP="00DD0977">
            <w:pPr>
              <w:spacing w:line="276" w:lineRule="auto"/>
              <w:jc w:val="left"/>
              <w:rPr>
                <w:rFonts w:cs="Arial"/>
                <w:b/>
                <w:bCs/>
                <w:lang w:val="en-US" w:bidi="ar-SA"/>
              </w:rPr>
            </w:pPr>
            <w:r w:rsidRPr="00DD0977">
              <w:rPr>
                <w:rFonts w:cs="Arial"/>
                <w:b/>
                <w:bCs/>
                <w:lang w:val="en-US" w:bidi="ar-SA"/>
              </w:rPr>
              <w:t>Code</w:t>
            </w:r>
          </w:p>
        </w:tc>
        <w:tc>
          <w:tcPr>
            <w:tcW w:w="4593" w:type="dxa"/>
            <w:vAlign w:val="center"/>
            <w:hideMark/>
          </w:tcPr>
          <w:p w14:paraId="50705020" w14:textId="77777777" w:rsidR="00DD0977" w:rsidRPr="00DD0977" w:rsidRDefault="00DD0977" w:rsidP="00DD0977">
            <w:pPr>
              <w:spacing w:line="276" w:lineRule="auto"/>
              <w:jc w:val="left"/>
              <w:rPr>
                <w:rFonts w:cs="Arial"/>
                <w:b/>
                <w:bCs/>
                <w:lang w:val="en-US" w:bidi="ar-SA"/>
              </w:rPr>
            </w:pPr>
            <w:r w:rsidRPr="00DD0977">
              <w:rPr>
                <w:rFonts w:cs="Arial"/>
                <w:b/>
                <w:bCs/>
                <w:lang w:val="en-US" w:bidi="ar-SA"/>
              </w:rPr>
              <w:t>Citation</w:t>
            </w:r>
          </w:p>
        </w:tc>
      </w:tr>
      <w:tr w:rsidR="00DD0977" w:rsidRPr="00DD0977" w14:paraId="75C96C99" w14:textId="77777777" w:rsidTr="00A9343B">
        <w:tc>
          <w:tcPr>
            <w:tcW w:w="2335" w:type="dxa"/>
            <w:vMerge w:val="restart"/>
            <w:vAlign w:val="center"/>
            <w:hideMark/>
          </w:tcPr>
          <w:p w14:paraId="53B45759" w14:textId="77777777" w:rsidR="00DD0977" w:rsidRPr="00DD0977" w:rsidRDefault="00DD0977" w:rsidP="00DD0977">
            <w:pPr>
              <w:spacing w:line="276" w:lineRule="auto"/>
              <w:jc w:val="left"/>
              <w:rPr>
                <w:rFonts w:cs="Arial"/>
                <w:lang w:val="en-US" w:bidi="ar-SA"/>
              </w:rPr>
            </w:pPr>
            <w:r w:rsidRPr="00DD0977">
              <w:rPr>
                <w:rFonts w:cs="Arial"/>
                <w:b/>
                <w:bCs/>
                <w:lang w:val="en-US" w:bidi="ar-SA"/>
              </w:rPr>
              <w:t>Misleading Environmental Claims</w:t>
            </w:r>
          </w:p>
        </w:tc>
        <w:tc>
          <w:tcPr>
            <w:tcW w:w="2610" w:type="dxa"/>
            <w:vMerge w:val="restart"/>
            <w:vAlign w:val="center"/>
            <w:hideMark/>
          </w:tcPr>
          <w:p w14:paraId="4887D476" w14:textId="77777777" w:rsidR="00DD0977" w:rsidRPr="00DD0977" w:rsidRDefault="00DD0977" w:rsidP="00DD0977">
            <w:pPr>
              <w:spacing w:line="276" w:lineRule="auto"/>
              <w:jc w:val="left"/>
              <w:rPr>
                <w:rFonts w:cs="Arial"/>
                <w:lang w:val="en-US" w:bidi="ar-SA"/>
              </w:rPr>
            </w:pPr>
            <w:r w:rsidRPr="00DD0977">
              <w:rPr>
                <w:rFonts w:cs="Arial"/>
                <w:lang w:val="en-US" w:bidi="ar-SA"/>
              </w:rPr>
              <w:t>Product-focused Misrepresentation</w:t>
            </w:r>
          </w:p>
        </w:tc>
        <w:tc>
          <w:tcPr>
            <w:tcW w:w="4410" w:type="dxa"/>
            <w:vAlign w:val="center"/>
            <w:hideMark/>
          </w:tcPr>
          <w:p w14:paraId="1DEE989F" w14:textId="77777777" w:rsidR="00DD0977" w:rsidRPr="00DD0977" w:rsidRDefault="00DD0977" w:rsidP="00DD0977">
            <w:pPr>
              <w:spacing w:line="276" w:lineRule="auto"/>
              <w:jc w:val="left"/>
              <w:rPr>
                <w:rFonts w:cs="Arial"/>
                <w:lang w:val="en-US" w:bidi="ar-SA"/>
              </w:rPr>
            </w:pPr>
            <w:r w:rsidRPr="00DD0977">
              <w:rPr>
                <w:rFonts w:cs="Arial"/>
                <w:lang w:val="en-US" w:bidi="ar-SA"/>
              </w:rPr>
              <w:t>False labelling of eco-friendly materials</w:t>
            </w:r>
          </w:p>
        </w:tc>
        <w:tc>
          <w:tcPr>
            <w:tcW w:w="4593" w:type="dxa"/>
            <w:vAlign w:val="center"/>
            <w:hideMark/>
          </w:tcPr>
          <w:p w14:paraId="6561D8DC" w14:textId="77777777" w:rsidR="00DD0977" w:rsidRPr="00DD0977" w:rsidRDefault="00DD0977" w:rsidP="00DD0977">
            <w:pPr>
              <w:spacing w:line="276" w:lineRule="auto"/>
              <w:jc w:val="left"/>
              <w:rPr>
                <w:rFonts w:cs="Arial"/>
                <w:lang w:val="en-US" w:bidi="ar-SA"/>
              </w:rPr>
            </w:pPr>
            <w:r w:rsidRPr="00DD0977">
              <w:rPr>
                <w:rFonts w:cs="Arial"/>
                <w:lang w:val="en-US" w:bidi="ar-SA"/>
              </w:rPr>
              <w:t>Wang &amp; Jung (2025)</w:t>
            </w:r>
          </w:p>
        </w:tc>
      </w:tr>
      <w:tr w:rsidR="00DD0977" w:rsidRPr="00DD0977" w14:paraId="65764A3A" w14:textId="77777777" w:rsidTr="00A9343B">
        <w:tc>
          <w:tcPr>
            <w:tcW w:w="2335" w:type="dxa"/>
            <w:vMerge/>
            <w:vAlign w:val="center"/>
            <w:hideMark/>
          </w:tcPr>
          <w:p w14:paraId="4B583360" w14:textId="77777777" w:rsidR="00DD0977" w:rsidRPr="00DD0977" w:rsidRDefault="00DD0977" w:rsidP="00DD0977">
            <w:pPr>
              <w:spacing w:line="276" w:lineRule="auto"/>
              <w:jc w:val="left"/>
              <w:rPr>
                <w:rFonts w:cs="Arial"/>
                <w:lang w:val="en-US" w:bidi="ar-SA"/>
              </w:rPr>
            </w:pPr>
          </w:p>
        </w:tc>
        <w:tc>
          <w:tcPr>
            <w:tcW w:w="2610" w:type="dxa"/>
            <w:vMerge/>
            <w:vAlign w:val="center"/>
            <w:hideMark/>
          </w:tcPr>
          <w:p w14:paraId="11B7C537" w14:textId="77777777" w:rsidR="00DD0977" w:rsidRPr="00DD0977" w:rsidRDefault="00DD0977" w:rsidP="00DD0977">
            <w:pPr>
              <w:spacing w:line="276" w:lineRule="auto"/>
              <w:jc w:val="left"/>
              <w:rPr>
                <w:rFonts w:cs="Arial"/>
                <w:lang w:val="en-US" w:bidi="ar-SA"/>
              </w:rPr>
            </w:pPr>
          </w:p>
        </w:tc>
        <w:tc>
          <w:tcPr>
            <w:tcW w:w="4410" w:type="dxa"/>
            <w:vAlign w:val="center"/>
            <w:hideMark/>
          </w:tcPr>
          <w:p w14:paraId="52159291" w14:textId="77777777" w:rsidR="00DD0977" w:rsidRPr="00DD0977" w:rsidRDefault="00DD0977" w:rsidP="00DD0977">
            <w:pPr>
              <w:spacing w:line="276" w:lineRule="auto"/>
              <w:jc w:val="left"/>
              <w:rPr>
                <w:rFonts w:cs="Arial"/>
                <w:lang w:val="en-US" w:bidi="ar-SA"/>
              </w:rPr>
            </w:pPr>
            <w:r w:rsidRPr="00DD0977">
              <w:rPr>
                <w:rFonts w:cs="Arial"/>
                <w:lang w:val="en-US" w:bidi="ar-SA"/>
              </w:rPr>
              <w:t>Recycled PET narratives &amp; incentive distortion</w:t>
            </w:r>
          </w:p>
        </w:tc>
        <w:tc>
          <w:tcPr>
            <w:tcW w:w="4593" w:type="dxa"/>
            <w:vAlign w:val="center"/>
            <w:hideMark/>
          </w:tcPr>
          <w:p w14:paraId="20A4985F" w14:textId="77777777" w:rsidR="00DD0977" w:rsidRPr="00DD0977" w:rsidRDefault="00DD0977" w:rsidP="00DD0977">
            <w:pPr>
              <w:spacing w:line="276" w:lineRule="auto"/>
              <w:jc w:val="left"/>
              <w:rPr>
                <w:rFonts w:cs="Arial"/>
                <w:lang w:val="en-US" w:bidi="ar-SA"/>
              </w:rPr>
            </w:pPr>
            <w:r w:rsidRPr="00DD0977">
              <w:rPr>
                <w:rFonts w:cs="Arial"/>
                <w:lang w:val="en-US" w:bidi="ar-SA"/>
              </w:rPr>
              <w:t>Eppinger (2022)</w:t>
            </w:r>
          </w:p>
        </w:tc>
      </w:tr>
      <w:tr w:rsidR="00DD0977" w:rsidRPr="00DD0977" w14:paraId="3AA03679" w14:textId="77777777" w:rsidTr="00A9343B">
        <w:tc>
          <w:tcPr>
            <w:tcW w:w="2335" w:type="dxa"/>
            <w:vMerge/>
            <w:vAlign w:val="center"/>
            <w:hideMark/>
          </w:tcPr>
          <w:p w14:paraId="060A8B7C" w14:textId="77777777" w:rsidR="00DD0977" w:rsidRPr="00DD0977" w:rsidRDefault="00DD0977" w:rsidP="00DD0977">
            <w:pPr>
              <w:spacing w:line="276" w:lineRule="auto"/>
              <w:jc w:val="left"/>
              <w:rPr>
                <w:rFonts w:cs="Arial"/>
                <w:lang w:val="en-US" w:bidi="ar-SA"/>
              </w:rPr>
            </w:pPr>
          </w:p>
        </w:tc>
        <w:tc>
          <w:tcPr>
            <w:tcW w:w="2610" w:type="dxa"/>
            <w:vMerge w:val="restart"/>
            <w:vAlign w:val="center"/>
            <w:hideMark/>
          </w:tcPr>
          <w:p w14:paraId="5D95C38D" w14:textId="77777777" w:rsidR="00DD0977" w:rsidRPr="00DD0977" w:rsidRDefault="00DD0977" w:rsidP="00DD0977">
            <w:pPr>
              <w:spacing w:line="276" w:lineRule="auto"/>
              <w:jc w:val="left"/>
              <w:rPr>
                <w:rFonts w:cs="Arial"/>
                <w:lang w:val="en-US" w:bidi="ar-SA"/>
              </w:rPr>
            </w:pPr>
            <w:r w:rsidRPr="00DD0977">
              <w:rPr>
                <w:rFonts w:cs="Arial"/>
                <w:lang w:val="en-US" w:bidi="ar-SA"/>
              </w:rPr>
              <w:t>Process-focused Misrepresentation</w:t>
            </w:r>
          </w:p>
        </w:tc>
        <w:tc>
          <w:tcPr>
            <w:tcW w:w="4410" w:type="dxa"/>
            <w:vAlign w:val="center"/>
            <w:hideMark/>
          </w:tcPr>
          <w:p w14:paraId="557BD834" w14:textId="77777777" w:rsidR="00DD0977" w:rsidRPr="00DD0977" w:rsidRDefault="00DD0977" w:rsidP="00DD0977">
            <w:pPr>
              <w:spacing w:line="276" w:lineRule="auto"/>
              <w:jc w:val="left"/>
              <w:rPr>
                <w:rFonts w:cs="Arial"/>
                <w:lang w:val="en-US" w:bidi="ar-SA"/>
              </w:rPr>
            </w:pPr>
            <w:r w:rsidRPr="00DD0977">
              <w:rPr>
                <w:rFonts w:cs="Arial"/>
                <w:lang w:val="en-US" w:bidi="ar-SA"/>
              </w:rPr>
              <w:t>Selective disclosure of sustainability practices</w:t>
            </w:r>
          </w:p>
        </w:tc>
        <w:tc>
          <w:tcPr>
            <w:tcW w:w="4593" w:type="dxa"/>
            <w:vAlign w:val="center"/>
            <w:hideMark/>
          </w:tcPr>
          <w:p w14:paraId="0B2236E2" w14:textId="77777777" w:rsidR="00DD0977" w:rsidRPr="00DD0977" w:rsidRDefault="00DD0977" w:rsidP="00DD0977">
            <w:pPr>
              <w:spacing w:line="276" w:lineRule="auto"/>
              <w:jc w:val="left"/>
              <w:rPr>
                <w:rFonts w:cs="Arial"/>
                <w:lang w:val="en-US" w:bidi="ar-SA"/>
              </w:rPr>
            </w:pPr>
            <w:proofErr w:type="spellStart"/>
            <w:r w:rsidRPr="00DD0977">
              <w:rPr>
                <w:rFonts w:cs="Arial"/>
                <w:lang w:val="en-US" w:bidi="ar-SA"/>
              </w:rPr>
              <w:t>Jestratijevic</w:t>
            </w:r>
            <w:proofErr w:type="spellEnd"/>
            <w:r w:rsidRPr="00DD0977">
              <w:rPr>
                <w:rFonts w:cs="Arial"/>
                <w:lang w:val="en-US" w:bidi="ar-SA"/>
              </w:rPr>
              <w:t xml:space="preserve">, </w:t>
            </w:r>
            <w:proofErr w:type="spellStart"/>
            <w:r w:rsidRPr="00DD0977">
              <w:rPr>
                <w:rFonts w:cs="Arial"/>
                <w:lang w:val="en-US" w:bidi="ar-SA"/>
              </w:rPr>
              <w:t>Uanhoro</w:t>
            </w:r>
            <w:proofErr w:type="spellEnd"/>
            <w:r w:rsidRPr="00DD0977">
              <w:rPr>
                <w:rFonts w:cs="Arial"/>
                <w:lang w:val="en-US" w:bidi="ar-SA"/>
              </w:rPr>
              <w:t xml:space="preserve"> &amp; Rana (2024)</w:t>
            </w:r>
          </w:p>
        </w:tc>
      </w:tr>
      <w:tr w:rsidR="00DD0977" w:rsidRPr="00DD0977" w14:paraId="35F0BC7D" w14:textId="77777777" w:rsidTr="00A9343B">
        <w:tc>
          <w:tcPr>
            <w:tcW w:w="2335" w:type="dxa"/>
            <w:vMerge/>
            <w:vAlign w:val="center"/>
            <w:hideMark/>
          </w:tcPr>
          <w:p w14:paraId="2F56868A" w14:textId="77777777" w:rsidR="00DD0977" w:rsidRPr="00DD0977" w:rsidRDefault="00DD0977" w:rsidP="00DD0977">
            <w:pPr>
              <w:spacing w:line="276" w:lineRule="auto"/>
              <w:jc w:val="left"/>
              <w:rPr>
                <w:rFonts w:cs="Arial"/>
                <w:lang w:val="en-US" w:bidi="ar-SA"/>
              </w:rPr>
            </w:pPr>
          </w:p>
        </w:tc>
        <w:tc>
          <w:tcPr>
            <w:tcW w:w="2610" w:type="dxa"/>
            <w:vMerge/>
            <w:vAlign w:val="center"/>
            <w:hideMark/>
          </w:tcPr>
          <w:p w14:paraId="25743A05" w14:textId="77777777" w:rsidR="00DD0977" w:rsidRPr="00DD0977" w:rsidRDefault="00DD0977" w:rsidP="00DD0977">
            <w:pPr>
              <w:spacing w:line="276" w:lineRule="auto"/>
              <w:jc w:val="left"/>
              <w:rPr>
                <w:rFonts w:cs="Arial"/>
                <w:lang w:val="en-US" w:bidi="ar-SA"/>
              </w:rPr>
            </w:pPr>
          </w:p>
        </w:tc>
        <w:tc>
          <w:tcPr>
            <w:tcW w:w="4410" w:type="dxa"/>
            <w:vAlign w:val="center"/>
            <w:hideMark/>
          </w:tcPr>
          <w:p w14:paraId="76E29C24" w14:textId="77777777" w:rsidR="00DD0977" w:rsidRPr="00DD0977" w:rsidRDefault="00DD0977" w:rsidP="00DD0977">
            <w:pPr>
              <w:spacing w:line="276" w:lineRule="auto"/>
              <w:jc w:val="left"/>
              <w:rPr>
                <w:rFonts w:cs="Arial"/>
                <w:lang w:val="en-US" w:bidi="ar-SA"/>
              </w:rPr>
            </w:pPr>
            <w:r w:rsidRPr="00DD0977">
              <w:rPr>
                <w:rFonts w:cs="Arial"/>
                <w:lang w:val="en-US" w:bidi="ar-SA"/>
              </w:rPr>
              <w:t>Greenhushing / strategic silence on overproduction</w:t>
            </w:r>
          </w:p>
        </w:tc>
        <w:tc>
          <w:tcPr>
            <w:tcW w:w="4593" w:type="dxa"/>
            <w:vAlign w:val="center"/>
            <w:hideMark/>
          </w:tcPr>
          <w:p w14:paraId="6E8D1879" w14:textId="451DD9DA" w:rsidR="00DD0977" w:rsidRPr="00DD0977" w:rsidRDefault="00DD0977" w:rsidP="00DD0977">
            <w:pPr>
              <w:spacing w:line="276" w:lineRule="auto"/>
              <w:jc w:val="left"/>
              <w:rPr>
                <w:rFonts w:cs="Arial"/>
                <w:lang w:val="en-US" w:bidi="ar-SA"/>
              </w:rPr>
            </w:pPr>
            <w:proofErr w:type="spellStart"/>
            <w:r w:rsidRPr="00DD0977">
              <w:rPr>
                <w:rFonts w:cs="Arial"/>
                <w:lang w:val="en-US" w:bidi="ar-SA"/>
              </w:rPr>
              <w:t>Hejlova</w:t>
            </w:r>
            <w:proofErr w:type="spellEnd"/>
            <w:r w:rsidRPr="00DD0977">
              <w:rPr>
                <w:rFonts w:cs="Arial"/>
                <w:lang w:val="en-US" w:bidi="ar-SA"/>
              </w:rPr>
              <w:t xml:space="preserve"> </w:t>
            </w:r>
            <w:r w:rsidR="00A7080E" w:rsidRPr="00A7080E">
              <w:rPr>
                <w:rFonts w:cs="Arial"/>
                <w:i/>
                <w:iCs/>
                <w:lang w:val="en-US" w:bidi="ar-SA"/>
              </w:rPr>
              <w:t>et al</w:t>
            </w:r>
            <w:r w:rsidRPr="00DD0977">
              <w:rPr>
                <w:rFonts w:cs="Arial"/>
                <w:lang w:val="en-US" w:bidi="ar-SA"/>
              </w:rPr>
              <w:t>. (2025)</w:t>
            </w:r>
          </w:p>
        </w:tc>
      </w:tr>
      <w:tr w:rsidR="00DD0977" w:rsidRPr="00DD0977" w14:paraId="436B1508" w14:textId="77777777" w:rsidTr="00A9343B">
        <w:tc>
          <w:tcPr>
            <w:tcW w:w="2335" w:type="dxa"/>
            <w:vMerge w:val="restart"/>
            <w:vAlign w:val="center"/>
            <w:hideMark/>
          </w:tcPr>
          <w:p w14:paraId="6F7BDBDA" w14:textId="77777777" w:rsidR="00DD0977" w:rsidRPr="00DD0977" w:rsidRDefault="00DD0977" w:rsidP="00DD0977">
            <w:pPr>
              <w:spacing w:line="276" w:lineRule="auto"/>
              <w:jc w:val="left"/>
              <w:rPr>
                <w:rFonts w:cs="Arial"/>
                <w:lang w:val="en-US" w:bidi="ar-SA"/>
              </w:rPr>
            </w:pPr>
            <w:r w:rsidRPr="00DD0977">
              <w:rPr>
                <w:rFonts w:cs="Arial"/>
                <w:b/>
                <w:bCs/>
                <w:lang w:val="en-US" w:bidi="ar-SA"/>
              </w:rPr>
              <w:t>Corporate Social Responsibility (CSR) Washing</w:t>
            </w:r>
          </w:p>
        </w:tc>
        <w:tc>
          <w:tcPr>
            <w:tcW w:w="2610" w:type="dxa"/>
            <w:vMerge w:val="restart"/>
            <w:vAlign w:val="center"/>
            <w:hideMark/>
          </w:tcPr>
          <w:p w14:paraId="7DAE2F3B" w14:textId="77777777" w:rsidR="00DD0977" w:rsidRPr="00DD0977" w:rsidRDefault="00DD0977" w:rsidP="00DD0977">
            <w:pPr>
              <w:spacing w:line="276" w:lineRule="auto"/>
              <w:jc w:val="left"/>
              <w:rPr>
                <w:rFonts w:cs="Arial"/>
                <w:lang w:val="en-US" w:bidi="ar-SA"/>
              </w:rPr>
            </w:pPr>
            <w:r w:rsidRPr="00DD0977">
              <w:rPr>
                <w:rFonts w:cs="Arial"/>
                <w:lang w:val="en-US" w:bidi="ar-SA"/>
              </w:rPr>
              <w:t>Inflated CSR Claims</w:t>
            </w:r>
          </w:p>
        </w:tc>
        <w:tc>
          <w:tcPr>
            <w:tcW w:w="4410" w:type="dxa"/>
            <w:vAlign w:val="center"/>
            <w:hideMark/>
          </w:tcPr>
          <w:p w14:paraId="1E56E026" w14:textId="77777777" w:rsidR="00DD0977" w:rsidRPr="00DD0977" w:rsidRDefault="00DD0977" w:rsidP="00DD0977">
            <w:pPr>
              <w:spacing w:line="276" w:lineRule="auto"/>
              <w:jc w:val="left"/>
              <w:rPr>
                <w:rFonts w:cs="Arial"/>
                <w:lang w:val="en-US" w:bidi="ar-SA"/>
              </w:rPr>
            </w:pPr>
            <w:r w:rsidRPr="00DD0977">
              <w:rPr>
                <w:rFonts w:cs="Arial"/>
                <w:lang w:val="en-US" w:bidi="ar-SA"/>
              </w:rPr>
              <w:t>Exaggerated or misleading social responsibility statements</w:t>
            </w:r>
          </w:p>
        </w:tc>
        <w:tc>
          <w:tcPr>
            <w:tcW w:w="4593" w:type="dxa"/>
            <w:vAlign w:val="center"/>
            <w:hideMark/>
          </w:tcPr>
          <w:p w14:paraId="05E1D312" w14:textId="77777777" w:rsidR="00DD0977" w:rsidRPr="00DD0977" w:rsidRDefault="00DD0977" w:rsidP="00DD0977">
            <w:pPr>
              <w:spacing w:line="276" w:lineRule="auto"/>
              <w:jc w:val="left"/>
              <w:rPr>
                <w:rFonts w:cs="Arial"/>
                <w:lang w:val="en-US" w:bidi="ar-SA"/>
              </w:rPr>
            </w:pPr>
            <w:r w:rsidRPr="00DD0977">
              <w:rPr>
                <w:rFonts w:cs="Arial"/>
                <w:lang w:val="en-US" w:bidi="ar-SA"/>
              </w:rPr>
              <w:t>Dobos &amp; Éltető (2023)</w:t>
            </w:r>
          </w:p>
        </w:tc>
      </w:tr>
      <w:tr w:rsidR="00DD0977" w:rsidRPr="00DD0977" w14:paraId="047BE8B3" w14:textId="77777777" w:rsidTr="00A9343B">
        <w:tc>
          <w:tcPr>
            <w:tcW w:w="2335" w:type="dxa"/>
            <w:vMerge/>
            <w:vAlign w:val="center"/>
            <w:hideMark/>
          </w:tcPr>
          <w:p w14:paraId="7E12B649" w14:textId="77777777" w:rsidR="00DD0977" w:rsidRPr="00DD0977" w:rsidRDefault="00DD0977" w:rsidP="00DD0977">
            <w:pPr>
              <w:spacing w:line="276" w:lineRule="auto"/>
              <w:jc w:val="left"/>
              <w:rPr>
                <w:rFonts w:cs="Arial"/>
                <w:lang w:val="en-US" w:bidi="ar-SA"/>
              </w:rPr>
            </w:pPr>
          </w:p>
        </w:tc>
        <w:tc>
          <w:tcPr>
            <w:tcW w:w="2610" w:type="dxa"/>
            <w:vMerge/>
            <w:vAlign w:val="center"/>
            <w:hideMark/>
          </w:tcPr>
          <w:p w14:paraId="2EE7FB51" w14:textId="77777777" w:rsidR="00DD0977" w:rsidRPr="00DD0977" w:rsidRDefault="00DD0977" w:rsidP="00DD0977">
            <w:pPr>
              <w:spacing w:line="276" w:lineRule="auto"/>
              <w:jc w:val="left"/>
              <w:rPr>
                <w:rFonts w:cs="Arial"/>
                <w:lang w:val="en-US" w:bidi="ar-SA"/>
              </w:rPr>
            </w:pPr>
          </w:p>
        </w:tc>
        <w:tc>
          <w:tcPr>
            <w:tcW w:w="4410" w:type="dxa"/>
            <w:vAlign w:val="center"/>
            <w:hideMark/>
          </w:tcPr>
          <w:p w14:paraId="14A12261" w14:textId="77777777" w:rsidR="00DD0977" w:rsidRPr="00DD0977" w:rsidRDefault="00DD0977" w:rsidP="00DD0977">
            <w:pPr>
              <w:spacing w:line="276" w:lineRule="auto"/>
              <w:jc w:val="left"/>
              <w:rPr>
                <w:rFonts w:cs="Arial"/>
                <w:lang w:val="en-US" w:bidi="ar-SA"/>
              </w:rPr>
            </w:pPr>
            <w:r w:rsidRPr="00DD0977">
              <w:rPr>
                <w:rFonts w:cs="Arial"/>
                <w:lang w:val="en-US" w:bidi="ar-SA"/>
              </w:rPr>
              <w:t>CSR claims vs. supply-chain realities</w:t>
            </w:r>
          </w:p>
        </w:tc>
        <w:tc>
          <w:tcPr>
            <w:tcW w:w="4593" w:type="dxa"/>
            <w:vAlign w:val="center"/>
            <w:hideMark/>
          </w:tcPr>
          <w:p w14:paraId="04B08F73" w14:textId="77777777" w:rsidR="00DD0977" w:rsidRPr="00DD0977" w:rsidRDefault="00DD0977" w:rsidP="00DD0977">
            <w:pPr>
              <w:spacing w:line="276" w:lineRule="auto"/>
              <w:jc w:val="left"/>
              <w:rPr>
                <w:rFonts w:cs="Arial"/>
                <w:lang w:val="en-US" w:bidi="ar-SA"/>
              </w:rPr>
            </w:pPr>
            <w:r w:rsidRPr="00DD0977">
              <w:rPr>
                <w:rFonts w:cs="Arial"/>
                <w:lang w:val="en-US" w:bidi="ar-SA"/>
              </w:rPr>
              <w:t>Reza &amp; Du Plessis (2022)</w:t>
            </w:r>
          </w:p>
        </w:tc>
      </w:tr>
      <w:tr w:rsidR="00DD0977" w:rsidRPr="00DD0977" w14:paraId="19C260E1" w14:textId="77777777" w:rsidTr="00A9343B">
        <w:tc>
          <w:tcPr>
            <w:tcW w:w="2335" w:type="dxa"/>
            <w:vMerge/>
            <w:vAlign w:val="center"/>
            <w:hideMark/>
          </w:tcPr>
          <w:p w14:paraId="209ADE2A" w14:textId="77777777" w:rsidR="00DD0977" w:rsidRPr="00DD0977" w:rsidRDefault="00DD0977" w:rsidP="00DD0977">
            <w:pPr>
              <w:spacing w:line="276" w:lineRule="auto"/>
              <w:jc w:val="left"/>
              <w:rPr>
                <w:rFonts w:cs="Arial"/>
                <w:lang w:val="en-US" w:bidi="ar-SA"/>
              </w:rPr>
            </w:pPr>
          </w:p>
        </w:tc>
        <w:tc>
          <w:tcPr>
            <w:tcW w:w="2610" w:type="dxa"/>
            <w:vMerge w:val="restart"/>
            <w:vAlign w:val="center"/>
            <w:hideMark/>
          </w:tcPr>
          <w:p w14:paraId="7049C181" w14:textId="77777777" w:rsidR="00DD0977" w:rsidRPr="00DD0977" w:rsidRDefault="00DD0977" w:rsidP="00DD0977">
            <w:pPr>
              <w:spacing w:line="276" w:lineRule="auto"/>
              <w:jc w:val="left"/>
              <w:rPr>
                <w:rFonts w:cs="Arial"/>
                <w:lang w:val="en-US" w:bidi="ar-SA"/>
              </w:rPr>
            </w:pPr>
            <w:r w:rsidRPr="00DD0977">
              <w:rPr>
                <w:rFonts w:cs="Arial"/>
                <w:lang w:val="en-US" w:bidi="ar-SA"/>
              </w:rPr>
              <w:t>PR &amp; Communication Manipulation</w:t>
            </w:r>
          </w:p>
        </w:tc>
        <w:tc>
          <w:tcPr>
            <w:tcW w:w="4410" w:type="dxa"/>
            <w:vAlign w:val="center"/>
            <w:hideMark/>
          </w:tcPr>
          <w:p w14:paraId="5891604E" w14:textId="77777777" w:rsidR="00DD0977" w:rsidRPr="00DD0977" w:rsidRDefault="00DD0977" w:rsidP="00DD0977">
            <w:pPr>
              <w:spacing w:line="276" w:lineRule="auto"/>
              <w:jc w:val="left"/>
              <w:rPr>
                <w:rFonts w:cs="Arial"/>
                <w:lang w:val="en-US" w:bidi="ar-SA"/>
              </w:rPr>
            </w:pPr>
            <w:r w:rsidRPr="00DD0977">
              <w:rPr>
                <w:rFonts w:cs="Arial"/>
                <w:lang w:val="en-US" w:bidi="ar-SA"/>
              </w:rPr>
              <w:t>Myth-making in sustainability narratives</w:t>
            </w:r>
          </w:p>
        </w:tc>
        <w:tc>
          <w:tcPr>
            <w:tcW w:w="4593" w:type="dxa"/>
            <w:vAlign w:val="center"/>
            <w:hideMark/>
          </w:tcPr>
          <w:p w14:paraId="5C2886A5" w14:textId="77777777" w:rsidR="00DD0977" w:rsidRPr="00DD0977" w:rsidRDefault="00DD0977" w:rsidP="00DD0977">
            <w:pPr>
              <w:spacing w:line="276" w:lineRule="auto"/>
              <w:jc w:val="left"/>
              <w:rPr>
                <w:rFonts w:cs="Arial"/>
                <w:lang w:val="en-US" w:bidi="ar-SA"/>
              </w:rPr>
            </w:pPr>
            <w:proofErr w:type="spellStart"/>
            <w:r w:rsidRPr="00DD0977">
              <w:rPr>
                <w:rFonts w:cs="Arial"/>
                <w:lang w:val="en-US" w:bidi="ar-SA"/>
              </w:rPr>
              <w:t>Heidenstrøm</w:t>
            </w:r>
            <w:proofErr w:type="spellEnd"/>
            <w:r w:rsidRPr="00DD0977">
              <w:rPr>
                <w:rFonts w:cs="Arial"/>
                <w:lang w:val="en-US" w:bidi="ar-SA"/>
              </w:rPr>
              <w:t xml:space="preserve"> (2024)</w:t>
            </w:r>
          </w:p>
        </w:tc>
      </w:tr>
      <w:tr w:rsidR="00DD0977" w:rsidRPr="00DD0977" w14:paraId="3A383156" w14:textId="77777777" w:rsidTr="00A9343B">
        <w:tc>
          <w:tcPr>
            <w:tcW w:w="2335" w:type="dxa"/>
            <w:vMerge/>
            <w:vAlign w:val="center"/>
            <w:hideMark/>
          </w:tcPr>
          <w:p w14:paraId="510B51A8" w14:textId="77777777" w:rsidR="00DD0977" w:rsidRPr="00DD0977" w:rsidRDefault="00DD0977" w:rsidP="00DD0977">
            <w:pPr>
              <w:spacing w:line="276" w:lineRule="auto"/>
              <w:jc w:val="left"/>
              <w:rPr>
                <w:rFonts w:cs="Arial"/>
                <w:lang w:val="en-US" w:bidi="ar-SA"/>
              </w:rPr>
            </w:pPr>
          </w:p>
        </w:tc>
        <w:tc>
          <w:tcPr>
            <w:tcW w:w="2610" w:type="dxa"/>
            <w:vMerge/>
            <w:vAlign w:val="center"/>
            <w:hideMark/>
          </w:tcPr>
          <w:p w14:paraId="3A488388" w14:textId="77777777" w:rsidR="00DD0977" w:rsidRPr="00DD0977" w:rsidRDefault="00DD0977" w:rsidP="00DD0977">
            <w:pPr>
              <w:spacing w:line="276" w:lineRule="auto"/>
              <w:jc w:val="left"/>
              <w:rPr>
                <w:rFonts w:cs="Arial"/>
                <w:lang w:val="en-US" w:bidi="ar-SA"/>
              </w:rPr>
            </w:pPr>
          </w:p>
        </w:tc>
        <w:tc>
          <w:tcPr>
            <w:tcW w:w="4410" w:type="dxa"/>
            <w:vAlign w:val="center"/>
            <w:hideMark/>
          </w:tcPr>
          <w:p w14:paraId="0AEAC8A8" w14:textId="77777777" w:rsidR="00DD0977" w:rsidRPr="00DD0977" w:rsidRDefault="00DD0977" w:rsidP="00DD0977">
            <w:pPr>
              <w:spacing w:line="276" w:lineRule="auto"/>
              <w:jc w:val="left"/>
              <w:rPr>
                <w:rFonts w:cs="Arial"/>
                <w:lang w:val="en-US" w:bidi="ar-SA"/>
              </w:rPr>
            </w:pPr>
            <w:r w:rsidRPr="00DD0977">
              <w:rPr>
                <w:rFonts w:cs="Arial"/>
                <w:lang w:val="en-US" w:bidi="ar-SA"/>
              </w:rPr>
              <w:t>Social-media greenwashing strategies</w:t>
            </w:r>
          </w:p>
        </w:tc>
        <w:tc>
          <w:tcPr>
            <w:tcW w:w="4593" w:type="dxa"/>
            <w:vAlign w:val="center"/>
            <w:hideMark/>
          </w:tcPr>
          <w:p w14:paraId="6C209D1C" w14:textId="77777777" w:rsidR="00DD0977" w:rsidRPr="00DD0977" w:rsidRDefault="00DD0977" w:rsidP="00DD0977">
            <w:pPr>
              <w:spacing w:line="276" w:lineRule="auto"/>
              <w:jc w:val="left"/>
              <w:rPr>
                <w:rFonts w:cs="Arial"/>
                <w:lang w:val="en-US" w:bidi="ar-SA"/>
              </w:rPr>
            </w:pPr>
            <w:r w:rsidRPr="00DD0977">
              <w:rPr>
                <w:rFonts w:cs="Arial"/>
                <w:lang w:val="en-US" w:bidi="ar-SA"/>
              </w:rPr>
              <w:t>Sailer, Wilfing &amp; Straus (2022)</w:t>
            </w:r>
          </w:p>
        </w:tc>
      </w:tr>
      <w:tr w:rsidR="00DD0977" w:rsidRPr="00DD0977" w14:paraId="6B5F3EC9" w14:textId="77777777" w:rsidTr="00A9343B">
        <w:tc>
          <w:tcPr>
            <w:tcW w:w="2335" w:type="dxa"/>
            <w:vMerge w:val="restart"/>
            <w:vAlign w:val="center"/>
            <w:hideMark/>
          </w:tcPr>
          <w:p w14:paraId="18C974F4" w14:textId="77777777" w:rsidR="00DD0977" w:rsidRPr="00DD0977" w:rsidRDefault="00DD0977" w:rsidP="00DD0977">
            <w:pPr>
              <w:spacing w:line="276" w:lineRule="auto"/>
              <w:jc w:val="left"/>
              <w:rPr>
                <w:rFonts w:cs="Arial"/>
                <w:lang w:val="en-US" w:bidi="ar-SA"/>
              </w:rPr>
            </w:pPr>
            <w:r w:rsidRPr="00DD0977">
              <w:rPr>
                <w:rFonts w:cs="Arial"/>
                <w:b/>
                <w:bCs/>
                <w:lang w:val="en-US" w:bidi="ar-SA"/>
              </w:rPr>
              <w:t>Symbolic &amp; Marketing-focused Greenwashing</w:t>
            </w:r>
          </w:p>
        </w:tc>
        <w:tc>
          <w:tcPr>
            <w:tcW w:w="2610" w:type="dxa"/>
            <w:vMerge w:val="restart"/>
            <w:vAlign w:val="center"/>
            <w:hideMark/>
          </w:tcPr>
          <w:p w14:paraId="03987DC6" w14:textId="77777777" w:rsidR="00DD0977" w:rsidRPr="00DD0977" w:rsidRDefault="00DD0977" w:rsidP="00DD0977">
            <w:pPr>
              <w:spacing w:line="276" w:lineRule="auto"/>
              <w:jc w:val="left"/>
              <w:rPr>
                <w:rFonts w:cs="Arial"/>
                <w:lang w:val="en-US" w:bidi="ar-SA"/>
              </w:rPr>
            </w:pPr>
            <w:r w:rsidRPr="00DD0977">
              <w:rPr>
                <w:rFonts w:cs="Arial"/>
                <w:lang w:val="en-US" w:bidi="ar-SA"/>
              </w:rPr>
              <w:t>Marketing Signals without Substance</w:t>
            </w:r>
          </w:p>
        </w:tc>
        <w:tc>
          <w:tcPr>
            <w:tcW w:w="4410" w:type="dxa"/>
            <w:vAlign w:val="center"/>
            <w:hideMark/>
          </w:tcPr>
          <w:p w14:paraId="0C1DD333" w14:textId="77777777" w:rsidR="00DD0977" w:rsidRPr="00DD0977" w:rsidRDefault="00DD0977" w:rsidP="00DD0977">
            <w:pPr>
              <w:spacing w:line="276" w:lineRule="auto"/>
              <w:jc w:val="left"/>
              <w:rPr>
                <w:rFonts w:cs="Arial"/>
                <w:lang w:val="en-US" w:bidi="ar-SA"/>
              </w:rPr>
            </w:pPr>
            <w:r w:rsidRPr="00DD0977">
              <w:rPr>
                <w:rFonts w:cs="Arial"/>
                <w:lang w:val="en-US" w:bidi="ar-SA"/>
              </w:rPr>
              <w:t>Green marketing mix with limited genuine impact</w:t>
            </w:r>
          </w:p>
        </w:tc>
        <w:tc>
          <w:tcPr>
            <w:tcW w:w="4593" w:type="dxa"/>
            <w:vAlign w:val="center"/>
            <w:hideMark/>
          </w:tcPr>
          <w:p w14:paraId="6F3BFCD4" w14:textId="71B1D4A9" w:rsidR="00DD0977" w:rsidRPr="00DD0977" w:rsidRDefault="00DD0977" w:rsidP="00DD0977">
            <w:pPr>
              <w:spacing w:line="276" w:lineRule="auto"/>
              <w:jc w:val="left"/>
              <w:rPr>
                <w:rFonts w:cs="Arial"/>
                <w:lang w:val="en-US" w:bidi="ar-SA"/>
              </w:rPr>
            </w:pPr>
            <w:r w:rsidRPr="00DD0977">
              <w:rPr>
                <w:rFonts w:cs="Arial"/>
                <w:lang w:val="en-US" w:bidi="ar-SA"/>
              </w:rPr>
              <w:t xml:space="preserve">Andria </w:t>
            </w:r>
            <w:r w:rsidR="00A7080E" w:rsidRPr="00A7080E">
              <w:rPr>
                <w:rFonts w:cs="Arial"/>
                <w:i/>
                <w:iCs/>
                <w:lang w:val="en-US" w:bidi="ar-SA"/>
              </w:rPr>
              <w:t>et al</w:t>
            </w:r>
            <w:r w:rsidRPr="00DD0977">
              <w:rPr>
                <w:rFonts w:cs="Arial"/>
                <w:lang w:val="en-US" w:bidi="ar-SA"/>
              </w:rPr>
              <w:t>. (2023)</w:t>
            </w:r>
          </w:p>
        </w:tc>
      </w:tr>
      <w:tr w:rsidR="00DD0977" w:rsidRPr="00DD0977" w14:paraId="27F82270" w14:textId="77777777" w:rsidTr="00A9343B">
        <w:tc>
          <w:tcPr>
            <w:tcW w:w="2335" w:type="dxa"/>
            <w:vMerge/>
            <w:vAlign w:val="center"/>
            <w:hideMark/>
          </w:tcPr>
          <w:p w14:paraId="3FF882E8" w14:textId="77777777" w:rsidR="00DD0977" w:rsidRPr="00DD0977" w:rsidRDefault="00DD0977" w:rsidP="00DD0977">
            <w:pPr>
              <w:spacing w:line="276" w:lineRule="auto"/>
              <w:jc w:val="left"/>
              <w:rPr>
                <w:rFonts w:cs="Arial"/>
                <w:lang w:val="en-US" w:bidi="ar-SA"/>
              </w:rPr>
            </w:pPr>
          </w:p>
        </w:tc>
        <w:tc>
          <w:tcPr>
            <w:tcW w:w="2610" w:type="dxa"/>
            <w:vMerge/>
            <w:vAlign w:val="center"/>
            <w:hideMark/>
          </w:tcPr>
          <w:p w14:paraId="3BC2C8B0" w14:textId="77777777" w:rsidR="00DD0977" w:rsidRPr="00DD0977" w:rsidRDefault="00DD0977" w:rsidP="00DD0977">
            <w:pPr>
              <w:spacing w:line="276" w:lineRule="auto"/>
              <w:jc w:val="left"/>
              <w:rPr>
                <w:rFonts w:cs="Arial"/>
                <w:lang w:val="en-US" w:bidi="ar-SA"/>
              </w:rPr>
            </w:pPr>
          </w:p>
        </w:tc>
        <w:tc>
          <w:tcPr>
            <w:tcW w:w="4410" w:type="dxa"/>
            <w:vAlign w:val="center"/>
            <w:hideMark/>
          </w:tcPr>
          <w:p w14:paraId="3A99C993" w14:textId="77777777" w:rsidR="00DD0977" w:rsidRPr="00DD0977" w:rsidRDefault="00DD0977" w:rsidP="00DD0977">
            <w:pPr>
              <w:spacing w:line="276" w:lineRule="auto"/>
              <w:jc w:val="left"/>
              <w:rPr>
                <w:rFonts w:cs="Arial"/>
                <w:lang w:val="en-US" w:bidi="ar-SA"/>
              </w:rPr>
            </w:pPr>
            <w:r w:rsidRPr="00DD0977">
              <w:rPr>
                <w:rFonts w:cs="Arial"/>
                <w:lang w:val="en-US" w:bidi="ar-SA"/>
              </w:rPr>
              <w:t>Paltering: technically true but misleading claims</w:t>
            </w:r>
          </w:p>
        </w:tc>
        <w:tc>
          <w:tcPr>
            <w:tcW w:w="4593" w:type="dxa"/>
            <w:vAlign w:val="center"/>
            <w:hideMark/>
          </w:tcPr>
          <w:p w14:paraId="38D6EABD" w14:textId="77777777" w:rsidR="00DD0977" w:rsidRPr="00DD0977" w:rsidRDefault="00DD0977" w:rsidP="00DD0977">
            <w:pPr>
              <w:spacing w:line="276" w:lineRule="auto"/>
              <w:jc w:val="left"/>
              <w:rPr>
                <w:rFonts w:cs="Arial"/>
                <w:lang w:val="en-US" w:bidi="ar-SA"/>
              </w:rPr>
            </w:pPr>
            <w:r w:rsidRPr="00DD0977">
              <w:rPr>
                <w:rFonts w:cs="Arial"/>
                <w:lang w:val="en-US" w:bidi="ar-SA"/>
              </w:rPr>
              <w:t>Goswami &amp; Jaiswal (2023)</w:t>
            </w:r>
          </w:p>
        </w:tc>
      </w:tr>
      <w:tr w:rsidR="00DD0977" w:rsidRPr="00DD0977" w14:paraId="32F4ED92" w14:textId="77777777" w:rsidTr="00A9343B">
        <w:tc>
          <w:tcPr>
            <w:tcW w:w="2335" w:type="dxa"/>
            <w:vMerge/>
            <w:vAlign w:val="center"/>
            <w:hideMark/>
          </w:tcPr>
          <w:p w14:paraId="754DEAFE" w14:textId="77777777" w:rsidR="00DD0977" w:rsidRPr="00DD0977" w:rsidRDefault="00DD0977" w:rsidP="00DD0977">
            <w:pPr>
              <w:spacing w:line="276" w:lineRule="auto"/>
              <w:jc w:val="left"/>
              <w:rPr>
                <w:rFonts w:cs="Arial"/>
                <w:lang w:val="en-US" w:bidi="ar-SA"/>
              </w:rPr>
            </w:pPr>
          </w:p>
        </w:tc>
        <w:tc>
          <w:tcPr>
            <w:tcW w:w="2610" w:type="dxa"/>
            <w:vMerge w:val="restart"/>
            <w:vAlign w:val="center"/>
            <w:hideMark/>
          </w:tcPr>
          <w:p w14:paraId="493CF6FA" w14:textId="77777777" w:rsidR="00DD0977" w:rsidRPr="00DD0977" w:rsidRDefault="00DD0977" w:rsidP="00DD0977">
            <w:pPr>
              <w:spacing w:line="276" w:lineRule="auto"/>
              <w:jc w:val="left"/>
              <w:rPr>
                <w:rFonts w:cs="Arial"/>
                <w:lang w:val="en-US" w:bidi="ar-SA"/>
              </w:rPr>
            </w:pPr>
            <w:r w:rsidRPr="00DD0977">
              <w:rPr>
                <w:rFonts w:cs="Arial"/>
                <w:lang w:val="en-US" w:bidi="ar-SA"/>
              </w:rPr>
              <w:t>Sustainability Branding</w:t>
            </w:r>
          </w:p>
        </w:tc>
        <w:tc>
          <w:tcPr>
            <w:tcW w:w="4410" w:type="dxa"/>
            <w:vAlign w:val="center"/>
            <w:hideMark/>
          </w:tcPr>
          <w:p w14:paraId="42DBB374" w14:textId="77777777" w:rsidR="00DD0977" w:rsidRPr="00DD0977" w:rsidRDefault="00DD0977" w:rsidP="00DD0977">
            <w:pPr>
              <w:spacing w:line="276" w:lineRule="auto"/>
              <w:jc w:val="left"/>
              <w:rPr>
                <w:rFonts w:cs="Arial"/>
                <w:lang w:val="en-US" w:bidi="ar-SA"/>
              </w:rPr>
            </w:pPr>
            <w:r w:rsidRPr="00DD0977">
              <w:rPr>
                <w:rFonts w:cs="Arial"/>
                <w:lang w:val="en-US" w:bidi="ar-SA"/>
              </w:rPr>
              <w:t>Eco-labels / certification without verification</w:t>
            </w:r>
          </w:p>
        </w:tc>
        <w:tc>
          <w:tcPr>
            <w:tcW w:w="4593" w:type="dxa"/>
            <w:vAlign w:val="center"/>
            <w:hideMark/>
          </w:tcPr>
          <w:p w14:paraId="018052CB" w14:textId="632C12D3" w:rsidR="00DD0977" w:rsidRPr="00DD0977" w:rsidRDefault="00DD0977" w:rsidP="00DD0977">
            <w:pPr>
              <w:spacing w:line="276" w:lineRule="auto"/>
              <w:jc w:val="left"/>
              <w:rPr>
                <w:rFonts w:cs="Arial"/>
                <w:lang w:val="en-US" w:bidi="ar-SA"/>
              </w:rPr>
            </w:pPr>
            <w:r w:rsidRPr="00DD0977">
              <w:rPr>
                <w:rFonts w:cs="Arial"/>
                <w:lang w:val="en-US" w:bidi="ar-SA"/>
              </w:rPr>
              <w:t xml:space="preserve">Dalecki (2023); Do </w:t>
            </w:r>
            <w:r w:rsidR="00A7080E" w:rsidRPr="00A7080E">
              <w:rPr>
                <w:rFonts w:cs="Arial"/>
                <w:i/>
                <w:iCs/>
                <w:lang w:val="en-US" w:bidi="ar-SA"/>
              </w:rPr>
              <w:t>et al</w:t>
            </w:r>
            <w:r w:rsidRPr="00DD0977">
              <w:rPr>
                <w:rFonts w:cs="Arial"/>
                <w:lang w:val="en-US" w:bidi="ar-SA"/>
              </w:rPr>
              <w:t>. (2025)</w:t>
            </w:r>
          </w:p>
        </w:tc>
      </w:tr>
      <w:tr w:rsidR="00DD0977" w:rsidRPr="00DD0977" w14:paraId="29F2994F" w14:textId="77777777" w:rsidTr="00A9343B">
        <w:tc>
          <w:tcPr>
            <w:tcW w:w="2335" w:type="dxa"/>
            <w:vMerge/>
            <w:vAlign w:val="center"/>
            <w:hideMark/>
          </w:tcPr>
          <w:p w14:paraId="794AB9E0" w14:textId="77777777" w:rsidR="00DD0977" w:rsidRPr="00DD0977" w:rsidRDefault="00DD0977" w:rsidP="00DD0977">
            <w:pPr>
              <w:spacing w:line="276" w:lineRule="auto"/>
              <w:jc w:val="left"/>
              <w:rPr>
                <w:rFonts w:cs="Arial"/>
                <w:lang w:val="en-US" w:bidi="ar-SA"/>
              </w:rPr>
            </w:pPr>
          </w:p>
        </w:tc>
        <w:tc>
          <w:tcPr>
            <w:tcW w:w="2610" w:type="dxa"/>
            <w:vMerge/>
            <w:vAlign w:val="center"/>
            <w:hideMark/>
          </w:tcPr>
          <w:p w14:paraId="42C9C8CA" w14:textId="77777777" w:rsidR="00DD0977" w:rsidRPr="00DD0977" w:rsidRDefault="00DD0977" w:rsidP="00DD0977">
            <w:pPr>
              <w:spacing w:line="276" w:lineRule="auto"/>
              <w:jc w:val="left"/>
              <w:rPr>
                <w:rFonts w:cs="Arial"/>
                <w:lang w:val="en-US" w:bidi="ar-SA"/>
              </w:rPr>
            </w:pPr>
          </w:p>
        </w:tc>
        <w:tc>
          <w:tcPr>
            <w:tcW w:w="4410" w:type="dxa"/>
            <w:vAlign w:val="center"/>
            <w:hideMark/>
          </w:tcPr>
          <w:p w14:paraId="5228B9BC" w14:textId="77777777" w:rsidR="00DD0977" w:rsidRPr="00DD0977" w:rsidRDefault="00DD0977" w:rsidP="00DD0977">
            <w:pPr>
              <w:spacing w:line="276" w:lineRule="auto"/>
              <w:jc w:val="left"/>
              <w:rPr>
                <w:rFonts w:cs="Arial"/>
                <w:lang w:val="en-US" w:bidi="ar-SA"/>
              </w:rPr>
            </w:pPr>
            <w:r w:rsidRPr="00DD0977">
              <w:rPr>
                <w:rFonts w:cs="Arial"/>
                <w:lang w:val="en-US" w:bidi="ar-SA"/>
              </w:rPr>
              <w:t>Cross-channel sustainability messaging inconsistency</w:t>
            </w:r>
          </w:p>
        </w:tc>
        <w:tc>
          <w:tcPr>
            <w:tcW w:w="4593" w:type="dxa"/>
            <w:vAlign w:val="center"/>
            <w:hideMark/>
          </w:tcPr>
          <w:p w14:paraId="7F6A3EA7" w14:textId="6E620F3D" w:rsidR="00DD0977" w:rsidRPr="00DD0977" w:rsidRDefault="00DD0977" w:rsidP="00DD0977">
            <w:pPr>
              <w:spacing w:line="276" w:lineRule="auto"/>
              <w:jc w:val="left"/>
              <w:rPr>
                <w:rFonts w:cs="Arial"/>
                <w:lang w:val="en-US" w:bidi="ar-SA"/>
              </w:rPr>
            </w:pPr>
            <w:r w:rsidRPr="00DD0977">
              <w:rPr>
                <w:rFonts w:cs="Arial"/>
                <w:lang w:val="en-US" w:bidi="ar-SA"/>
              </w:rPr>
              <w:t xml:space="preserve">Garcia-Ortega </w:t>
            </w:r>
            <w:r w:rsidR="00A7080E" w:rsidRPr="00A7080E">
              <w:rPr>
                <w:rFonts w:cs="Arial"/>
                <w:i/>
                <w:iCs/>
                <w:lang w:val="en-US" w:bidi="ar-SA"/>
              </w:rPr>
              <w:t>et al</w:t>
            </w:r>
            <w:r w:rsidRPr="00DD0977">
              <w:rPr>
                <w:rFonts w:cs="Arial"/>
                <w:lang w:val="en-US" w:bidi="ar-SA"/>
              </w:rPr>
              <w:t>. (2025)</w:t>
            </w:r>
          </w:p>
        </w:tc>
      </w:tr>
      <w:tr w:rsidR="00DD0977" w:rsidRPr="00DD0977" w14:paraId="29DE5D4B" w14:textId="77777777" w:rsidTr="00A9343B">
        <w:tc>
          <w:tcPr>
            <w:tcW w:w="2335" w:type="dxa"/>
            <w:vMerge w:val="restart"/>
            <w:vAlign w:val="center"/>
            <w:hideMark/>
          </w:tcPr>
          <w:p w14:paraId="5AF0434A" w14:textId="77777777" w:rsidR="00DD0977" w:rsidRPr="00DD0977" w:rsidRDefault="00DD0977" w:rsidP="00DD0977">
            <w:pPr>
              <w:spacing w:line="276" w:lineRule="auto"/>
              <w:jc w:val="left"/>
              <w:rPr>
                <w:rFonts w:cs="Arial"/>
                <w:lang w:val="en-US" w:bidi="ar-SA"/>
              </w:rPr>
            </w:pPr>
            <w:r w:rsidRPr="00DD0977">
              <w:rPr>
                <w:rFonts w:cs="Arial"/>
                <w:b/>
                <w:bCs/>
                <w:lang w:val="en-US" w:bidi="ar-SA"/>
              </w:rPr>
              <w:t>Prevalence &amp; Consumer Impact</w:t>
            </w:r>
          </w:p>
        </w:tc>
        <w:tc>
          <w:tcPr>
            <w:tcW w:w="2610" w:type="dxa"/>
            <w:vMerge w:val="restart"/>
            <w:vAlign w:val="center"/>
            <w:hideMark/>
          </w:tcPr>
          <w:p w14:paraId="4E5254AF" w14:textId="77777777" w:rsidR="00DD0977" w:rsidRPr="00DD0977" w:rsidRDefault="00DD0977" w:rsidP="00DD0977">
            <w:pPr>
              <w:spacing w:line="276" w:lineRule="auto"/>
              <w:jc w:val="left"/>
              <w:rPr>
                <w:rFonts w:cs="Arial"/>
                <w:lang w:val="en-US" w:bidi="ar-SA"/>
              </w:rPr>
            </w:pPr>
            <w:r w:rsidRPr="00DD0977">
              <w:rPr>
                <w:rFonts w:cs="Arial"/>
                <w:lang w:val="en-US" w:bidi="ar-SA"/>
              </w:rPr>
              <w:t>Sectoral Patterns</w:t>
            </w:r>
          </w:p>
        </w:tc>
        <w:tc>
          <w:tcPr>
            <w:tcW w:w="4410" w:type="dxa"/>
            <w:vAlign w:val="center"/>
            <w:hideMark/>
          </w:tcPr>
          <w:p w14:paraId="47879F81" w14:textId="77777777" w:rsidR="00DD0977" w:rsidRPr="00DD0977" w:rsidRDefault="00DD0977" w:rsidP="00DD0977">
            <w:pPr>
              <w:spacing w:line="276" w:lineRule="auto"/>
              <w:jc w:val="left"/>
              <w:rPr>
                <w:rFonts w:cs="Arial"/>
                <w:lang w:val="en-US" w:bidi="ar-SA"/>
              </w:rPr>
            </w:pPr>
            <w:r w:rsidRPr="00DD0977">
              <w:rPr>
                <w:rFonts w:cs="Arial"/>
                <w:lang w:val="en-US" w:bidi="ar-SA"/>
              </w:rPr>
              <w:t>Fast-fashion greenwashing</w:t>
            </w:r>
          </w:p>
        </w:tc>
        <w:tc>
          <w:tcPr>
            <w:tcW w:w="4593" w:type="dxa"/>
            <w:vAlign w:val="center"/>
            <w:hideMark/>
          </w:tcPr>
          <w:p w14:paraId="38FF0137" w14:textId="77777777" w:rsidR="00DD0977" w:rsidRPr="00DD0977" w:rsidRDefault="00DD0977" w:rsidP="00DD0977">
            <w:pPr>
              <w:spacing w:line="276" w:lineRule="auto"/>
              <w:jc w:val="left"/>
              <w:rPr>
                <w:rFonts w:cs="Arial"/>
                <w:lang w:val="en-US" w:bidi="ar-SA"/>
              </w:rPr>
            </w:pPr>
            <w:r w:rsidRPr="00DD0977">
              <w:rPr>
                <w:rFonts w:cs="Arial"/>
                <w:lang w:val="en-US" w:bidi="ar-SA"/>
              </w:rPr>
              <w:t xml:space="preserve">Haque &amp; Lang (2025); Marko &amp; </w:t>
            </w:r>
            <w:proofErr w:type="spellStart"/>
            <w:r w:rsidRPr="00DD0977">
              <w:rPr>
                <w:rFonts w:cs="Arial"/>
                <w:lang w:val="en-US" w:bidi="ar-SA"/>
              </w:rPr>
              <w:t>Kusá</w:t>
            </w:r>
            <w:proofErr w:type="spellEnd"/>
            <w:r w:rsidRPr="00DD0977">
              <w:rPr>
                <w:rFonts w:cs="Arial"/>
                <w:lang w:val="en-US" w:bidi="ar-SA"/>
              </w:rPr>
              <w:t xml:space="preserve"> (2023)</w:t>
            </w:r>
          </w:p>
        </w:tc>
      </w:tr>
      <w:tr w:rsidR="00DD0977" w:rsidRPr="00DD0977" w14:paraId="696C0289" w14:textId="77777777" w:rsidTr="00A9343B">
        <w:tc>
          <w:tcPr>
            <w:tcW w:w="2335" w:type="dxa"/>
            <w:vMerge/>
            <w:vAlign w:val="center"/>
            <w:hideMark/>
          </w:tcPr>
          <w:p w14:paraId="52ADD692" w14:textId="77777777" w:rsidR="00DD0977" w:rsidRPr="00DD0977" w:rsidRDefault="00DD0977" w:rsidP="00DD0977">
            <w:pPr>
              <w:spacing w:line="276" w:lineRule="auto"/>
              <w:jc w:val="left"/>
              <w:rPr>
                <w:rFonts w:cs="Arial"/>
                <w:lang w:val="en-US" w:bidi="ar-SA"/>
              </w:rPr>
            </w:pPr>
          </w:p>
        </w:tc>
        <w:tc>
          <w:tcPr>
            <w:tcW w:w="2610" w:type="dxa"/>
            <w:vMerge/>
            <w:vAlign w:val="center"/>
            <w:hideMark/>
          </w:tcPr>
          <w:p w14:paraId="720D6E16" w14:textId="77777777" w:rsidR="00DD0977" w:rsidRPr="00DD0977" w:rsidRDefault="00DD0977" w:rsidP="00DD0977">
            <w:pPr>
              <w:spacing w:line="276" w:lineRule="auto"/>
              <w:jc w:val="left"/>
              <w:rPr>
                <w:rFonts w:cs="Arial"/>
                <w:lang w:val="en-US" w:bidi="ar-SA"/>
              </w:rPr>
            </w:pPr>
          </w:p>
        </w:tc>
        <w:tc>
          <w:tcPr>
            <w:tcW w:w="4410" w:type="dxa"/>
            <w:vAlign w:val="center"/>
            <w:hideMark/>
          </w:tcPr>
          <w:p w14:paraId="08453409" w14:textId="77777777" w:rsidR="00DD0977" w:rsidRPr="00DD0977" w:rsidRDefault="00DD0977" w:rsidP="00DD0977">
            <w:pPr>
              <w:spacing w:line="276" w:lineRule="auto"/>
              <w:jc w:val="left"/>
              <w:rPr>
                <w:rFonts w:cs="Arial"/>
                <w:lang w:val="en-US" w:bidi="ar-SA"/>
              </w:rPr>
            </w:pPr>
            <w:r w:rsidRPr="00DD0977">
              <w:rPr>
                <w:rFonts w:cs="Arial"/>
                <w:lang w:val="en-US" w:bidi="ar-SA"/>
              </w:rPr>
              <w:t>EU legal prevalence of greenwashing</w:t>
            </w:r>
          </w:p>
        </w:tc>
        <w:tc>
          <w:tcPr>
            <w:tcW w:w="4593" w:type="dxa"/>
            <w:vAlign w:val="center"/>
            <w:hideMark/>
          </w:tcPr>
          <w:p w14:paraId="61EA026D" w14:textId="77777777" w:rsidR="00DD0977" w:rsidRPr="00DD0977" w:rsidRDefault="00DD0977" w:rsidP="00DD0977">
            <w:pPr>
              <w:spacing w:line="276" w:lineRule="auto"/>
              <w:jc w:val="left"/>
              <w:rPr>
                <w:rFonts w:cs="Arial"/>
                <w:lang w:val="en-US" w:bidi="ar-SA"/>
              </w:rPr>
            </w:pPr>
            <w:r w:rsidRPr="00DD0977">
              <w:rPr>
                <w:rFonts w:cs="Arial"/>
                <w:lang w:val="en-US" w:bidi="ar-SA"/>
              </w:rPr>
              <w:t>Pozzo (2023)</w:t>
            </w:r>
          </w:p>
        </w:tc>
      </w:tr>
      <w:tr w:rsidR="00DD0977" w:rsidRPr="00A7080E" w14:paraId="0DA5BF39" w14:textId="77777777" w:rsidTr="00A9343B">
        <w:tc>
          <w:tcPr>
            <w:tcW w:w="2335" w:type="dxa"/>
            <w:vMerge/>
            <w:vAlign w:val="center"/>
            <w:hideMark/>
          </w:tcPr>
          <w:p w14:paraId="6FAA3408" w14:textId="77777777" w:rsidR="00DD0977" w:rsidRPr="00DD0977" w:rsidRDefault="00DD0977" w:rsidP="00DD0977">
            <w:pPr>
              <w:spacing w:line="276" w:lineRule="auto"/>
              <w:jc w:val="left"/>
              <w:rPr>
                <w:rFonts w:cs="Arial"/>
                <w:lang w:val="en-US" w:bidi="ar-SA"/>
              </w:rPr>
            </w:pPr>
          </w:p>
        </w:tc>
        <w:tc>
          <w:tcPr>
            <w:tcW w:w="2610" w:type="dxa"/>
            <w:vMerge w:val="restart"/>
            <w:vAlign w:val="center"/>
            <w:hideMark/>
          </w:tcPr>
          <w:p w14:paraId="6F9B172E" w14:textId="77777777" w:rsidR="00DD0977" w:rsidRPr="00DD0977" w:rsidRDefault="00DD0977" w:rsidP="00DD0977">
            <w:pPr>
              <w:spacing w:line="276" w:lineRule="auto"/>
              <w:jc w:val="left"/>
              <w:rPr>
                <w:rFonts w:cs="Arial"/>
                <w:lang w:val="en-US" w:bidi="ar-SA"/>
              </w:rPr>
            </w:pPr>
            <w:r w:rsidRPr="00DD0977">
              <w:rPr>
                <w:rFonts w:cs="Arial"/>
                <w:lang w:val="en-US" w:bidi="ar-SA"/>
              </w:rPr>
              <w:t>Consumer Perception &amp; Behaviour</w:t>
            </w:r>
          </w:p>
        </w:tc>
        <w:tc>
          <w:tcPr>
            <w:tcW w:w="4410" w:type="dxa"/>
            <w:vAlign w:val="center"/>
            <w:hideMark/>
          </w:tcPr>
          <w:p w14:paraId="2BD53EB7" w14:textId="77777777" w:rsidR="00DD0977" w:rsidRPr="00DD0977" w:rsidRDefault="00DD0977" w:rsidP="00DD0977">
            <w:pPr>
              <w:spacing w:line="276" w:lineRule="auto"/>
              <w:jc w:val="left"/>
              <w:rPr>
                <w:rFonts w:cs="Arial"/>
                <w:lang w:val="en-US" w:bidi="ar-SA"/>
              </w:rPr>
            </w:pPr>
            <w:proofErr w:type="spellStart"/>
            <w:r w:rsidRPr="00DD0977">
              <w:rPr>
                <w:rFonts w:cs="Arial"/>
                <w:lang w:val="en-US" w:bidi="ar-SA"/>
              </w:rPr>
              <w:t>Scepticism</w:t>
            </w:r>
            <w:proofErr w:type="spellEnd"/>
            <w:r w:rsidRPr="00DD0977">
              <w:rPr>
                <w:rFonts w:cs="Arial"/>
                <w:lang w:val="en-US" w:bidi="ar-SA"/>
              </w:rPr>
              <w:t xml:space="preserve"> affecting trust and purchase intention</w:t>
            </w:r>
          </w:p>
        </w:tc>
        <w:tc>
          <w:tcPr>
            <w:tcW w:w="4593" w:type="dxa"/>
            <w:vAlign w:val="center"/>
            <w:hideMark/>
          </w:tcPr>
          <w:p w14:paraId="2ED3C7D3" w14:textId="4E465595" w:rsidR="00DD0977" w:rsidRPr="00DD0977" w:rsidRDefault="00DD0977" w:rsidP="00DD0977">
            <w:pPr>
              <w:spacing w:line="276" w:lineRule="auto"/>
              <w:jc w:val="left"/>
              <w:rPr>
                <w:rFonts w:cs="Arial"/>
                <w:lang w:val="nl-NL" w:bidi="ar-SA"/>
              </w:rPr>
            </w:pPr>
            <w:r w:rsidRPr="00DD0977">
              <w:rPr>
                <w:rFonts w:cs="Arial"/>
                <w:lang w:val="nl-NL" w:bidi="ar-SA"/>
              </w:rPr>
              <w:t xml:space="preserve">Lu </w:t>
            </w:r>
            <w:r w:rsidR="00A7080E" w:rsidRPr="00A7080E">
              <w:rPr>
                <w:rFonts w:cs="Arial"/>
                <w:i/>
                <w:iCs/>
                <w:lang w:val="nl-NL" w:bidi="ar-SA"/>
              </w:rPr>
              <w:t>et al</w:t>
            </w:r>
            <w:r w:rsidRPr="00DD0977">
              <w:rPr>
                <w:rFonts w:cs="Arial"/>
                <w:lang w:val="nl-NL" w:bidi="ar-SA"/>
              </w:rPr>
              <w:t xml:space="preserve">. (2022); Policarpo </w:t>
            </w:r>
            <w:r w:rsidR="00A7080E" w:rsidRPr="00A7080E">
              <w:rPr>
                <w:rFonts w:cs="Arial"/>
                <w:i/>
                <w:iCs/>
                <w:lang w:val="nl-NL" w:bidi="ar-SA"/>
              </w:rPr>
              <w:t>et al</w:t>
            </w:r>
            <w:r w:rsidRPr="00DD0977">
              <w:rPr>
                <w:rFonts w:cs="Arial"/>
                <w:lang w:val="nl-NL" w:bidi="ar-SA"/>
              </w:rPr>
              <w:t>. (2023)</w:t>
            </w:r>
          </w:p>
        </w:tc>
      </w:tr>
      <w:tr w:rsidR="00DD0977" w:rsidRPr="00DD0977" w14:paraId="7A4192FC" w14:textId="77777777" w:rsidTr="00A9343B">
        <w:tc>
          <w:tcPr>
            <w:tcW w:w="2335" w:type="dxa"/>
            <w:vMerge/>
            <w:vAlign w:val="center"/>
            <w:hideMark/>
          </w:tcPr>
          <w:p w14:paraId="2AA5B1D2" w14:textId="77777777" w:rsidR="00DD0977" w:rsidRPr="00DD0977" w:rsidRDefault="00DD0977" w:rsidP="00DD0977">
            <w:pPr>
              <w:spacing w:line="276" w:lineRule="auto"/>
              <w:jc w:val="left"/>
              <w:rPr>
                <w:rFonts w:cs="Arial"/>
                <w:lang w:val="nl-NL" w:bidi="ar-SA"/>
              </w:rPr>
            </w:pPr>
          </w:p>
        </w:tc>
        <w:tc>
          <w:tcPr>
            <w:tcW w:w="2610" w:type="dxa"/>
            <w:vMerge/>
            <w:vAlign w:val="center"/>
            <w:hideMark/>
          </w:tcPr>
          <w:p w14:paraId="31A37D09" w14:textId="77777777" w:rsidR="00DD0977" w:rsidRPr="00DD0977" w:rsidRDefault="00DD0977" w:rsidP="00DD0977">
            <w:pPr>
              <w:spacing w:line="276" w:lineRule="auto"/>
              <w:jc w:val="left"/>
              <w:rPr>
                <w:rFonts w:cs="Arial"/>
                <w:lang w:val="nl-NL" w:bidi="ar-SA"/>
              </w:rPr>
            </w:pPr>
          </w:p>
        </w:tc>
        <w:tc>
          <w:tcPr>
            <w:tcW w:w="4410" w:type="dxa"/>
            <w:vAlign w:val="center"/>
            <w:hideMark/>
          </w:tcPr>
          <w:p w14:paraId="6800A180" w14:textId="77777777" w:rsidR="00DD0977" w:rsidRPr="00DD0977" w:rsidRDefault="00DD0977" w:rsidP="00DD0977">
            <w:pPr>
              <w:spacing w:line="276" w:lineRule="auto"/>
              <w:jc w:val="left"/>
              <w:rPr>
                <w:rFonts w:cs="Arial"/>
                <w:lang w:val="en-US" w:bidi="ar-SA"/>
              </w:rPr>
            </w:pPr>
            <w:r w:rsidRPr="00DD0977">
              <w:rPr>
                <w:rFonts w:cs="Arial"/>
                <w:lang w:val="en-US" w:bidi="ar-SA"/>
              </w:rPr>
              <w:t>Negative word-of-mouth and reputation damage</w:t>
            </w:r>
          </w:p>
        </w:tc>
        <w:tc>
          <w:tcPr>
            <w:tcW w:w="4593" w:type="dxa"/>
            <w:vAlign w:val="center"/>
            <w:hideMark/>
          </w:tcPr>
          <w:p w14:paraId="7B40A687" w14:textId="77777777" w:rsidR="00DD0977" w:rsidRPr="00DD0977" w:rsidRDefault="00DD0977" w:rsidP="00DD0977">
            <w:pPr>
              <w:spacing w:line="276" w:lineRule="auto"/>
              <w:jc w:val="left"/>
              <w:rPr>
                <w:rFonts w:cs="Arial"/>
                <w:lang w:val="en-US" w:bidi="ar-SA"/>
              </w:rPr>
            </w:pPr>
            <w:proofErr w:type="spellStart"/>
            <w:r w:rsidRPr="00DD0977">
              <w:rPr>
                <w:rFonts w:cs="Arial"/>
                <w:lang w:val="en-US" w:bidi="ar-SA"/>
              </w:rPr>
              <w:t>Promalessy</w:t>
            </w:r>
            <w:proofErr w:type="spellEnd"/>
            <w:r w:rsidRPr="00DD0977">
              <w:rPr>
                <w:rFonts w:cs="Arial"/>
                <w:lang w:val="en-US" w:bidi="ar-SA"/>
              </w:rPr>
              <w:t xml:space="preserve"> &amp; </w:t>
            </w:r>
            <w:proofErr w:type="spellStart"/>
            <w:r w:rsidRPr="00DD0977">
              <w:rPr>
                <w:rFonts w:cs="Arial"/>
                <w:lang w:val="en-US" w:bidi="ar-SA"/>
              </w:rPr>
              <w:t>Handriana</w:t>
            </w:r>
            <w:proofErr w:type="spellEnd"/>
            <w:r w:rsidRPr="00DD0977">
              <w:rPr>
                <w:rFonts w:cs="Arial"/>
                <w:lang w:val="en-US" w:bidi="ar-SA"/>
              </w:rPr>
              <w:t xml:space="preserve"> (2024)</w:t>
            </w:r>
          </w:p>
        </w:tc>
      </w:tr>
    </w:tbl>
    <w:p w14:paraId="393A196F" w14:textId="29ADF95B" w:rsidR="008E2284" w:rsidRDefault="008019B4" w:rsidP="008019B4">
      <w:pPr>
        <w:pStyle w:val="Heading3"/>
        <w:spacing w:before="240"/>
      </w:pPr>
      <w:bookmarkStart w:id="45" w:name="_Toc214979400"/>
      <w:r w:rsidRPr="008019B4">
        <w:lastRenderedPageBreak/>
        <w:t>Authentic versus Deceptive Sustainability Practices: Key Gaps and Strategic Insights (RQ3)</w:t>
      </w:r>
      <w:bookmarkEnd w:id="45"/>
    </w:p>
    <w:p w14:paraId="69655817" w14:textId="0D9977CC" w:rsidR="00AB6AC0" w:rsidRPr="00AB6AC0" w:rsidRDefault="00AB6AC0" w:rsidP="00AB6AC0">
      <w:pPr>
        <w:rPr>
          <w:lang w:val="en-US"/>
        </w:rPr>
      </w:pPr>
      <w:r>
        <w:t>The table summarises fifty studies included in this systematic review, organised into four key themes: Authentic Sustainability Practices, Instances of Greenwashing, Identified Gaps, and Strategic Recommendations. Each study is presented with sub-themes, specific codes or insights, and citations, providing a structured overview of authentic versus deceptive sustainability practices in the fashion industry (RQ3). This summary highlights patterns, gaps, and actionable strategies, forming the basis for the subsequent detailed discussion and synthesis.</w:t>
      </w:r>
    </w:p>
    <w:tbl>
      <w:tblPr>
        <w:tblStyle w:val="TableGridLight"/>
        <w:tblW w:w="0" w:type="auto"/>
        <w:tblLook w:val="04A0" w:firstRow="1" w:lastRow="0" w:firstColumn="1" w:lastColumn="0" w:noHBand="0" w:noVBand="1"/>
      </w:tblPr>
      <w:tblGrid>
        <w:gridCol w:w="2364"/>
        <w:gridCol w:w="2491"/>
        <w:gridCol w:w="4461"/>
        <w:gridCol w:w="4632"/>
      </w:tblGrid>
      <w:tr w:rsidR="008019B4" w:rsidRPr="008E2284" w14:paraId="70AF878C" w14:textId="77777777" w:rsidTr="00A9343B">
        <w:tc>
          <w:tcPr>
            <w:tcW w:w="2364" w:type="dxa"/>
            <w:vAlign w:val="center"/>
            <w:hideMark/>
          </w:tcPr>
          <w:p w14:paraId="0BBE246B" w14:textId="77777777" w:rsidR="008E2284" w:rsidRPr="008E2284" w:rsidRDefault="008E2284" w:rsidP="008E2284">
            <w:pPr>
              <w:spacing w:line="276" w:lineRule="auto"/>
              <w:jc w:val="left"/>
              <w:rPr>
                <w:b/>
                <w:bCs/>
                <w:lang w:val="en-US" w:bidi="ar-SA"/>
              </w:rPr>
            </w:pPr>
            <w:r w:rsidRPr="008E2284">
              <w:rPr>
                <w:b/>
                <w:bCs/>
                <w:lang w:val="en-US" w:bidi="ar-SA"/>
              </w:rPr>
              <w:t>Theme</w:t>
            </w:r>
          </w:p>
        </w:tc>
        <w:tc>
          <w:tcPr>
            <w:tcW w:w="2491" w:type="dxa"/>
            <w:vAlign w:val="center"/>
            <w:hideMark/>
          </w:tcPr>
          <w:p w14:paraId="1887CB41" w14:textId="77777777" w:rsidR="008E2284" w:rsidRPr="008E2284" w:rsidRDefault="008E2284" w:rsidP="008E2284">
            <w:pPr>
              <w:spacing w:line="276" w:lineRule="auto"/>
              <w:jc w:val="left"/>
              <w:rPr>
                <w:b/>
                <w:bCs/>
                <w:lang w:val="en-US" w:bidi="ar-SA"/>
              </w:rPr>
            </w:pPr>
            <w:r w:rsidRPr="008E2284">
              <w:rPr>
                <w:b/>
                <w:bCs/>
                <w:lang w:val="en-US" w:bidi="ar-SA"/>
              </w:rPr>
              <w:t>Sub-theme</w:t>
            </w:r>
          </w:p>
        </w:tc>
        <w:tc>
          <w:tcPr>
            <w:tcW w:w="4461" w:type="dxa"/>
            <w:vAlign w:val="center"/>
            <w:hideMark/>
          </w:tcPr>
          <w:p w14:paraId="2C8D40CD" w14:textId="77777777" w:rsidR="008E2284" w:rsidRPr="008E2284" w:rsidRDefault="008E2284" w:rsidP="008E2284">
            <w:pPr>
              <w:spacing w:line="276" w:lineRule="auto"/>
              <w:jc w:val="left"/>
              <w:rPr>
                <w:b/>
                <w:bCs/>
                <w:lang w:val="en-US" w:bidi="ar-SA"/>
              </w:rPr>
            </w:pPr>
            <w:r w:rsidRPr="008E2284">
              <w:rPr>
                <w:b/>
                <w:bCs/>
                <w:lang w:val="en-US" w:bidi="ar-SA"/>
              </w:rPr>
              <w:t>Code / Insight</w:t>
            </w:r>
          </w:p>
        </w:tc>
        <w:tc>
          <w:tcPr>
            <w:tcW w:w="4632" w:type="dxa"/>
            <w:vAlign w:val="center"/>
            <w:hideMark/>
          </w:tcPr>
          <w:p w14:paraId="41FBB730" w14:textId="77777777" w:rsidR="008E2284" w:rsidRPr="008E2284" w:rsidRDefault="008E2284" w:rsidP="008E2284">
            <w:pPr>
              <w:spacing w:line="276" w:lineRule="auto"/>
              <w:jc w:val="left"/>
              <w:rPr>
                <w:b/>
                <w:bCs/>
                <w:lang w:val="en-US" w:bidi="ar-SA"/>
              </w:rPr>
            </w:pPr>
            <w:r w:rsidRPr="008E2284">
              <w:rPr>
                <w:b/>
                <w:bCs/>
                <w:lang w:val="en-US" w:bidi="ar-SA"/>
              </w:rPr>
              <w:t>Citation</w:t>
            </w:r>
          </w:p>
        </w:tc>
      </w:tr>
      <w:tr w:rsidR="008E2284" w:rsidRPr="008E2284" w14:paraId="33D02A59" w14:textId="77777777" w:rsidTr="00A9343B">
        <w:trPr>
          <w:trHeight w:val="1584"/>
        </w:trPr>
        <w:tc>
          <w:tcPr>
            <w:tcW w:w="2364" w:type="dxa"/>
            <w:vMerge w:val="restart"/>
            <w:vAlign w:val="center"/>
            <w:hideMark/>
          </w:tcPr>
          <w:p w14:paraId="18F00145" w14:textId="4184AA3F" w:rsidR="00DD0977" w:rsidRPr="008E2284" w:rsidRDefault="008E2284" w:rsidP="008E2284">
            <w:pPr>
              <w:spacing w:line="276" w:lineRule="auto"/>
              <w:jc w:val="left"/>
              <w:rPr>
                <w:b/>
                <w:bCs/>
                <w:lang w:val="en-US" w:bidi="ar-SA"/>
              </w:rPr>
            </w:pPr>
            <w:r w:rsidRPr="008E2284">
              <w:rPr>
                <w:b/>
                <w:bCs/>
                <w:lang w:val="en-US" w:bidi="ar-SA"/>
              </w:rPr>
              <w:t>Authentic Sustainability Practices</w:t>
            </w:r>
          </w:p>
        </w:tc>
        <w:tc>
          <w:tcPr>
            <w:tcW w:w="2491" w:type="dxa"/>
            <w:vMerge w:val="restart"/>
            <w:vAlign w:val="center"/>
            <w:hideMark/>
          </w:tcPr>
          <w:p w14:paraId="4A6D6DD6" w14:textId="77777777" w:rsidR="008E2284" w:rsidRPr="008E2284" w:rsidRDefault="008E2284" w:rsidP="008E2284">
            <w:pPr>
              <w:spacing w:line="276" w:lineRule="auto"/>
              <w:jc w:val="left"/>
              <w:rPr>
                <w:lang w:val="en-US" w:bidi="ar-SA"/>
              </w:rPr>
            </w:pPr>
            <w:r w:rsidRPr="008E2284">
              <w:rPr>
                <w:lang w:val="en-US" w:bidi="ar-SA"/>
              </w:rPr>
              <w:t>Genuine Environmental &amp; Social Initiatives</w:t>
            </w:r>
          </w:p>
        </w:tc>
        <w:tc>
          <w:tcPr>
            <w:tcW w:w="4461" w:type="dxa"/>
            <w:vAlign w:val="center"/>
            <w:hideMark/>
          </w:tcPr>
          <w:p w14:paraId="631B864E" w14:textId="77777777" w:rsidR="008E2284" w:rsidRPr="008E2284" w:rsidRDefault="008E2284" w:rsidP="008E2284">
            <w:pPr>
              <w:spacing w:line="276" w:lineRule="auto"/>
              <w:jc w:val="left"/>
              <w:rPr>
                <w:lang w:val="en-US" w:bidi="ar-SA"/>
              </w:rPr>
            </w:pPr>
            <w:r w:rsidRPr="008E2284">
              <w:rPr>
                <w:lang w:val="en-US" w:bidi="ar-SA"/>
              </w:rPr>
              <w:t>Circularity and resource efficiency practices</w:t>
            </w:r>
          </w:p>
        </w:tc>
        <w:tc>
          <w:tcPr>
            <w:tcW w:w="4632" w:type="dxa"/>
            <w:vAlign w:val="center"/>
            <w:hideMark/>
          </w:tcPr>
          <w:p w14:paraId="31FC36D4" w14:textId="77777777" w:rsidR="008E2284" w:rsidRPr="008E2284" w:rsidRDefault="008E2284" w:rsidP="008E2284">
            <w:pPr>
              <w:spacing w:line="276" w:lineRule="auto"/>
              <w:jc w:val="left"/>
              <w:rPr>
                <w:lang w:val="en-US" w:bidi="ar-SA"/>
              </w:rPr>
            </w:pPr>
            <w:r w:rsidRPr="008E2284">
              <w:rPr>
                <w:lang w:val="en-US" w:bidi="ar-SA"/>
              </w:rPr>
              <w:t>Burnstine &amp; Ghattas (2025); Mofokeng (2025)</w:t>
            </w:r>
          </w:p>
        </w:tc>
      </w:tr>
      <w:tr w:rsidR="008E2284" w:rsidRPr="008E2284" w14:paraId="5F0491DC" w14:textId="77777777" w:rsidTr="00A9343B">
        <w:tc>
          <w:tcPr>
            <w:tcW w:w="2364" w:type="dxa"/>
            <w:vMerge/>
            <w:vAlign w:val="center"/>
            <w:hideMark/>
          </w:tcPr>
          <w:p w14:paraId="53F56F2C" w14:textId="77777777" w:rsidR="008E2284" w:rsidRPr="008E2284" w:rsidRDefault="008E2284" w:rsidP="008E2284">
            <w:pPr>
              <w:spacing w:line="276" w:lineRule="auto"/>
              <w:jc w:val="left"/>
              <w:rPr>
                <w:lang w:val="en-US" w:bidi="ar-SA"/>
              </w:rPr>
            </w:pPr>
          </w:p>
        </w:tc>
        <w:tc>
          <w:tcPr>
            <w:tcW w:w="2491" w:type="dxa"/>
            <w:vMerge/>
            <w:vAlign w:val="center"/>
            <w:hideMark/>
          </w:tcPr>
          <w:p w14:paraId="09B6D8D5" w14:textId="77777777" w:rsidR="008E2284" w:rsidRPr="008E2284" w:rsidRDefault="008E2284" w:rsidP="008E2284">
            <w:pPr>
              <w:spacing w:line="276" w:lineRule="auto"/>
              <w:jc w:val="left"/>
              <w:rPr>
                <w:lang w:val="en-US" w:bidi="ar-SA"/>
              </w:rPr>
            </w:pPr>
          </w:p>
        </w:tc>
        <w:tc>
          <w:tcPr>
            <w:tcW w:w="4461" w:type="dxa"/>
            <w:vAlign w:val="center"/>
            <w:hideMark/>
          </w:tcPr>
          <w:p w14:paraId="46A921CB" w14:textId="77777777" w:rsidR="008E2284" w:rsidRPr="008E2284" w:rsidRDefault="008E2284" w:rsidP="008E2284">
            <w:pPr>
              <w:spacing w:line="276" w:lineRule="auto"/>
              <w:jc w:val="left"/>
              <w:rPr>
                <w:lang w:val="en-US" w:bidi="ar-SA"/>
              </w:rPr>
            </w:pPr>
            <w:r w:rsidRPr="008E2284">
              <w:rPr>
                <w:lang w:val="en-US" w:bidi="ar-SA"/>
              </w:rPr>
              <w:t>Green innovation (GINO) and sustainable production</w:t>
            </w:r>
          </w:p>
        </w:tc>
        <w:tc>
          <w:tcPr>
            <w:tcW w:w="4632" w:type="dxa"/>
            <w:vAlign w:val="center"/>
            <w:hideMark/>
          </w:tcPr>
          <w:p w14:paraId="61824E59" w14:textId="77777777" w:rsidR="008E2284" w:rsidRPr="008E2284" w:rsidRDefault="008E2284" w:rsidP="008E2284">
            <w:pPr>
              <w:spacing w:line="276" w:lineRule="auto"/>
              <w:jc w:val="left"/>
              <w:rPr>
                <w:lang w:val="en-US" w:bidi="ar-SA"/>
              </w:rPr>
            </w:pPr>
            <w:proofErr w:type="spellStart"/>
            <w:r w:rsidRPr="008E2284">
              <w:rPr>
                <w:lang w:val="en-US" w:bidi="ar-SA"/>
              </w:rPr>
              <w:t>Habtemaryam</w:t>
            </w:r>
            <w:proofErr w:type="spellEnd"/>
            <w:r w:rsidRPr="008E2284">
              <w:rPr>
                <w:lang w:val="en-US" w:bidi="ar-SA"/>
              </w:rPr>
              <w:t xml:space="preserve">, </w:t>
            </w:r>
            <w:proofErr w:type="spellStart"/>
            <w:r w:rsidRPr="008E2284">
              <w:rPr>
                <w:lang w:val="en-US" w:bidi="ar-SA"/>
              </w:rPr>
              <w:t>Degoma</w:t>
            </w:r>
            <w:proofErr w:type="spellEnd"/>
            <w:r w:rsidRPr="008E2284">
              <w:rPr>
                <w:lang w:val="en-US" w:bidi="ar-SA"/>
              </w:rPr>
              <w:t xml:space="preserve"> &amp; </w:t>
            </w:r>
            <w:proofErr w:type="spellStart"/>
            <w:r w:rsidRPr="008E2284">
              <w:rPr>
                <w:lang w:val="en-US" w:bidi="ar-SA"/>
              </w:rPr>
              <w:t>Tsegaye</w:t>
            </w:r>
            <w:proofErr w:type="spellEnd"/>
            <w:r w:rsidRPr="008E2284">
              <w:rPr>
                <w:lang w:val="en-US" w:bidi="ar-SA"/>
              </w:rPr>
              <w:t xml:space="preserve"> (2025)</w:t>
            </w:r>
          </w:p>
        </w:tc>
      </w:tr>
      <w:tr w:rsidR="008E2284" w:rsidRPr="008E2284" w14:paraId="234D4125" w14:textId="77777777" w:rsidTr="00A9343B">
        <w:tc>
          <w:tcPr>
            <w:tcW w:w="2364" w:type="dxa"/>
            <w:vMerge/>
            <w:vAlign w:val="center"/>
            <w:hideMark/>
          </w:tcPr>
          <w:p w14:paraId="4D5C837B" w14:textId="77777777" w:rsidR="008E2284" w:rsidRPr="008E2284" w:rsidRDefault="008E2284" w:rsidP="008E2284">
            <w:pPr>
              <w:spacing w:line="276" w:lineRule="auto"/>
              <w:jc w:val="left"/>
              <w:rPr>
                <w:lang w:val="en-US" w:bidi="ar-SA"/>
              </w:rPr>
            </w:pPr>
          </w:p>
        </w:tc>
        <w:tc>
          <w:tcPr>
            <w:tcW w:w="2491" w:type="dxa"/>
            <w:vMerge/>
            <w:vAlign w:val="center"/>
            <w:hideMark/>
          </w:tcPr>
          <w:p w14:paraId="712CE85D" w14:textId="77777777" w:rsidR="008E2284" w:rsidRPr="008E2284" w:rsidRDefault="008E2284" w:rsidP="008E2284">
            <w:pPr>
              <w:spacing w:line="276" w:lineRule="auto"/>
              <w:jc w:val="left"/>
              <w:rPr>
                <w:lang w:val="en-US" w:bidi="ar-SA"/>
              </w:rPr>
            </w:pPr>
          </w:p>
        </w:tc>
        <w:tc>
          <w:tcPr>
            <w:tcW w:w="4461" w:type="dxa"/>
            <w:vAlign w:val="center"/>
            <w:hideMark/>
          </w:tcPr>
          <w:p w14:paraId="62DB1A17" w14:textId="77777777" w:rsidR="008E2284" w:rsidRPr="008E2284" w:rsidRDefault="008E2284" w:rsidP="008E2284">
            <w:pPr>
              <w:spacing w:line="276" w:lineRule="auto"/>
              <w:jc w:val="left"/>
              <w:rPr>
                <w:lang w:val="en-US" w:bidi="ar-SA"/>
              </w:rPr>
            </w:pPr>
            <w:r w:rsidRPr="008E2284">
              <w:rPr>
                <w:lang w:val="en-US" w:bidi="ar-SA"/>
              </w:rPr>
              <w:t>Transparent ESG disclosure and verified reporting</w:t>
            </w:r>
          </w:p>
        </w:tc>
        <w:tc>
          <w:tcPr>
            <w:tcW w:w="4632" w:type="dxa"/>
            <w:vAlign w:val="center"/>
            <w:hideMark/>
          </w:tcPr>
          <w:p w14:paraId="0A84CA30" w14:textId="09DC9BDE" w:rsidR="008E2284" w:rsidRPr="008E2284" w:rsidRDefault="008E2284" w:rsidP="008E2284">
            <w:pPr>
              <w:spacing w:line="276" w:lineRule="auto"/>
              <w:jc w:val="left"/>
              <w:rPr>
                <w:lang w:val="en-US" w:bidi="ar-SA"/>
              </w:rPr>
            </w:pPr>
            <w:r w:rsidRPr="008E2284">
              <w:rPr>
                <w:lang w:val="nl-NL" w:bidi="ar-SA"/>
              </w:rPr>
              <w:t xml:space="preserve">de Magalhães Silva </w:t>
            </w:r>
            <w:r w:rsidR="00A7080E" w:rsidRPr="00A7080E">
              <w:rPr>
                <w:i/>
                <w:iCs/>
                <w:lang w:val="nl-NL" w:bidi="ar-SA"/>
              </w:rPr>
              <w:t>et al</w:t>
            </w:r>
            <w:r w:rsidRPr="008E2284">
              <w:rPr>
                <w:lang w:val="nl-NL" w:bidi="ar-SA"/>
              </w:rPr>
              <w:t xml:space="preserve">. </w:t>
            </w:r>
            <w:r w:rsidRPr="008E2284">
              <w:rPr>
                <w:lang w:val="en-US" w:bidi="ar-SA"/>
              </w:rPr>
              <w:t xml:space="preserve">(2025); Wu </w:t>
            </w:r>
            <w:r w:rsidR="00A7080E" w:rsidRPr="00A7080E">
              <w:rPr>
                <w:i/>
                <w:iCs/>
                <w:lang w:val="en-US" w:bidi="ar-SA"/>
              </w:rPr>
              <w:t>et al</w:t>
            </w:r>
            <w:r w:rsidRPr="008E2284">
              <w:rPr>
                <w:lang w:val="en-US" w:bidi="ar-SA"/>
              </w:rPr>
              <w:t>. (2022)</w:t>
            </w:r>
          </w:p>
        </w:tc>
      </w:tr>
      <w:tr w:rsidR="008E2284" w:rsidRPr="008E2284" w14:paraId="224453D8" w14:textId="77777777" w:rsidTr="00A9343B">
        <w:tc>
          <w:tcPr>
            <w:tcW w:w="2364" w:type="dxa"/>
            <w:vMerge/>
            <w:vAlign w:val="center"/>
            <w:hideMark/>
          </w:tcPr>
          <w:p w14:paraId="65C8FAA3" w14:textId="77777777" w:rsidR="008E2284" w:rsidRPr="008E2284" w:rsidRDefault="008E2284" w:rsidP="008E2284">
            <w:pPr>
              <w:spacing w:line="276" w:lineRule="auto"/>
              <w:jc w:val="left"/>
              <w:rPr>
                <w:lang w:val="en-US" w:bidi="ar-SA"/>
              </w:rPr>
            </w:pPr>
          </w:p>
        </w:tc>
        <w:tc>
          <w:tcPr>
            <w:tcW w:w="2491" w:type="dxa"/>
            <w:vMerge/>
            <w:vAlign w:val="center"/>
            <w:hideMark/>
          </w:tcPr>
          <w:p w14:paraId="6A442304" w14:textId="77777777" w:rsidR="008E2284" w:rsidRPr="008E2284" w:rsidRDefault="008E2284" w:rsidP="008E2284">
            <w:pPr>
              <w:spacing w:line="276" w:lineRule="auto"/>
              <w:jc w:val="left"/>
              <w:rPr>
                <w:lang w:val="en-US" w:bidi="ar-SA"/>
              </w:rPr>
            </w:pPr>
          </w:p>
        </w:tc>
        <w:tc>
          <w:tcPr>
            <w:tcW w:w="4461" w:type="dxa"/>
            <w:vAlign w:val="center"/>
            <w:hideMark/>
          </w:tcPr>
          <w:p w14:paraId="53004E8E" w14:textId="77777777" w:rsidR="008E2284" w:rsidRPr="008E2284" w:rsidRDefault="008E2284" w:rsidP="008E2284">
            <w:pPr>
              <w:spacing w:line="276" w:lineRule="auto"/>
              <w:jc w:val="left"/>
              <w:rPr>
                <w:lang w:val="en-US" w:bidi="ar-SA"/>
              </w:rPr>
            </w:pPr>
            <w:r w:rsidRPr="008E2284">
              <w:rPr>
                <w:lang w:val="en-US" w:bidi="ar-SA"/>
              </w:rPr>
              <w:t>Ethical labour practices, fair wages, stakeholder engagement</w:t>
            </w:r>
          </w:p>
        </w:tc>
        <w:tc>
          <w:tcPr>
            <w:tcW w:w="4632" w:type="dxa"/>
            <w:vAlign w:val="center"/>
            <w:hideMark/>
          </w:tcPr>
          <w:p w14:paraId="4DD29253" w14:textId="77777777" w:rsidR="008E2284" w:rsidRPr="008E2284" w:rsidRDefault="008E2284" w:rsidP="008E2284">
            <w:pPr>
              <w:spacing w:line="276" w:lineRule="auto"/>
              <w:jc w:val="left"/>
              <w:rPr>
                <w:lang w:val="en-US" w:bidi="ar-SA"/>
              </w:rPr>
            </w:pPr>
            <w:proofErr w:type="spellStart"/>
            <w:r w:rsidRPr="008E2284">
              <w:rPr>
                <w:lang w:val="en-US" w:bidi="ar-SA"/>
              </w:rPr>
              <w:t>Henninger</w:t>
            </w:r>
            <w:proofErr w:type="spellEnd"/>
            <w:r w:rsidRPr="008E2284">
              <w:rPr>
                <w:lang w:val="en-US" w:bidi="ar-SA"/>
              </w:rPr>
              <w:t xml:space="preserve">, </w:t>
            </w:r>
            <w:proofErr w:type="spellStart"/>
            <w:r w:rsidRPr="008E2284">
              <w:rPr>
                <w:lang w:val="en-US" w:bidi="ar-SA"/>
              </w:rPr>
              <w:t>Alevizou</w:t>
            </w:r>
            <w:proofErr w:type="spellEnd"/>
            <w:r w:rsidRPr="008E2284">
              <w:rPr>
                <w:lang w:val="en-US" w:bidi="ar-SA"/>
              </w:rPr>
              <w:t xml:space="preserve"> &amp; Oates (2016); Reza &amp; Du Plessis (2022)</w:t>
            </w:r>
          </w:p>
        </w:tc>
      </w:tr>
      <w:tr w:rsidR="008E2284" w:rsidRPr="008E2284" w14:paraId="48297928" w14:textId="77777777" w:rsidTr="00A9343B">
        <w:tc>
          <w:tcPr>
            <w:tcW w:w="2364" w:type="dxa"/>
            <w:vMerge/>
            <w:vAlign w:val="center"/>
            <w:hideMark/>
          </w:tcPr>
          <w:p w14:paraId="32514935" w14:textId="77777777" w:rsidR="008E2284" w:rsidRPr="008E2284" w:rsidRDefault="008E2284" w:rsidP="008E2284">
            <w:pPr>
              <w:spacing w:line="276" w:lineRule="auto"/>
              <w:jc w:val="left"/>
              <w:rPr>
                <w:lang w:val="en-US" w:bidi="ar-SA"/>
              </w:rPr>
            </w:pPr>
          </w:p>
        </w:tc>
        <w:tc>
          <w:tcPr>
            <w:tcW w:w="2491" w:type="dxa"/>
            <w:vMerge/>
            <w:vAlign w:val="center"/>
            <w:hideMark/>
          </w:tcPr>
          <w:p w14:paraId="73723185" w14:textId="77777777" w:rsidR="008E2284" w:rsidRPr="008E2284" w:rsidRDefault="008E2284" w:rsidP="008E2284">
            <w:pPr>
              <w:spacing w:line="276" w:lineRule="auto"/>
              <w:jc w:val="left"/>
              <w:rPr>
                <w:lang w:val="en-US" w:bidi="ar-SA"/>
              </w:rPr>
            </w:pPr>
          </w:p>
        </w:tc>
        <w:tc>
          <w:tcPr>
            <w:tcW w:w="4461" w:type="dxa"/>
            <w:vAlign w:val="center"/>
            <w:hideMark/>
          </w:tcPr>
          <w:p w14:paraId="7EE2AF27" w14:textId="77777777" w:rsidR="008E2284" w:rsidRPr="008E2284" w:rsidRDefault="008E2284" w:rsidP="008E2284">
            <w:pPr>
              <w:spacing w:line="276" w:lineRule="auto"/>
              <w:jc w:val="left"/>
              <w:rPr>
                <w:lang w:val="en-US" w:bidi="ar-SA"/>
              </w:rPr>
            </w:pPr>
            <w:r w:rsidRPr="008E2284">
              <w:rPr>
                <w:lang w:val="en-US" w:bidi="ar-SA"/>
              </w:rPr>
              <w:t>Environmental performance monitoring &amp; supply-chain traceability</w:t>
            </w:r>
          </w:p>
        </w:tc>
        <w:tc>
          <w:tcPr>
            <w:tcW w:w="4632" w:type="dxa"/>
            <w:vAlign w:val="center"/>
            <w:hideMark/>
          </w:tcPr>
          <w:p w14:paraId="5966647A" w14:textId="77777777" w:rsidR="008E2284" w:rsidRPr="008E2284" w:rsidRDefault="008E2284" w:rsidP="008E2284">
            <w:pPr>
              <w:spacing w:line="276" w:lineRule="auto"/>
              <w:jc w:val="left"/>
              <w:rPr>
                <w:lang w:val="en-US" w:bidi="ar-SA"/>
              </w:rPr>
            </w:pPr>
            <w:r w:rsidRPr="008E2284">
              <w:rPr>
                <w:lang w:val="en-US" w:bidi="ar-SA"/>
              </w:rPr>
              <w:t>Tolentino-Zondervan &amp; DiVito (2024); Mofokeng (2025)</w:t>
            </w:r>
          </w:p>
        </w:tc>
      </w:tr>
      <w:tr w:rsidR="008E2284" w:rsidRPr="00050EB0" w14:paraId="15A3531D" w14:textId="77777777" w:rsidTr="00A9343B">
        <w:tc>
          <w:tcPr>
            <w:tcW w:w="2364" w:type="dxa"/>
            <w:vMerge/>
            <w:vAlign w:val="center"/>
            <w:hideMark/>
          </w:tcPr>
          <w:p w14:paraId="7A19CF64" w14:textId="77777777" w:rsidR="008E2284" w:rsidRPr="008E2284" w:rsidRDefault="008E2284" w:rsidP="008E2284">
            <w:pPr>
              <w:spacing w:line="276" w:lineRule="auto"/>
              <w:jc w:val="left"/>
              <w:rPr>
                <w:lang w:val="en-US" w:bidi="ar-SA"/>
              </w:rPr>
            </w:pPr>
          </w:p>
        </w:tc>
        <w:tc>
          <w:tcPr>
            <w:tcW w:w="2491" w:type="dxa"/>
            <w:vMerge w:val="restart"/>
            <w:vAlign w:val="center"/>
            <w:hideMark/>
          </w:tcPr>
          <w:p w14:paraId="4B3623B1" w14:textId="77777777" w:rsidR="008E2284" w:rsidRPr="008E2284" w:rsidRDefault="008E2284" w:rsidP="008E2284">
            <w:pPr>
              <w:spacing w:line="276" w:lineRule="auto"/>
              <w:jc w:val="left"/>
              <w:rPr>
                <w:lang w:val="en-US" w:bidi="ar-SA"/>
              </w:rPr>
            </w:pPr>
            <w:r w:rsidRPr="008E2284">
              <w:rPr>
                <w:lang w:val="en-US" w:bidi="ar-SA"/>
              </w:rPr>
              <w:t>Brand Communication &amp; Consumer Trust</w:t>
            </w:r>
          </w:p>
        </w:tc>
        <w:tc>
          <w:tcPr>
            <w:tcW w:w="4461" w:type="dxa"/>
            <w:vAlign w:val="center"/>
            <w:hideMark/>
          </w:tcPr>
          <w:p w14:paraId="77041A95" w14:textId="77777777" w:rsidR="008E2284" w:rsidRPr="008E2284" w:rsidRDefault="008E2284" w:rsidP="008E2284">
            <w:pPr>
              <w:spacing w:line="276" w:lineRule="auto"/>
              <w:jc w:val="left"/>
              <w:rPr>
                <w:lang w:val="en-US" w:bidi="ar-SA"/>
              </w:rPr>
            </w:pPr>
            <w:r w:rsidRPr="008E2284">
              <w:rPr>
                <w:lang w:val="en-US" w:bidi="ar-SA"/>
              </w:rPr>
              <w:t>Green marketing mix and orientation (GMO)</w:t>
            </w:r>
          </w:p>
        </w:tc>
        <w:tc>
          <w:tcPr>
            <w:tcW w:w="4632" w:type="dxa"/>
            <w:vAlign w:val="center"/>
            <w:hideMark/>
          </w:tcPr>
          <w:p w14:paraId="737CCBCC" w14:textId="108C990A" w:rsidR="008E2284" w:rsidRPr="008E2284" w:rsidRDefault="008E2284" w:rsidP="008E2284">
            <w:pPr>
              <w:spacing w:line="276" w:lineRule="auto"/>
              <w:jc w:val="left"/>
              <w:rPr>
                <w:lang w:val="nl-NL" w:bidi="ar-SA"/>
              </w:rPr>
            </w:pPr>
            <w:r w:rsidRPr="008E2284">
              <w:rPr>
                <w:lang w:val="nl-NL" w:bidi="ar-SA"/>
              </w:rPr>
              <w:t xml:space="preserve">Andria </w:t>
            </w:r>
            <w:r w:rsidR="00A7080E" w:rsidRPr="00A7080E">
              <w:rPr>
                <w:i/>
                <w:iCs/>
                <w:lang w:val="nl-NL" w:bidi="ar-SA"/>
              </w:rPr>
              <w:t>et al</w:t>
            </w:r>
            <w:r w:rsidRPr="008E2284">
              <w:rPr>
                <w:lang w:val="nl-NL" w:bidi="ar-SA"/>
              </w:rPr>
              <w:t>. (2023); Habtemaryam, Degoma &amp; Tsegaye (2025)</w:t>
            </w:r>
          </w:p>
        </w:tc>
      </w:tr>
      <w:tr w:rsidR="008E2284" w:rsidRPr="00050EB0" w14:paraId="39DEF910" w14:textId="77777777" w:rsidTr="00A9343B">
        <w:tc>
          <w:tcPr>
            <w:tcW w:w="2364" w:type="dxa"/>
            <w:vMerge/>
            <w:vAlign w:val="center"/>
            <w:hideMark/>
          </w:tcPr>
          <w:p w14:paraId="35B838B5" w14:textId="77777777" w:rsidR="008E2284" w:rsidRPr="008E2284" w:rsidRDefault="008E2284" w:rsidP="008E2284">
            <w:pPr>
              <w:spacing w:line="276" w:lineRule="auto"/>
              <w:jc w:val="left"/>
              <w:rPr>
                <w:lang w:val="nl-NL" w:bidi="ar-SA"/>
              </w:rPr>
            </w:pPr>
          </w:p>
        </w:tc>
        <w:tc>
          <w:tcPr>
            <w:tcW w:w="2491" w:type="dxa"/>
            <w:vMerge/>
            <w:vAlign w:val="center"/>
            <w:hideMark/>
          </w:tcPr>
          <w:p w14:paraId="776441EE" w14:textId="77777777" w:rsidR="008E2284" w:rsidRPr="008E2284" w:rsidRDefault="008E2284" w:rsidP="008E2284">
            <w:pPr>
              <w:spacing w:line="276" w:lineRule="auto"/>
              <w:jc w:val="left"/>
              <w:rPr>
                <w:lang w:val="nl-NL" w:bidi="ar-SA"/>
              </w:rPr>
            </w:pPr>
          </w:p>
        </w:tc>
        <w:tc>
          <w:tcPr>
            <w:tcW w:w="4461" w:type="dxa"/>
            <w:vAlign w:val="center"/>
            <w:hideMark/>
          </w:tcPr>
          <w:p w14:paraId="5C4240EB" w14:textId="77777777" w:rsidR="008E2284" w:rsidRPr="008E2284" w:rsidRDefault="008E2284" w:rsidP="008E2284">
            <w:pPr>
              <w:spacing w:line="276" w:lineRule="auto"/>
              <w:jc w:val="left"/>
              <w:rPr>
                <w:lang w:val="en-US" w:bidi="ar-SA"/>
              </w:rPr>
            </w:pPr>
            <w:r w:rsidRPr="008E2284">
              <w:rPr>
                <w:lang w:val="en-US" w:bidi="ar-SA"/>
              </w:rPr>
              <w:t>Authentic CSR messaging and slow fashion ethics</w:t>
            </w:r>
          </w:p>
        </w:tc>
        <w:tc>
          <w:tcPr>
            <w:tcW w:w="4632" w:type="dxa"/>
            <w:vAlign w:val="center"/>
            <w:hideMark/>
          </w:tcPr>
          <w:p w14:paraId="74C16224" w14:textId="7EF09726" w:rsidR="008E2284" w:rsidRPr="008E2284" w:rsidRDefault="008E2284" w:rsidP="008E2284">
            <w:pPr>
              <w:spacing w:line="276" w:lineRule="auto"/>
              <w:jc w:val="left"/>
              <w:rPr>
                <w:lang w:val="nl-NL" w:bidi="ar-SA"/>
              </w:rPr>
            </w:pPr>
            <w:r w:rsidRPr="008E2284">
              <w:rPr>
                <w:lang w:val="nl-NL" w:bidi="ar-SA"/>
              </w:rPr>
              <w:t xml:space="preserve">Velasco-Molpeceres </w:t>
            </w:r>
            <w:r w:rsidR="00A7080E" w:rsidRPr="00A7080E">
              <w:rPr>
                <w:i/>
                <w:iCs/>
                <w:lang w:val="nl-NL" w:bidi="ar-SA"/>
              </w:rPr>
              <w:t>et al</w:t>
            </w:r>
            <w:r w:rsidRPr="008E2284">
              <w:rPr>
                <w:lang w:val="nl-NL" w:bidi="ar-SA"/>
              </w:rPr>
              <w:t>. (2023); Fang (2024)</w:t>
            </w:r>
          </w:p>
        </w:tc>
      </w:tr>
      <w:tr w:rsidR="008E2284" w:rsidRPr="00050EB0" w14:paraId="060F796E" w14:textId="77777777" w:rsidTr="00A9343B">
        <w:tc>
          <w:tcPr>
            <w:tcW w:w="2364" w:type="dxa"/>
            <w:vMerge w:val="restart"/>
            <w:vAlign w:val="center"/>
            <w:hideMark/>
          </w:tcPr>
          <w:p w14:paraId="3A05A990" w14:textId="77777777" w:rsidR="008E2284" w:rsidRPr="008E2284" w:rsidRDefault="008E2284" w:rsidP="008E2284">
            <w:pPr>
              <w:spacing w:line="276" w:lineRule="auto"/>
              <w:jc w:val="left"/>
              <w:rPr>
                <w:lang w:val="en-US" w:bidi="ar-SA"/>
              </w:rPr>
            </w:pPr>
            <w:r w:rsidRPr="008E2284">
              <w:rPr>
                <w:b/>
                <w:bCs/>
                <w:lang w:val="en-US" w:bidi="ar-SA"/>
              </w:rPr>
              <w:t>Instances of Greenwashing</w:t>
            </w:r>
          </w:p>
        </w:tc>
        <w:tc>
          <w:tcPr>
            <w:tcW w:w="2491" w:type="dxa"/>
            <w:vMerge w:val="restart"/>
            <w:vAlign w:val="center"/>
            <w:hideMark/>
          </w:tcPr>
          <w:p w14:paraId="0646CF7C" w14:textId="77777777" w:rsidR="008E2284" w:rsidRPr="008E2284" w:rsidRDefault="008E2284" w:rsidP="008E2284">
            <w:pPr>
              <w:spacing w:line="276" w:lineRule="auto"/>
              <w:jc w:val="left"/>
              <w:rPr>
                <w:lang w:val="en-US" w:bidi="ar-SA"/>
              </w:rPr>
            </w:pPr>
            <w:r w:rsidRPr="008E2284">
              <w:rPr>
                <w:lang w:val="en-US" w:bidi="ar-SA"/>
              </w:rPr>
              <w:t>Misleading or Symbolic Practices</w:t>
            </w:r>
          </w:p>
        </w:tc>
        <w:tc>
          <w:tcPr>
            <w:tcW w:w="4461" w:type="dxa"/>
            <w:vAlign w:val="center"/>
            <w:hideMark/>
          </w:tcPr>
          <w:p w14:paraId="6592772D" w14:textId="77777777" w:rsidR="008E2284" w:rsidRPr="008E2284" w:rsidRDefault="008E2284" w:rsidP="008E2284">
            <w:pPr>
              <w:spacing w:line="276" w:lineRule="auto"/>
              <w:jc w:val="left"/>
              <w:rPr>
                <w:lang w:val="en-US" w:bidi="ar-SA"/>
              </w:rPr>
            </w:pPr>
            <w:r w:rsidRPr="008E2284">
              <w:rPr>
                <w:lang w:val="en-US" w:bidi="ar-SA"/>
              </w:rPr>
              <w:t>Exaggerated or misleading claims (paltering, CSR-washing)</w:t>
            </w:r>
          </w:p>
        </w:tc>
        <w:tc>
          <w:tcPr>
            <w:tcW w:w="4632" w:type="dxa"/>
            <w:vAlign w:val="center"/>
            <w:hideMark/>
          </w:tcPr>
          <w:p w14:paraId="3EF2DCDA" w14:textId="77777777" w:rsidR="008E2284" w:rsidRPr="008E2284" w:rsidRDefault="008E2284" w:rsidP="008E2284">
            <w:pPr>
              <w:spacing w:line="276" w:lineRule="auto"/>
              <w:jc w:val="left"/>
              <w:rPr>
                <w:lang w:val="nl-NL" w:bidi="ar-SA"/>
              </w:rPr>
            </w:pPr>
            <w:r w:rsidRPr="008E2284">
              <w:rPr>
                <w:lang w:val="nl-NL" w:bidi="ar-SA"/>
              </w:rPr>
              <w:t>Dobos &amp; Éltető (2023); Brugman, van Huijstee &amp; Droog (2024)</w:t>
            </w:r>
          </w:p>
        </w:tc>
      </w:tr>
      <w:tr w:rsidR="008E2284" w:rsidRPr="008E2284" w14:paraId="1A857BDC" w14:textId="77777777" w:rsidTr="00A9343B">
        <w:tc>
          <w:tcPr>
            <w:tcW w:w="2364" w:type="dxa"/>
            <w:vMerge/>
            <w:vAlign w:val="center"/>
            <w:hideMark/>
          </w:tcPr>
          <w:p w14:paraId="1AB22976" w14:textId="77777777" w:rsidR="008E2284" w:rsidRPr="008E2284" w:rsidRDefault="008E2284" w:rsidP="008E2284">
            <w:pPr>
              <w:spacing w:line="276" w:lineRule="auto"/>
              <w:jc w:val="left"/>
              <w:rPr>
                <w:lang w:val="nl-NL" w:bidi="ar-SA"/>
              </w:rPr>
            </w:pPr>
          </w:p>
        </w:tc>
        <w:tc>
          <w:tcPr>
            <w:tcW w:w="2491" w:type="dxa"/>
            <w:vMerge/>
            <w:vAlign w:val="center"/>
            <w:hideMark/>
          </w:tcPr>
          <w:p w14:paraId="3FED45B2" w14:textId="77777777" w:rsidR="008E2284" w:rsidRPr="008E2284" w:rsidRDefault="008E2284" w:rsidP="008E2284">
            <w:pPr>
              <w:spacing w:line="276" w:lineRule="auto"/>
              <w:jc w:val="left"/>
              <w:rPr>
                <w:lang w:val="nl-NL" w:bidi="ar-SA"/>
              </w:rPr>
            </w:pPr>
          </w:p>
        </w:tc>
        <w:tc>
          <w:tcPr>
            <w:tcW w:w="4461" w:type="dxa"/>
            <w:vAlign w:val="center"/>
            <w:hideMark/>
          </w:tcPr>
          <w:p w14:paraId="0C978F7D" w14:textId="77777777" w:rsidR="008E2284" w:rsidRPr="008E2284" w:rsidRDefault="008E2284" w:rsidP="008E2284">
            <w:pPr>
              <w:spacing w:line="276" w:lineRule="auto"/>
              <w:jc w:val="left"/>
              <w:rPr>
                <w:lang w:val="en-US" w:bidi="ar-SA"/>
              </w:rPr>
            </w:pPr>
            <w:r w:rsidRPr="008E2284">
              <w:rPr>
                <w:lang w:val="en-US" w:bidi="ar-SA"/>
              </w:rPr>
              <w:t>Selective disclosure, greenhushing, under-reporting</w:t>
            </w:r>
          </w:p>
        </w:tc>
        <w:tc>
          <w:tcPr>
            <w:tcW w:w="4632" w:type="dxa"/>
            <w:vAlign w:val="center"/>
            <w:hideMark/>
          </w:tcPr>
          <w:p w14:paraId="2D686F60" w14:textId="77777777" w:rsidR="008E2284" w:rsidRPr="008E2284" w:rsidRDefault="008E2284" w:rsidP="008E2284">
            <w:pPr>
              <w:spacing w:line="276" w:lineRule="auto"/>
              <w:jc w:val="left"/>
              <w:rPr>
                <w:lang w:val="en-US" w:bidi="ar-SA"/>
              </w:rPr>
            </w:pPr>
            <w:proofErr w:type="spellStart"/>
            <w:r w:rsidRPr="008E2284">
              <w:rPr>
                <w:lang w:val="en-US" w:bidi="ar-SA"/>
              </w:rPr>
              <w:t>Jestratijevic</w:t>
            </w:r>
            <w:proofErr w:type="spellEnd"/>
            <w:r w:rsidRPr="008E2284">
              <w:rPr>
                <w:lang w:val="en-US" w:bidi="ar-SA"/>
              </w:rPr>
              <w:t xml:space="preserve">, </w:t>
            </w:r>
            <w:proofErr w:type="spellStart"/>
            <w:r w:rsidRPr="008E2284">
              <w:rPr>
                <w:lang w:val="en-US" w:bidi="ar-SA"/>
              </w:rPr>
              <w:t>Uanhoro</w:t>
            </w:r>
            <w:proofErr w:type="spellEnd"/>
            <w:r w:rsidRPr="008E2284">
              <w:rPr>
                <w:lang w:val="en-US" w:bidi="ar-SA"/>
              </w:rPr>
              <w:t xml:space="preserve"> &amp; Rana (2024); </w:t>
            </w:r>
            <w:proofErr w:type="spellStart"/>
            <w:r w:rsidRPr="008E2284">
              <w:rPr>
                <w:lang w:val="en-US" w:bidi="ar-SA"/>
              </w:rPr>
              <w:t>Schwoy</w:t>
            </w:r>
            <w:proofErr w:type="spellEnd"/>
            <w:r w:rsidRPr="008E2284">
              <w:rPr>
                <w:lang w:val="en-US" w:bidi="ar-SA"/>
              </w:rPr>
              <w:t xml:space="preserve">, </w:t>
            </w:r>
            <w:proofErr w:type="spellStart"/>
            <w:r w:rsidRPr="008E2284">
              <w:rPr>
                <w:lang w:val="en-US" w:bidi="ar-SA"/>
              </w:rPr>
              <w:t>Dutzi</w:t>
            </w:r>
            <w:proofErr w:type="spellEnd"/>
            <w:r w:rsidRPr="008E2284">
              <w:rPr>
                <w:lang w:val="en-US" w:bidi="ar-SA"/>
              </w:rPr>
              <w:t xml:space="preserve"> &amp; Messing (2025)</w:t>
            </w:r>
          </w:p>
        </w:tc>
      </w:tr>
      <w:tr w:rsidR="008E2284" w:rsidRPr="008E2284" w14:paraId="34132338" w14:textId="77777777" w:rsidTr="00A9343B">
        <w:tc>
          <w:tcPr>
            <w:tcW w:w="2364" w:type="dxa"/>
            <w:vMerge/>
            <w:vAlign w:val="center"/>
            <w:hideMark/>
          </w:tcPr>
          <w:p w14:paraId="0DED736D" w14:textId="77777777" w:rsidR="008E2284" w:rsidRPr="008E2284" w:rsidRDefault="008E2284" w:rsidP="008E2284">
            <w:pPr>
              <w:spacing w:line="276" w:lineRule="auto"/>
              <w:jc w:val="left"/>
              <w:rPr>
                <w:lang w:val="en-US" w:bidi="ar-SA"/>
              </w:rPr>
            </w:pPr>
          </w:p>
        </w:tc>
        <w:tc>
          <w:tcPr>
            <w:tcW w:w="2491" w:type="dxa"/>
            <w:vMerge/>
            <w:vAlign w:val="center"/>
            <w:hideMark/>
          </w:tcPr>
          <w:p w14:paraId="6971E188" w14:textId="77777777" w:rsidR="008E2284" w:rsidRPr="008E2284" w:rsidRDefault="008E2284" w:rsidP="008E2284">
            <w:pPr>
              <w:spacing w:line="276" w:lineRule="auto"/>
              <w:jc w:val="left"/>
              <w:rPr>
                <w:lang w:val="en-US" w:bidi="ar-SA"/>
              </w:rPr>
            </w:pPr>
          </w:p>
        </w:tc>
        <w:tc>
          <w:tcPr>
            <w:tcW w:w="4461" w:type="dxa"/>
            <w:vAlign w:val="center"/>
            <w:hideMark/>
          </w:tcPr>
          <w:p w14:paraId="50E5FC71" w14:textId="77777777" w:rsidR="008E2284" w:rsidRPr="008E2284" w:rsidRDefault="008E2284" w:rsidP="008E2284">
            <w:pPr>
              <w:spacing w:line="276" w:lineRule="auto"/>
              <w:jc w:val="left"/>
              <w:rPr>
                <w:lang w:val="en-US" w:bidi="ar-SA"/>
              </w:rPr>
            </w:pPr>
            <w:r w:rsidRPr="008E2284">
              <w:rPr>
                <w:lang w:val="en-US" w:bidi="ar-SA"/>
              </w:rPr>
              <w:t>Ambiguous sustainability terms &amp; narrative myths</w:t>
            </w:r>
          </w:p>
        </w:tc>
        <w:tc>
          <w:tcPr>
            <w:tcW w:w="4632" w:type="dxa"/>
            <w:vAlign w:val="center"/>
            <w:hideMark/>
          </w:tcPr>
          <w:p w14:paraId="22125352" w14:textId="4A236068" w:rsidR="008E2284" w:rsidRPr="008E2284" w:rsidRDefault="008E2284" w:rsidP="008E2284">
            <w:pPr>
              <w:spacing w:line="276" w:lineRule="auto"/>
              <w:jc w:val="left"/>
              <w:rPr>
                <w:lang w:val="en-US" w:bidi="ar-SA"/>
              </w:rPr>
            </w:pPr>
            <w:r w:rsidRPr="008E2284">
              <w:rPr>
                <w:lang w:val="en-US" w:bidi="ar-SA"/>
              </w:rPr>
              <w:t xml:space="preserve">Brydges, Henninger &amp; Hanlon (2022); </w:t>
            </w:r>
            <w:proofErr w:type="spellStart"/>
            <w:r w:rsidRPr="008E2284">
              <w:rPr>
                <w:lang w:val="en-US" w:bidi="ar-SA"/>
              </w:rPr>
              <w:t>Heidenstrøm</w:t>
            </w:r>
            <w:proofErr w:type="spellEnd"/>
            <w:r w:rsidRPr="008E2284">
              <w:rPr>
                <w:lang w:val="en-US" w:bidi="ar-SA"/>
              </w:rPr>
              <w:t xml:space="preserve"> (2024)</w:t>
            </w:r>
          </w:p>
        </w:tc>
      </w:tr>
      <w:tr w:rsidR="008E2284" w:rsidRPr="008E2284" w14:paraId="1656CF45" w14:textId="77777777" w:rsidTr="00A9343B">
        <w:tc>
          <w:tcPr>
            <w:tcW w:w="2364" w:type="dxa"/>
            <w:vMerge/>
            <w:vAlign w:val="center"/>
            <w:hideMark/>
          </w:tcPr>
          <w:p w14:paraId="5D3AD82F" w14:textId="77777777" w:rsidR="008E2284" w:rsidRPr="008E2284" w:rsidRDefault="008E2284" w:rsidP="008E2284">
            <w:pPr>
              <w:spacing w:line="276" w:lineRule="auto"/>
              <w:jc w:val="left"/>
              <w:rPr>
                <w:lang w:val="en-US" w:bidi="ar-SA"/>
              </w:rPr>
            </w:pPr>
          </w:p>
        </w:tc>
        <w:tc>
          <w:tcPr>
            <w:tcW w:w="2491" w:type="dxa"/>
            <w:vMerge w:val="restart"/>
            <w:vAlign w:val="center"/>
            <w:hideMark/>
          </w:tcPr>
          <w:p w14:paraId="35846FCC" w14:textId="77777777" w:rsidR="008E2284" w:rsidRPr="008E2284" w:rsidRDefault="008E2284" w:rsidP="008E2284">
            <w:pPr>
              <w:spacing w:line="276" w:lineRule="auto"/>
              <w:jc w:val="left"/>
              <w:rPr>
                <w:lang w:val="en-US" w:bidi="ar-SA"/>
              </w:rPr>
            </w:pPr>
            <w:r w:rsidRPr="008E2284">
              <w:rPr>
                <w:lang w:val="en-US" w:bidi="ar-SA"/>
              </w:rPr>
              <w:t>Consumer &amp; Market Effects</w:t>
            </w:r>
          </w:p>
        </w:tc>
        <w:tc>
          <w:tcPr>
            <w:tcW w:w="4461" w:type="dxa"/>
            <w:vAlign w:val="center"/>
            <w:hideMark/>
          </w:tcPr>
          <w:p w14:paraId="34C1AE17" w14:textId="77777777" w:rsidR="008E2284" w:rsidRPr="008E2284" w:rsidRDefault="008E2284" w:rsidP="008E2284">
            <w:pPr>
              <w:spacing w:line="276" w:lineRule="auto"/>
              <w:jc w:val="left"/>
              <w:rPr>
                <w:lang w:val="en-US" w:bidi="ar-SA"/>
              </w:rPr>
            </w:pPr>
            <w:proofErr w:type="spellStart"/>
            <w:r w:rsidRPr="008E2284">
              <w:rPr>
                <w:lang w:val="en-US" w:bidi="ar-SA"/>
              </w:rPr>
              <w:t>Scepticism</w:t>
            </w:r>
            <w:proofErr w:type="spellEnd"/>
            <w:r w:rsidRPr="008E2284">
              <w:rPr>
                <w:lang w:val="en-US" w:bidi="ar-SA"/>
              </w:rPr>
              <w:t>, reduced trust, negative purchase intention</w:t>
            </w:r>
          </w:p>
        </w:tc>
        <w:tc>
          <w:tcPr>
            <w:tcW w:w="4632" w:type="dxa"/>
            <w:vAlign w:val="center"/>
            <w:hideMark/>
          </w:tcPr>
          <w:p w14:paraId="05407F0D" w14:textId="2985E468" w:rsidR="008E2284" w:rsidRPr="008E2284" w:rsidRDefault="008E2284" w:rsidP="008E2284">
            <w:pPr>
              <w:spacing w:line="276" w:lineRule="auto"/>
              <w:jc w:val="left"/>
              <w:rPr>
                <w:lang w:val="en-US" w:bidi="ar-SA"/>
              </w:rPr>
            </w:pPr>
            <w:r w:rsidRPr="008E2284">
              <w:rPr>
                <w:lang w:val="en-US" w:bidi="ar-SA"/>
              </w:rPr>
              <w:t xml:space="preserve">Lu </w:t>
            </w:r>
            <w:r w:rsidR="00A7080E" w:rsidRPr="00A7080E">
              <w:rPr>
                <w:i/>
                <w:iCs/>
                <w:lang w:val="en-US" w:bidi="ar-SA"/>
              </w:rPr>
              <w:t>et al</w:t>
            </w:r>
            <w:r w:rsidRPr="008E2284">
              <w:rPr>
                <w:lang w:val="en-US" w:bidi="ar-SA"/>
              </w:rPr>
              <w:t xml:space="preserve">. (2022); Marko &amp; </w:t>
            </w:r>
            <w:proofErr w:type="spellStart"/>
            <w:r w:rsidRPr="008E2284">
              <w:rPr>
                <w:lang w:val="en-US" w:bidi="ar-SA"/>
              </w:rPr>
              <w:t>Kusá</w:t>
            </w:r>
            <w:proofErr w:type="spellEnd"/>
            <w:r w:rsidRPr="008E2284">
              <w:rPr>
                <w:lang w:val="en-US" w:bidi="ar-SA"/>
              </w:rPr>
              <w:t xml:space="preserve"> (2023); Goswami &amp; Jaiswal (2023)</w:t>
            </w:r>
          </w:p>
        </w:tc>
      </w:tr>
      <w:tr w:rsidR="008E2284" w:rsidRPr="008E2284" w14:paraId="637DB883" w14:textId="77777777" w:rsidTr="00A9343B">
        <w:tc>
          <w:tcPr>
            <w:tcW w:w="2364" w:type="dxa"/>
            <w:vMerge/>
            <w:vAlign w:val="center"/>
            <w:hideMark/>
          </w:tcPr>
          <w:p w14:paraId="1B5A50BA" w14:textId="77777777" w:rsidR="008E2284" w:rsidRPr="008E2284" w:rsidRDefault="008E2284" w:rsidP="008E2284">
            <w:pPr>
              <w:spacing w:line="276" w:lineRule="auto"/>
              <w:jc w:val="left"/>
              <w:rPr>
                <w:lang w:val="en-US" w:bidi="ar-SA"/>
              </w:rPr>
            </w:pPr>
          </w:p>
        </w:tc>
        <w:tc>
          <w:tcPr>
            <w:tcW w:w="2491" w:type="dxa"/>
            <w:vMerge/>
            <w:vAlign w:val="center"/>
            <w:hideMark/>
          </w:tcPr>
          <w:p w14:paraId="72D7AE0F" w14:textId="77777777" w:rsidR="008E2284" w:rsidRPr="008E2284" w:rsidRDefault="008E2284" w:rsidP="008E2284">
            <w:pPr>
              <w:spacing w:line="276" w:lineRule="auto"/>
              <w:jc w:val="left"/>
              <w:rPr>
                <w:lang w:val="en-US" w:bidi="ar-SA"/>
              </w:rPr>
            </w:pPr>
          </w:p>
        </w:tc>
        <w:tc>
          <w:tcPr>
            <w:tcW w:w="4461" w:type="dxa"/>
            <w:vAlign w:val="center"/>
            <w:hideMark/>
          </w:tcPr>
          <w:p w14:paraId="573D6205" w14:textId="77777777" w:rsidR="008E2284" w:rsidRPr="008E2284" w:rsidRDefault="008E2284" w:rsidP="008E2284">
            <w:pPr>
              <w:spacing w:line="276" w:lineRule="auto"/>
              <w:jc w:val="left"/>
              <w:rPr>
                <w:lang w:val="en-US" w:bidi="ar-SA"/>
              </w:rPr>
            </w:pPr>
            <w:r w:rsidRPr="008E2284">
              <w:rPr>
                <w:lang w:val="en-US" w:bidi="ar-SA"/>
              </w:rPr>
              <w:t>Social-media greenwashing influence</w:t>
            </w:r>
          </w:p>
        </w:tc>
        <w:tc>
          <w:tcPr>
            <w:tcW w:w="4632" w:type="dxa"/>
            <w:vAlign w:val="center"/>
            <w:hideMark/>
          </w:tcPr>
          <w:p w14:paraId="68E63B4C" w14:textId="77777777" w:rsidR="008E2284" w:rsidRPr="008E2284" w:rsidRDefault="008E2284" w:rsidP="008E2284">
            <w:pPr>
              <w:spacing w:line="276" w:lineRule="auto"/>
              <w:jc w:val="left"/>
              <w:rPr>
                <w:lang w:val="en-US" w:bidi="ar-SA"/>
              </w:rPr>
            </w:pPr>
            <w:r w:rsidRPr="008E2284">
              <w:rPr>
                <w:lang w:val="en-US" w:bidi="ar-SA"/>
              </w:rPr>
              <w:t>Fang (2024); Sailer, Wilfing &amp; Straus (2022)</w:t>
            </w:r>
          </w:p>
        </w:tc>
      </w:tr>
      <w:tr w:rsidR="008E2284" w:rsidRPr="008E2284" w14:paraId="34D60347" w14:textId="77777777" w:rsidTr="00A9343B">
        <w:tc>
          <w:tcPr>
            <w:tcW w:w="2364" w:type="dxa"/>
            <w:vMerge w:val="restart"/>
            <w:vAlign w:val="center"/>
            <w:hideMark/>
          </w:tcPr>
          <w:p w14:paraId="691C54A0" w14:textId="77777777" w:rsidR="008E2284" w:rsidRPr="008E2284" w:rsidRDefault="008E2284" w:rsidP="008E2284">
            <w:pPr>
              <w:spacing w:line="276" w:lineRule="auto"/>
              <w:jc w:val="left"/>
              <w:rPr>
                <w:lang w:val="en-US" w:bidi="ar-SA"/>
              </w:rPr>
            </w:pPr>
            <w:r w:rsidRPr="008E2284">
              <w:rPr>
                <w:b/>
                <w:bCs/>
                <w:lang w:val="en-US" w:bidi="ar-SA"/>
              </w:rPr>
              <w:t>Identified Gaps</w:t>
            </w:r>
          </w:p>
        </w:tc>
        <w:tc>
          <w:tcPr>
            <w:tcW w:w="2491" w:type="dxa"/>
            <w:vMerge w:val="restart"/>
            <w:vAlign w:val="center"/>
            <w:hideMark/>
          </w:tcPr>
          <w:p w14:paraId="7EE7728F" w14:textId="77777777" w:rsidR="008E2284" w:rsidRPr="008E2284" w:rsidRDefault="008E2284" w:rsidP="008E2284">
            <w:pPr>
              <w:spacing w:line="276" w:lineRule="auto"/>
              <w:jc w:val="left"/>
              <w:rPr>
                <w:lang w:val="en-US" w:bidi="ar-SA"/>
              </w:rPr>
            </w:pPr>
            <w:r w:rsidRPr="008E2284">
              <w:rPr>
                <w:lang w:val="en-US" w:bidi="ar-SA"/>
              </w:rPr>
              <w:t>Policy &amp; Governance</w:t>
            </w:r>
          </w:p>
        </w:tc>
        <w:tc>
          <w:tcPr>
            <w:tcW w:w="4461" w:type="dxa"/>
            <w:vAlign w:val="center"/>
            <w:hideMark/>
          </w:tcPr>
          <w:p w14:paraId="1022E27F" w14:textId="77777777" w:rsidR="008E2284" w:rsidRPr="008E2284" w:rsidRDefault="008E2284" w:rsidP="008E2284">
            <w:pPr>
              <w:spacing w:line="276" w:lineRule="auto"/>
              <w:jc w:val="left"/>
              <w:rPr>
                <w:lang w:val="en-US" w:bidi="ar-SA"/>
              </w:rPr>
            </w:pPr>
            <w:r w:rsidRPr="008E2284">
              <w:rPr>
                <w:lang w:val="en-US" w:bidi="ar-SA"/>
              </w:rPr>
              <w:t>Weak regulatory enforcement, auditing gaps</w:t>
            </w:r>
          </w:p>
        </w:tc>
        <w:tc>
          <w:tcPr>
            <w:tcW w:w="4632" w:type="dxa"/>
            <w:vAlign w:val="center"/>
            <w:hideMark/>
          </w:tcPr>
          <w:p w14:paraId="2557D012" w14:textId="77777777" w:rsidR="008E2284" w:rsidRPr="008E2284" w:rsidRDefault="008E2284" w:rsidP="008E2284">
            <w:pPr>
              <w:spacing w:line="276" w:lineRule="auto"/>
              <w:jc w:val="left"/>
              <w:rPr>
                <w:lang w:val="en-US" w:bidi="ar-SA"/>
              </w:rPr>
            </w:pPr>
            <w:proofErr w:type="spellStart"/>
            <w:r w:rsidRPr="008E2284">
              <w:rPr>
                <w:lang w:val="en-US" w:bidi="ar-SA"/>
              </w:rPr>
              <w:t>Pozzo</w:t>
            </w:r>
            <w:proofErr w:type="spellEnd"/>
            <w:r w:rsidRPr="008E2284">
              <w:rPr>
                <w:lang w:val="en-US" w:bidi="ar-SA"/>
              </w:rPr>
              <w:t xml:space="preserve"> (2023); </w:t>
            </w:r>
            <w:proofErr w:type="spellStart"/>
            <w:r w:rsidRPr="008E2284">
              <w:rPr>
                <w:lang w:val="en-US" w:bidi="ar-SA"/>
              </w:rPr>
              <w:t>Jestratijevic</w:t>
            </w:r>
            <w:proofErr w:type="spellEnd"/>
            <w:r w:rsidRPr="008E2284">
              <w:rPr>
                <w:lang w:val="en-US" w:bidi="ar-SA"/>
              </w:rPr>
              <w:t xml:space="preserve">, </w:t>
            </w:r>
            <w:proofErr w:type="spellStart"/>
            <w:r w:rsidRPr="008E2284">
              <w:rPr>
                <w:lang w:val="en-US" w:bidi="ar-SA"/>
              </w:rPr>
              <w:t>Uanhoro</w:t>
            </w:r>
            <w:proofErr w:type="spellEnd"/>
            <w:r w:rsidRPr="008E2284">
              <w:rPr>
                <w:lang w:val="en-US" w:bidi="ar-SA"/>
              </w:rPr>
              <w:t xml:space="preserve"> &amp; Rana (2024)</w:t>
            </w:r>
          </w:p>
        </w:tc>
      </w:tr>
      <w:tr w:rsidR="008E2284" w:rsidRPr="008E2284" w14:paraId="3187E926" w14:textId="77777777" w:rsidTr="00A9343B">
        <w:tc>
          <w:tcPr>
            <w:tcW w:w="2364" w:type="dxa"/>
            <w:vMerge/>
            <w:vAlign w:val="center"/>
            <w:hideMark/>
          </w:tcPr>
          <w:p w14:paraId="1148923D" w14:textId="77777777" w:rsidR="008E2284" w:rsidRPr="008E2284" w:rsidRDefault="008E2284" w:rsidP="008E2284">
            <w:pPr>
              <w:spacing w:line="276" w:lineRule="auto"/>
              <w:jc w:val="left"/>
              <w:rPr>
                <w:lang w:val="en-US" w:bidi="ar-SA"/>
              </w:rPr>
            </w:pPr>
          </w:p>
        </w:tc>
        <w:tc>
          <w:tcPr>
            <w:tcW w:w="2491" w:type="dxa"/>
            <w:vMerge/>
            <w:vAlign w:val="center"/>
            <w:hideMark/>
          </w:tcPr>
          <w:p w14:paraId="281EE0AA" w14:textId="77777777" w:rsidR="008E2284" w:rsidRPr="008E2284" w:rsidRDefault="008E2284" w:rsidP="008E2284">
            <w:pPr>
              <w:spacing w:line="276" w:lineRule="auto"/>
              <w:jc w:val="left"/>
              <w:rPr>
                <w:lang w:val="en-US" w:bidi="ar-SA"/>
              </w:rPr>
            </w:pPr>
          </w:p>
        </w:tc>
        <w:tc>
          <w:tcPr>
            <w:tcW w:w="4461" w:type="dxa"/>
            <w:vAlign w:val="center"/>
            <w:hideMark/>
          </w:tcPr>
          <w:p w14:paraId="439D9D91" w14:textId="77777777" w:rsidR="008E2284" w:rsidRPr="008E2284" w:rsidRDefault="008E2284" w:rsidP="008E2284">
            <w:pPr>
              <w:spacing w:line="276" w:lineRule="auto"/>
              <w:jc w:val="left"/>
              <w:rPr>
                <w:lang w:val="en-US" w:bidi="ar-SA"/>
              </w:rPr>
            </w:pPr>
            <w:r w:rsidRPr="008E2284">
              <w:rPr>
                <w:lang w:val="en-US" w:bidi="ar-SA"/>
              </w:rPr>
              <w:t xml:space="preserve">Lack of </w:t>
            </w:r>
            <w:proofErr w:type="spellStart"/>
            <w:r w:rsidRPr="008E2284">
              <w:rPr>
                <w:lang w:val="en-US" w:bidi="ar-SA"/>
              </w:rPr>
              <w:t>standardised</w:t>
            </w:r>
            <w:proofErr w:type="spellEnd"/>
            <w:r w:rsidRPr="008E2284">
              <w:rPr>
                <w:lang w:val="en-US" w:bidi="ar-SA"/>
              </w:rPr>
              <w:t xml:space="preserve"> sustainability metrics</w:t>
            </w:r>
          </w:p>
        </w:tc>
        <w:tc>
          <w:tcPr>
            <w:tcW w:w="4632" w:type="dxa"/>
            <w:vAlign w:val="center"/>
            <w:hideMark/>
          </w:tcPr>
          <w:p w14:paraId="10B2AC47" w14:textId="77777777" w:rsidR="008E2284" w:rsidRPr="008E2284" w:rsidRDefault="008E2284" w:rsidP="008E2284">
            <w:pPr>
              <w:spacing w:line="276" w:lineRule="auto"/>
              <w:jc w:val="left"/>
              <w:rPr>
                <w:lang w:val="en-US" w:bidi="ar-SA"/>
              </w:rPr>
            </w:pPr>
            <w:r w:rsidRPr="008E2284">
              <w:rPr>
                <w:lang w:val="en-US" w:bidi="ar-SA"/>
              </w:rPr>
              <w:t>Burnstine &amp; Ghattas (2025); Brydges, Henninger &amp; Hanlon (2022)</w:t>
            </w:r>
          </w:p>
        </w:tc>
      </w:tr>
      <w:tr w:rsidR="008E2284" w:rsidRPr="00050EB0" w14:paraId="29CB8891" w14:textId="77777777" w:rsidTr="00A9343B">
        <w:tc>
          <w:tcPr>
            <w:tcW w:w="2364" w:type="dxa"/>
            <w:vMerge/>
            <w:vAlign w:val="center"/>
            <w:hideMark/>
          </w:tcPr>
          <w:p w14:paraId="460829FA" w14:textId="77777777" w:rsidR="008E2284" w:rsidRPr="008E2284" w:rsidRDefault="008E2284" w:rsidP="008E2284">
            <w:pPr>
              <w:spacing w:line="276" w:lineRule="auto"/>
              <w:jc w:val="left"/>
              <w:rPr>
                <w:lang w:val="en-US" w:bidi="ar-SA"/>
              </w:rPr>
            </w:pPr>
          </w:p>
        </w:tc>
        <w:tc>
          <w:tcPr>
            <w:tcW w:w="2491" w:type="dxa"/>
            <w:vAlign w:val="center"/>
            <w:hideMark/>
          </w:tcPr>
          <w:p w14:paraId="423F2720" w14:textId="77777777" w:rsidR="008E2284" w:rsidRPr="008E2284" w:rsidRDefault="008E2284" w:rsidP="008E2284">
            <w:pPr>
              <w:spacing w:line="276" w:lineRule="auto"/>
              <w:jc w:val="left"/>
              <w:rPr>
                <w:lang w:val="en-US" w:bidi="ar-SA"/>
              </w:rPr>
            </w:pPr>
            <w:r w:rsidRPr="008E2284">
              <w:rPr>
                <w:lang w:val="en-US" w:bidi="ar-SA"/>
              </w:rPr>
              <w:t>Transparency &amp; Verification</w:t>
            </w:r>
          </w:p>
        </w:tc>
        <w:tc>
          <w:tcPr>
            <w:tcW w:w="4461" w:type="dxa"/>
            <w:vAlign w:val="center"/>
            <w:hideMark/>
          </w:tcPr>
          <w:p w14:paraId="0BCCBF29" w14:textId="77777777" w:rsidR="008E2284" w:rsidRPr="008E2284" w:rsidRDefault="008E2284" w:rsidP="008E2284">
            <w:pPr>
              <w:spacing w:line="276" w:lineRule="auto"/>
              <w:jc w:val="left"/>
              <w:rPr>
                <w:lang w:val="en-US" w:bidi="ar-SA"/>
              </w:rPr>
            </w:pPr>
            <w:r w:rsidRPr="008E2284">
              <w:rPr>
                <w:lang w:val="en-US" w:bidi="ar-SA"/>
              </w:rPr>
              <w:t>Limited third-party certification &amp; verification</w:t>
            </w:r>
          </w:p>
        </w:tc>
        <w:tc>
          <w:tcPr>
            <w:tcW w:w="4632" w:type="dxa"/>
            <w:vAlign w:val="center"/>
            <w:hideMark/>
          </w:tcPr>
          <w:p w14:paraId="48CE34C7" w14:textId="3BE88220" w:rsidR="008E2284" w:rsidRPr="008E2284" w:rsidRDefault="008E2284" w:rsidP="008E2284">
            <w:pPr>
              <w:spacing w:line="276" w:lineRule="auto"/>
              <w:jc w:val="left"/>
              <w:rPr>
                <w:lang w:val="nl-NL" w:bidi="ar-SA"/>
              </w:rPr>
            </w:pPr>
            <w:r w:rsidRPr="008E2284">
              <w:rPr>
                <w:lang w:val="nl-NL" w:bidi="ar-SA"/>
              </w:rPr>
              <w:t xml:space="preserve">Do </w:t>
            </w:r>
            <w:r w:rsidR="00A7080E" w:rsidRPr="00A7080E">
              <w:rPr>
                <w:i/>
                <w:iCs/>
                <w:lang w:val="nl-NL" w:bidi="ar-SA"/>
              </w:rPr>
              <w:t>et al</w:t>
            </w:r>
            <w:r w:rsidRPr="008E2284">
              <w:rPr>
                <w:lang w:val="nl-NL" w:bidi="ar-SA"/>
              </w:rPr>
              <w:t>. (2025); Li, Cavender &amp; Lee (2025)</w:t>
            </w:r>
          </w:p>
        </w:tc>
      </w:tr>
      <w:tr w:rsidR="008E2284" w:rsidRPr="008E2284" w14:paraId="1794DE1A" w14:textId="77777777" w:rsidTr="00A9343B">
        <w:tc>
          <w:tcPr>
            <w:tcW w:w="2364" w:type="dxa"/>
            <w:vMerge/>
            <w:vAlign w:val="center"/>
            <w:hideMark/>
          </w:tcPr>
          <w:p w14:paraId="0042E717" w14:textId="77777777" w:rsidR="008E2284" w:rsidRPr="008E2284" w:rsidRDefault="008E2284" w:rsidP="008E2284">
            <w:pPr>
              <w:spacing w:line="276" w:lineRule="auto"/>
              <w:jc w:val="left"/>
              <w:rPr>
                <w:lang w:val="nl-NL" w:bidi="ar-SA"/>
              </w:rPr>
            </w:pPr>
          </w:p>
        </w:tc>
        <w:tc>
          <w:tcPr>
            <w:tcW w:w="2491" w:type="dxa"/>
            <w:vAlign w:val="center"/>
            <w:hideMark/>
          </w:tcPr>
          <w:p w14:paraId="21A80A9D" w14:textId="77777777" w:rsidR="008E2284" w:rsidRPr="008E2284" w:rsidRDefault="008E2284" w:rsidP="008E2284">
            <w:pPr>
              <w:spacing w:line="276" w:lineRule="auto"/>
              <w:jc w:val="left"/>
              <w:rPr>
                <w:lang w:val="en-US" w:bidi="ar-SA"/>
              </w:rPr>
            </w:pPr>
            <w:r w:rsidRPr="008E2284">
              <w:rPr>
                <w:lang w:val="en-US" w:bidi="ar-SA"/>
              </w:rPr>
              <w:t>Consumer Engagement &amp; Education</w:t>
            </w:r>
          </w:p>
        </w:tc>
        <w:tc>
          <w:tcPr>
            <w:tcW w:w="4461" w:type="dxa"/>
            <w:vAlign w:val="center"/>
            <w:hideMark/>
          </w:tcPr>
          <w:p w14:paraId="46ABF7C9" w14:textId="77777777" w:rsidR="008E2284" w:rsidRPr="008E2284" w:rsidRDefault="008E2284" w:rsidP="008E2284">
            <w:pPr>
              <w:spacing w:line="276" w:lineRule="auto"/>
              <w:jc w:val="left"/>
              <w:rPr>
                <w:lang w:val="en-US" w:bidi="ar-SA"/>
              </w:rPr>
            </w:pPr>
            <w:r w:rsidRPr="008E2284">
              <w:rPr>
                <w:lang w:val="en-US" w:bidi="ar-SA"/>
              </w:rPr>
              <w:t>Consumer confusion, low awareness of authenticity vs greenwashing</w:t>
            </w:r>
          </w:p>
        </w:tc>
        <w:tc>
          <w:tcPr>
            <w:tcW w:w="4632" w:type="dxa"/>
            <w:vAlign w:val="center"/>
            <w:hideMark/>
          </w:tcPr>
          <w:p w14:paraId="4E4DBE93" w14:textId="77777777" w:rsidR="008E2284" w:rsidRPr="008E2284" w:rsidRDefault="008E2284" w:rsidP="008E2284">
            <w:pPr>
              <w:spacing w:line="276" w:lineRule="auto"/>
              <w:jc w:val="left"/>
              <w:rPr>
                <w:lang w:val="en-US" w:bidi="ar-SA"/>
              </w:rPr>
            </w:pPr>
            <w:r w:rsidRPr="008E2284">
              <w:rPr>
                <w:lang w:val="en-US" w:bidi="ar-SA"/>
              </w:rPr>
              <w:t>Evans &amp; Peirson-Smith (2018); Lovrić &amp; Čagalj (2025)</w:t>
            </w:r>
          </w:p>
        </w:tc>
      </w:tr>
      <w:tr w:rsidR="008E2284" w:rsidRPr="008E2284" w14:paraId="75756E8E" w14:textId="77777777" w:rsidTr="00A9343B">
        <w:tc>
          <w:tcPr>
            <w:tcW w:w="2364" w:type="dxa"/>
            <w:vMerge w:val="restart"/>
            <w:vAlign w:val="center"/>
            <w:hideMark/>
          </w:tcPr>
          <w:p w14:paraId="451956F9" w14:textId="77777777" w:rsidR="008E2284" w:rsidRPr="008E2284" w:rsidRDefault="008E2284" w:rsidP="008E2284">
            <w:pPr>
              <w:spacing w:line="276" w:lineRule="auto"/>
              <w:jc w:val="left"/>
              <w:rPr>
                <w:lang w:val="en-US" w:bidi="ar-SA"/>
              </w:rPr>
            </w:pPr>
            <w:r w:rsidRPr="008E2284">
              <w:rPr>
                <w:b/>
                <w:bCs/>
                <w:lang w:val="en-US" w:bidi="ar-SA"/>
              </w:rPr>
              <w:t>Strategic Recommendations</w:t>
            </w:r>
          </w:p>
        </w:tc>
        <w:tc>
          <w:tcPr>
            <w:tcW w:w="2491" w:type="dxa"/>
            <w:vMerge w:val="restart"/>
            <w:vAlign w:val="center"/>
            <w:hideMark/>
          </w:tcPr>
          <w:p w14:paraId="782A6BE4" w14:textId="77777777" w:rsidR="008E2284" w:rsidRPr="008E2284" w:rsidRDefault="008E2284" w:rsidP="008E2284">
            <w:pPr>
              <w:spacing w:line="276" w:lineRule="auto"/>
              <w:jc w:val="left"/>
              <w:rPr>
                <w:lang w:val="en-US" w:bidi="ar-SA"/>
              </w:rPr>
            </w:pPr>
            <w:r w:rsidRPr="008E2284">
              <w:rPr>
                <w:lang w:val="en-US" w:bidi="ar-SA"/>
              </w:rPr>
              <w:t>Enhancing Authenticity</w:t>
            </w:r>
          </w:p>
        </w:tc>
        <w:tc>
          <w:tcPr>
            <w:tcW w:w="4461" w:type="dxa"/>
            <w:vAlign w:val="center"/>
            <w:hideMark/>
          </w:tcPr>
          <w:p w14:paraId="0E79F714" w14:textId="77777777" w:rsidR="008E2284" w:rsidRPr="008E2284" w:rsidRDefault="008E2284" w:rsidP="008E2284">
            <w:pPr>
              <w:spacing w:line="276" w:lineRule="auto"/>
              <w:jc w:val="left"/>
              <w:rPr>
                <w:lang w:val="en-US" w:bidi="ar-SA"/>
              </w:rPr>
            </w:pPr>
            <w:proofErr w:type="spellStart"/>
            <w:r w:rsidRPr="008E2284">
              <w:rPr>
                <w:lang w:val="en-US" w:bidi="ar-SA"/>
              </w:rPr>
              <w:t>Standardised</w:t>
            </w:r>
            <w:proofErr w:type="spellEnd"/>
            <w:r w:rsidRPr="008E2284">
              <w:rPr>
                <w:lang w:val="en-US" w:bidi="ar-SA"/>
              </w:rPr>
              <w:t xml:space="preserve"> reporting, mandatory disclosures</w:t>
            </w:r>
          </w:p>
        </w:tc>
        <w:tc>
          <w:tcPr>
            <w:tcW w:w="4632" w:type="dxa"/>
            <w:vAlign w:val="center"/>
            <w:hideMark/>
          </w:tcPr>
          <w:p w14:paraId="78086772" w14:textId="77777777" w:rsidR="008E2284" w:rsidRPr="008E2284" w:rsidRDefault="008E2284" w:rsidP="008E2284">
            <w:pPr>
              <w:spacing w:line="276" w:lineRule="auto"/>
              <w:jc w:val="left"/>
              <w:rPr>
                <w:lang w:val="en-US" w:bidi="ar-SA"/>
              </w:rPr>
            </w:pPr>
            <w:r w:rsidRPr="008E2284">
              <w:rPr>
                <w:lang w:val="en-US" w:bidi="ar-SA"/>
              </w:rPr>
              <w:t>Redman (2025); Tolentino-Zondervan &amp; DiVito (2024)</w:t>
            </w:r>
          </w:p>
        </w:tc>
      </w:tr>
      <w:tr w:rsidR="008E2284" w:rsidRPr="008E2284" w14:paraId="574511C4" w14:textId="77777777" w:rsidTr="00A9343B">
        <w:tc>
          <w:tcPr>
            <w:tcW w:w="2364" w:type="dxa"/>
            <w:vMerge/>
            <w:vAlign w:val="center"/>
            <w:hideMark/>
          </w:tcPr>
          <w:p w14:paraId="351F3E63" w14:textId="77777777" w:rsidR="008E2284" w:rsidRPr="008E2284" w:rsidRDefault="008E2284" w:rsidP="008E2284">
            <w:pPr>
              <w:spacing w:line="276" w:lineRule="auto"/>
              <w:jc w:val="left"/>
              <w:rPr>
                <w:lang w:val="en-US" w:bidi="ar-SA"/>
              </w:rPr>
            </w:pPr>
          </w:p>
        </w:tc>
        <w:tc>
          <w:tcPr>
            <w:tcW w:w="2491" w:type="dxa"/>
            <w:vMerge/>
            <w:vAlign w:val="center"/>
            <w:hideMark/>
          </w:tcPr>
          <w:p w14:paraId="0AA93F19" w14:textId="77777777" w:rsidR="008E2284" w:rsidRPr="008E2284" w:rsidRDefault="008E2284" w:rsidP="008E2284">
            <w:pPr>
              <w:spacing w:line="276" w:lineRule="auto"/>
              <w:jc w:val="left"/>
              <w:rPr>
                <w:lang w:val="en-US" w:bidi="ar-SA"/>
              </w:rPr>
            </w:pPr>
          </w:p>
        </w:tc>
        <w:tc>
          <w:tcPr>
            <w:tcW w:w="4461" w:type="dxa"/>
            <w:vAlign w:val="center"/>
            <w:hideMark/>
          </w:tcPr>
          <w:p w14:paraId="19E66179" w14:textId="77777777" w:rsidR="008E2284" w:rsidRPr="008E2284" w:rsidRDefault="008E2284" w:rsidP="008E2284">
            <w:pPr>
              <w:spacing w:line="276" w:lineRule="auto"/>
              <w:jc w:val="left"/>
              <w:rPr>
                <w:lang w:val="en-US" w:bidi="ar-SA"/>
              </w:rPr>
            </w:pPr>
            <w:r w:rsidRPr="008E2284">
              <w:rPr>
                <w:lang w:val="en-US" w:bidi="ar-SA"/>
              </w:rPr>
              <w:t>Verified ESG certifications and auditing</w:t>
            </w:r>
          </w:p>
        </w:tc>
        <w:tc>
          <w:tcPr>
            <w:tcW w:w="4632" w:type="dxa"/>
            <w:vAlign w:val="center"/>
            <w:hideMark/>
          </w:tcPr>
          <w:p w14:paraId="36362C0F" w14:textId="3CE9FCC9" w:rsidR="008E2284" w:rsidRPr="008E2284" w:rsidRDefault="008E2284" w:rsidP="008E2284">
            <w:pPr>
              <w:spacing w:line="276" w:lineRule="auto"/>
              <w:jc w:val="left"/>
              <w:rPr>
                <w:lang w:val="en-US" w:bidi="ar-SA"/>
              </w:rPr>
            </w:pPr>
            <w:r w:rsidRPr="008E2284">
              <w:rPr>
                <w:lang w:val="en-US" w:bidi="ar-SA"/>
              </w:rPr>
              <w:t xml:space="preserve">Dalecki (2023); Do </w:t>
            </w:r>
            <w:r w:rsidR="00A7080E" w:rsidRPr="00A7080E">
              <w:rPr>
                <w:i/>
                <w:iCs/>
                <w:lang w:val="en-US" w:bidi="ar-SA"/>
              </w:rPr>
              <w:t>et al</w:t>
            </w:r>
            <w:r w:rsidRPr="008E2284">
              <w:rPr>
                <w:lang w:val="en-US" w:bidi="ar-SA"/>
              </w:rPr>
              <w:t>. (2025)</w:t>
            </w:r>
          </w:p>
        </w:tc>
      </w:tr>
      <w:tr w:rsidR="008E2284" w:rsidRPr="00050EB0" w14:paraId="5B7B99DB" w14:textId="77777777" w:rsidTr="00A9343B">
        <w:tc>
          <w:tcPr>
            <w:tcW w:w="2364" w:type="dxa"/>
            <w:vMerge/>
            <w:vAlign w:val="center"/>
            <w:hideMark/>
          </w:tcPr>
          <w:p w14:paraId="0FC76FA3" w14:textId="77777777" w:rsidR="008E2284" w:rsidRPr="008E2284" w:rsidRDefault="008E2284" w:rsidP="008E2284">
            <w:pPr>
              <w:spacing w:line="276" w:lineRule="auto"/>
              <w:jc w:val="left"/>
              <w:rPr>
                <w:lang w:val="en-US" w:bidi="ar-SA"/>
              </w:rPr>
            </w:pPr>
          </w:p>
        </w:tc>
        <w:tc>
          <w:tcPr>
            <w:tcW w:w="2491" w:type="dxa"/>
            <w:vMerge/>
            <w:vAlign w:val="center"/>
            <w:hideMark/>
          </w:tcPr>
          <w:p w14:paraId="7112751D" w14:textId="77777777" w:rsidR="008E2284" w:rsidRPr="008E2284" w:rsidRDefault="008E2284" w:rsidP="008E2284">
            <w:pPr>
              <w:spacing w:line="276" w:lineRule="auto"/>
              <w:jc w:val="left"/>
              <w:rPr>
                <w:lang w:val="en-US" w:bidi="ar-SA"/>
              </w:rPr>
            </w:pPr>
          </w:p>
        </w:tc>
        <w:tc>
          <w:tcPr>
            <w:tcW w:w="4461" w:type="dxa"/>
            <w:vAlign w:val="center"/>
            <w:hideMark/>
          </w:tcPr>
          <w:p w14:paraId="6C23BC83" w14:textId="77777777" w:rsidR="008E2284" w:rsidRPr="008E2284" w:rsidRDefault="008E2284" w:rsidP="008E2284">
            <w:pPr>
              <w:spacing w:line="276" w:lineRule="auto"/>
              <w:jc w:val="left"/>
              <w:rPr>
                <w:lang w:val="en-US" w:bidi="ar-SA"/>
              </w:rPr>
            </w:pPr>
            <w:r w:rsidRPr="008E2284">
              <w:rPr>
                <w:lang w:val="en-US" w:bidi="ar-SA"/>
              </w:rPr>
              <w:t>Traceability and supply-chain accountability</w:t>
            </w:r>
          </w:p>
        </w:tc>
        <w:tc>
          <w:tcPr>
            <w:tcW w:w="4632" w:type="dxa"/>
            <w:vAlign w:val="center"/>
            <w:hideMark/>
          </w:tcPr>
          <w:p w14:paraId="3203EBD8" w14:textId="6F79D351" w:rsidR="008E2284" w:rsidRPr="008E2284" w:rsidRDefault="008E2284" w:rsidP="008E2284">
            <w:pPr>
              <w:spacing w:line="276" w:lineRule="auto"/>
              <w:jc w:val="left"/>
              <w:rPr>
                <w:lang w:val="nl-NL" w:bidi="ar-SA"/>
              </w:rPr>
            </w:pPr>
            <w:r w:rsidRPr="008E2284">
              <w:rPr>
                <w:lang w:val="nl-NL" w:bidi="ar-SA"/>
              </w:rPr>
              <w:t xml:space="preserve">Wu </w:t>
            </w:r>
            <w:r w:rsidR="00A7080E" w:rsidRPr="00A7080E">
              <w:rPr>
                <w:i/>
                <w:iCs/>
                <w:lang w:val="nl-NL" w:bidi="ar-SA"/>
              </w:rPr>
              <w:t>et al</w:t>
            </w:r>
            <w:r w:rsidRPr="008E2284">
              <w:rPr>
                <w:lang w:val="nl-NL" w:bidi="ar-SA"/>
              </w:rPr>
              <w:t>. (2022); Tolentino-Zondervan &amp; DiVito (2024)</w:t>
            </w:r>
          </w:p>
        </w:tc>
      </w:tr>
      <w:tr w:rsidR="008E2284" w:rsidRPr="008E2284" w14:paraId="5631AFB3" w14:textId="77777777" w:rsidTr="00A9343B">
        <w:tc>
          <w:tcPr>
            <w:tcW w:w="2364" w:type="dxa"/>
            <w:vMerge/>
            <w:vAlign w:val="center"/>
            <w:hideMark/>
          </w:tcPr>
          <w:p w14:paraId="2FCA3EFA" w14:textId="77777777" w:rsidR="008E2284" w:rsidRPr="008E2284" w:rsidRDefault="008E2284" w:rsidP="008E2284">
            <w:pPr>
              <w:spacing w:line="276" w:lineRule="auto"/>
              <w:jc w:val="left"/>
              <w:rPr>
                <w:lang w:val="nl-NL" w:bidi="ar-SA"/>
              </w:rPr>
            </w:pPr>
          </w:p>
        </w:tc>
        <w:tc>
          <w:tcPr>
            <w:tcW w:w="2491" w:type="dxa"/>
            <w:vAlign w:val="center"/>
            <w:hideMark/>
          </w:tcPr>
          <w:p w14:paraId="7CDEBD2E" w14:textId="77777777" w:rsidR="008E2284" w:rsidRPr="008E2284" w:rsidRDefault="008E2284" w:rsidP="008E2284">
            <w:pPr>
              <w:spacing w:line="276" w:lineRule="auto"/>
              <w:jc w:val="left"/>
              <w:rPr>
                <w:lang w:val="en-US" w:bidi="ar-SA"/>
              </w:rPr>
            </w:pPr>
            <w:r w:rsidRPr="008E2284">
              <w:rPr>
                <w:lang w:val="en-US" w:bidi="ar-SA"/>
              </w:rPr>
              <w:t>Policy &amp; Governance Recommendations</w:t>
            </w:r>
          </w:p>
        </w:tc>
        <w:tc>
          <w:tcPr>
            <w:tcW w:w="4461" w:type="dxa"/>
            <w:vAlign w:val="center"/>
            <w:hideMark/>
          </w:tcPr>
          <w:p w14:paraId="080C8F0A" w14:textId="77777777" w:rsidR="008E2284" w:rsidRPr="008E2284" w:rsidRDefault="008E2284" w:rsidP="008E2284">
            <w:pPr>
              <w:spacing w:line="276" w:lineRule="auto"/>
              <w:jc w:val="left"/>
              <w:rPr>
                <w:lang w:val="en-US" w:bidi="ar-SA"/>
              </w:rPr>
            </w:pPr>
            <w:r w:rsidRPr="008E2284">
              <w:rPr>
                <w:lang w:val="en-US" w:bidi="ar-SA"/>
              </w:rPr>
              <w:t>Stronger regulatory frameworks &amp; enforcement</w:t>
            </w:r>
          </w:p>
        </w:tc>
        <w:tc>
          <w:tcPr>
            <w:tcW w:w="4632" w:type="dxa"/>
            <w:vAlign w:val="center"/>
            <w:hideMark/>
          </w:tcPr>
          <w:p w14:paraId="64D839E3" w14:textId="77777777" w:rsidR="008E2284" w:rsidRPr="008E2284" w:rsidRDefault="008E2284" w:rsidP="008E2284">
            <w:pPr>
              <w:spacing w:line="276" w:lineRule="auto"/>
              <w:jc w:val="left"/>
              <w:rPr>
                <w:lang w:val="en-US" w:bidi="ar-SA"/>
              </w:rPr>
            </w:pPr>
            <w:r w:rsidRPr="008E2284">
              <w:rPr>
                <w:lang w:val="en-US" w:bidi="ar-SA"/>
              </w:rPr>
              <w:t xml:space="preserve">Burnstine &amp; </w:t>
            </w:r>
            <w:proofErr w:type="spellStart"/>
            <w:r w:rsidRPr="008E2284">
              <w:rPr>
                <w:lang w:val="en-US" w:bidi="ar-SA"/>
              </w:rPr>
              <w:t>Ghattas</w:t>
            </w:r>
            <w:proofErr w:type="spellEnd"/>
            <w:r w:rsidRPr="008E2284">
              <w:rPr>
                <w:lang w:val="en-US" w:bidi="ar-SA"/>
              </w:rPr>
              <w:t xml:space="preserve"> (2025); </w:t>
            </w:r>
            <w:proofErr w:type="spellStart"/>
            <w:r w:rsidRPr="008E2284">
              <w:rPr>
                <w:lang w:val="en-US" w:bidi="ar-SA"/>
              </w:rPr>
              <w:t>Jestratijevic</w:t>
            </w:r>
            <w:proofErr w:type="spellEnd"/>
            <w:r w:rsidRPr="008E2284">
              <w:rPr>
                <w:lang w:val="en-US" w:bidi="ar-SA"/>
              </w:rPr>
              <w:t xml:space="preserve">, </w:t>
            </w:r>
            <w:proofErr w:type="spellStart"/>
            <w:r w:rsidRPr="008E2284">
              <w:rPr>
                <w:lang w:val="en-US" w:bidi="ar-SA"/>
              </w:rPr>
              <w:t>Uanhoro</w:t>
            </w:r>
            <w:proofErr w:type="spellEnd"/>
            <w:r w:rsidRPr="008E2284">
              <w:rPr>
                <w:lang w:val="en-US" w:bidi="ar-SA"/>
              </w:rPr>
              <w:t xml:space="preserve"> &amp; Rana (2024)</w:t>
            </w:r>
          </w:p>
        </w:tc>
      </w:tr>
      <w:tr w:rsidR="008E2284" w:rsidRPr="00050EB0" w14:paraId="2DD7A9C2" w14:textId="77777777" w:rsidTr="00A9343B">
        <w:tc>
          <w:tcPr>
            <w:tcW w:w="2364" w:type="dxa"/>
            <w:vMerge/>
            <w:vAlign w:val="center"/>
            <w:hideMark/>
          </w:tcPr>
          <w:p w14:paraId="4B2E57FE" w14:textId="77777777" w:rsidR="008E2284" w:rsidRPr="008E2284" w:rsidRDefault="008E2284" w:rsidP="008E2284">
            <w:pPr>
              <w:spacing w:line="276" w:lineRule="auto"/>
              <w:jc w:val="left"/>
              <w:rPr>
                <w:lang w:val="en-US" w:bidi="ar-SA"/>
              </w:rPr>
            </w:pPr>
          </w:p>
        </w:tc>
        <w:tc>
          <w:tcPr>
            <w:tcW w:w="2491" w:type="dxa"/>
            <w:vMerge w:val="restart"/>
            <w:vAlign w:val="center"/>
            <w:hideMark/>
          </w:tcPr>
          <w:p w14:paraId="4BF28FAD" w14:textId="77777777" w:rsidR="008E2284" w:rsidRPr="008E2284" w:rsidRDefault="008E2284" w:rsidP="008E2284">
            <w:pPr>
              <w:spacing w:line="276" w:lineRule="auto"/>
              <w:jc w:val="left"/>
              <w:rPr>
                <w:lang w:val="en-US" w:bidi="ar-SA"/>
              </w:rPr>
            </w:pPr>
            <w:r w:rsidRPr="008E2284">
              <w:rPr>
                <w:lang w:val="en-US" w:bidi="ar-SA"/>
              </w:rPr>
              <w:t>Consumer-Facing Strategies</w:t>
            </w:r>
          </w:p>
        </w:tc>
        <w:tc>
          <w:tcPr>
            <w:tcW w:w="4461" w:type="dxa"/>
            <w:vAlign w:val="center"/>
            <w:hideMark/>
          </w:tcPr>
          <w:p w14:paraId="337EC8F9" w14:textId="77777777" w:rsidR="008E2284" w:rsidRPr="008E2284" w:rsidRDefault="008E2284" w:rsidP="008E2284">
            <w:pPr>
              <w:spacing w:line="276" w:lineRule="auto"/>
              <w:jc w:val="left"/>
              <w:rPr>
                <w:lang w:val="en-US" w:bidi="ar-SA"/>
              </w:rPr>
            </w:pPr>
            <w:r w:rsidRPr="008E2284">
              <w:rPr>
                <w:lang w:val="en-US" w:bidi="ar-SA"/>
              </w:rPr>
              <w:t>Transparent, consistent, cross-channel messaging</w:t>
            </w:r>
          </w:p>
        </w:tc>
        <w:tc>
          <w:tcPr>
            <w:tcW w:w="4632" w:type="dxa"/>
            <w:vAlign w:val="center"/>
            <w:hideMark/>
          </w:tcPr>
          <w:p w14:paraId="21F0CC3B" w14:textId="131FD1A7" w:rsidR="008E2284" w:rsidRPr="008E2284" w:rsidRDefault="008E2284" w:rsidP="008E2284">
            <w:pPr>
              <w:spacing w:line="276" w:lineRule="auto"/>
              <w:jc w:val="left"/>
              <w:rPr>
                <w:lang w:val="nl-NL" w:bidi="ar-SA"/>
              </w:rPr>
            </w:pPr>
            <w:r w:rsidRPr="008E2284">
              <w:rPr>
                <w:lang w:val="nl-NL" w:bidi="ar-SA"/>
              </w:rPr>
              <w:t xml:space="preserve">Garcia-Ortega </w:t>
            </w:r>
            <w:r w:rsidR="00A7080E" w:rsidRPr="00A7080E">
              <w:rPr>
                <w:i/>
                <w:iCs/>
                <w:lang w:val="nl-NL" w:bidi="ar-SA"/>
              </w:rPr>
              <w:t>et al</w:t>
            </w:r>
            <w:r w:rsidRPr="008E2284">
              <w:rPr>
                <w:lang w:val="nl-NL" w:bidi="ar-SA"/>
              </w:rPr>
              <w:t>. (2025); Fang (2024)</w:t>
            </w:r>
          </w:p>
        </w:tc>
      </w:tr>
      <w:tr w:rsidR="008E2284" w:rsidRPr="00A7080E" w14:paraId="072644E7" w14:textId="77777777" w:rsidTr="00A9343B">
        <w:tc>
          <w:tcPr>
            <w:tcW w:w="2364" w:type="dxa"/>
            <w:vMerge/>
            <w:vAlign w:val="center"/>
            <w:hideMark/>
          </w:tcPr>
          <w:p w14:paraId="45984567" w14:textId="77777777" w:rsidR="008E2284" w:rsidRPr="008E2284" w:rsidRDefault="008E2284" w:rsidP="008E2284">
            <w:pPr>
              <w:spacing w:line="276" w:lineRule="auto"/>
              <w:jc w:val="left"/>
              <w:rPr>
                <w:lang w:val="nl-NL" w:bidi="ar-SA"/>
              </w:rPr>
            </w:pPr>
          </w:p>
        </w:tc>
        <w:tc>
          <w:tcPr>
            <w:tcW w:w="2491" w:type="dxa"/>
            <w:vMerge/>
            <w:vAlign w:val="center"/>
            <w:hideMark/>
          </w:tcPr>
          <w:p w14:paraId="7DAB56A8" w14:textId="77777777" w:rsidR="008E2284" w:rsidRPr="008E2284" w:rsidRDefault="008E2284" w:rsidP="008E2284">
            <w:pPr>
              <w:spacing w:line="276" w:lineRule="auto"/>
              <w:jc w:val="left"/>
              <w:rPr>
                <w:lang w:val="nl-NL" w:bidi="ar-SA"/>
              </w:rPr>
            </w:pPr>
          </w:p>
        </w:tc>
        <w:tc>
          <w:tcPr>
            <w:tcW w:w="4461" w:type="dxa"/>
            <w:vAlign w:val="center"/>
            <w:hideMark/>
          </w:tcPr>
          <w:p w14:paraId="31286DDB" w14:textId="77777777" w:rsidR="008E2284" w:rsidRPr="008E2284" w:rsidRDefault="008E2284" w:rsidP="008E2284">
            <w:pPr>
              <w:spacing w:line="276" w:lineRule="auto"/>
              <w:jc w:val="left"/>
              <w:rPr>
                <w:lang w:val="en-US" w:bidi="ar-SA"/>
              </w:rPr>
            </w:pPr>
            <w:r w:rsidRPr="008E2284">
              <w:rPr>
                <w:lang w:val="en-US" w:bidi="ar-SA"/>
              </w:rPr>
              <w:t>Environmental education to build trust</w:t>
            </w:r>
          </w:p>
        </w:tc>
        <w:tc>
          <w:tcPr>
            <w:tcW w:w="4632" w:type="dxa"/>
            <w:vAlign w:val="center"/>
            <w:hideMark/>
          </w:tcPr>
          <w:p w14:paraId="770B4A17" w14:textId="01CAA6B2" w:rsidR="008E2284" w:rsidRPr="008E2284" w:rsidRDefault="008E2284" w:rsidP="008E2284">
            <w:pPr>
              <w:spacing w:line="276" w:lineRule="auto"/>
              <w:jc w:val="left"/>
              <w:rPr>
                <w:lang w:val="nl-NL" w:bidi="ar-SA"/>
              </w:rPr>
            </w:pPr>
            <w:r w:rsidRPr="008E2284">
              <w:rPr>
                <w:lang w:val="nl-NL" w:bidi="ar-SA"/>
              </w:rPr>
              <w:t xml:space="preserve">Marko &amp; Kusá (2023); Velasco-Molpeceres </w:t>
            </w:r>
            <w:r w:rsidR="00A7080E" w:rsidRPr="00A7080E">
              <w:rPr>
                <w:i/>
                <w:iCs/>
                <w:lang w:val="nl-NL" w:bidi="ar-SA"/>
              </w:rPr>
              <w:t>et al</w:t>
            </w:r>
            <w:r w:rsidRPr="008E2284">
              <w:rPr>
                <w:lang w:val="nl-NL" w:bidi="ar-SA"/>
              </w:rPr>
              <w:t>. (2023)</w:t>
            </w:r>
          </w:p>
        </w:tc>
      </w:tr>
    </w:tbl>
    <w:p w14:paraId="77DD6D9F" w14:textId="77777777" w:rsidR="008E2284" w:rsidRPr="008019B4" w:rsidRDefault="008E2284" w:rsidP="00D03F60">
      <w:pPr>
        <w:rPr>
          <w:lang w:val="nl-NL"/>
        </w:rPr>
        <w:sectPr w:rsidR="008E2284" w:rsidRPr="008019B4" w:rsidSect="008E2284">
          <w:pgSz w:w="16838" w:h="11906" w:orient="landscape" w:code="9"/>
          <w:pgMar w:top="1440" w:right="1440" w:bottom="1440" w:left="1440" w:header="708" w:footer="708" w:gutter="0"/>
          <w:cols w:space="708"/>
          <w:titlePg/>
          <w:docGrid w:linePitch="360"/>
        </w:sectPr>
      </w:pPr>
    </w:p>
    <w:p w14:paraId="65D66B88" w14:textId="4618C855" w:rsidR="008019B4" w:rsidRDefault="008019B4" w:rsidP="008019B4">
      <w:pPr>
        <w:pStyle w:val="Heading2"/>
      </w:pPr>
      <w:bookmarkStart w:id="46" w:name="_Toc214979401"/>
      <w:r>
        <w:lastRenderedPageBreak/>
        <w:t>Narrative Synthesis of the Findings</w:t>
      </w:r>
      <w:bookmarkEnd w:id="46"/>
    </w:p>
    <w:p w14:paraId="4F364F19" w14:textId="63BB065E" w:rsidR="008019B4" w:rsidRPr="008019B4" w:rsidRDefault="008019B4" w:rsidP="008019B4">
      <w:pPr>
        <w:pStyle w:val="Heading3"/>
        <w:rPr>
          <w:lang w:val="en-US"/>
        </w:rPr>
      </w:pPr>
      <w:bookmarkStart w:id="47" w:name="_Toc214979402"/>
      <w:r w:rsidRPr="008019B4">
        <w:rPr>
          <w:lang w:val="en-US"/>
        </w:rPr>
        <w:t>Sustainable Practices Adopted by Fashion Brands (RQ1</w:t>
      </w:r>
      <w:r>
        <w:rPr>
          <w:lang w:val="en-US"/>
        </w:rPr>
        <w:t>)</w:t>
      </w:r>
      <w:bookmarkEnd w:id="47"/>
    </w:p>
    <w:p w14:paraId="545D0E66" w14:textId="77777777" w:rsidR="008019B4" w:rsidRPr="008019B4" w:rsidRDefault="008019B4" w:rsidP="008019B4">
      <w:pPr>
        <w:rPr>
          <w:lang w:val="en-US"/>
        </w:rPr>
      </w:pPr>
      <w:r w:rsidRPr="008019B4">
        <w:rPr>
          <w:lang w:val="en-US"/>
        </w:rPr>
        <w:t xml:space="preserve">Sustainable practices in the fashion industry increasingly represent a convergence between environmental stewardship and social responsibility, yet their authenticity and effectiveness remain mixed. Fashion brands have begun adopting circularity and resource efficiency as visible environmental strategies, integrating recycling, reuse, and eco-material innovations to reduce waste and emissions (Burnstine and Ghattas, 2025; Mofokeng, 2025). Nevertheless, scholars have highlighted the risk of systemic greenwashing where brands promote partial initiatives while maintaining overproduction and linear business models. For instance, H&amp;M’s Conscious Collection and Zara’s Join Life campaign have been </w:t>
      </w:r>
      <w:proofErr w:type="spellStart"/>
      <w:r w:rsidRPr="008019B4">
        <w:rPr>
          <w:lang w:val="en-US"/>
        </w:rPr>
        <w:t>criticised</w:t>
      </w:r>
      <w:proofErr w:type="spellEnd"/>
      <w:r w:rsidRPr="008019B4">
        <w:rPr>
          <w:lang w:val="en-US"/>
        </w:rPr>
        <w:t xml:space="preserve"> for lacking verifiable evidence of circular material sourcing and for failing to address the core issue of fast production cycles.</w:t>
      </w:r>
    </w:p>
    <w:p w14:paraId="10FE53B9" w14:textId="2E2DD98F" w:rsidR="008019B4" w:rsidRPr="008019B4" w:rsidRDefault="008019B4" w:rsidP="008019B4">
      <w:pPr>
        <w:rPr>
          <w:lang w:val="en-US"/>
        </w:rPr>
      </w:pPr>
      <w:r w:rsidRPr="008019B4">
        <w:rPr>
          <w:lang w:val="en-US"/>
        </w:rPr>
        <w:t>Green innovation and performance improvement are increasingly pursued through eco-design, renewable energy in manufacturing, and digital solutions. Studies show that genuine innovation in production processes, such as green innovation orientation (GINO) and green marketing orientation (GMO), contributes to measurable reductions in environmental impact and enhances brand credibility (</w:t>
      </w:r>
      <w:proofErr w:type="spellStart"/>
      <w:r w:rsidRPr="008019B4">
        <w:rPr>
          <w:lang w:val="en-US"/>
        </w:rPr>
        <w:t>Habtemaryam</w:t>
      </w:r>
      <w:proofErr w:type="spellEnd"/>
      <w:r w:rsidRPr="008019B4">
        <w:rPr>
          <w:lang w:val="en-US"/>
        </w:rPr>
        <w:t xml:space="preserve">, </w:t>
      </w:r>
      <w:proofErr w:type="spellStart"/>
      <w:r w:rsidRPr="008019B4">
        <w:rPr>
          <w:lang w:val="en-US"/>
        </w:rPr>
        <w:t>Degoma</w:t>
      </w:r>
      <w:proofErr w:type="spellEnd"/>
      <w:r w:rsidRPr="008019B4">
        <w:rPr>
          <w:lang w:val="en-US"/>
        </w:rPr>
        <w:t xml:space="preserve"> and </w:t>
      </w:r>
      <w:proofErr w:type="spellStart"/>
      <w:r w:rsidRPr="008019B4">
        <w:rPr>
          <w:lang w:val="en-US"/>
        </w:rPr>
        <w:t>Tsegaye</w:t>
      </w:r>
      <w:proofErr w:type="spellEnd"/>
      <w:r w:rsidRPr="008019B4">
        <w:rPr>
          <w:lang w:val="en-US"/>
        </w:rPr>
        <w:t>, 2025). Similarly, sustainable marketing and green competitiveness are seen as differentiators for brands that successfully integrate environmental responsibility into their business models (</w:t>
      </w:r>
      <w:proofErr w:type="spellStart"/>
      <w:r w:rsidRPr="008019B4">
        <w:rPr>
          <w:lang w:val="en-US"/>
        </w:rPr>
        <w:t>Vehbi</w:t>
      </w:r>
      <w:proofErr w:type="spellEnd"/>
      <w:r w:rsidRPr="008019B4">
        <w:rPr>
          <w:lang w:val="en-US"/>
        </w:rPr>
        <w:t xml:space="preserve"> </w:t>
      </w:r>
      <w:r w:rsidR="00A7080E" w:rsidRPr="00A7080E">
        <w:rPr>
          <w:i/>
          <w:iCs/>
          <w:lang w:val="en-US"/>
        </w:rPr>
        <w:t>et al</w:t>
      </w:r>
      <w:r w:rsidRPr="008019B4">
        <w:rPr>
          <w:lang w:val="en-US"/>
        </w:rPr>
        <w:t>., 2025). Companies such as Patagonia and Stella McCartney have demonstrated this integration by embedding environmental goals into their brand identities and supply chains, evidencing how strategic sustainability can yield both environmental and reputational benefits.</w:t>
      </w:r>
    </w:p>
    <w:p w14:paraId="07DE8C91" w14:textId="0AE53688" w:rsidR="008019B4" w:rsidRPr="008019B4" w:rsidRDefault="008019B4" w:rsidP="008019B4">
      <w:pPr>
        <w:rPr>
          <w:lang w:val="en-US"/>
        </w:rPr>
      </w:pPr>
      <w:r w:rsidRPr="008019B4">
        <w:rPr>
          <w:lang w:val="en-US"/>
        </w:rPr>
        <w:t xml:space="preserve">Transparency and traceability represent another cornerstone of environmental stewardship. Fashion brands are increasingly employing blockchain and Internet of Things (IoT) technologies to verify material provenance and improve reporting integrity (Tolentino-Zondervan and DiVito, 2024; Wu </w:t>
      </w:r>
      <w:r w:rsidR="00A7080E" w:rsidRPr="00A7080E">
        <w:rPr>
          <w:i/>
          <w:iCs/>
          <w:lang w:val="en-US"/>
        </w:rPr>
        <w:t>et al</w:t>
      </w:r>
      <w:r w:rsidRPr="008019B4">
        <w:rPr>
          <w:lang w:val="en-US"/>
        </w:rPr>
        <w:t xml:space="preserve">., 2022). Mandatory disclosure frameworks, such as those discussed by Redman (2025), are seen as vital to curbing greenwashing and </w:t>
      </w:r>
      <w:proofErr w:type="spellStart"/>
      <w:r w:rsidRPr="008019B4">
        <w:rPr>
          <w:lang w:val="en-US"/>
        </w:rPr>
        <w:t>standardising</w:t>
      </w:r>
      <w:proofErr w:type="spellEnd"/>
      <w:r w:rsidRPr="008019B4">
        <w:rPr>
          <w:lang w:val="en-US"/>
        </w:rPr>
        <w:t xml:space="preserve"> accountability mechanisms across fashion supply chains. For example, Kering’s Environmental Profit and Loss (EP&amp;L) reporting system </w:t>
      </w:r>
      <w:r w:rsidRPr="008019B4">
        <w:rPr>
          <w:lang w:val="en-US"/>
        </w:rPr>
        <w:lastRenderedPageBreak/>
        <w:t>exemplifies how digital traceability can enhance transparency and demonstrate environmental performance in a verifiable manner.</w:t>
      </w:r>
    </w:p>
    <w:p w14:paraId="7FC35E87" w14:textId="2EEAEF53" w:rsidR="008019B4" w:rsidRPr="008019B4" w:rsidRDefault="008019B4" w:rsidP="008019B4">
      <w:pPr>
        <w:rPr>
          <w:lang w:val="en-US"/>
        </w:rPr>
      </w:pPr>
      <w:r w:rsidRPr="008019B4">
        <w:rPr>
          <w:lang w:val="en-US"/>
        </w:rPr>
        <w:t xml:space="preserve">In parallel, social responsibility initiatives within fashion are expanding beyond philanthropy to encompass ethical labour practices, stakeholder engagement, and accountability. </w:t>
      </w:r>
      <w:proofErr w:type="spellStart"/>
      <w:r w:rsidRPr="008019B4">
        <w:rPr>
          <w:lang w:val="en-US"/>
        </w:rPr>
        <w:t>Henninger</w:t>
      </w:r>
      <w:proofErr w:type="spellEnd"/>
      <w:r w:rsidRPr="008019B4">
        <w:rPr>
          <w:lang w:val="en-US"/>
        </w:rPr>
        <w:t xml:space="preserve">, </w:t>
      </w:r>
      <w:proofErr w:type="spellStart"/>
      <w:r w:rsidRPr="008019B4">
        <w:rPr>
          <w:lang w:val="en-US"/>
        </w:rPr>
        <w:t>Alevizou</w:t>
      </w:r>
      <w:proofErr w:type="spellEnd"/>
      <w:r w:rsidRPr="008019B4">
        <w:rPr>
          <w:lang w:val="en-US"/>
        </w:rPr>
        <w:t xml:space="preserve"> and Oates (2016) argue that ensuring fair wages and safe working conditions is integral to consumer assurance of ethical authenticity. Yet discrepancies persist between corporate claims and supply chain realities (Reza and Du Plessis, 2022). Global brands such as Nike and Adidas have adopted codes of conduct and third-party audits to mitigate risks of labour exploitation, though effectiveness varies depending on local enforcement. Increasingly, NGOs and activist groups exert pressure on brands to disclose their social and environmental practices, influencing both the quality and credibility of sustainability reporting (Crapa </w:t>
      </w:r>
      <w:r w:rsidR="00A7080E" w:rsidRPr="00A7080E">
        <w:rPr>
          <w:i/>
          <w:iCs/>
          <w:lang w:val="en-US"/>
        </w:rPr>
        <w:t>et al</w:t>
      </w:r>
      <w:r w:rsidRPr="008019B4">
        <w:rPr>
          <w:lang w:val="en-US"/>
        </w:rPr>
        <w:t xml:space="preserve">., 2025; de Magalhães Silva </w:t>
      </w:r>
      <w:r w:rsidR="00A7080E" w:rsidRPr="00A7080E">
        <w:rPr>
          <w:i/>
          <w:iCs/>
          <w:lang w:val="en-US"/>
        </w:rPr>
        <w:t>et al</w:t>
      </w:r>
      <w:r w:rsidRPr="008019B4">
        <w:rPr>
          <w:lang w:val="en-US"/>
        </w:rPr>
        <w:t>., 2025).</w:t>
      </w:r>
    </w:p>
    <w:p w14:paraId="050E68AB" w14:textId="4DBF5258" w:rsidR="008019B4" w:rsidRPr="008019B4" w:rsidRDefault="008019B4" w:rsidP="008019B4">
      <w:pPr>
        <w:rPr>
          <w:lang w:val="en-US"/>
        </w:rPr>
      </w:pPr>
      <w:r w:rsidRPr="008019B4">
        <w:rPr>
          <w:lang w:val="en-US"/>
        </w:rPr>
        <w:t xml:space="preserve">The avoidance of greenwashing has emerged as a defining challenge in achieving genuine sustainability. Studies show that consumers increasingly distinguish between symbolic and substantive sustainability claims, rewarding transparency and </w:t>
      </w:r>
      <w:proofErr w:type="spellStart"/>
      <w:r w:rsidRPr="008019B4">
        <w:rPr>
          <w:lang w:val="en-US"/>
        </w:rPr>
        <w:t>penalising</w:t>
      </w:r>
      <w:proofErr w:type="spellEnd"/>
      <w:r w:rsidRPr="008019B4">
        <w:rPr>
          <w:lang w:val="en-US"/>
        </w:rPr>
        <w:t xml:space="preserve"> perceived deception (</w:t>
      </w:r>
      <w:proofErr w:type="spellStart"/>
      <w:r w:rsidRPr="008019B4">
        <w:rPr>
          <w:lang w:val="en-US"/>
        </w:rPr>
        <w:t>Dalecki</w:t>
      </w:r>
      <w:proofErr w:type="spellEnd"/>
      <w:r w:rsidRPr="008019B4">
        <w:rPr>
          <w:lang w:val="en-US"/>
        </w:rPr>
        <w:t xml:space="preserve">, 2023; Goswami and Jaiswal, 2023). Authenticity and verification of sustainability communication are therefore critical, with brands required to provide proof beyond self-declared certifications (Garcia-Ortega </w:t>
      </w:r>
      <w:r w:rsidR="00A7080E" w:rsidRPr="00A7080E">
        <w:rPr>
          <w:i/>
          <w:iCs/>
          <w:lang w:val="en-US"/>
        </w:rPr>
        <w:t>et al</w:t>
      </w:r>
      <w:r w:rsidRPr="008019B4">
        <w:rPr>
          <w:lang w:val="en-US"/>
        </w:rPr>
        <w:t>., 2025). Selective disclosure, greenhushing, and exaggerated claims continue to undermine consumer trust (</w:t>
      </w:r>
      <w:proofErr w:type="spellStart"/>
      <w:r w:rsidRPr="008019B4">
        <w:rPr>
          <w:lang w:val="en-US"/>
        </w:rPr>
        <w:t>Jestratijevic</w:t>
      </w:r>
      <w:proofErr w:type="spellEnd"/>
      <w:r w:rsidRPr="008019B4">
        <w:rPr>
          <w:lang w:val="en-US"/>
        </w:rPr>
        <w:t xml:space="preserve">, </w:t>
      </w:r>
      <w:proofErr w:type="spellStart"/>
      <w:r w:rsidRPr="008019B4">
        <w:rPr>
          <w:lang w:val="en-US"/>
        </w:rPr>
        <w:t>Uanhoro</w:t>
      </w:r>
      <w:proofErr w:type="spellEnd"/>
      <w:r w:rsidRPr="008019B4">
        <w:rPr>
          <w:lang w:val="en-US"/>
        </w:rPr>
        <w:t xml:space="preserve"> and Rana, 2024; </w:t>
      </w:r>
      <w:proofErr w:type="spellStart"/>
      <w:r w:rsidRPr="008019B4">
        <w:rPr>
          <w:lang w:val="en-US"/>
        </w:rPr>
        <w:t>Schwoy</w:t>
      </w:r>
      <w:proofErr w:type="spellEnd"/>
      <w:r w:rsidRPr="008019B4">
        <w:rPr>
          <w:lang w:val="en-US"/>
        </w:rPr>
        <w:t xml:space="preserve">, </w:t>
      </w:r>
      <w:proofErr w:type="spellStart"/>
      <w:r w:rsidRPr="008019B4">
        <w:rPr>
          <w:lang w:val="en-US"/>
        </w:rPr>
        <w:t>Dutzi</w:t>
      </w:r>
      <w:proofErr w:type="spellEnd"/>
      <w:r w:rsidRPr="008019B4">
        <w:rPr>
          <w:lang w:val="en-US"/>
        </w:rPr>
        <w:t xml:space="preserve"> and Messing, 2025). Dobos and Éltető (2023) note the persistence of regulatory gaps and inconsistent oversight mechanisms, which enable superficial sustainability messaging to persist under minimal scrutiny.</w:t>
      </w:r>
    </w:p>
    <w:p w14:paraId="14D212E8" w14:textId="47A795AB" w:rsidR="008019B4" w:rsidRPr="008019B4" w:rsidRDefault="008019B4" w:rsidP="008019B4">
      <w:pPr>
        <w:rPr>
          <w:lang w:val="en-US"/>
        </w:rPr>
      </w:pPr>
      <w:r w:rsidRPr="008019B4">
        <w:rPr>
          <w:lang w:val="en-US"/>
        </w:rPr>
        <w:t>Consumer-facing impacts remain closely linked to how brands communicate and substantiate sustainability claims. Evidence shows that perceived greenwashing significantly reduces brand trust and purchase intention (</w:t>
      </w:r>
      <w:proofErr w:type="spellStart"/>
      <w:r w:rsidRPr="008019B4">
        <w:rPr>
          <w:lang w:val="en-US"/>
        </w:rPr>
        <w:t>Brugman</w:t>
      </w:r>
      <w:proofErr w:type="spellEnd"/>
      <w:r w:rsidRPr="008019B4">
        <w:rPr>
          <w:lang w:val="en-US"/>
        </w:rPr>
        <w:t xml:space="preserve">, van </w:t>
      </w:r>
      <w:proofErr w:type="spellStart"/>
      <w:r w:rsidRPr="008019B4">
        <w:rPr>
          <w:lang w:val="en-US"/>
        </w:rPr>
        <w:t>Huijstee</w:t>
      </w:r>
      <w:proofErr w:type="spellEnd"/>
      <w:r w:rsidRPr="008019B4">
        <w:rPr>
          <w:lang w:val="en-US"/>
        </w:rPr>
        <w:t xml:space="preserve"> and Droog, 2024; Marko and </w:t>
      </w:r>
      <w:proofErr w:type="spellStart"/>
      <w:r w:rsidRPr="008019B4">
        <w:rPr>
          <w:lang w:val="en-US"/>
        </w:rPr>
        <w:t>Kusá</w:t>
      </w:r>
      <w:proofErr w:type="spellEnd"/>
      <w:r w:rsidRPr="008019B4">
        <w:rPr>
          <w:lang w:val="en-US"/>
        </w:rPr>
        <w:t xml:space="preserve">, 2023; </w:t>
      </w:r>
      <w:proofErr w:type="spellStart"/>
      <w:r w:rsidRPr="008019B4">
        <w:rPr>
          <w:lang w:val="en-US"/>
        </w:rPr>
        <w:t>Policarpo</w:t>
      </w:r>
      <w:proofErr w:type="spellEnd"/>
      <w:r w:rsidRPr="008019B4">
        <w:rPr>
          <w:lang w:val="en-US"/>
        </w:rPr>
        <w:t xml:space="preserve"> </w:t>
      </w:r>
      <w:r w:rsidR="00A7080E" w:rsidRPr="00A7080E">
        <w:rPr>
          <w:i/>
          <w:iCs/>
          <w:lang w:val="en-US"/>
        </w:rPr>
        <w:t>et al</w:t>
      </w:r>
      <w:r w:rsidRPr="008019B4">
        <w:rPr>
          <w:lang w:val="en-US"/>
        </w:rPr>
        <w:t xml:space="preserve">., 2023). Nonetheless, when communication is perceived as transparent and consistent, consumers display stronger emotional and </w:t>
      </w:r>
      <w:proofErr w:type="spellStart"/>
      <w:r w:rsidRPr="008019B4">
        <w:rPr>
          <w:lang w:val="en-US"/>
        </w:rPr>
        <w:t>behavioural</w:t>
      </w:r>
      <w:proofErr w:type="spellEnd"/>
      <w:r w:rsidRPr="008019B4">
        <w:rPr>
          <w:lang w:val="en-US"/>
        </w:rPr>
        <w:t xml:space="preserve"> loyalty towards brands (Fang, 2024; Li, Cavender and Lee, 2025). Social media has amplified both scrutiny and advocacy, allowing consumers to challenge inconsistencies while also rewarding authenticity. Educational </w:t>
      </w:r>
      <w:r w:rsidRPr="008019B4">
        <w:rPr>
          <w:lang w:val="en-US"/>
        </w:rPr>
        <w:lastRenderedPageBreak/>
        <w:t>approaches and clear sustainability narratives are therefore central to closing the attitude–behaviour gap identified by Rausch and Kopplin (2021).</w:t>
      </w:r>
    </w:p>
    <w:p w14:paraId="01BE7574" w14:textId="3DD62300" w:rsidR="008019B4" w:rsidRDefault="008019B4" w:rsidP="008019B4">
      <w:pPr>
        <w:rPr>
          <w:lang w:val="en-US"/>
        </w:rPr>
      </w:pPr>
      <w:r w:rsidRPr="008019B4">
        <w:rPr>
          <w:lang w:val="en-US"/>
        </w:rPr>
        <w:t>Overall, the literature suggests that sustainable practices within the fashion industry are evolving through a combination of technological innovation, strategic transparency, and ethical accountability. Yet the persistence of greenwashing and definitional ambiguity continues to hinder genuine progress. To advance environmental stewardship and social responsibility, brands must move beyond symbolic communication towards measurable, verified, and transparent sustainability integration</w:t>
      </w:r>
      <w:r>
        <w:rPr>
          <w:lang w:val="en-US"/>
        </w:rPr>
        <w:t xml:space="preserve">, </w:t>
      </w:r>
      <w:r w:rsidRPr="008019B4">
        <w:rPr>
          <w:lang w:val="en-US"/>
        </w:rPr>
        <w:t>an approach exemplified by pioneering firms such as Patagonia, Eileen Fisher, and Kering, but still inconsistently adopted across the broader fashion landscape.</w:t>
      </w:r>
    </w:p>
    <w:p w14:paraId="18DB3BB8" w14:textId="2E6C7247" w:rsidR="008019B4" w:rsidRPr="008019B4" w:rsidRDefault="008019B4" w:rsidP="008019B4">
      <w:pPr>
        <w:pStyle w:val="Heading3"/>
        <w:rPr>
          <w:lang w:val="en-US"/>
        </w:rPr>
      </w:pPr>
      <w:bookmarkStart w:id="48" w:name="_Toc214979403"/>
      <w:r w:rsidRPr="008019B4">
        <w:t xml:space="preserve">Forms and Prevalence of Greenwashing </w:t>
      </w:r>
      <w:r>
        <w:t>in</w:t>
      </w:r>
      <w:r w:rsidRPr="008019B4">
        <w:t xml:space="preserve"> the Fashion Industry (RQ2)</w:t>
      </w:r>
      <w:bookmarkEnd w:id="48"/>
    </w:p>
    <w:p w14:paraId="05C47073" w14:textId="534C7155" w:rsidR="008019B4" w:rsidRPr="008019B4" w:rsidRDefault="008019B4" w:rsidP="008019B4">
      <w:pPr>
        <w:rPr>
          <w:lang w:val="en-US"/>
        </w:rPr>
      </w:pPr>
      <w:r w:rsidRPr="008019B4">
        <w:rPr>
          <w:lang w:val="en-US"/>
        </w:rPr>
        <w:t xml:space="preserve">Greenwashing in the fashion industry manifests in multiple forms, primarily aimed at conveying an impression of environmental stewardship or social responsibility without substantively changing production practices. One of the most prevalent categories is misleading environmental claims, where brands exaggerate or falsify environmental credentials. Product-focused misrepresentation includes false labelling of materials as eco-friendly or sustainable, such as claims regarding recycled PET or organic </w:t>
      </w:r>
      <w:proofErr w:type="spellStart"/>
      <w:r w:rsidRPr="008019B4">
        <w:rPr>
          <w:lang w:val="en-US"/>
        </w:rPr>
        <w:t>fibres</w:t>
      </w:r>
      <w:proofErr w:type="spellEnd"/>
      <w:r w:rsidRPr="008019B4">
        <w:rPr>
          <w:lang w:val="en-US"/>
        </w:rPr>
        <w:t xml:space="preserve">, which may not comply with rigorous certification standards (Wang &amp; Jung, 2025; Eppinger, 2022). Similarly, process-focused misrepresentation occurs through selective disclosure, where companies report only </w:t>
      </w:r>
      <w:proofErr w:type="spellStart"/>
      <w:r w:rsidRPr="008019B4">
        <w:rPr>
          <w:lang w:val="en-US"/>
        </w:rPr>
        <w:t>favourable</w:t>
      </w:r>
      <w:proofErr w:type="spellEnd"/>
      <w:r w:rsidRPr="008019B4">
        <w:rPr>
          <w:lang w:val="en-US"/>
        </w:rPr>
        <w:t xml:space="preserve"> sustainability practices while remaining silent on negative environmental impacts</w:t>
      </w:r>
      <w:r>
        <w:rPr>
          <w:lang w:val="en-US"/>
        </w:rPr>
        <w:t xml:space="preserve">, </w:t>
      </w:r>
      <w:r w:rsidRPr="008019B4">
        <w:rPr>
          <w:lang w:val="en-US"/>
        </w:rPr>
        <w:t>a phenomenon described as “</w:t>
      </w:r>
      <w:proofErr w:type="spellStart"/>
      <w:r w:rsidRPr="008019B4">
        <w:rPr>
          <w:lang w:val="en-US"/>
        </w:rPr>
        <w:t>greenhushing</w:t>
      </w:r>
      <w:proofErr w:type="spellEnd"/>
      <w:r w:rsidRPr="008019B4">
        <w:rPr>
          <w:lang w:val="en-US"/>
        </w:rPr>
        <w:t>” (</w:t>
      </w:r>
      <w:proofErr w:type="spellStart"/>
      <w:r w:rsidRPr="008019B4">
        <w:rPr>
          <w:lang w:val="en-US"/>
        </w:rPr>
        <w:t>Jestratijevic</w:t>
      </w:r>
      <w:proofErr w:type="spellEnd"/>
      <w:r w:rsidRPr="008019B4">
        <w:rPr>
          <w:lang w:val="en-US"/>
        </w:rPr>
        <w:t xml:space="preserve">, </w:t>
      </w:r>
      <w:proofErr w:type="spellStart"/>
      <w:r w:rsidRPr="008019B4">
        <w:rPr>
          <w:lang w:val="en-US"/>
        </w:rPr>
        <w:t>Uanhoro</w:t>
      </w:r>
      <w:proofErr w:type="spellEnd"/>
      <w:r w:rsidRPr="008019B4">
        <w:rPr>
          <w:lang w:val="en-US"/>
        </w:rPr>
        <w:t xml:space="preserve"> &amp; Rana, 2024; </w:t>
      </w:r>
      <w:proofErr w:type="spellStart"/>
      <w:r w:rsidRPr="008019B4">
        <w:rPr>
          <w:lang w:val="en-US"/>
        </w:rPr>
        <w:t>Hejlova</w:t>
      </w:r>
      <w:proofErr w:type="spellEnd"/>
      <w:r w:rsidRPr="008019B4">
        <w:rPr>
          <w:lang w:val="en-US"/>
        </w:rPr>
        <w:t xml:space="preserve"> </w:t>
      </w:r>
      <w:r w:rsidR="00A7080E" w:rsidRPr="00A7080E">
        <w:rPr>
          <w:i/>
          <w:iCs/>
          <w:lang w:val="en-US"/>
        </w:rPr>
        <w:t>et al</w:t>
      </w:r>
      <w:r w:rsidRPr="008019B4">
        <w:rPr>
          <w:lang w:val="en-US"/>
        </w:rPr>
        <w:t>., 2025). Brands like H&amp;M have faced scrutiny for marketing certain clothing lines as “Conscious” despite relying on conventional supply chains, illustrating the gap between reported claims and operational reality.</w:t>
      </w:r>
    </w:p>
    <w:p w14:paraId="5C1AAC4A" w14:textId="77777777" w:rsidR="008019B4" w:rsidRPr="008019B4" w:rsidRDefault="008019B4" w:rsidP="008019B4">
      <w:pPr>
        <w:rPr>
          <w:lang w:val="en-US"/>
        </w:rPr>
      </w:pPr>
      <w:r w:rsidRPr="008019B4">
        <w:rPr>
          <w:lang w:val="en-US"/>
        </w:rPr>
        <w:t xml:space="preserve">The second major form is CSR washing, in which brands exaggerate corporate social responsibility efforts to enhance their ethical image. Inflated CSR claims may include overstated commitments to fair labour practices or vague descriptions of supply-chain improvements (Dobos &amp; Éltető, 2023; Reza &amp; Du Plessis, 2022). Communication manipulation also plays a role, as companies construct mythic narratives around sustainability, portraying themselves as leaders in ethical fashion while masking </w:t>
      </w:r>
      <w:r w:rsidRPr="008019B4">
        <w:rPr>
          <w:lang w:val="en-US"/>
        </w:rPr>
        <w:lastRenderedPageBreak/>
        <w:t>deficiencies. Social media campaigns, particularly by fast-fashion brands, often employ curated content to suggest sustainability leadership, exemplified by Instagram campaigns of brands such as Zara or Shein that highlight limited eco-friendly lines while obscuring broader environmental impacts (</w:t>
      </w:r>
      <w:proofErr w:type="spellStart"/>
      <w:r w:rsidRPr="008019B4">
        <w:rPr>
          <w:lang w:val="en-US"/>
        </w:rPr>
        <w:t>Heidenstrøm</w:t>
      </w:r>
      <w:proofErr w:type="spellEnd"/>
      <w:r w:rsidRPr="008019B4">
        <w:rPr>
          <w:lang w:val="en-US"/>
        </w:rPr>
        <w:t xml:space="preserve">, 2024; Sailer, </w:t>
      </w:r>
      <w:proofErr w:type="spellStart"/>
      <w:r w:rsidRPr="008019B4">
        <w:rPr>
          <w:lang w:val="en-US"/>
        </w:rPr>
        <w:t>Wilfing</w:t>
      </w:r>
      <w:proofErr w:type="spellEnd"/>
      <w:r w:rsidRPr="008019B4">
        <w:rPr>
          <w:lang w:val="en-US"/>
        </w:rPr>
        <w:t xml:space="preserve"> &amp; Straus, 2022).</w:t>
      </w:r>
    </w:p>
    <w:p w14:paraId="06507BC9" w14:textId="1905D76E" w:rsidR="008019B4" w:rsidRPr="008019B4" w:rsidRDefault="008019B4" w:rsidP="008019B4">
      <w:pPr>
        <w:rPr>
          <w:lang w:val="en-US"/>
        </w:rPr>
      </w:pPr>
      <w:r w:rsidRPr="008019B4">
        <w:rPr>
          <w:lang w:val="en-US"/>
        </w:rPr>
        <w:t xml:space="preserve">A third form, symbolic and marketing-focused greenwashing, involves promoting sustainability through superficial marketing or branding without significant operational change. Techniques include the use of green marketing signals, such as eco-labels or certifications, that may not reflect rigorous verification (Andria </w:t>
      </w:r>
      <w:r w:rsidR="00A7080E" w:rsidRPr="00A7080E">
        <w:rPr>
          <w:i/>
          <w:iCs/>
          <w:lang w:val="en-US"/>
        </w:rPr>
        <w:t>et al</w:t>
      </w:r>
      <w:r w:rsidRPr="008019B4">
        <w:rPr>
          <w:lang w:val="en-US"/>
        </w:rPr>
        <w:t xml:space="preserve">., 2023; Dalecki, 2023; Do </w:t>
      </w:r>
      <w:r w:rsidR="00A7080E" w:rsidRPr="00A7080E">
        <w:rPr>
          <w:i/>
          <w:iCs/>
          <w:lang w:val="en-US"/>
        </w:rPr>
        <w:t>et al</w:t>
      </w:r>
      <w:r w:rsidRPr="008019B4">
        <w:rPr>
          <w:lang w:val="en-US"/>
        </w:rPr>
        <w:t>., 2025). Paltering</w:t>
      </w:r>
      <w:r>
        <w:rPr>
          <w:lang w:val="en-US"/>
        </w:rPr>
        <w:t xml:space="preserve">, </w:t>
      </w:r>
      <w:r w:rsidRPr="008019B4">
        <w:rPr>
          <w:lang w:val="en-US"/>
        </w:rPr>
        <w:t>making technically accurate but misleading statements</w:t>
      </w:r>
      <w:r>
        <w:rPr>
          <w:lang w:val="en-US"/>
        </w:rPr>
        <w:t xml:space="preserve">, </w:t>
      </w:r>
      <w:r w:rsidRPr="008019B4">
        <w:rPr>
          <w:lang w:val="en-US"/>
        </w:rPr>
        <w:t xml:space="preserve">further misleads consumers, and inconsistencies in cross-channel messaging can reduce the perceived authenticity of sustainability commitments (Goswami &amp; Jaiswal, 2023; Garcia-Ortega </w:t>
      </w:r>
      <w:r w:rsidR="00A7080E" w:rsidRPr="00A7080E">
        <w:rPr>
          <w:i/>
          <w:iCs/>
          <w:lang w:val="en-US"/>
        </w:rPr>
        <w:t>et al</w:t>
      </w:r>
      <w:r w:rsidRPr="008019B4">
        <w:rPr>
          <w:lang w:val="en-US"/>
        </w:rPr>
        <w:t>., 2025). Notably, brands like Adidas have faced criticism for promoting limited “sustainable” collections while the majority of production remains unsustainable.</w:t>
      </w:r>
    </w:p>
    <w:p w14:paraId="58A98CE2" w14:textId="79200C2C" w:rsidR="008019B4" w:rsidRPr="008019B4" w:rsidRDefault="008019B4" w:rsidP="008019B4">
      <w:pPr>
        <w:rPr>
          <w:lang w:val="en-US"/>
        </w:rPr>
      </w:pPr>
      <w:r w:rsidRPr="008019B4">
        <w:rPr>
          <w:lang w:val="en-US"/>
        </w:rPr>
        <w:t xml:space="preserve">Finally, the prevalence and consumer-facing impacts of greenwashing highlight its sectoral pervasiveness and the consequences for consumer trust. Fast-fashion companies are particularly prone to greenwashing due to their high-volume, short-cycle production models, which contrast sharply with environmental claims (Haque &amp; Lang, 2025; Marko &amp; </w:t>
      </w:r>
      <w:proofErr w:type="spellStart"/>
      <w:r w:rsidRPr="008019B4">
        <w:rPr>
          <w:lang w:val="en-US"/>
        </w:rPr>
        <w:t>Kusá</w:t>
      </w:r>
      <w:proofErr w:type="spellEnd"/>
      <w:r w:rsidRPr="008019B4">
        <w:rPr>
          <w:lang w:val="en-US"/>
        </w:rPr>
        <w:t xml:space="preserve">, 2023). Studies in the EU context indicate that greenwashing is widespread, and even when sustainability statements are present, they often fail to influence consumer behaviour positively due to </w:t>
      </w:r>
      <w:proofErr w:type="spellStart"/>
      <w:r w:rsidRPr="008019B4">
        <w:rPr>
          <w:lang w:val="en-US"/>
        </w:rPr>
        <w:t>scepticism</w:t>
      </w:r>
      <w:proofErr w:type="spellEnd"/>
      <w:r w:rsidRPr="008019B4">
        <w:rPr>
          <w:lang w:val="en-US"/>
        </w:rPr>
        <w:t xml:space="preserve"> and perceived hypocrisy (Pozzo, 2023; Lu </w:t>
      </w:r>
      <w:r w:rsidR="00A7080E" w:rsidRPr="00A7080E">
        <w:rPr>
          <w:i/>
          <w:iCs/>
          <w:lang w:val="en-US"/>
        </w:rPr>
        <w:t>et al</w:t>
      </w:r>
      <w:r w:rsidRPr="008019B4">
        <w:rPr>
          <w:lang w:val="en-US"/>
        </w:rPr>
        <w:t xml:space="preserve">., 2022; Policarpo </w:t>
      </w:r>
      <w:r w:rsidR="00A7080E" w:rsidRPr="00A7080E">
        <w:rPr>
          <w:i/>
          <w:iCs/>
          <w:lang w:val="en-US"/>
        </w:rPr>
        <w:t>et al</w:t>
      </w:r>
      <w:r w:rsidRPr="008019B4">
        <w:rPr>
          <w:lang w:val="en-US"/>
        </w:rPr>
        <w:t>., 2023). Negative consequences include reduced purchase intention, reputational damage, and spread of negative word-of-mouth, as seen in consumer responses to campaigns by fast-fashion and luxury brands alike (</w:t>
      </w:r>
      <w:proofErr w:type="spellStart"/>
      <w:r w:rsidRPr="008019B4">
        <w:rPr>
          <w:lang w:val="en-US"/>
        </w:rPr>
        <w:t>Promalessy</w:t>
      </w:r>
      <w:proofErr w:type="spellEnd"/>
      <w:r w:rsidRPr="008019B4">
        <w:rPr>
          <w:lang w:val="en-US"/>
        </w:rPr>
        <w:t xml:space="preserve"> &amp; </w:t>
      </w:r>
      <w:proofErr w:type="spellStart"/>
      <w:r w:rsidRPr="008019B4">
        <w:rPr>
          <w:lang w:val="en-US"/>
        </w:rPr>
        <w:t>Handriana</w:t>
      </w:r>
      <w:proofErr w:type="spellEnd"/>
      <w:r w:rsidRPr="008019B4">
        <w:rPr>
          <w:lang w:val="en-US"/>
        </w:rPr>
        <w:t>, 2024).</w:t>
      </w:r>
    </w:p>
    <w:p w14:paraId="12B2F64E" w14:textId="35E2D7E4" w:rsidR="008019B4" w:rsidRDefault="008019B4" w:rsidP="008019B4">
      <w:pPr>
        <w:rPr>
          <w:lang w:val="en-US"/>
        </w:rPr>
      </w:pPr>
      <w:r w:rsidRPr="008019B4">
        <w:rPr>
          <w:lang w:val="en-US"/>
        </w:rPr>
        <w:t xml:space="preserve">In sum, greenwashing in fashion operates through misleading product and process claims, exaggerated CSR narratives, symbolic marketing, and selective reporting, and its prevalence is particularly notable in fast-fashion sectors. Consumer </w:t>
      </w:r>
      <w:proofErr w:type="spellStart"/>
      <w:r w:rsidRPr="008019B4">
        <w:rPr>
          <w:lang w:val="en-US"/>
        </w:rPr>
        <w:t>scepticism</w:t>
      </w:r>
      <w:proofErr w:type="spellEnd"/>
      <w:r w:rsidRPr="008019B4">
        <w:rPr>
          <w:lang w:val="en-US"/>
        </w:rPr>
        <w:t xml:space="preserve">, amplified by social media scrutiny and </w:t>
      </w:r>
      <w:proofErr w:type="spellStart"/>
      <w:r w:rsidRPr="008019B4">
        <w:rPr>
          <w:lang w:val="en-US"/>
        </w:rPr>
        <w:t>publicised</w:t>
      </w:r>
      <w:proofErr w:type="spellEnd"/>
      <w:r w:rsidRPr="008019B4">
        <w:rPr>
          <w:lang w:val="en-US"/>
        </w:rPr>
        <w:t xml:space="preserve"> sustainability audits, has begun to challenge these practices, prompting calls for stronger regulation, </w:t>
      </w:r>
      <w:proofErr w:type="spellStart"/>
      <w:r w:rsidRPr="008019B4">
        <w:rPr>
          <w:lang w:val="en-US"/>
        </w:rPr>
        <w:t>standardisation</w:t>
      </w:r>
      <w:proofErr w:type="spellEnd"/>
      <w:r w:rsidRPr="008019B4">
        <w:rPr>
          <w:lang w:val="en-US"/>
        </w:rPr>
        <w:t xml:space="preserve"> of sustainability claims, and authentic corporate transparency (</w:t>
      </w:r>
      <w:proofErr w:type="spellStart"/>
      <w:r w:rsidRPr="008019B4">
        <w:rPr>
          <w:lang w:val="en-US"/>
        </w:rPr>
        <w:t>Jestratijevic</w:t>
      </w:r>
      <w:proofErr w:type="spellEnd"/>
      <w:r w:rsidRPr="008019B4">
        <w:rPr>
          <w:lang w:val="en-US"/>
        </w:rPr>
        <w:t xml:space="preserve">, </w:t>
      </w:r>
      <w:proofErr w:type="spellStart"/>
      <w:r w:rsidRPr="008019B4">
        <w:rPr>
          <w:lang w:val="en-US"/>
        </w:rPr>
        <w:t>Uanhoro</w:t>
      </w:r>
      <w:proofErr w:type="spellEnd"/>
      <w:r w:rsidRPr="008019B4">
        <w:rPr>
          <w:lang w:val="en-US"/>
        </w:rPr>
        <w:t xml:space="preserve"> &amp; Rana, 2024; Wang &amp; Jung, 2025). This synthesis underscores the critical need for </w:t>
      </w:r>
      <w:r w:rsidRPr="008019B4">
        <w:rPr>
          <w:lang w:val="en-US"/>
        </w:rPr>
        <w:lastRenderedPageBreak/>
        <w:t>fashion brands to move beyond superficial sustainability signals towards demonstrable environmental and social responsibility.</w:t>
      </w:r>
    </w:p>
    <w:p w14:paraId="670B72D6" w14:textId="548A3591" w:rsidR="008019B4" w:rsidRPr="008019B4" w:rsidRDefault="008019B4" w:rsidP="008019B4">
      <w:pPr>
        <w:pStyle w:val="Heading3"/>
        <w:rPr>
          <w:lang w:val="en-US"/>
        </w:rPr>
      </w:pPr>
      <w:bookmarkStart w:id="49" w:name="_Toc214979404"/>
      <w:r w:rsidRPr="008019B4">
        <w:rPr>
          <w:lang w:val="en-US"/>
        </w:rPr>
        <w:t>Comparative Analysis of Authentic Sustainability and Greenwashing Practices, with Emerging Gaps and Strategic Recommendations (RQ3)</w:t>
      </w:r>
      <w:bookmarkEnd w:id="49"/>
    </w:p>
    <w:p w14:paraId="07DB4657" w14:textId="20E5D3B8" w:rsidR="008019B4" w:rsidRPr="008019B4" w:rsidRDefault="008019B4" w:rsidP="008019B4">
      <w:pPr>
        <w:rPr>
          <w:lang w:val="en-US"/>
        </w:rPr>
      </w:pPr>
      <w:r w:rsidRPr="008019B4">
        <w:rPr>
          <w:lang w:val="en-US"/>
        </w:rPr>
        <w:t xml:space="preserve">The fashion industry has increasingly adopted sustainability initiatives in response to environmental and social concerns, yet significant divergence exists between authentic practices and greenwashing. Authentic sustainability initiatives focus on tangible environmental and social outcomes, often embedded within circularity, innovation, and ethical labour practices. Circularity and resource efficiency are increasingly evident in brands such as Patagonia and Stella McCartney, which implement closed-loop production systems, sustainable material sourcing, and green logistics practices (Burnstine &amp; Ghattas, 2025; Mofokeng, 2025). Green innovation strategies, such as the GINO framework, aim to improve environmental performance systematically through product design, production, and </w:t>
      </w:r>
      <w:proofErr w:type="spellStart"/>
      <w:r w:rsidRPr="008019B4">
        <w:rPr>
          <w:lang w:val="en-US"/>
        </w:rPr>
        <w:t>organisational</w:t>
      </w:r>
      <w:proofErr w:type="spellEnd"/>
      <w:r w:rsidRPr="008019B4">
        <w:rPr>
          <w:lang w:val="en-US"/>
        </w:rPr>
        <w:t xml:space="preserve"> processes (</w:t>
      </w:r>
      <w:proofErr w:type="spellStart"/>
      <w:r w:rsidRPr="008019B4">
        <w:rPr>
          <w:lang w:val="en-US"/>
        </w:rPr>
        <w:t>Habtemaryam</w:t>
      </w:r>
      <w:proofErr w:type="spellEnd"/>
      <w:r w:rsidRPr="008019B4">
        <w:rPr>
          <w:lang w:val="en-US"/>
        </w:rPr>
        <w:t xml:space="preserve">, </w:t>
      </w:r>
      <w:proofErr w:type="spellStart"/>
      <w:r w:rsidRPr="008019B4">
        <w:rPr>
          <w:lang w:val="en-US"/>
        </w:rPr>
        <w:t>Degoma</w:t>
      </w:r>
      <w:proofErr w:type="spellEnd"/>
      <w:r w:rsidRPr="008019B4">
        <w:rPr>
          <w:lang w:val="en-US"/>
        </w:rPr>
        <w:t xml:space="preserve"> &amp; Tsegaye, 2025). Companies that prioritise transparency in environmental, social, and governance (ESG) reporting, including verified third-party auditing and traceable supply chains, exemplify authentic sustainability practices (de Magalhães Silva </w:t>
      </w:r>
      <w:r w:rsidR="00A7080E" w:rsidRPr="00A7080E">
        <w:rPr>
          <w:i/>
          <w:iCs/>
          <w:lang w:val="en-US"/>
        </w:rPr>
        <w:t>et al</w:t>
      </w:r>
      <w:r w:rsidRPr="008019B4">
        <w:rPr>
          <w:lang w:val="en-US"/>
        </w:rPr>
        <w:t xml:space="preserve">., 2025; Wu </w:t>
      </w:r>
      <w:r w:rsidR="00A7080E" w:rsidRPr="00A7080E">
        <w:rPr>
          <w:i/>
          <w:iCs/>
          <w:lang w:val="en-US"/>
        </w:rPr>
        <w:t>et al</w:t>
      </w:r>
      <w:r w:rsidRPr="008019B4">
        <w:rPr>
          <w:lang w:val="en-US"/>
        </w:rPr>
        <w:t>., 2022; Tolentino-Zondervan &amp; DiVito, 2024). Moreover, ethical labour practices, including fair wages and stakeholder engagement, are increasingly adopted to complement environmental stewardship, ensuring social responsibility alongside ecological goals (</w:t>
      </w:r>
      <w:proofErr w:type="spellStart"/>
      <w:r w:rsidRPr="008019B4">
        <w:rPr>
          <w:lang w:val="en-US"/>
        </w:rPr>
        <w:t>Henninger</w:t>
      </w:r>
      <w:proofErr w:type="spellEnd"/>
      <w:r w:rsidRPr="008019B4">
        <w:rPr>
          <w:lang w:val="en-US"/>
        </w:rPr>
        <w:t xml:space="preserve">, </w:t>
      </w:r>
      <w:proofErr w:type="spellStart"/>
      <w:r w:rsidRPr="008019B4">
        <w:rPr>
          <w:lang w:val="en-US"/>
        </w:rPr>
        <w:t>Alevizou</w:t>
      </w:r>
      <w:proofErr w:type="spellEnd"/>
      <w:r w:rsidRPr="008019B4">
        <w:rPr>
          <w:lang w:val="en-US"/>
        </w:rPr>
        <w:t xml:space="preserve"> &amp; Oates, 2016; Reza &amp; Du Plessis, 2022).</w:t>
      </w:r>
    </w:p>
    <w:p w14:paraId="02262BD6" w14:textId="267929F4" w:rsidR="008019B4" w:rsidRPr="008019B4" w:rsidRDefault="008019B4" w:rsidP="008019B4">
      <w:pPr>
        <w:rPr>
          <w:lang w:val="en-US"/>
        </w:rPr>
      </w:pPr>
      <w:r w:rsidRPr="008019B4">
        <w:rPr>
          <w:lang w:val="en-US"/>
        </w:rPr>
        <w:t xml:space="preserve">In contrast, greenwashing remains prevalent, often </w:t>
      </w:r>
      <w:proofErr w:type="spellStart"/>
      <w:r w:rsidRPr="008019B4">
        <w:rPr>
          <w:lang w:val="en-US"/>
        </w:rPr>
        <w:t>characterised</w:t>
      </w:r>
      <w:proofErr w:type="spellEnd"/>
      <w:r w:rsidRPr="008019B4">
        <w:rPr>
          <w:lang w:val="en-US"/>
        </w:rPr>
        <w:t xml:space="preserve"> by exaggerated or misleading claims, selective disclosures, and ambiguous terminology. Symbolic or cosmetic actions, such as CSR-washing and paltering, are common in fast-fashion brands, including H&amp;M and Zara, where sustainability messaging sometimes </w:t>
      </w:r>
      <w:proofErr w:type="spellStart"/>
      <w:r w:rsidRPr="008019B4">
        <w:rPr>
          <w:lang w:val="en-US"/>
        </w:rPr>
        <w:t>prioritises</w:t>
      </w:r>
      <w:proofErr w:type="spellEnd"/>
      <w:r w:rsidRPr="008019B4">
        <w:rPr>
          <w:lang w:val="en-US"/>
        </w:rPr>
        <w:t xml:space="preserve"> image over substance (Dobos &amp; Éltető, 2023; </w:t>
      </w:r>
      <w:proofErr w:type="spellStart"/>
      <w:r w:rsidRPr="008019B4">
        <w:rPr>
          <w:lang w:val="en-US"/>
        </w:rPr>
        <w:t>Brugman</w:t>
      </w:r>
      <w:proofErr w:type="spellEnd"/>
      <w:r w:rsidRPr="008019B4">
        <w:rPr>
          <w:lang w:val="en-US"/>
        </w:rPr>
        <w:t xml:space="preserve">, van </w:t>
      </w:r>
      <w:proofErr w:type="spellStart"/>
      <w:r w:rsidRPr="008019B4">
        <w:rPr>
          <w:lang w:val="en-US"/>
        </w:rPr>
        <w:t>Huijstee</w:t>
      </w:r>
      <w:proofErr w:type="spellEnd"/>
      <w:r w:rsidRPr="008019B4">
        <w:rPr>
          <w:lang w:val="en-US"/>
        </w:rPr>
        <w:t xml:space="preserve"> &amp; Droog, 2024; Goswami &amp; Jaiswal, 2023). Selective reporting or greenhushing, where companies under-report or conceal unsustainable practices, further undermines transparency (</w:t>
      </w:r>
      <w:proofErr w:type="spellStart"/>
      <w:r w:rsidRPr="008019B4">
        <w:rPr>
          <w:lang w:val="en-US"/>
        </w:rPr>
        <w:t>Jestratijevic</w:t>
      </w:r>
      <w:proofErr w:type="spellEnd"/>
      <w:r w:rsidRPr="008019B4">
        <w:rPr>
          <w:lang w:val="en-US"/>
        </w:rPr>
        <w:t xml:space="preserve">, </w:t>
      </w:r>
      <w:proofErr w:type="spellStart"/>
      <w:r w:rsidRPr="008019B4">
        <w:rPr>
          <w:lang w:val="en-US"/>
        </w:rPr>
        <w:t>Uanhoro</w:t>
      </w:r>
      <w:proofErr w:type="spellEnd"/>
      <w:r w:rsidRPr="008019B4">
        <w:rPr>
          <w:lang w:val="en-US"/>
        </w:rPr>
        <w:t xml:space="preserve"> &amp; Rana, 2024; </w:t>
      </w:r>
      <w:proofErr w:type="spellStart"/>
      <w:r w:rsidRPr="008019B4">
        <w:rPr>
          <w:lang w:val="en-US"/>
        </w:rPr>
        <w:t>Schwoy</w:t>
      </w:r>
      <w:proofErr w:type="spellEnd"/>
      <w:r w:rsidRPr="008019B4">
        <w:rPr>
          <w:lang w:val="en-US"/>
        </w:rPr>
        <w:t xml:space="preserve">, </w:t>
      </w:r>
      <w:proofErr w:type="spellStart"/>
      <w:r w:rsidRPr="008019B4">
        <w:rPr>
          <w:lang w:val="en-US"/>
        </w:rPr>
        <w:t>Dutzi</w:t>
      </w:r>
      <w:proofErr w:type="spellEnd"/>
      <w:r w:rsidRPr="008019B4">
        <w:rPr>
          <w:lang w:val="en-US"/>
        </w:rPr>
        <w:t xml:space="preserve"> &amp; Messing, 2025). Ambiguous or poorly defined sustainability terminology contributes to consumer confusion, allowing narratives such as tech-utopia or sovereign-consumer myths to perpetuate perceived environmental responsibility without substantive action </w:t>
      </w:r>
      <w:r w:rsidRPr="008019B4">
        <w:rPr>
          <w:lang w:val="en-US"/>
        </w:rPr>
        <w:lastRenderedPageBreak/>
        <w:t xml:space="preserve">(Brydges, Henninger &amp; Hanlon, 2022; </w:t>
      </w:r>
      <w:proofErr w:type="spellStart"/>
      <w:r w:rsidRPr="008019B4">
        <w:rPr>
          <w:lang w:val="en-US"/>
        </w:rPr>
        <w:t>Heidenstrøm</w:t>
      </w:r>
      <w:proofErr w:type="spellEnd"/>
      <w:r w:rsidRPr="008019B4">
        <w:rPr>
          <w:lang w:val="en-US"/>
        </w:rPr>
        <w:t>, 2024; Evans &amp; Peirson-Smith, 2018). Social media campaigns and influencer promotions may exacerbate greenwashing by projecting an image of sustainability that may not align with actual practices (Fang, 2024; Sailer, Wilfing &amp; Straus, 2022).</w:t>
      </w:r>
    </w:p>
    <w:p w14:paraId="0D6C5503" w14:textId="08D880AB" w:rsidR="008019B4" w:rsidRPr="008019B4" w:rsidRDefault="008019B4" w:rsidP="008019B4">
      <w:pPr>
        <w:rPr>
          <w:lang w:val="en-US"/>
        </w:rPr>
      </w:pPr>
      <w:r w:rsidRPr="008019B4">
        <w:rPr>
          <w:lang w:val="en-US"/>
        </w:rPr>
        <w:t xml:space="preserve">Comparative analyses suggest that authentic sustainability initiatives </w:t>
      </w:r>
      <w:proofErr w:type="spellStart"/>
      <w:r w:rsidRPr="008019B4">
        <w:rPr>
          <w:lang w:val="en-US"/>
        </w:rPr>
        <w:t>emphasise</w:t>
      </w:r>
      <w:proofErr w:type="spellEnd"/>
      <w:r w:rsidRPr="008019B4">
        <w:rPr>
          <w:lang w:val="en-US"/>
        </w:rPr>
        <w:t xml:space="preserve"> verification, consistency, and measurable impact, whereas greenwashing </w:t>
      </w:r>
      <w:proofErr w:type="spellStart"/>
      <w:r w:rsidRPr="008019B4">
        <w:rPr>
          <w:lang w:val="en-US"/>
        </w:rPr>
        <w:t>prioritises</w:t>
      </w:r>
      <w:proofErr w:type="spellEnd"/>
      <w:r w:rsidRPr="008019B4">
        <w:rPr>
          <w:lang w:val="en-US"/>
        </w:rPr>
        <w:t xml:space="preserve"> perception management and image-enhancement with minimal systemic change. Greenwashing negatively affects consumer trust and purchase intentions, as demonstrated in studies showing reduced brand credibility and </w:t>
      </w:r>
      <w:proofErr w:type="spellStart"/>
      <w:r w:rsidRPr="008019B4">
        <w:rPr>
          <w:lang w:val="en-US"/>
        </w:rPr>
        <w:t>scepticism</w:t>
      </w:r>
      <w:proofErr w:type="spellEnd"/>
      <w:r w:rsidRPr="008019B4">
        <w:rPr>
          <w:lang w:val="en-US"/>
        </w:rPr>
        <w:t xml:space="preserve"> among fashion consumers (Lu </w:t>
      </w:r>
      <w:r w:rsidR="00A7080E" w:rsidRPr="00A7080E">
        <w:rPr>
          <w:i/>
          <w:iCs/>
          <w:lang w:val="en-US"/>
        </w:rPr>
        <w:t>et al</w:t>
      </w:r>
      <w:r w:rsidRPr="008019B4">
        <w:rPr>
          <w:lang w:val="en-US"/>
        </w:rPr>
        <w:t xml:space="preserve">., 2022; Marko &amp; </w:t>
      </w:r>
      <w:proofErr w:type="spellStart"/>
      <w:r w:rsidRPr="008019B4">
        <w:rPr>
          <w:lang w:val="en-US"/>
        </w:rPr>
        <w:t>Kusá</w:t>
      </w:r>
      <w:proofErr w:type="spellEnd"/>
      <w:r w:rsidRPr="008019B4">
        <w:rPr>
          <w:lang w:val="en-US"/>
        </w:rPr>
        <w:t>, 2023; Goswami &amp; Jaiswal, 2023). Conversely, transparent communication, verified ESG disclosures, and consistent cross-channel messaging enhance brand trust and consumer engagement (</w:t>
      </w:r>
      <w:proofErr w:type="spellStart"/>
      <w:r w:rsidRPr="008019B4">
        <w:rPr>
          <w:lang w:val="en-US"/>
        </w:rPr>
        <w:t>Velasco-Molpeceres</w:t>
      </w:r>
      <w:proofErr w:type="spellEnd"/>
      <w:r w:rsidRPr="008019B4">
        <w:rPr>
          <w:lang w:val="en-US"/>
        </w:rPr>
        <w:t xml:space="preserve"> </w:t>
      </w:r>
      <w:r w:rsidR="00A7080E" w:rsidRPr="00A7080E">
        <w:rPr>
          <w:i/>
          <w:iCs/>
          <w:lang w:val="en-US"/>
        </w:rPr>
        <w:t>et al</w:t>
      </w:r>
      <w:r w:rsidRPr="008019B4">
        <w:rPr>
          <w:lang w:val="en-US"/>
        </w:rPr>
        <w:t xml:space="preserve">., 2023; Garcia-Ortega </w:t>
      </w:r>
      <w:r w:rsidR="00A7080E" w:rsidRPr="00A7080E">
        <w:rPr>
          <w:i/>
          <w:iCs/>
          <w:lang w:val="en-US"/>
        </w:rPr>
        <w:t>et al</w:t>
      </w:r>
      <w:r w:rsidRPr="008019B4">
        <w:rPr>
          <w:lang w:val="en-US"/>
        </w:rPr>
        <w:t>., 2025; Fang, 2024).</w:t>
      </w:r>
    </w:p>
    <w:p w14:paraId="10060446" w14:textId="0E3B9288" w:rsidR="008019B4" w:rsidRPr="008019B4" w:rsidRDefault="008019B4" w:rsidP="008019B4">
      <w:pPr>
        <w:rPr>
          <w:lang w:val="en-US"/>
        </w:rPr>
      </w:pPr>
      <w:r w:rsidRPr="008019B4">
        <w:rPr>
          <w:lang w:val="en-US"/>
        </w:rPr>
        <w:t xml:space="preserve">Identified gaps include weak regulatory enforcement, inconsistent sustainability metrics, limited auditing and verification, and consumer confusion regarding authentic practices versus greenwashing (Pozzo, 2023; Burnstine &amp; </w:t>
      </w:r>
      <w:proofErr w:type="spellStart"/>
      <w:r w:rsidRPr="008019B4">
        <w:rPr>
          <w:lang w:val="en-US"/>
        </w:rPr>
        <w:t>Ghattas</w:t>
      </w:r>
      <w:proofErr w:type="spellEnd"/>
      <w:r w:rsidRPr="008019B4">
        <w:rPr>
          <w:lang w:val="en-US"/>
        </w:rPr>
        <w:t xml:space="preserve">, 2025; </w:t>
      </w:r>
      <w:proofErr w:type="spellStart"/>
      <w:r w:rsidRPr="008019B4">
        <w:rPr>
          <w:lang w:val="en-US"/>
        </w:rPr>
        <w:t>Jestratijevic</w:t>
      </w:r>
      <w:proofErr w:type="spellEnd"/>
      <w:r w:rsidRPr="008019B4">
        <w:rPr>
          <w:lang w:val="en-US"/>
        </w:rPr>
        <w:t xml:space="preserve">, </w:t>
      </w:r>
      <w:proofErr w:type="spellStart"/>
      <w:r w:rsidRPr="008019B4">
        <w:rPr>
          <w:lang w:val="en-US"/>
        </w:rPr>
        <w:t>Uanhoro</w:t>
      </w:r>
      <w:proofErr w:type="spellEnd"/>
      <w:r w:rsidRPr="008019B4">
        <w:rPr>
          <w:lang w:val="en-US"/>
        </w:rPr>
        <w:t xml:space="preserve"> &amp; Rana, 2024; Evans &amp; Peirson-Smith, 2018; Li, Cavender &amp; Lee, 2025). These gaps provide opportunities for strategic improvement. Strategic recommendations emerging from the literature include implementing </w:t>
      </w:r>
      <w:proofErr w:type="spellStart"/>
      <w:r w:rsidRPr="008019B4">
        <w:rPr>
          <w:lang w:val="en-US"/>
        </w:rPr>
        <w:t>standardised</w:t>
      </w:r>
      <w:proofErr w:type="spellEnd"/>
      <w:r w:rsidRPr="008019B4">
        <w:rPr>
          <w:lang w:val="en-US"/>
        </w:rPr>
        <w:t xml:space="preserve"> ESG reporting and mandatory disclosure requirements, strengthening regulatory frameworks, promoting third-party verification and auditing, enhancing traceability in supply chains, and fostering consumer environmental education (Redman, 2025; Tolentino-Zondervan &amp; DiVito, 2024; Dalecki, 2023; Wu </w:t>
      </w:r>
      <w:r w:rsidR="00A7080E" w:rsidRPr="00A7080E">
        <w:rPr>
          <w:i/>
          <w:iCs/>
          <w:lang w:val="en-US"/>
        </w:rPr>
        <w:t>et al</w:t>
      </w:r>
      <w:r w:rsidRPr="008019B4">
        <w:rPr>
          <w:lang w:val="en-US"/>
        </w:rPr>
        <w:t xml:space="preserve">., 2022; Burnstine &amp; Ghattas, 2025; Garcia-Ortega </w:t>
      </w:r>
      <w:r w:rsidR="00A7080E" w:rsidRPr="00A7080E">
        <w:rPr>
          <w:i/>
          <w:iCs/>
          <w:lang w:val="en-US"/>
        </w:rPr>
        <w:t>et al</w:t>
      </w:r>
      <w:r w:rsidRPr="008019B4">
        <w:rPr>
          <w:lang w:val="en-US"/>
        </w:rPr>
        <w:t xml:space="preserve">., 2025; Marko &amp; </w:t>
      </w:r>
      <w:proofErr w:type="spellStart"/>
      <w:r w:rsidRPr="008019B4">
        <w:rPr>
          <w:lang w:val="en-US"/>
        </w:rPr>
        <w:t>Kusá</w:t>
      </w:r>
      <w:proofErr w:type="spellEnd"/>
      <w:r w:rsidRPr="008019B4">
        <w:rPr>
          <w:lang w:val="en-US"/>
        </w:rPr>
        <w:t>, 2023).</w:t>
      </w:r>
    </w:p>
    <w:p w14:paraId="27E36371" w14:textId="50A5AF25" w:rsidR="008019B4" w:rsidRPr="008019B4" w:rsidRDefault="008019B4" w:rsidP="008019B4">
      <w:pPr>
        <w:rPr>
          <w:lang w:val="en-US"/>
        </w:rPr>
      </w:pPr>
      <w:r w:rsidRPr="008019B4">
        <w:rPr>
          <w:lang w:val="en-US"/>
        </w:rPr>
        <w:t>Overall, the synthesis underscores a critical distinction between genuine sustainability and greenwashing in the fashion sector. While authentic initiatives can improve environmental and social outcomes, greenwashing practices undermine trust and hinder progress towards a truly sustainable fashion industry. Companies that integrate verification, transparency, ethical labour practices, and consistent communication</w:t>
      </w:r>
      <w:r>
        <w:rPr>
          <w:lang w:val="en-US"/>
        </w:rPr>
        <w:t xml:space="preserve">, </w:t>
      </w:r>
      <w:r w:rsidRPr="008019B4">
        <w:rPr>
          <w:lang w:val="en-US"/>
        </w:rPr>
        <w:t>such as Patagonia, Stella McCartney, and selected premium fashion brands</w:t>
      </w:r>
      <w:r>
        <w:rPr>
          <w:lang w:val="en-US"/>
        </w:rPr>
        <w:t xml:space="preserve">, </w:t>
      </w:r>
      <w:r w:rsidRPr="008019B4">
        <w:rPr>
          <w:lang w:val="en-US"/>
        </w:rPr>
        <w:t>represent models of authentic sustainability, whereas brands relying predominantly on image-driven green claims highlight the ongoing prevalence of greenwashing and the need for rigorous oversight.</w:t>
      </w:r>
    </w:p>
    <w:p w14:paraId="300E1B32" w14:textId="77777777" w:rsidR="00391EB6" w:rsidRPr="008C5097" w:rsidRDefault="00391EB6" w:rsidP="008C5097">
      <w:pPr>
        <w:pStyle w:val="Heading2"/>
      </w:pPr>
      <w:bookmarkStart w:id="50" w:name="_Toc214979405"/>
      <w:r w:rsidRPr="008C5097">
        <w:lastRenderedPageBreak/>
        <w:t>Discussion of Results</w:t>
      </w:r>
      <w:bookmarkEnd w:id="50"/>
      <w:r w:rsidRPr="008C5097">
        <w:t xml:space="preserve"> </w:t>
      </w:r>
    </w:p>
    <w:p w14:paraId="63C2678F" w14:textId="77777777" w:rsidR="00E919EE" w:rsidRPr="00E919EE" w:rsidRDefault="00E919EE" w:rsidP="00E919EE">
      <w:pPr>
        <w:rPr>
          <w:lang w:val="en-US" w:eastAsia="zh-CN" w:bidi="bn-IN"/>
        </w:rPr>
      </w:pPr>
      <w:r w:rsidRPr="00E919EE">
        <w:rPr>
          <w:lang w:val="en-US" w:eastAsia="zh-CN" w:bidi="bn-IN"/>
        </w:rPr>
        <w:t>The findings of this systematic review offer significant insights that both corroborate and extend the theoretical frameworks discussed in Section 2.2.2, particularly in the context of sustainability and greenwashing in the fashion industry.</w:t>
      </w:r>
    </w:p>
    <w:p w14:paraId="340BD016" w14:textId="77777777" w:rsidR="00E919EE" w:rsidRPr="00E919EE" w:rsidRDefault="00E919EE" w:rsidP="00E919EE">
      <w:pPr>
        <w:rPr>
          <w:lang w:val="en-US" w:eastAsia="zh-CN" w:bidi="bn-IN"/>
        </w:rPr>
      </w:pPr>
      <w:r w:rsidRPr="00E919EE">
        <w:rPr>
          <w:lang w:val="en-US" w:eastAsia="zh-CN" w:bidi="bn-IN"/>
        </w:rPr>
        <w:t xml:space="preserve">Stakeholder Theory is reinforced by evidence demonstrating that consumer scrutiny, NGO activism, and regulatory pressure exert substantial influence on corporate behaviour. Empirical studies indicate that brands are held accountable by multiple stakeholder groups, with consequences including diminished trust, reduced purchase intention, and negative word-of-mouth when sustainability claims are perceived as misleading or superficial (Fang, 2024; Marko &amp; </w:t>
      </w:r>
      <w:proofErr w:type="spellStart"/>
      <w:r w:rsidRPr="00E919EE">
        <w:rPr>
          <w:lang w:val="en-US" w:eastAsia="zh-CN" w:bidi="bn-IN"/>
        </w:rPr>
        <w:t>Kusá</w:t>
      </w:r>
      <w:proofErr w:type="spellEnd"/>
      <w:r w:rsidRPr="00E919EE">
        <w:rPr>
          <w:lang w:val="en-US" w:eastAsia="zh-CN" w:bidi="bn-IN"/>
        </w:rPr>
        <w:t xml:space="preserve">, 2023; </w:t>
      </w:r>
      <w:proofErr w:type="spellStart"/>
      <w:r w:rsidRPr="00E919EE">
        <w:rPr>
          <w:lang w:val="en-US" w:eastAsia="zh-CN" w:bidi="bn-IN"/>
        </w:rPr>
        <w:t>Policarpo</w:t>
      </w:r>
      <w:proofErr w:type="spellEnd"/>
      <w:r w:rsidRPr="00E919EE">
        <w:rPr>
          <w:lang w:val="en-US" w:eastAsia="zh-CN" w:bidi="bn-IN"/>
        </w:rPr>
        <w:t xml:space="preserve"> et al., 2023). Nevertheless, the persistence of greenwashing practices reveals a limitation in the practical application of Stakeholder Theory: while stakeholder pressures exist, they do not uniformly compel companies to adopt authentic sustainability practices. Fast-fashion brands, in particular, may prioritise economic growth or brand image over substantive stakeholder-oriented sustainability, highlighting a gap between theoretical expectations and industry practice (Lovrić &amp; Čagalj, 2025; Goswami &amp; Jaiswal, 2023).</w:t>
      </w:r>
    </w:p>
    <w:p w14:paraId="443AAE7D" w14:textId="77777777" w:rsidR="00E919EE" w:rsidRPr="00E919EE" w:rsidRDefault="00E919EE" w:rsidP="00E919EE">
      <w:pPr>
        <w:rPr>
          <w:lang w:val="en-US" w:eastAsia="zh-CN" w:bidi="bn-IN"/>
        </w:rPr>
      </w:pPr>
      <w:proofErr w:type="spellStart"/>
      <w:r w:rsidRPr="00E919EE">
        <w:rPr>
          <w:lang w:val="en-US" w:eastAsia="zh-CN" w:bidi="bn-IN"/>
        </w:rPr>
        <w:t>Signalling</w:t>
      </w:r>
      <w:proofErr w:type="spellEnd"/>
      <w:r w:rsidRPr="00E919EE">
        <w:rPr>
          <w:lang w:val="en-US" w:eastAsia="zh-CN" w:bidi="bn-IN"/>
        </w:rPr>
        <w:t xml:space="preserve"> Theory is strongly corroborated by the review, which demonstrates that sustainability communications function as signals to consumers regarding corporate ethics and environmental responsibility. Misleading or selective disclosures—such as greenhushing, paltering, and CSR-washing—represent failures in signal credibility, leading to </w:t>
      </w:r>
      <w:proofErr w:type="spellStart"/>
      <w:r w:rsidRPr="00E919EE">
        <w:rPr>
          <w:lang w:val="en-US" w:eastAsia="zh-CN" w:bidi="bn-IN"/>
        </w:rPr>
        <w:t>scepticism</w:t>
      </w:r>
      <w:proofErr w:type="spellEnd"/>
      <w:r w:rsidRPr="00E919EE">
        <w:rPr>
          <w:lang w:val="en-US" w:eastAsia="zh-CN" w:bidi="bn-IN"/>
        </w:rPr>
        <w:t xml:space="preserve"> and reduced consumer engagement (Dobos &amp; </w:t>
      </w:r>
      <w:proofErr w:type="spellStart"/>
      <w:r w:rsidRPr="00E919EE">
        <w:rPr>
          <w:lang w:val="en-US" w:eastAsia="zh-CN" w:bidi="bn-IN"/>
        </w:rPr>
        <w:t>Éltető</w:t>
      </w:r>
      <w:proofErr w:type="spellEnd"/>
      <w:r w:rsidRPr="00E919EE">
        <w:rPr>
          <w:lang w:val="en-US" w:eastAsia="zh-CN" w:bidi="bn-IN"/>
        </w:rPr>
        <w:t xml:space="preserve">, 2023; </w:t>
      </w:r>
      <w:proofErr w:type="spellStart"/>
      <w:r w:rsidRPr="00E919EE">
        <w:rPr>
          <w:lang w:val="en-US" w:eastAsia="zh-CN" w:bidi="bn-IN"/>
        </w:rPr>
        <w:t>Jestratijevic</w:t>
      </w:r>
      <w:proofErr w:type="spellEnd"/>
      <w:r w:rsidRPr="00E919EE">
        <w:rPr>
          <w:lang w:val="en-US" w:eastAsia="zh-CN" w:bidi="bn-IN"/>
        </w:rPr>
        <w:t xml:space="preserve">, </w:t>
      </w:r>
      <w:proofErr w:type="spellStart"/>
      <w:r w:rsidRPr="00E919EE">
        <w:rPr>
          <w:lang w:val="en-US" w:eastAsia="zh-CN" w:bidi="bn-IN"/>
        </w:rPr>
        <w:t>Uanhoro</w:t>
      </w:r>
      <w:proofErr w:type="spellEnd"/>
      <w:r w:rsidRPr="00E919EE">
        <w:rPr>
          <w:lang w:val="en-US" w:eastAsia="zh-CN" w:bidi="bn-IN"/>
        </w:rPr>
        <w:t xml:space="preserve"> &amp; Rana, 2024). Conversely, verified ESG reporting, transparent supply chains, and consistent cross-channel messaging enhance signal credibility and strengthen consumer trust (Wu et al., 2022; Tolentino-Zondervan &amp; DiVito, 2024). The findings further suggest that the medium through which signals are transmitted, particularly social media, plays a critical role in amplifying both authentic and deceptive communications, indicating an extension of </w:t>
      </w:r>
      <w:proofErr w:type="spellStart"/>
      <w:r w:rsidRPr="00E919EE">
        <w:rPr>
          <w:lang w:val="en-US" w:eastAsia="zh-CN" w:bidi="bn-IN"/>
        </w:rPr>
        <w:t>Signalling</w:t>
      </w:r>
      <w:proofErr w:type="spellEnd"/>
      <w:r w:rsidRPr="00E919EE">
        <w:rPr>
          <w:lang w:val="en-US" w:eastAsia="zh-CN" w:bidi="bn-IN"/>
        </w:rPr>
        <w:t xml:space="preserve"> Theory to incorporate the impact of digital platforms on consumer perception (Fang, 2024; Sailer, Wilfing &amp; Straus, 2022).</w:t>
      </w:r>
    </w:p>
    <w:p w14:paraId="1A44CABA" w14:textId="77777777" w:rsidR="00E919EE" w:rsidRDefault="00E919EE" w:rsidP="00E919EE">
      <w:pPr>
        <w:rPr>
          <w:lang w:val="en-US" w:eastAsia="zh-CN" w:bidi="bn-IN"/>
        </w:rPr>
      </w:pPr>
      <w:r w:rsidRPr="00E919EE">
        <w:rPr>
          <w:lang w:val="en-US" w:eastAsia="zh-CN" w:bidi="bn-IN"/>
        </w:rPr>
        <w:t xml:space="preserve">The Triple Bottom Line (TBL) Model is largely supported by the review, which highlights examples of authentic sustainability integrating environmental, social, and economic outcomes. Brands such as Patagonia, Stella McCartney, and Kering </w:t>
      </w:r>
      <w:r w:rsidRPr="00E919EE">
        <w:rPr>
          <w:lang w:val="en-US" w:eastAsia="zh-CN" w:bidi="bn-IN"/>
        </w:rPr>
        <w:lastRenderedPageBreak/>
        <w:t xml:space="preserve">illustrate how circularity, green innovation, and ethical labour practices can generate measurable environmental and social benefits while sustaining economic performance (Burnstine &amp; </w:t>
      </w:r>
      <w:proofErr w:type="spellStart"/>
      <w:r w:rsidRPr="00E919EE">
        <w:rPr>
          <w:lang w:val="en-US" w:eastAsia="zh-CN" w:bidi="bn-IN"/>
        </w:rPr>
        <w:t>Ghattas</w:t>
      </w:r>
      <w:proofErr w:type="spellEnd"/>
      <w:r w:rsidRPr="00E919EE">
        <w:rPr>
          <w:lang w:val="en-US" w:eastAsia="zh-CN" w:bidi="bn-IN"/>
        </w:rPr>
        <w:t xml:space="preserve">, 2025; </w:t>
      </w:r>
      <w:proofErr w:type="spellStart"/>
      <w:r w:rsidRPr="00E919EE">
        <w:rPr>
          <w:lang w:val="en-US" w:eastAsia="zh-CN" w:bidi="bn-IN"/>
        </w:rPr>
        <w:t>Habtemaryam</w:t>
      </w:r>
      <w:proofErr w:type="spellEnd"/>
      <w:r w:rsidRPr="00E919EE">
        <w:rPr>
          <w:lang w:val="en-US" w:eastAsia="zh-CN" w:bidi="bn-IN"/>
        </w:rPr>
        <w:t xml:space="preserve">, </w:t>
      </w:r>
      <w:proofErr w:type="spellStart"/>
      <w:r w:rsidRPr="00E919EE">
        <w:rPr>
          <w:lang w:val="en-US" w:eastAsia="zh-CN" w:bidi="bn-IN"/>
        </w:rPr>
        <w:t>Degoma</w:t>
      </w:r>
      <w:proofErr w:type="spellEnd"/>
      <w:r w:rsidRPr="00E919EE">
        <w:rPr>
          <w:lang w:val="en-US" w:eastAsia="zh-CN" w:bidi="bn-IN"/>
        </w:rPr>
        <w:t xml:space="preserve"> &amp; </w:t>
      </w:r>
      <w:proofErr w:type="spellStart"/>
      <w:r w:rsidRPr="00E919EE">
        <w:rPr>
          <w:lang w:val="en-US" w:eastAsia="zh-CN" w:bidi="bn-IN"/>
        </w:rPr>
        <w:t>Tsegaye</w:t>
      </w:r>
      <w:proofErr w:type="spellEnd"/>
      <w:r w:rsidRPr="00E919EE">
        <w:rPr>
          <w:lang w:val="en-US" w:eastAsia="zh-CN" w:bidi="bn-IN"/>
        </w:rPr>
        <w:t xml:space="preserve">, 2025; de Magalhães Silva et al., 2025). However, the widespread adoption of symbolic sustainability practices and greenwashing indicates that TBL implementation remains inconsistent, with economic and reputational objectives often </w:t>
      </w:r>
      <w:proofErr w:type="spellStart"/>
      <w:r w:rsidRPr="00E919EE">
        <w:rPr>
          <w:lang w:val="en-US" w:eastAsia="zh-CN" w:bidi="bn-IN"/>
        </w:rPr>
        <w:t>prioritised</w:t>
      </w:r>
      <w:proofErr w:type="spellEnd"/>
      <w:r w:rsidRPr="00E919EE">
        <w:rPr>
          <w:lang w:val="en-US" w:eastAsia="zh-CN" w:bidi="bn-IN"/>
        </w:rPr>
        <w:t xml:space="preserve"> over substantive environmental or social outcomes (Goswami &amp; Jaiswal, 2023; Brydges, Henninger &amp; Hanlon, 2022). This suggests a need for stronger verification mechanisms and regulatory oversight to ensure that TBL principles are fully realised in practice.</w:t>
      </w:r>
    </w:p>
    <w:p w14:paraId="4035DCA4" w14:textId="1BA0987B" w:rsidR="00BF6B13" w:rsidRPr="00050EB0" w:rsidRDefault="00050EB0" w:rsidP="00050EB0">
      <w:pPr>
        <w:rPr>
          <w:lang w:val="en-US" w:eastAsia="zh-CN" w:bidi="bn-IN"/>
        </w:rPr>
      </w:pPr>
      <w:r>
        <w:rPr>
          <w:noProof/>
        </w:rPr>
        <w:drawing>
          <wp:inline distT="0" distB="0" distL="0" distR="0" wp14:anchorId="1587D9FC" wp14:editId="7EB6BB6A">
            <wp:extent cx="4979035" cy="3037579"/>
            <wp:effectExtent l="0" t="0" r="0" b="0"/>
            <wp:docPr id="1920313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00242" cy="3050517"/>
                    </a:xfrm>
                    <a:prstGeom prst="rect">
                      <a:avLst/>
                    </a:prstGeom>
                    <a:noFill/>
                  </pic:spPr>
                </pic:pic>
              </a:graphicData>
            </a:graphic>
          </wp:inline>
        </w:drawing>
      </w:r>
    </w:p>
    <w:p w14:paraId="6172F67A" w14:textId="6EFDA40C" w:rsidR="00BF6B13" w:rsidRDefault="00BF6B13" w:rsidP="00050EB0">
      <w:pPr>
        <w:pStyle w:val="NoSpacing"/>
      </w:pPr>
      <w:r>
        <w:rPr>
          <w:lang w:val="en-US" w:eastAsia="zh-CN" w:bidi="bn-IN"/>
        </w:rPr>
        <w:t xml:space="preserve"> </w:t>
      </w:r>
      <w:bookmarkStart w:id="51" w:name="_Toc216197020"/>
      <w:r>
        <w:t xml:space="preserve">Figure </w:t>
      </w:r>
      <w:r>
        <w:fldChar w:fldCharType="begin"/>
      </w:r>
      <w:r>
        <w:instrText xml:space="preserve"> SEQ Figure \* ARABIC </w:instrText>
      </w:r>
      <w:r>
        <w:fldChar w:fldCharType="separate"/>
      </w:r>
      <w:r>
        <w:rPr>
          <w:noProof/>
        </w:rPr>
        <w:t>1</w:t>
      </w:r>
      <w:r>
        <w:rPr>
          <w:noProof/>
        </w:rPr>
        <w:fldChar w:fldCharType="end"/>
      </w:r>
      <w:r>
        <w:t xml:space="preserve"> Conceptual Framework of Sustainability and Greenwashing in the Fashion Industry</w:t>
      </w:r>
      <w:bookmarkEnd w:id="51"/>
    </w:p>
    <w:p w14:paraId="7F28693E" w14:textId="12492FA4" w:rsidR="00050EB0" w:rsidRPr="00050EB0" w:rsidRDefault="00050EB0" w:rsidP="00050EB0">
      <w:pPr>
        <w:rPr>
          <w:lang w:val="en-US"/>
        </w:rPr>
      </w:pPr>
      <w:r w:rsidRPr="00050EB0">
        <w:rPr>
          <w:lang w:val="en-US"/>
        </w:rPr>
        <w:t xml:space="preserve">The narrative synthesis both affirms and elaborates on the conceptual framework presented in chapter two by demonstrating how internal motivations, external pressures, communicative practices, and verification mechanisms shape the trajectory of sustainability efforts in the fashion industry. Consistent with the framework, the synthesis shows that internal corporate culture and genuine commitment to social and environmental responsibility underpin authentic sustainability, while superficial engagement and reputation management give rise to greenwashing. The recognition of circularity, green innovation, and ethical labour practices in the synthesis aligns with the framework’s emphasis on substantive environmental and social stewardship as key determinants of credible sustainability outcomes. Likewise, the recurring importance of transparency, traceability, and verified reporting reflects the mediating </w:t>
      </w:r>
      <w:r w:rsidRPr="00050EB0">
        <w:rPr>
          <w:lang w:val="en-US"/>
        </w:rPr>
        <w:lastRenderedPageBreak/>
        <w:t xml:space="preserve">role attributed to communication strategies and ESG verification within the conceptual model, confirming that how sustainability is communicated and evidenced strongly influences stakeholder interpretation and trust. At the same time, the synthesis deepens the framework by revealing the extent to which selective disclosure, symbolic marketing, and ambiguous sustainability language can undermine these mechanisms, demonstrating how communication can function not only as a mediator of trust but also as a vehicle for deception when poorly regulated. The outcomes identified in the synthesis, particularly trust, purchase intention, and brand loyalty, echo the framework’s prediction that stakeholder responses depend on perceived authenticity, yet the synthesis also highlights emerging challenges, such as social media scrutiny and consumer </w:t>
      </w:r>
      <w:proofErr w:type="spellStart"/>
      <w:r w:rsidRPr="00050EB0">
        <w:rPr>
          <w:lang w:val="en-US"/>
        </w:rPr>
        <w:t>scepticism</w:t>
      </w:r>
      <w:proofErr w:type="spellEnd"/>
      <w:r w:rsidRPr="00050EB0">
        <w:rPr>
          <w:lang w:val="en-US"/>
        </w:rPr>
        <w:t>, which intensify the consequences of greenwashing beyond what the original framework anticipated. In this respect, the findings reinforce the theoretical structure while also revealing additional complexity in how pressures, practices, and perceptions interact, underscoring the need for stronger verification systems and clearer communication to support the effectiveness and credibility of sustainability initiatives in the fashion sector.</w:t>
      </w:r>
    </w:p>
    <w:p w14:paraId="28360E34" w14:textId="6225E7E0" w:rsidR="00391EB6" w:rsidRPr="00E919EE" w:rsidRDefault="00E919EE" w:rsidP="00E919EE">
      <w:pPr>
        <w:rPr>
          <w:lang w:val="en-US" w:eastAsia="zh-CN" w:bidi="bn-IN"/>
        </w:rPr>
      </w:pPr>
      <w:r w:rsidRPr="00E919EE">
        <w:rPr>
          <w:lang w:val="en-US" w:eastAsia="zh-CN" w:bidi="bn-IN"/>
        </w:rPr>
        <w:t xml:space="preserve">In conclusion, the systematic review confirms the relevance of Stakeholder Theory, </w:t>
      </w:r>
      <w:proofErr w:type="spellStart"/>
      <w:r w:rsidRPr="00E919EE">
        <w:rPr>
          <w:lang w:val="en-US" w:eastAsia="zh-CN" w:bidi="bn-IN"/>
        </w:rPr>
        <w:t>Signalling</w:t>
      </w:r>
      <w:proofErr w:type="spellEnd"/>
      <w:r w:rsidRPr="00E919EE">
        <w:rPr>
          <w:lang w:val="en-US" w:eastAsia="zh-CN" w:bidi="bn-IN"/>
        </w:rPr>
        <w:t xml:space="preserve"> Theory, and the TBL Model in explaining corporate sustainability and greenwashing dynamics within the fashion industry. At the same time, the findings reveal practical gaps, including uneven stakeholder influence, challenges in signal credibility, and partial TBL implementation, underscoring the necessity of integrated strategies encompassing transparent communication, regulatory enforcement, and consumer education to advance authentic sustainability.</w:t>
      </w:r>
    </w:p>
    <w:p w14:paraId="1D96A31B" w14:textId="77777777" w:rsidR="00A7080E" w:rsidRPr="008C5097" w:rsidRDefault="00A7080E" w:rsidP="008C5097">
      <w:pPr>
        <w:ind w:left="360"/>
        <w:rPr>
          <w:i/>
        </w:rPr>
      </w:pPr>
    </w:p>
    <w:p w14:paraId="6A0802B2" w14:textId="77777777" w:rsidR="008C5097" w:rsidRDefault="008C5097">
      <w:r>
        <w:br w:type="page"/>
      </w:r>
    </w:p>
    <w:p w14:paraId="3CCBADD8" w14:textId="0F667E4D" w:rsidR="00391EB6" w:rsidRPr="008C5097" w:rsidRDefault="00786750" w:rsidP="008C5097">
      <w:pPr>
        <w:pStyle w:val="Heading1"/>
      </w:pPr>
      <w:bookmarkStart w:id="52" w:name="_Toc214979406"/>
      <w:r w:rsidRPr="008C5097">
        <w:lastRenderedPageBreak/>
        <w:t>CHAPTER 5: CONCLUSIONS AND RECOMMENDATIONS</w:t>
      </w:r>
      <w:bookmarkEnd w:id="52"/>
      <w:r w:rsidRPr="008C5097">
        <w:t xml:space="preserve"> </w:t>
      </w:r>
    </w:p>
    <w:p w14:paraId="3CDF9887" w14:textId="45D91730" w:rsidR="00050EB0" w:rsidRPr="00050EB0" w:rsidRDefault="00050EB0" w:rsidP="00050EB0">
      <w:pPr>
        <w:pStyle w:val="Heading2"/>
        <w:rPr>
          <w:lang w:val="en-US" w:eastAsia="zh-CN" w:bidi="bn-IN"/>
        </w:rPr>
      </w:pPr>
      <w:r w:rsidRPr="00050EB0">
        <w:rPr>
          <w:lang w:val="en-US" w:eastAsia="zh-CN" w:bidi="bn-IN"/>
        </w:rPr>
        <w:t>Summary of Main Findings</w:t>
      </w:r>
    </w:p>
    <w:p w14:paraId="68EB46F6" w14:textId="77777777" w:rsidR="00050EB0" w:rsidRPr="00050EB0" w:rsidRDefault="00050EB0" w:rsidP="00050EB0">
      <w:pPr>
        <w:rPr>
          <w:lang w:val="en-US" w:eastAsia="zh-CN" w:bidi="bn-IN"/>
        </w:rPr>
      </w:pPr>
      <w:r w:rsidRPr="00050EB0">
        <w:rPr>
          <w:lang w:val="en-US" w:eastAsia="zh-CN" w:bidi="bn-IN"/>
        </w:rPr>
        <w:t>The systematic review demonstrates that sustainability within the fashion industry has expanded beyond isolated environmental initiatives to encompass broader strategies integrating both environmental stewardship and social responsibility. Evidence shows that brands have begun to implement circularity, resource-efficient production, eco-design, and digital traceability systems, which together represent meaningful progress towards reducing environmental impact. Social responsibility has also gained prominence through stronger attention to labour conditions, stakeholder engagement, and ethical supply chain oversight. However, the literature consistently highlights that these developments are uneven and often overshadowed by practices that constitute greenwashing. Misleading environmental claims, exaggerated corporate social responsibility narratives, selective disclosure, and symbolic marketing emerge as pervasive responses to growing consumer and regulatory pressures. Transparency and verification appear as central determinants of whether sustainability communications build or erode consumer trust, with verified reporting and traceable supply chains associated with stronger credibility and consumer loyalty. The review further shows that consumers are becoming more capable of distinguishing substantive sustainability from superficial claims, making authenticity an increasingly critical component of brand reputation.</w:t>
      </w:r>
    </w:p>
    <w:p w14:paraId="250E35FE" w14:textId="04424865" w:rsidR="00050EB0" w:rsidRPr="00050EB0" w:rsidRDefault="00050EB0" w:rsidP="00050EB0">
      <w:pPr>
        <w:pStyle w:val="Heading2"/>
        <w:rPr>
          <w:lang w:val="en-US" w:eastAsia="zh-CN" w:bidi="bn-IN"/>
        </w:rPr>
      </w:pPr>
      <w:r w:rsidRPr="00050EB0">
        <w:rPr>
          <w:lang w:val="en-US" w:eastAsia="zh-CN" w:bidi="bn-IN"/>
        </w:rPr>
        <w:t>Conclusion Based on the Research Questions</w:t>
      </w:r>
    </w:p>
    <w:p w14:paraId="2D3A16F5" w14:textId="77777777" w:rsidR="00050EB0" w:rsidRPr="00050EB0" w:rsidRDefault="00050EB0" w:rsidP="00050EB0">
      <w:pPr>
        <w:rPr>
          <w:lang w:val="en-US" w:eastAsia="zh-CN" w:bidi="bn-IN"/>
        </w:rPr>
      </w:pPr>
      <w:r w:rsidRPr="00050EB0">
        <w:rPr>
          <w:lang w:val="en-US" w:eastAsia="zh-CN" w:bidi="bn-IN"/>
        </w:rPr>
        <w:t>In relation to the first research question, sustainable practices adopted by fashion brands include circular production, eco-material innovation, green innovation in design and manufacturing, and ethical labour practices, all of which contribute to both environmental and social objectives. While these practices demonstrate potential to improve performance, their impact is often diluted by structural characteristics of the industry, including fast production cycles and overproduction, which limit the effectiveness of isolated sustainability initiatives.</w:t>
      </w:r>
    </w:p>
    <w:p w14:paraId="288F8BFF" w14:textId="77777777" w:rsidR="00050EB0" w:rsidRPr="00050EB0" w:rsidRDefault="00050EB0" w:rsidP="00050EB0">
      <w:pPr>
        <w:rPr>
          <w:lang w:val="en-US" w:eastAsia="zh-CN" w:bidi="bn-IN"/>
        </w:rPr>
      </w:pPr>
      <w:r w:rsidRPr="00050EB0">
        <w:rPr>
          <w:lang w:val="en-US" w:eastAsia="zh-CN" w:bidi="bn-IN"/>
        </w:rPr>
        <w:t xml:space="preserve">The second research question reveals that greenwashing remains widespread and manifests through misleading product and process claims, exaggerated or vague CSR statements, selective disclosure, and the exploitation of </w:t>
      </w:r>
      <w:proofErr w:type="spellStart"/>
      <w:r w:rsidRPr="00050EB0">
        <w:rPr>
          <w:lang w:val="en-US" w:eastAsia="zh-CN" w:bidi="bn-IN"/>
        </w:rPr>
        <w:t>eco-signalling</w:t>
      </w:r>
      <w:proofErr w:type="spellEnd"/>
      <w:r w:rsidRPr="00050EB0">
        <w:rPr>
          <w:lang w:val="en-US" w:eastAsia="zh-CN" w:bidi="bn-IN"/>
        </w:rPr>
        <w:t xml:space="preserve"> in marketing. </w:t>
      </w:r>
      <w:r w:rsidRPr="00050EB0">
        <w:rPr>
          <w:lang w:val="en-US" w:eastAsia="zh-CN" w:bidi="bn-IN"/>
        </w:rPr>
        <w:lastRenderedPageBreak/>
        <w:t xml:space="preserve">These practices are especially prominent among fast-fashion brands whose business models generate inherent tension with environmental claims. The prevalence of greenwashing not only reduces the effectiveness of sustainability communication but also generates </w:t>
      </w:r>
      <w:proofErr w:type="spellStart"/>
      <w:r w:rsidRPr="00050EB0">
        <w:rPr>
          <w:lang w:val="en-US" w:eastAsia="zh-CN" w:bidi="bn-IN"/>
        </w:rPr>
        <w:t>scepticism</w:t>
      </w:r>
      <w:proofErr w:type="spellEnd"/>
      <w:r w:rsidRPr="00050EB0">
        <w:rPr>
          <w:lang w:val="en-US" w:eastAsia="zh-CN" w:bidi="bn-IN"/>
        </w:rPr>
        <w:t xml:space="preserve"> that may diminish the impact of genuine initiatives.</w:t>
      </w:r>
    </w:p>
    <w:p w14:paraId="25FA8B0F" w14:textId="77777777" w:rsidR="00050EB0" w:rsidRPr="00050EB0" w:rsidRDefault="00050EB0" w:rsidP="00050EB0">
      <w:pPr>
        <w:rPr>
          <w:lang w:val="en-US" w:eastAsia="zh-CN" w:bidi="bn-IN"/>
        </w:rPr>
      </w:pPr>
      <w:r w:rsidRPr="00050EB0">
        <w:rPr>
          <w:lang w:val="en-US" w:eastAsia="zh-CN" w:bidi="bn-IN"/>
        </w:rPr>
        <w:t xml:space="preserve">Addressing the third research question, the review shows a clear distinction between authentic sustainability initiatives and greenwashing practices. Authentic initiatives are </w:t>
      </w:r>
      <w:proofErr w:type="spellStart"/>
      <w:r w:rsidRPr="00050EB0">
        <w:rPr>
          <w:lang w:val="en-US" w:eastAsia="zh-CN" w:bidi="bn-IN"/>
        </w:rPr>
        <w:t>characterised</w:t>
      </w:r>
      <w:proofErr w:type="spellEnd"/>
      <w:r w:rsidRPr="00050EB0">
        <w:rPr>
          <w:lang w:val="en-US" w:eastAsia="zh-CN" w:bidi="bn-IN"/>
        </w:rPr>
        <w:t xml:space="preserve"> by measurable impact, transparency, verification, and integration into corporate strategy, whereas greenwashing relies on perception management, ambiguity, and incomplete disclosure. Gaps identified in the literature include weak regulatory oversight, inconsistent or </w:t>
      </w:r>
      <w:proofErr w:type="spellStart"/>
      <w:r w:rsidRPr="00050EB0">
        <w:rPr>
          <w:lang w:val="en-US" w:eastAsia="zh-CN" w:bidi="bn-IN"/>
        </w:rPr>
        <w:t>non-standardised</w:t>
      </w:r>
      <w:proofErr w:type="spellEnd"/>
      <w:r w:rsidRPr="00050EB0">
        <w:rPr>
          <w:lang w:val="en-US" w:eastAsia="zh-CN" w:bidi="bn-IN"/>
        </w:rPr>
        <w:t xml:space="preserve"> metrics, inadequate verification systems, and consumer confusion regarding certified and non-certified claims. These gaps provide opportunities for strengthening both corporate practice and policy to enhance the credibility of sustainability efforts.</w:t>
      </w:r>
    </w:p>
    <w:p w14:paraId="17B574A0" w14:textId="53783D3C" w:rsidR="00050EB0" w:rsidRPr="00050EB0" w:rsidRDefault="00050EB0" w:rsidP="00050EB0">
      <w:pPr>
        <w:pStyle w:val="Heading2"/>
        <w:rPr>
          <w:lang w:val="en-US" w:eastAsia="zh-CN" w:bidi="bn-IN"/>
        </w:rPr>
      </w:pPr>
      <w:r w:rsidRPr="00050EB0">
        <w:rPr>
          <w:lang w:val="en-US" w:eastAsia="zh-CN" w:bidi="bn-IN"/>
        </w:rPr>
        <w:t>Recommendations</w:t>
      </w:r>
    </w:p>
    <w:p w14:paraId="2747DE1E" w14:textId="77777777" w:rsidR="00050EB0" w:rsidRPr="00050EB0" w:rsidRDefault="00050EB0" w:rsidP="00050EB0">
      <w:pPr>
        <w:rPr>
          <w:lang w:val="en-US" w:eastAsia="zh-CN" w:bidi="bn-IN"/>
        </w:rPr>
      </w:pPr>
      <w:r w:rsidRPr="00050EB0">
        <w:rPr>
          <w:lang w:val="en-US" w:eastAsia="zh-CN" w:bidi="bn-IN"/>
        </w:rPr>
        <w:t xml:space="preserve">Practically, fashion brands should prioritise measurable and verifiable sustainability strategies rather than relying on symbolic communication. Adopting </w:t>
      </w:r>
      <w:proofErr w:type="spellStart"/>
      <w:r w:rsidRPr="00050EB0">
        <w:rPr>
          <w:lang w:val="en-US" w:eastAsia="zh-CN" w:bidi="bn-IN"/>
        </w:rPr>
        <w:t>standardised</w:t>
      </w:r>
      <w:proofErr w:type="spellEnd"/>
      <w:r w:rsidRPr="00050EB0">
        <w:rPr>
          <w:lang w:val="en-US" w:eastAsia="zh-CN" w:bidi="bn-IN"/>
        </w:rPr>
        <w:t xml:space="preserve"> ESG reporting, increasing supply chain traceability through digital technologies, and engaging independent auditors can significantly enhance transparency and mitigate the risk of misleading consumers. Brands should also integrate social responsibility more fully into sustainability strategies by maintaining ethical labour practices and fostering stakeholder dialogue. Communication should be consistent across all channels and should avoid vague claims that cannot be substantiated through evidence.</w:t>
      </w:r>
    </w:p>
    <w:p w14:paraId="0B20DD06" w14:textId="77777777" w:rsidR="00050EB0" w:rsidRPr="00050EB0" w:rsidRDefault="00050EB0" w:rsidP="00050EB0">
      <w:pPr>
        <w:rPr>
          <w:lang w:val="en-US" w:eastAsia="zh-CN" w:bidi="bn-IN"/>
        </w:rPr>
      </w:pPr>
      <w:r w:rsidRPr="00050EB0">
        <w:rPr>
          <w:lang w:val="en-US" w:eastAsia="zh-CN" w:bidi="bn-IN"/>
        </w:rPr>
        <w:t xml:space="preserve">Theoretically, future research would benefit from deeper exploration of the interaction between consumer interpretation and corporate communication strategies. Additional work could develop more refined models explaining how authenticity is evaluated in increasingly digital and socially mediated marketplace conditions. Comparative studies across different segments of the fashion industry could also clarify how structural business models influence the likelihood and form of greenwashing, thereby refining existing theoretical perspectives on corporate </w:t>
      </w:r>
      <w:proofErr w:type="spellStart"/>
      <w:r w:rsidRPr="00050EB0">
        <w:rPr>
          <w:lang w:val="en-US" w:eastAsia="zh-CN" w:bidi="bn-IN"/>
        </w:rPr>
        <w:t>signalling</w:t>
      </w:r>
      <w:proofErr w:type="spellEnd"/>
      <w:r w:rsidRPr="00050EB0">
        <w:rPr>
          <w:lang w:val="en-US" w:eastAsia="zh-CN" w:bidi="bn-IN"/>
        </w:rPr>
        <w:t xml:space="preserve"> and stakeholder evaluation.</w:t>
      </w:r>
    </w:p>
    <w:p w14:paraId="06CBE488" w14:textId="1006F52D" w:rsidR="00050EB0" w:rsidRPr="00050EB0" w:rsidRDefault="00050EB0" w:rsidP="00050EB0">
      <w:pPr>
        <w:pStyle w:val="Heading2"/>
        <w:rPr>
          <w:lang w:val="en-US" w:eastAsia="zh-CN" w:bidi="bn-IN"/>
        </w:rPr>
      </w:pPr>
      <w:r w:rsidRPr="00050EB0">
        <w:rPr>
          <w:lang w:val="en-US" w:eastAsia="zh-CN" w:bidi="bn-IN"/>
        </w:rPr>
        <w:lastRenderedPageBreak/>
        <w:t>Limitations of Research</w:t>
      </w:r>
    </w:p>
    <w:p w14:paraId="570AF578" w14:textId="77777777" w:rsidR="00050EB0" w:rsidRPr="00050EB0" w:rsidRDefault="00050EB0" w:rsidP="00050EB0">
      <w:pPr>
        <w:rPr>
          <w:lang w:val="en-US" w:eastAsia="zh-CN" w:bidi="bn-IN"/>
        </w:rPr>
      </w:pPr>
      <w:r w:rsidRPr="00050EB0">
        <w:rPr>
          <w:lang w:val="en-US" w:eastAsia="zh-CN" w:bidi="bn-IN"/>
        </w:rPr>
        <w:t xml:space="preserve">As a systematic review, this study is limited by its reliance on published literature, which may introduce publication bias and exclude relevant findings present in grey literature or non-English scholarship. The heterogeneity of methodological approaches across studies restricted the possibility of meta-analytic synthesis and required reliance on narrative interpretation, which is inherently subjective despite efforts to </w:t>
      </w:r>
      <w:proofErr w:type="spellStart"/>
      <w:r w:rsidRPr="00050EB0">
        <w:rPr>
          <w:lang w:val="en-US" w:eastAsia="zh-CN" w:bidi="bn-IN"/>
        </w:rPr>
        <w:t>minimise</w:t>
      </w:r>
      <w:proofErr w:type="spellEnd"/>
      <w:r w:rsidRPr="00050EB0">
        <w:rPr>
          <w:lang w:val="en-US" w:eastAsia="zh-CN" w:bidi="bn-IN"/>
        </w:rPr>
        <w:t xml:space="preserve"> bias. The time frame and keyword selection may also have constrained the scope of included evidence, and variations in study quality mean that some findings should be interpreted with caution.</w:t>
      </w:r>
    </w:p>
    <w:p w14:paraId="5A77E20C" w14:textId="2EFE584D" w:rsidR="00050EB0" w:rsidRPr="00050EB0" w:rsidRDefault="00050EB0" w:rsidP="00050EB0">
      <w:pPr>
        <w:pStyle w:val="Heading2"/>
        <w:rPr>
          <w:lang w:val="en-US" w:eastAsia="zh-CN" w:bidi="bn-IN"/>
        </w:rPr>
      </w:pPr>
      <w:r w:rsidRPr="00050EB0">
        <w:rPr>
          <w:lang w:val="en-US" w:eastAsia="zh-CN" w:bidi="bn-IN"/>
        </w:rPr>
        <w:t>Recommendations for Future Work</w:t>
      </w:r>
    </w:p>
    <w:p w14:paraId="4427BDF3" w14:textId="77777777" w:rsidR="00050EB0" w:rsidRPr="00050EB0" w:rsidRDefault="00050EB0" w:rsidP="00050EB0">
      <w:pPr>
        <w:rPr>
          <w:lang w:val="en-US" w:eastAsia="zh-CN" w:bidi="bn-IN"/>
        </w:rPr>
      </w:pPr>
      <w:r w:rsidRPr="00050EB0">
        <w:rPr>
          <w:lang w:val="en-US" w:eastAsia="zh-CN" w:bidi="bn-IN"/>
        </w:rPr>
        <w:t>Future research should investigate the long-term impact of verified sustainability practices on consumer behaviour and corporate performance to determine whether authenticity yields measurable competitive advantage. Longitudinal studies may clarify how consumer trust evolves in response to increasing transparency and regulatory change. Further research is also needed to examine how emerging technologies such as blockchain and artificial intelligence can improve traceability and reduce opportunities for deceptive claims. Finally, cross-cultural studies would enhance understanding of how consumer expectations and interpretations of sustainability vary across markets, thereby informing more effective global sustainability communication strategies.</w:t>
      </w:r>
    </w:p>
    <w:p w14:paraId="72C49E1B" w14:textId="3DA91846" w:rsidR="00391EB6" w:rsidRPr="00050EB0" w:rsidRDefault="00391EB6" w:rsidP="00050EB0">
      <w:pPr>
        <w:rPr>
          <w:lang w:val="en-US"/>
        </w:rPr>
      </w:pPr>
    </w:p>
    <w:p w14:paraId="3DB7E462" w14:textId="77777777" w:rsidR="008C5097" w:rsidRDefault="008C5097">
      <w:r>
        <w:br w:type="page"/>
      </w:r>
    </w:p>
    <w:p w14:paraId="0110039E" w14:textId="115BF4D7" w:rsidR="00245F03" w:rsidRDefault="00786750" w:rsidP="00245F03">
      <w:pPr>
        <w:pStyle w:val="Heading1"/>
        <w:numPr>
          <w:ilvl w:val="0"/>
          <w:numId w:val="0"/>
        </w:numPr>
        <w:ind w:left="432" w:hanging="432"/>
        <w:jc w:val="both"/>
      </w:pPr>
      <w:bookmarkStart w:id="53" w:name="_Toc214979412"/>
      <w:r w:rsidRPr="008C5097">
        <w:lastRenderedPageBreak/>
        <w:t>REFERENCES</w:t>
      </w:r>
      <w:bookmarkEnd w:id="53"/>
      <w:r w:rsidRPr="008C5097">
        <w:t xml:space="preserve"> </w:t>
      </w:r>
    </w:p>
    <w:p w14:paraId="5A8D830D" w14:textId="391E65C9" w:rsidR="003B099C" w:rsidRPr="003B099C" w:rsidRDefault="003B099C" w:rsidP="00050EB0">
      <w:pPr>
        <w:jc w:val="left"/>
        <w:rPr>
          <w:lang w:val="en-US"/>
        </w:rPr>
      </w:pPr>
      <w:r w:rsidRPr="003B099C">
        <w:rPr>
          <w:lang w:val="en-US"/>
        </w:rPr>
        <w:t xml:space="preserve">Afifi, M., Stryhn, H. and Sánchez, J. (2023) ‘Data extraction and comparison for complex systematic reviews: a step-by-step guideline and an implementation example using open-source software’, </w:t>
      </w:r>
      <w:r w:rsidRPr="003B099C">
        <w:rPr>
          <w:i/>
          <w:iCs/>
          <w:lang w:val="en-US"/>
        </w:rPr>
        <w:t>Systematic Reviews</w:t>
      </w:r>
      <w:r w:rsidRPr="003B099C">
        <w:rPr>
          <w:lang w:val="en-US"/>
        </w:rPr>
        <w:t xml:space="preserve">, 12(1). Available at: </w:t>
      </w:r>
      <w:hyperlink r:id="rId12" w:history="1">
        <w:r w:rsidR="009F6F72" w:rsidRPr="00DC24B5">
          <w:rPr>
            <w:rStyle w:val="Hyperlink"/>
            <w:lang w:val="en-US"/>
          </w:rPr>
          <w:t>https://doi.org/10.1186/s13643-023-02322-1</w:t>
        </w:r>
      </w:hyperlink>
      <w:r w:rsidRPr="003B099C">
        <w:rPr>
          <w:lang w:val="en-US"/>
        </w:rPr>
        <w:t>.</w:t>
      </w:r>
      <w:r w:rsidR="009F6F72">
        <w:rPr>
          <w:lang w:val="en-US"/>
        </w:rPr>
        <w:t xml:space="preserve"> </w:t>
      </w:r>
      <w:r w:rsidR="00E41B81">
        <w:rPr>
          <w:lang w:val="en-US"/>
        </w:rPr>
        <w:t xml:space="preserve"> </w:t>
      </w:r>
      <w:r w:rsidR="00E41B81" w:rsidRPr="00A82EBE">
        <w:rPr>
          <w:color w:val="0D0D0D" w:themeColor="text1" w:themeTint="F2"/>
          <w:szCs w:val="24"/>
          <w:lang w:val="en-US"/>
        </w:rPr>
        <w:t>Accessed</w:t>
      </w:r>
      <w:r w:rsidR="00E41B81">
        <w:rPr>
          <w:lang w:val="en-US"/>
        </w:rPr>
        <w:t xml:space="preserve"> on </w:t>
      </w:r>
      <w:r w:rsidR="00AE05DD">
        <w:rPr>
          <w:lang w:val="en-US"/>
        </w:rPr>
        <w:t>12/10/2025</w:t>
      </w:r>
    </w:p>
    <w:p w14:paraId="01E96836" w14:textId="77777777" w:rsidR="003B099C" w:rsidRPr="003B099C" w:rsidRDefault="003B099C" w:rsidP="00050EB0">
      <w:pPr>
        <w:jc w:val="left"/>
        <w:rPr>
          <w:lang w:val="en-US"/>
        </w:rPr>
      </w:pPr>
      <w:r w:rsidRPr="003B099C">
        <w:rPr>
          <w:lang w:val="en-US"/>
        </w:rPr>
        <w:t xml:space="preserve">Boland, A., Cherry, M. and Dickson, R. (2017) </w:t>
      </w:r>
      <w:r w:rsidRPr="003B099C">
        <w:rPr>
          <w:i/>
          <w:iCs/>
          <w:lang w:val="en-US"/>
        </w:rPr>
        <w:t>Doing a Systematic Review : a student’s Guide</w:t>
      </w:r>
      <w:r w:rsidRPr="003B099C">
        <w:rPr>
          <w:lang w:val="en-US"/>
        </w:rPr>
        <w:t xml:space="preserve">. 2nd </w:t>
      </w:r>
      <w:proofErr w:type="spellStart"/>
      <w:r w:rsidRPr="003B099C">
        <w:rPr>
          <w:lang w:val="en-US"/>
        </w:rPr>
        <w:t>edn</w:t>
      </w:r>
      <w:proofErr w:type="spellEnd"/>
      <w:r w:rsidRPr="003B099C">
        <w:rPr>
          <w:lang w:val="en-US"/>
        </w:rPr>
        <w:t>. Sage.</w:t>
      </w:r>
    </w:p>
    <w:p w14:paraId="724F94F7" w14:textId="77777777" w:rsidR="003B099C" w:rsidRPr="003B099C" w:rsidRDefault="003B099C" w:rsidP="00050EB0">
      <w:pPr>
        <w:jc w:val="left"/>
        <w:rPr>
          <w:lang w:val="en-US"/>
        </w:rPr>
      </w:pPr>
      <w:r w:rsidRPr="003B099C">
        <w:rPr>
          <w:lang w:val="en-US"/>
        </w:rPr>
        <w:t xml:space="preserve">Cooper, H.M. (1984) </w:t>
      </w:r>
      <w:r w:rsidRPr="003B099C">
        <w:rPr>
          <w:i/>
          <w:iCs/>
          <w:lang w:val="en-US"/>
        </w:rPr>
        <w:t>The integrative research review : a systematic approach</w:t>
      </w:r>
      <w:r w:rsidRPr="003B099C">
        <w:rPr>
          <w:lang w:val="en-US"/>
        </w:rPr>
        <w:t>. Sage Publications.</w:t>
      </w:r>
    </w:p>
    <w:p w14:paraId="7212AE28" w14:textId="77777777" w:rsidR="003B099C" w:rsidRPr="003B099C" w:rsidRDefault="003B099C" w:rsidP="00050EB0">
      <w:pPr>
        <w:jc w:val="left"/>
        <w:rPr>
          <w:lang w:val="en-US"/>
        </w:rPr>
      </w:pPr>
      <w:r w:rsidRPr="003B099C">
        <w:rPr>
          <w:lang w:val="en-US"/>
        </w:rPr>
        <w:t xml:space="preserve">Foster, M.J. and Jewell, S.T. (2017) </w:t>
      </w:r>
      <w:r w:rsidRPr="003B099C">
        <w:rPr>
          <w:i/>
          <w:iCs/>
          <w:lang w:val="en-US"/>
        </w:rPr>
        <w:t>Assembling the pieces of a systematic review : guide for librarians</w:t>
      </w:r>
      <w:r w:rsidRPr="003B099C">
        <w:rPr>
          <w:lang w:val="en-US"/>
        </w:rPr>
        <w:t>. Rowman &amp; Littlefield.</w:t>
      </w:r>
    </w:p>
    <w:p w14:paraId="51B030FD" w14:textId="77777777" w:rsidR="003B099C" w:rsidRPr="003B099C" w:rsidRDefault="003B099C" w:rsidP="00050EB0">
      <w:pPr>
        <w:jc w:val="left"/>
        <w:rPr>
          <w:lang w:val="en-US"/>
        </w:rPr>
      </w:pPr>
      <w:r w:rsidRPr="003B099C">
        <w:rPr>
          <w:lang w:val="en-US"/>
        </w:rPr>
        <w:t xml:space="preserve">Gough, D.A., Oliver, S. and Thomas, J. (2017) </w:t>
      </w:r>
      <w:r w:rsidRPr="003B099C">
        <w:rPr>
          <w:i/>
          <w:iCs/>
          <w:lang w:val="en-US"/>
        </w:rPr>
        <w:t>An introduction to systematic reviews</w:t>
      </w:r>
      <w:r w:rsidRPr="003B099C">
        <w:rPr>
          <w:lang w:val="en-US"/>
        </w:rPr>
        <w:t>. Sage.</w:t>
      </w:r>
    </w:p>
    <w:p w14:paraId="6F542882" w14:textId="296E6DEB" w:rsidR="003B099C" w:rsidRPr="003B099C" w:rsidRDefault="003B099C" w:rsidP="00050EB0">
      <w:pPr>
        <w:jc w:val="left"/>
        <w:rPr>
          <w:lang w:val="en-US"/>
        </w:rPr>
      </w:pPr>
      <w:r w:rsidRPr="003B099C">
        <w:rPr>
          <w:lang w:val="en-US"/>
        </w:rPr>
        <w:t xml:space="preserve">Gusenbauer, M. and </w:t>
      </w:r>
      <w:proofErr w:type="spellStart"/>
      <w:r w:rsidRPr="003B099C">
        <w:rPr>
          <w:lang w:val="en-US"/>
        </w:rPr>
        <w:t>Gauster</w:t>
      </w:r>
      <w:proofErr w:type="spellEnd"/>
      <w:r w:rsidRPr="003B099C">
        <w:rPr>
          <w:lang w:val="en-US"/>
        </w:rPr>
        <w:t xml:space="preserve">, S.P. (2024) ‘How to Search for Literature in Systematic Reviews and meta-analyses: a Comprehensive step-by-step Guide’, </w:t>
      </w:r>
      <w:r w:rsidRPr="003B099C">
        <w:rPr>
          <w:i/>
          <w:iCs/>
          <w:lang w:val="en-US"/>
        </w:rPr>
        <w:t>Technological Forecasting and Social Change</w:t>
      </w:r>
      <w:r w:rsidRPr="003B099C">
        <w:rPr>
          <w:lang w:val="en-US"/>
        </w:rPr>
        <w:t xml:space="preserve">, 212, p. 123833. Available at: </w:t>
      </w:r>
      <w:hyperlink r:id="rId13" w:history="1">
        <w:r w:rsidR="00AE05DD" w:rsidRPr="00DC24B5">
          <w:rPr>
            <w:rStyle w:val="Hyperlink"/>
            <w:lang w:val="en-US"/>
          </w:rPr>
          <w:t>https://doi.org/10.1016/j.techfore.2024.123833</w:t>
        </w:r>
      </w:hyperlink>
      <w:r w:rsidRPr="003B099C">
        <w:rPr>
          <w:lang w:val="en-US"/>
        </w:rPr>
        <w:t>.</w:t>
      </w:r>
      <w:r w:rsidR="00AE05DD">
        <w:rPr>
          <w:lang w:val="en-US"/>
        </w:rPr>
        <w:t xml:space="preserve"> </w:t>
      </w:r>
      <w:r w:rsidR="00E41B81" w:rsidRPr="00A82EBE">
        <w:rPr>
          <w:color w:val="0D0D0D" w:themeColor="text1" w:themeTint="F2"/>
          <w:szCs w:val="24"/>
          <w:lang w:val="en-US"/>
        </w:rPr>
        <w:t>Accessed</w:t>
      </w:r>
      <w:r w:rsidR="00E41B81">
        <w:rPr>
          <w:lang w:val="en-US"/>
        </w:rPr>
        <w:t xml:space="preserve"> on </w:t>
      </w:r>
      <w:r w:rsidR="00AE05DD">
        <w:rPr>
          <w:lang w:val="en-US"/>
        </w:rPr>
        <w:t>16/10/2025</w:t>
      </w:r>
    </w:p>
    <w:p w14:paraId="0AA2F1D3" w14:textId="77777777" w:rsidR="003B099C" w:rsidRPr="003B099C" w:rsidRDefault="003B099C" w:rsidP="00050EB0">
      <w:pPr>
        <w:jc w:val="left"/>
        <w:rPr>
          <w:lang w:val="en-US"/>
        </w:rPr>
      </w:pPr>
      <w:r w:rsidRPr="003B099C">
        <w:rPr>
          <w:lang w:val="en-US"/>
        </w:rPr>
        <w:t xml:space="preserve">Higgins, J.P.T. and Green, S. (2019) </w:t>
      </w:r>
      <w:r w:rsidRPr="003B099C">
        <w:rPr>
          <w:i/>
          <w:iCs/>
          <w:lang w:val="en-US"/>
        </w:rPr>
        <w:t>Cochrane Handbook for Systematic Reviews of Interventions</w:t>
      </w:r>
      <w:r w:rsidRPr="003B099C">
        <w:rPr>
          <w:lang w:val="en-US"/>
        </w:rPr>
        <w:t>. Wiley-Blackwell.</w:t>
      </w:r>
    </w:p>
    <w:p w14:paraId="2823E307" w14:textId="03B3F43C" w:rsidR="003B099C" w:rsidRPr="003B099C" w:rsidRDefault="003B099C" w:rsidP="00050EB0">
      <w:pPr>
        <w:jc w:val="left"/>
        <w:rPr>
          <w:lang w:val="en-US"/>
        </w:rPr>
      </w:pPr>
      <w:r w:rsidRPr="003B099C">
        <w:rPr>
          <w:lang w:val="en-US"/>
        </w:rPr>
        <w:t xml:space="preserve">Page, M.J. </w:t>
      </w:r>
      <w:r w:rsidRPr="003B099C">
        <w:rPr>
          <w:i/>
          <w:iCs/>
          <w:lang w:val="en-US"/>
        </w:rPr>
        <w:t>et al.</w:t>
      </w:r>
      <w:r w:rsidRPr="003B099C">
        <w:rPr>
          <w:lang w:val="en-US"/>
        </w:rPr>
        <w:t xml:space="preserve"> (2021) ‘The PRISMA 2020 statement: an Updated Guideline for Reporting Systematic Reviews’, </w:t>
      </w:r>
      <w:r w:rsidRPr="003B099C">
        <w:rPr>
          <w:i/>
          <w:iCs/>
          <w:lang w:val="en-US"/>
        </w:rPr>
        <w:t>Systematic Reviews</w:t>
      </w:r>
      <w:r w:rsidRPr="003B099C">
        <w:rPr>
          <w:lang w:val="en-US"/>
        </w:rPr>
        <w:t xml:space="preserve">, 10(1). Available at: </w:t>
      </w:r>
      <w:hyperlink r:id="rId14" w:history="1">
        <w:r w:rsidR="00AE05DD" w:rsidRPr="00DC24B5">
          <w:rPr>
            <w:rStyle w:val="Hyperlink"/>
            <w:lang w:val="en-US"/>
          </w:rPr>
          <w:t>https://doi.org/10.1186/s13643-021-01626-4</w:t>
        </w:r>
      </w:hyperlink>
      <w:r w:rsidRPr="003B099C">
        <w:rPr>
          <w:lang w:val="en-US"/>
        </w:rPr>
        <w:t>.</w:t>
      </w:r>
      <w:r w:rsidR="00E41B81" w:rsidRPr="00E41B81">
        <w:rPr>
          <w:color w:val="0D0D0D" w:themeColor="text1" w:themeTint="F2"/>
          <w:szCs w:val="24"/>
          <w:lang w:val="en-US"/>
        </w:rPr>
        <w:t xml:space="preserve"> </w:t>
      </w:r>
      <w:r w:rsidR="00E41B81" w:rsidRPr="00A82EBE">
        <w:rPr>
          <w:color w:val="0D0D0D" w:themeColor="text1" w:themeTint="F2"/>
          <w:szCs w:val="24"/>
          <w:lang w:val="en-US"/>
        </w:rPr>
        <w:t>Accessed</w:t>
      </w:r>
      <w:r w:rsidR="00E41B81">
        <w:rPr>
          <w:lang w:val="en-US"/>
        </w:rPr>
        <w:t xml:space="preserve"> on</w:t>
      </w:r>
      <w:r w:rsidR="00AE05DD">
        <w:rPr>
          <w:lang w:val="en-US"/>
        </w:rPr>
        <w:t xml:space="preserve"> 16/10/2025</w:t>
      </w:r>
    </w:p>
    <w:p w14:paraId="03C93FF0" w14:textId="32269381" w:rsidR="003B099C" w:rsidRPr="003B099C" w:rsidRDefault="003B099C" w:rsidP="00050EB0">
      <w:pPr>
        <w:jc w:val="left"/>
        <w:rPr>
          <w:lang w:val="en-US"/>
        </w:rPr>
      </w:pPr>
      <w:r w:rsidRPr="003B099C">
        <w:rPr>
          <w:lang w:val="en-US"/>
        </w:rPr>
        <w:t xml:space="preserve">Shaheen, N. </w:t>
      </w:r>
      <w:r w:rsidRPr="003B099C">
        <w:rPr>
          <w:i/>
          <w:iCs/>
          <w:lang w:val="en-US"/>
        </w:rPr>
        <w:t>et al.</w:t>
      </w:r>
      <w:r w:rsidRPr="003B099C">
        <w:rPr>
          <w:lang w:val="en-US"/>
        </w:rPr>
        <w:t xml:space="preserve"> (2023) ‘Appraising Systematic reviews: a Comprehensive Guide to Ensuring Validity and Reliability’, </w:t>
      </w:r>
      <w:r w:rsidRPr="003B099C">
        <w:rPr>
          <w:i/>
          <w:iCs/>
          <w:lang w:val="en-US"/>
        </w:rPr>
        <w:t>Frontiers in Research Metrics and Analytics</w:t>
      </w:r>
      <w:r w:rsidRPr="003B099C">
        <w:rPr>
          <w:lang w:val="en-US"/>
        </w:rPr>
        <w:t xml:space="preserve">, 8(8). Available at: </w:t>
      </w:r>
      <w:hyperlink r:id="rId15" w:history="1">
        <w:r w:rsidR="00AE05DD" w:rsidRPr="00DC24B5">
          <w:rPr>
            <w:rStyle w:val="Hyperlink"/>
            <w:lang w:val="en-US"/>
          </w:rPr>
          <w:t>https://doi.org/10.3389/frma.2023.1268045</w:t>
        </w:r>
      </w:hyperlink>
      <w:r w:rsidR="00E41B81" w:rsidRPr="00E41B81">
        <w:rPr>
          <w:color w:val="0D0D0D" w:themeColor="text1" w:themeTint="F2"/>
          <w:szCs w:val="24"/>
          <w:lang w:val="en-US"/>
        </w:rPr>
        <w:t xml:space="preserve"> </w:t>
      </w:r>
      <w:r w:rsidR="00E41B81" w:rsidRPr="00A82EBE">
        <w:rPr>
          <w:color w:val="0D0D0D" w:themeColor="text1" w:themeTint="F2"/>
          <w:szCs w:val="24"/>
          <w:lang w:val="en-US"/>
        </w:rPr>
        <w:t>Accessed</w:t>
      </w:r>
      <w:r w:rsidR="00E41B81">
        <w:rPr>
          <w:lang w:val="en-US"/>
        </w:rPr>
        <w:t xml:space="preserve"> on</w:t>
      </w:r>
      <w:r w:rsidRPr="003B099C">
        <w:rPr>
          <w:lang w:val="en-US"/>
        </w:rPr>
        <w:t>.</w:t>
      </w:r>
      <w:r w:rsidR="00AE05DD">
        <w:rPr>
          <w:lang w:val="en-US"/>
        </w:rPr>
        <w:t xml:space="preserve"> 23/10/2025</w:t>
      </w:r>
    </w:p>
    <w:p w14:paraId="5AA69D19" w14:textId="5BB40528" w:rsidR="003B099C" w:rsidRPr="003B099C" w:rsidRDefault="003B099C" w:rsidP="00050EB0">
      <w:pPr>
        <w:jc w:val="left"/>
        <w:rPr>
          <w:lang w:val="en-US"/>
        </w:rPr>
      </w:pPr>
      <w:r w:rsidRPr="003B099C">
        <w:rPr>
          <w:lang w:val="en-US"/>
        </w:rPr>
        <w:t xml:space="preserve">Suri, H. (2020) ‘Ethical Considerations of Conducting Systematic Reviews in Educational Research’, </w:t>
      </w:r>
      <w:r w:rsidRPr="003B099C">
        <w:rPr>
          <w:i/>
          <w:iCs/>
          <w:lang w:val="en-US"/>
        </w:rPr>
        <w:t>Systematic Reviews in Educational Research</w:t>
      </w:r>
      <w:r w:rsidRPr="003B099C">
        <w:rPr>
          <w:lang w:val="en-US"/>
        </w:rPr>
        <w:t xml:space="preserve">, 1(1), pp. 41–54. Available at: </w:t>
      </w:r>
      <w:hyperlink r:id="rId16" w:history="1">
        <w:r w:rsidR="00287613" w:rsidRPr="00DC24B5">
          <w:rPr>
            <w:rStyle w:val="Hyperlink"/>
            <w:lang w:val="en-US"/>
          </w:rPr>
          <w:t>https://doi.org/10.1007/978-3-658-27602-7_3</w:t>
        </w:r>
      </w:hyperlink>
      <w:r w:rsidRPr="003B099C">
        <w:rPr>
          <w:lang w:val="en-US"/>
        </w:rPr>
        <w:t>.</w:t>
      </w:r>
      <w:r w:rsidR="00E41B81" w:rsidRPr="00E41B81">
        <w:rPr>
          <w:color w:val="0D0D0D" w:themeColor="text1" w:themeTint="F2"/>
          <w:szCs w:val="24"/>
          <w:lang w:val="en-US"/>
        </w:rPr>
        <w:t xml:space="preserve"> </w:t>
      </w:r>
      <w:r w:rsidR="00E41B81" w:rsidRPr="00A82EBE">
        <w:rPr>
          <w:color w:val="0D0D0D" w:themeColor="text1" w:themeTint="F2"/>
          <w:szCs w:val="24"/>
          <w:lang w:val="en-US"/>
        </w:rPr>
        <w:t>Accessed</w:t>
      </w:r>
      <w:r w:rsidR="00E41B81">
        <w:rPr>
          <w:lang w:val="en-US"/>
        </w:rPr>
        <w:t xml:space="preserve"> on</w:t>
      </w:r>
      <w:r w:rsidR="00287613">
        <w:rPr>
          <w:lang w:val="en-US"/>
        </w:rPr>
        <w:t xml:space="preserve"> 23/10/2025</w:t>
      </w:r>
    </w:p>
    <w:p w14:paraId="44E5A9CA" w14:textId="77777777" w:rsidR="003B099C" w:rsidRPr="003B099C" w:rsidRDefault="003B099C" w:rsidP="00050EB0">
      <w:pPr>
        <w:jc w:val="left"/>
        <w:rPr>
          <w:lang w:val="en-US"/>
        </w:rPr>
      </w:pPr>
      <w:r w:rsidRPr="003B099C">
        <w:rPr>
          <w:lang w:val="en-US"/>
        </w:rPr>
        <w:lastRenderedPageBreak/>
        <w:t xml:space="preserve">Tsang, E.W.K. (2016) </w:t>
      </w:r>
      <w:r w:rsidRPr="003B099C">
        <w:rPr>
          <w:i/>
          <w:iCs/>
          <w:lang w:val="en-US"/>
        </w:rPr>
        <w:t>The philosophy of management research</w:t>
      </w:r>
      <w:r w:rsidRPr="003B099C">
        <w:rPr>
          <w:lang w:val="en-US"/>
        </w:rPr>
        <w:t>. Routledge.</w:t>
      </w:r>
    </w:p>
    <w:p w14:paraId="39AF7ED4" w14:textId="2436AB78" w:rsidR="003B099C" w:rsidRPr="003B099C" w:rsidRDefault="003B099C" w:rsidP="00050EB0">
      <w:pPr>
        <w:jc w:val="left"/>
        <w:rPr>
          <w:lang w:val="en-US"/>
        </w:rPr>
      </w:pPr>
      <w:r w:rsidRPr="003B099C">
        <w:rPr>
          <w:lang w:val="en-US"/>
        </w:rPr>
        <w:t xml:space="preserve">UWTSD (2022) </w:t>
      </w:r>
      <w:r w:rsidRPr="003B099C">
        <w:rPr>
          <w:i/>
          <w:iCs/>
          <w:lang w:val="en-US"/>
        </w:rPr>
        <w:t>Research Integrity and Ethics</w:t>
      </w:r>
      <w:r w:rsidRPr="003B099C">
        <w:rPr>
          <w:lang w:val="en-US"/>
        </w:rPr>
        <w:t xml:space="preserve">, </w:t>
      </w:r>
      <w:r w:rsidRPr="003B099C">
        <w:rPr>
          <w:i/>
          <w:iCs/>
          <w:lang w:val="en-US"/>
        </w:rPr>
        <w:t>The University of Wales Trinity Saint David</w:t>
      </w:r>
      <w:r w:rsidRPr="003B099C">
        <w:rPr>
          <w:lang w:val="en-US"/>
        </w:rPr>
        <w:t xml:space="preserve">. Available at: </w:t>
      </w:r>
      <w:hyperlink r:id="rId17" w:history="1">
        <w:r w:rsidR="00287613" w:rsidRPr="00DC24B5">
          <w:rPr>
            <w:rStyle w:val="Hyperlink"/>
            <w:lang w:val="en-US"/>
          </w:rPr>
          <w:t>https://www.uwtsd.ac.uk/research/research-integrity-and-ethics</w:t>
        </w:r>
      </w:hyperlink>
      <w:r w:rsidRPr="003B099C">
        <w:rPr>
          <w:lang w:val="en-US"/>
        </w:rPr>
        <w:t>.</w:t>
      </w:r>
      <w:r w:rsidR="00287613">
        <w:rPr>
          <w:lang w:val="en-US"/>
        </w:rPr>
        <w:t xml:space="preserve"> </w:t>
      </w:r>
      <w:r w:rsidR="00E41B81" w:rsidRPr="00A82EBE">
        <w:rPr>
          <w:color w:val="0D0D0D" w:themeColor="text1" w:themeTint="F2"/>
          <w:szCs w:val="24"/>
          <w:lang w:val="en-US"/>
        </w:rPr>
        <w:t>Accessed</w:t>
      </w:r>
      <w:r w:rsidR="00E41B81">
        <w:rPr>
          <w:lang w:val="en-US"/>
        </w:rPr>
        <w:t xml:space="preserve"> on </w:t>
      </w:r>
      <w:r w:rsidR="00287613">
        <w:rPr>
          <w:lang w:val="en-US"/>
        </w:rPr>
        <w:t>27/10/2025</w:t>
      </w:r>
    </w:p>
    <w:p w14:paraId="49EC59FE" w14:textId="6B3C4FA9" w:rsidR="003B099C" w:rsidRPr="003B099C" w:rsidRDefault="003B099C" w:rsidP="00050EB0">
      <w:pPr>
        <w:jc w:val="left"/>
        <w:rPr>
          <w:lang w:val="en-US"/>
        </w:rPr>
      </w:pPr>
      <w:r w:rsidRPr="003B099C">
        <w:rPr>
          <w:lang w:val="en-US"/>
        </w:rPr>
        <w:t xml:space="preserve">Wager, E. and Wiffen, P.J. (2011) ‘Ethical issues in preparing and publishing systematic reviews’, </w:t>
      </w:r>
      <w:r w:rsidRPr="003B099C">
        <w:rPr>
          <w:i/>
          <w:iCs/>
          <w:lang w:val="en-US"/>
        </w:rPr>
        <w:t>Journal of Evidence-Based Medicine</w:t>
      </w:r>
      <w:r w:rsidRPr="003B099C">
        <w:rPr>
          <w:lang w:val="en-US"/>
        </w:rPr>
        <w:t xml:space="preserve">, 4(2), pp. 130–134. Available at: </w:t>
      </w:r>
      <w:hyperlink r:id="rId18" w:history="1">
        <w:r w:rsidR="00287613" w:rsidRPr="00DC24B5">
          <w:rPr>
            <w:rStyle w:val="Hyperlink"/>
            <w:lang w:val="en-US"/>
          </w:rPr>
          <w:t>https://doi.org/10.1111/j.1756-5391.2011.01122.x</w:t>
        </w:r>
      </w:hyperlink>
      <w:r w:rsidRPr="003B099C">
        <w:rPr>
          <w:lang w:val="en-US"/>
        </w:rPr>
        <w:t>.</w:t>
      </w:r>
      <w:r w:rsidR="00A662D7" w:rsidRPr="00A662D7">
        <w:rPr>
          <w:color w:val="0D0D0D" w:themeColor="text1" w:themeTint="F2"/>
          <w:szCs w:val="24"/>
          <w:lang w:val="en-US"/>
        </w:rPr>
        <w:t xml:space="preserve"> </w:t>
      </w:r>
      <w:r w:rsidR="00A662D7" w:rsidRPr="00A82EBE">
        <w:rPr>
          <w:color w:val="0D0D0D" w:themeColor="text1" w:themeTint="F2"/>
          <w:szCs w:val="24"/>
          <w:lang w:val="en-US"/>
        </w:rPr>
        <w:t>Accessed</w:t>
      </w:r>
      <w:r w:rsidR="00A662D7">
        <w:rPr>
          <w:lang w:val="en-US"/>
        </w:rPr>
        <w:t xml:space="preserve"> on</w:t>
      </w:r>
      <w:r w:rsidR="00287613">
        <w:rPr>
          <w:lang w:val="en-US"/>
        </w:rPr>
        <w:t xml:space="preserve"> 27/10/2025</w:t>
      </w:r>
    </w:p>
    <w:p w14:paraId="548D31EA" w14:textId="107AF724"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Adamkiewicz, J. </w:t>
      </w:r>
      <w:r w:rsidR="00A7080E" w:rsidRPr="00A7080E">
        <w:rPr>
          <w:i/>
          <w:iCs/>
          <w:color w:val="0D0D0D" w:themeColor="text1" w:themeTint="F2"/>
          <w:szCs w:val="24"/>
          <w:lang w:val="en-US"/>
        </w:rPr>
        <w:t>et al</w:t>
      </w:r>
      <w:r w:rsidRPr="00F318E4">
        <w:rPr>
          <w:color w:val="0D0D0D" w:themeColor="text1" w:themeTint="F2"/>
          <w:szCs w:val="24"/>
          <w:lang w:val="en-US"/>
        </w:rPr>
        <w:t xml:space="preserve">. (2022) ‘Greenwashing and Sustainable Fashion Industry’, </w:t>
      </w:r>
      <w:r w:rsidRPr="00F318E4">
        <w:rPr>
          <w:i/>
          <w:iCs/>
          <w:color w:val="0D0D0D" w:themeColor="text1" w:themeTint="F2"/>
          <w:szCs w:val="24"/>
          <w:lang w:val="en-US"/>
        </w:rPr>
        <w:t>Current Opinion in Green and Sustainable Chemistry</w:t>
      </w:r>
      <w:r w:rsidRPr="00F318E4">
        <w:rPr>
          <w:color w:val="0D0D0D" w:themeColor="text1" w:themeTint="F2"/>
          <w:szCs w:val="24"/>
          <w:lang w:val="en-US"/>
        </w:rPr>
        <w:t xml:space="preserve">, 38, 100710. Available at: </w:t>
      </w:r>
      <w:hyperlink r:id="rId19" w:tgtFrame="_new" w:history="1">
        <w:r w:rsidRPr="00F318E4">
          <w:rPr>
            <w:rStyle w:val="Hyperlink"/>
            <w:color w:val="0D0D0D" w:themeColor="text1" w:themeTint="F2"/>
            <w:szCs w:val="24"/>
            <w:u w:val="none"/>
            <w:lang w:val="en-US"/>
          </w:rPr>
          <w:t>https://doi.org/10.1016/j.cogsc.2022.100710</w:t>
        </w:r>
      </w:hyperlink>
      <w:r w:rsidRPr="00F318E4">
        <w:rPr>
          <w:color w:val="0D0D0D" w:themeColor="text1" w:themeTint="F2"/>
          <w:szCs w:val="24"/>
          <w:lang w:val="en-US"/>
        </w:rPr>
        <w:t>.</w:t>
      </w:r>
      <w:r w:rsidR="009C0D79">
        <w:rPr>
          <w:color w:val="0D0D0D" w:themeColor="text1" w:themeTint="F2"/>
          <w:szCs w:val="24"/>
          <w:lang w:val="en-US"/>
        </w:rPr>
        <w:t xml:space="preserve"> </w:t>
      </w:r>
      <w:r w:rsidR="00287613">
        <w:rPr>
          <w:color w:val="0D0D0D" w:themeColor="text1" w:themeTint="F2"/>
          <w:szCs w:val="24"/>
          <w:lang w:val="en-US"/>
        </w:rPr>
        <w:t>2</w:t>
      </w:r>
      <w:r w:rsidR="00A662D7" w:rsidRPr="00A662D7">
        <w:rPr>
          <w:color w:val="0D0D0D" w:themeColor="text1" w:themeTint="F2"/>
          <w:szCs w:val="24"/>
          <w:lang w:val="en-US"/>
        </w:rPr>
        <w:t xml:space="preserve"> </w:t>
      </w:r>
      <w:r w:rsidR="00A662D7" w:rsidRPr="00A82EBE">
        <w:rPr>
          <w:color w:val="0D0D0D" w:themeColor="text1" w:themeTint="F2"/>
          <w:szCs w:val="24"/>
          <w:lang w:val="en-US"/>
        </w:rPr>
        <w:t>Accessed</w:t>
      </w:r>
      <w:r w:rsidR="00A662D7">
        <w:rPr>
          <w:lang w:val="en-US"/>
        </w:rPr>
        <w:t xml:space="preserve"> on </w:t>
      </w:r>
      <w:r w:rsidR="00287613">
        <w:rPr>
          <w:color w:val="0D0D0D" w:themeColor="text1" w:themeTint="F2"/>
          <w:szCs w:val="24"/>
          <w:lang w:val="en-US"/>
        </w:rPr>
        <w:t>8/10/2025</w:t>
      </w:r>
    </w:p>
    <w:p w14:paraId="47C0C4BC" w14:textId="77777777"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Andria, F., Triani, M., Gunawan, A.D. and </w:t>
      </w:r>
      <w:proofErr w:type="spellStart"/>
      <w:r w:rsidRPr="00F318E4">
        <w:rPr>
          <w:color w:val="0D0D0D" w:themeColor="text1" w:themeTint="F2"/>
          <w:szCs w:val="24"/>
          <w:lang w:val="en-US"/>
        </w:rPr>
        <w:t>Hananto</w:t>
      </w:r>
      <w:proofErr w:type="spellEnd"/>
      <w:r w:rsidRPr="00F318E4">
        <w:rPr>
          <w:color w:val="0D0D0D" w:themeColor="text1" w:themeTint="F2"/>
          <w:szCs w:val="24"/>
          <w:lang w:val="en-US"/>
        </w:rPr>
        <w:t xml:space="preserve">, B. (2023) ‘Encouraging consumption enhancement: Green marketing mix study with customer satisfaction in Indonesians sustainable fashion’, </w:t>
      </w:r>
      <w:r w:rsidRPr="00F318E4">
        <w:rPr>
          <w:i/>
          <w:iCs/>
          <w:color w:val="0D0D0D" w:themeColor="text1" w:themeTint="F2"/>
          <w:szCs w:val="24"/>
          <w:lang w:val="en-US"/>
        </w:rPr>
        <w:t>Proceedings of the 2023 International Conference on Informatics, Multimedia, Cyber and Information Systems (ICIMCIS 2023)</w:t>
      </w:r>
      <w:r w:rsidRPr="00F318E4">
        <w:rPr>
          <w:color w:val="0D0D0D" w:themeColor="text1" w:themeTint="F2"/>
          <w:szCs w:val="24"/>
          <w:lang w:val="en-US"/>
        </w:rPr>
        <w:t>, pp. 606–610.</w:t>
      </w:r>
    </w:p>
    <w:p w14:paraId="49483B42" w14:textId="2E527263"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Boateng, W. </w:t>
      </w:r>
      <w:r w:rsidR="00A7080E" w:rsidRPr="00A7080E">
        <w:rPr>
          <w:i/>
          <w:iCs/>
          <w:color w:val="0D0D0D" w:themeColor="text1" w:themeTint="F2"/>
          <w:szCs w:val="24"/>
          <w:lang w:val="en-US"/>
        </w:rPr>
        <w:t>et al</w:t>
      </w:r>
      <w:r w:rsidRPr="00F318E4">
        <w:rPr>
          <w:color w:val="0D0D0D" w:themeColor="text1" w:themeTint="F2"/>
          <w:szCs w:val="24"/>
          <w:lang w:val="en-US"/>
        </w:rPr>
        <w:t xml:space="preserve">. (2025) ‘Unravelling the motivations for the environmental harm posed by the unsustainable practices by the apparel industry in Ghana’, </w:t>
      </w:r>
      <w:r w:rsidRPr="00F318E4">
        <w:rPr>
          <w:i/>
          <w:iCs/>
          <w:color w:val="0D0D0D" w:themeColor="text1" w:themeTint="F2"/>
          <w:szCs w:val="24"/>
          <w:lang w:val="en-US"/>
        </w:rPr>
        <w:t>Discover Environment</w:t>
      </w:r>
      <w:r w:rsidRPr="00F318E4">
        <w:rPr>
          <w:color w:val="0D0D0D" w:themeColor="text1" w:themeTint="F2"/>
          <w:szCs w:val="24"/>
          <w:lang w:val="en-US"/>
        </w:rPr>
        <w:t>, 3(1), 56.</w:t>
      </w:r>
    </w:p>
    <w:p w14:paraId="73164072" w14:textId="3E604E41"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Bramer, W., Giustini, D., de Jonge, G., Holland, L. and Bekhuis, T. (2017) ‘De-duplication of database search results for systematic reviews in EndNote’, </w:t>
      </w:r>
      <w:r w:rsidRPr="00F318E4">
        <w:rPr>
          <w:i/>
          <w:iCs/>
          <w:color w:val="0D0D0D" w:themeColor="text1" w:themeTint="F2"/>
          <w:szCs w:val="24"/>
          <w:lang w:val="en-US"/>
        </w:rPr>
        <w:t>Journal of the Medical Library Association</w:t>
      </w:r>
      <w:r w:rsidRPr="00F318E4">
        <w:rPr>
          <w:color w:val="0D0D0D" w:themeColor="text1" w:themeTint="F2"/>
          <w:szCs w:val="24"/>
          <w:lang w:val="en-US"/>
        </w:rPr>
        <w:t xml:space="preserve">, 105(1), pp. 84–87. Available at: </w:t>
      </w:r>
      <w:hyperlink r:id="rId20" w:tgtFrame="_new" w:history="1">
        <w:r w:rsidRPr="00F318E4">
          <w:rPr>
            <w:rStyle w:val="Hyperlink"/>
            <w:color w:val="0D0D0D" w:themeColor="text1" w:themeTint="F2"/>
            <w:szCs w:val="24"/>
            <w:u w:val="none"/>
            <w:lang w:val="en-US"/>
          </w:rPr>
          <w:t>https://doi.org/10.5195/jmla.2017.88</w:t>
        </w:r>
      </w:hyperlink>
      <w:r w:rsidRPr="00F318E4">
        <w:rPr>
          <w:color w:val="0D0D0D" w:themeColor="text1" w:themeTint="F2"/>
          <w:szCs w:val="24"/>
          <w:lang w:val="en-US"/>
        </w:rPr>
        <w:t>.</w:t>
      </w:r>
      <w:r w:rsidR="00A662D7" w:rsidRPr="00A662D7">
        <w:rPr>
          <w:color w:val="0D0D0D" w:themeColor="text1" w:themeTint="F2"/>
          <w:szCs w:val="24"/>
          <w:lang w:val="en-US"/>
        </w:rPr>
        <w:t xml:space="preserve"> </w:t>
      </w:r>
      <w:r w:rsidR="00A662D7" w:rsidRPr="00A82EBE">
        <w:rPr>
          <w:color w:val="0D0D0D" w:themeColor="text1" w:themeTint="F2"/>
          <w:szCs w:val="24"/>
          <w:lang w:val="en-US"/>
        </w:rPr>
        <w:t>Accessed</w:t>
      </w:r>
      <w:r w:rsidR="00A662D7">
        <w:rPr>
          <w:lang w:val="en-US"/>
        </w:rPr>
        <w:t xml:space="preserve"> on</w:t>
      </w:r>
      <w:r w:rsidR="009C0D79">
        <w:rPr>
          <w:color w:val="0D0D0D" w:themeColor="text1" w:themeTint="F2"/>
          <w:szCs w:val="24"/>
          <w:lang w:val="en-US"/>
        </w:rPr>
        <w:t xml:space="preserve"> 09/11/2024</w:t>
      </w:r>
    </w:p>
    <w:p w14:paraId="37B33DB7" w14:textId="77777777" w:rsidR="00A82EBE" w:rsidRPr="00F318E4" w:rsidRDefault="00A82EBE" w:rsidP="00050EB0">
      <w:pPr>
        <w:jc w:val="left"/>
        <w:rPr>
          <w:color w:val="0D0D0D" w:themeColor="text1" w:themeTint="F2"/>
          <w:szCs w:val="24"/>
          <w:lang w:val="en-US"/>
        </w:rPr>
      </w:pPr>
      <w:proofErr w:type="spellStart"/>
      <w:r w:rsidRPr="00F318E4">
        <w:rPr>
          <w:color w:val="0D0D0D" w:themeColor="text1" w:themeTint="F2"/>
          <w:szCs w:val="24"/>
          <w:lang w:val="en-US"/>
        </w:rPr>
        <w:t>Brugman</w:t>
      </w:r>
      <w:proofErr w:type="spellEnd"/>
      <w:r w:rsidRPr="00F318E4">
        <w:rPr>
          <w:color w:val="0D0D0D" w:themeColor="text1" w:themeTint="F2"/>
          <w:szCs w:val="24"/>
          <w:lang w:val="en-US"/>
        </w:rPr>
        <w:t xml:space="preserve">, B.C., van </w:t>
      </w:r>
      <w:proofErr w:type="spellStart"/>
      <w:r w:rsidRPr="00F318E4">
        <w:rPr>
          <w:color w:val="0D0D0D" w:themeColor="text1" w:themeTint="F2"/>
          <w:szCs w:val="24"/>
          <w:lang w:val="en-US"/>
        </w:rPr>
        <w:t>Huijstee</w:t>
      </w:r>
      <w:proofErr w:type="spellEnd"/>
      <w:r w:rsidRPr="00F318E4">
        <w:rPr>
          <w:color w:val="0D0D0D" w:themeColor="text1" w:themeTint="F2"/>
          <w:szCs w:val="24"/>
          <w:lang w:val="en-US"/>
        </w:rPr>
        <w:t xml:space="preserve">, D. and Droog, E. (2024) ‘Debunking the corporate paint shop: Examining the effects of misleading corporate social responsibility claims on social media’, </w:t>
      </w:r>
      <w:r w:rsidRPr="00F318E4">
        <w:rPr>
          <w:i/>
          <w:iCs/>
          <w:color w:val="0D0D0D" w:themeColor="text1" w:themeTint="F2"/>
          <w:szCs w:val="24"/>
          <w:lang w:val="en-US"/>
        </w:rPr>
        <w:t>New Media &amp; Society</w:t>
      </w:r>
      <w:r w:rsidRPr="00F318E4">
        <w:rPr>
          <w:color w:val="0D0D0D" w:themeColor="text1" w:themeTint="F2"/>
          <w:szCs w:val="24"/>
          <w:lang w:val="en-US"/>
        </w:rPr>
        <w:t>. (Article in press).</w:t>
      </w:r>
    </w:p>
    <w:p w14:paraId="72536953" w14:textId="598FF739"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Brydges, T. </w:t>
      </w:r>
      <w:r w:rsidR="00A7080E" w:rsidRPr="00A7080E">
        <w:rPr>
          <w:i/>
          <w:iCs/>
          <w:color w:val="0D0D0D" w:themeColor="text1" w:themeTint="F2"/>
          <w:szCs w:val="24"/>
          <w:lang w:val="en-US"/>
        </w:rPr>
        <w:t>et al</w:t>
      </w:r>
      <w:r w:rsidRPr="00F318E4">
        <w:rPr>
          <w:color w:val="0D0D0D" w:themeColor="text1" w:themeTint="F2"/>
          <w:szCs w:val="24"/>
          <w:lang w:val="en-US"/>
        </w:rPr>
        <w:t xml:space="preserve">. (2022) ‘Selling sustainability: Investigating how Swedish fashion brands communicate sustainability to consumers’, </w:t>
      </w:r>
      <w:r w:rsidRPr="00F318E4">
        <w:rPr>
          <w:i/>
          <w:iCs/>
          <w:color w:val="0D0D0D" w:themeColor="text1" w:themeTint="F2"/>
          <w:szCs w:val="24"/>
          <w:lang w:val="en-US"/>
        </w:rPr>
        <w:t>Sustainability Science Practice and Policy</w:t>
      </w:r>
      <w:r w:rsidRPr="00F318E4">
        <w:rPr>
          <w:color w:val="0D0D0D" w:themeColor="text1" w:themeTint="F2"/>
          <w:szCs w:val="24"/>
          <w:lang w:val="en-US"/>
        </w:rPr>
        <w:t>, 18(1), pp. 357–370.</w:t>
      </w:r>
    </w:p>
    <w:p w14:paraId="04FC78D0" w14:textId="77777777"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lastRenderedPageBreak/>
        <w:t xml:space="preserve">Burnstine, A.P. and Ghattas, R. (2025) ‘Assessing the sustainable circular fashion supply chain as a model for achieving economic growth in the global market’, </w:t>
      </w:r>
      <w:r w:rsidRPr="00F318E4">
        <w:rPr>
          <w:i/>
          <w:iCs/>
          <w:color w:val="0D0D0D" w:themeColor="text1" w:themeTint="F2"/>
          <w:szCs w:val="24"/>
          <w:lang w:val="en-US"/>
        </w:rPr>
        <w:t>Sustainability (Switzerland)</w:t>
      </w:r>
      <w:r w:rsidRPr="00F318E4">
        <w:rPr>
          <w:color w:val="0D0D0D" w:themeColor="text1" w:themeTint="F2"/>
          <w:szCs w:val="24"/>
          <w:lang w:val="en-US"/>
        </w:rPr>
        <w:t>, 17(19), 8558.</w:t>
      </w:r>
    </w:p>
    <w:p w14:paraId="64B36727" w14:textId="2DFE26DF"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Campbell, M., </w:t>
      </w:r>
      <w:proofErr w:type="spellStart"/>
      <w:r w:rsidRPr="00F318E4">
        <w:rPr>
          <w:color w:val="0D0D0D" w:themeColor="text1" w:themeTint="F2"/>
          <w:szCs w:val="24"/>
          <w:lang w:val="en-US"/>
        </w:rPr>
        <w:t>Katikireddi</w:t>
      </w:r>
      <w:proofErr w:type="spellEnd"/>
      <w:r w:rsidRPr="00F318E4">
        <w:rPr>
          <w:color w:val="0D0D0D" w:themeColor="text1" w:themeTint="F2"/>
          <w:szCs w:val="24"/>
          <w:lang w:val="en-US"/>
        </w:rPr>
        <w:t xml:space="preserve">, S., Sowden, A., Stein, K., Mockford, C. and Ritchie, F. (2020) ‘Synthesis without meta-analysis (SWiM) in systematic reviews: reporting guideline’, </w:t>
      </w:r>
      <w:r w:rsidRPr="00F318E4">
        <w:rPr>
          <w:i/>
          <w:iCs/>
          <w:color w:val="0D0D0D" w:themeColor="text1" w:themeTint="F2"/>
          <w:szCs w:val="24"/>
          <w:lang w:val="en-US"/>
        </w:rPr>
        <w:t>BMJ</w:t>
      </w:r>
      <w:r w:rsidRPr="00F318E4">
        <w:rPr>
          <w:color w:val="0D0D0D" w:themeColor="text1" w:themeTint="F2"/>
          <w:szCs w:val="24"/>
          <w:lang w:val="en-US"/>
        </w:rPr>
        <w:t xml:space="preserve">. Available at: </w:t>
      </w:r>
      <w:hyperlink r:id="rId21" w:tgtFrame="_new" w:history="1">
        <w:r w:rsidRPr="00F318E4">
          <w:rPr>
            <w:rStyle w:val="Hyperlink"/>
            <w:color w:val="0D0D0D" w:themeColor="text1" w:themeTint="F2"/>
            <w:szCs w:val="24"/>
            <w:u w:val="none"/>
            <w:lang w:val="en-US"/>
          </w:rPr>
          <w:t>https://doi.org/10.1136/bmj.m5375</w:t>
        </w:r>
      </w:hyperlink>
      <w:r w:rsidRPr="00F318E4">
        <w:rPr>
          <w:color w:val="0D0D0D" w:themeColor="text1" w:themeTint="F2"/>
          <w:szCs w:val="24"/>
          <w:lang w:val="en-US"/>
        </w:rPr>
        <w:t>.</w:t>
      </w:r>
      <w:r w:rsidR="00B00839" w:rsidRPr="00B00839">
        <w:rPr>
          <w:color w:val="0D0D0D" w:themeColor="text1" w:themeTint="F2"/>
          <w:szCs w:val="24"/>
          <w:lang w:val="en-US"/>
        </w:rPr>
        <w:t xml:space="preserve"> </w:t>
      </w:r>
      <w:r w:rsidR="00B00839" w:rsidRPr="00A82EBE">
        <w:rPr>
          <w:color w:val="0D0D0D" w:themeColor="text1" w:themeTint="F2"/>
          <w:szCs w:val="24"/>
          <w:lang w:val="en-US"/>
        </w:rPr>
        <w:t>Accessed</w:t>
      </w:r>
      <w:r w:rsidR="00B00839">
        <w:rPr>
          <w:lang w:val="en-US"/>
        </w:rPr>
        <w:t xml:space="preserve"> on</w:t>
      </w:r>
      <w:r w:rsidR="00522320">
        <w:rPr>
          <w:color w:val="0D0D0D" w:themeColor="text1" w:themeTint="F2"/>
          <w:szCs w:val="24"/>
          <w:lang w:val="en-US"/>
        </w:rPr>
        <w:t xml:space="preserve"> 11/11/2025</w:t>
      </w:r>
    </w:p>
    <w:p w14:paraId="518927B9" w14:textId="0A260764"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CASP (2018) </w:t>
      </w:r>
      <w:r w:rsidRPr="00F318E4">
        <w:rPr>
          <w:i/>
          <w:iCs/>
          <w:color w:val="0D0D0D" w:themeColor="text1" w:themeTint="F2"/>
          <w:szCs w:val="24"/>
          <w:lang w:val="en-US"/>
        </w:rPr>
        <w:t>CASP Checklists</w:t>
      </w:r>
      <w:r w:rsidRPr="00F318E4">
        <w:rPr>
          <w:color w:val="0D0D0D" w:themeColor="text1" w:themeTint="F2"/>
          <w:szCs w:val="24"/>
          <w:lang w:val="en-US"/>
        </w:rPr>
        <w:t xml:space="preserve">. Critical Appraisal Skills </w:t>
      </w:r>
      <w:proofErr w:type="spellStart"/>
      <w:r w:rsidRPr="00F318E4">
        <w:rPr>
          <w:color w:val="0D0D0D" w:themeColor="text1" w:themeTint="F2"/>
          <w:szCs w:val="24"/>
          <w:lang w:val="en-US"/>
        </w:rPr>
        <w:t>Programme</w:t>
      </w:r>
      <w:proofErr w:type="spellEnd"/>
      <w:r w:rsidRPr="00F318E4">
        <w:rPr>
          <w:color w:val="0D0D0D" w:themeColor="text1" w:themeTint="F2"/>
          <w:szCs w:val="24"/>
          <w:lang w:val="en-US"/>
        </w:rPr>
        <w:t xml:space="preserve">. Available at: </w:t>
      </w:r>
      <w:hyperlink r:id="rId22" w:tgtFrame="_new" w:history="1">
        <w:r w:rsidRPr="00F318E4">
          <w:rPr>
            <w:rStyle w:val="Hyperlink"/>
            <w:color w:val="0D0D0D" w:themeColor="text1" w:themeTint="F2"/>
            <w:szCs w:val="24"/>
            <w:u w:val="none"/>
            <w:lang w:val="en-US"/>
          </w:rPr>
          <w:t>https://casp-uk.net/casp-tools-checklists/</w:t>
        </w:r>
      </w:hyperlink>
      <w:r w:rsidRPr="00F318E4">
        <w:rPr>
          <w:color w:val="0D0D0D" w:themeColor="text1" w:themeTint="F2"/>
          <w:szCs w:val="24"/>
          <w:lang w:val="en-US"/>
        </w:rPr>
        <w:t>.</w:t>
      </w:r>
      <w:r w:rsidR="00522320">
        <w:rPr>
          <w:color w:val="0D0D0D" w:themeColor="text1" w:themeTint="F2"/>
          <w:szCs w:val="24"/>
          <w:lang w:val="en-US"/>
        </w:rPr>
        <w:t xml:space="preserve"> </w:t>
      </w:r>
      <w:r w:rsidR="00B00839" w:rsidRPr="00A82EBE">
        <w:rPr>
          <w:color w:val="0D0D0D" w:themeColor="text1" w:themeTint="F2"/>
          <w:szCs w:val="24"/>
          <w:lang w:val="en-US"/>
        </w:rPr>
        <w:t>Accessed</w:t>
      </w:r>
      <w:r w:rsidR="00B00839">
        <w:rPr>
          <w:lang w:val="en-US"/>
        </w:rPr>
        <w:t xml:space="preserve"> on </w:t>
      </w:r>
      <w:r w:rsidR="00522320">
        <w:rPr>
          <w:color w:val="0D0D0D" w:themeColor="text1" w:themeTint="F2"/>
          <w:szCs w:val="24"/>
          <w:lang w:val="en-US"/>
        </w:rPr>
        <w:t>11/11/2025</w:t>
      </w:r>
    </w:p>
    <w:p w14:paraId="15C5B4E8" w14:textId="638279F3"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Changing Markets Foundation (2021) </w:t>
      </w:r>
      <w:r w:rsidRPr="00F318E4">
        <w:rPr>
          <w:i/>
          <w:iCs/>
          <w:color w:val="0D0D0D" w:themeColor="text1" w:themeTint="F2"/>
          <w:szCs w:val="24"/>
          <w:lang w:val="en-US"/>
        </w:rPr>
        <w:t>Fossil Fashion: The hidden reliance of fast fashion on fossil fuels</w:t>
      </w:r>
      <w:r w:rsidRPr="00F318E4">
        <w:rPr>
          <w:color w:val="0D0D0D" w:themeColor="text1" w:themeTint="F2"/>
          <w:szCs w:val="24"/>
          <w:lang w:val="en-US"/>
        </w:rPr>
        <w:t xml:space="preserve">. London: Changing Markets Foundation. Available at: </w:t>
      </w:r>
      <w:hyperlink r:id="rId23" w:tgtFrame="_new" w:history="1">
        <w:r w:rsidRPr="00F318E4">
          <w:rPr>
            <w:rStyle w:val="Hyperlink"/>
            <w:color w:val="0D0D0D" w:themeColor="text1" w:themeTint="F2"/>
            <w:szCs w:val="24"/>
            <w:u w:val="none"/>
            <w:lang w:val="en-US"/>
          </w:rPr>
          <w:t>http://changingmarkets.org/wp-content/uploads/2021/01/FOSSIL-FASHION_Web-compressed.pdf</w:t>
        </w:r>
      </w:hyperlink>
      <w:r w:rsidRPr="00F318E4">
        <w:rPr>
          <w:color w:val="0D0D0D" w:themeColor="text1" w:themeTint="F2"/>
          <w:szCs w:val="24"/>
          <w:lang w:val="en-US"/>
        </w:rPr>
        <w:t>.</w:t>
      </w:r>
      <w:r w:rsidR="00522320">
        <w:rPr>
          <w:color w:val="0D0D0D" w:themeColor="text1" w:themeTint="F2"/>
          <w:szCs w:val="24"/>
          <w:lang w:val="en-US"/>
        </w:rPr>
        <w:t xml:space="preserve"> </w:t>
      </w:r>
      <w:r w:rsidR="00B00839" w:rsidRPr="00A82EBE">
        <w:rPr>
          <w:color w:val="0D0D0D" w:themeColor="text1" w:themeTint="F2"/>
          <w:szCs w:val="24"/>
          <w:lang w:val="en-US"/>
        </w:rPr>
        <w:t>Accessed</w:t>
      </w:r>
      <w:r w:rsidR="00B00839">
        <w:rPr>
          <w:lang w:val="en-US"/>
        </w:rPr>
        <w:t xml:space="preserve"> on </w:t>
      </w:r>
      <w:r w:rsidR="00522320">
        <w:rPr>
          <w:color w:val="0D0D0D" w:themeColor="text1" w:themeTint="F2"/>
          <w:szCs w:val="24"/>
          <w:lang w:val="en-US"/>
        </w:rPr>
        <w:t>11/11/2025</w:t>
      </w:r>
    </w:p>
    <w:p w14:paraId="5CB9F3CF" w14:textId="77777777"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Crapa, G., Roma, P. and Bruccoleri, M. (2025) ‘The influence of NGO-corporate relationship on environmental disclosure: Evidence from the fashion industry’, </w:t>
      </w:r>
      <w:r w:rsidRPr="00F318E4">
        <w:rPr>
          <w:i/>
          <w:iCs/>
          <w:color w:val="0D0D0D" w:themeColor="text1" w:themeTint="F2"/>
          <w:szCs w:val="24"/>
          <w:lang w:val="en-US"/>
        </w:rPr>
        <w:t>Corporate Social Responsibility and Environmental Management</w:t>
      </w:r>
      <w:r w:rsidRPr="00F318E4">
        <w:rPr>
          <w:color w:val="0D0D0D" w:themeColor="text1" w:themeTint="F2"/>
          <w:szCs w:val="24"/>
          <w:lang w:val="en-US"/>
        </w:rPr>
        <w:t>, 32(2), pp. 2104–2127.</w:t>
      </w:r>
    </w:p>
    <w:p w14:paraId="64CB29A2" w14:textId="77777777"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Dalecki, L. (2023) ‘</w:t>
      </w:r>
      <w:proofErr w:type="spellStart"/>
      <w:r w:rsidRPr="00F318E4">
        <w:rPr>
          <w:color w:val="0D0D0D" w:themeColor="text1" w:themeTint="F2"/>
          <w:szCs w:val="24"/>
          <w:lang w:val="en-US"/>
        </w:rPr>
        <w:t>Ecotton</w:t>
      </w:r>
      <w:proofErr w:type="spellEnd"/>
      <w:r w:rsidRPr="00F318E4">
        <w:rPr>
          <w:color w:val="0D0D0D" w:themeColor="text1" w:themeTint="F2"/>
          <w:szCs w:val="24"/>
          <w:lang w:val="en-US"/>
        </w:rPr>
        <w:t xml:space="preserve">: Rebranding a </w:t>
      </w:r>
      <w:proofErr w:type="spellStart"/>
      <w:r w:rsidRPr="00F318E4">
        <w:rPr>
          <w:color w:val="0D0D0D" w:themeColor="text1" w:themeTint="F2"/>
          <w:szCs w:val="24"/>
          <w:lang w:val="en-US"/>
        </w:rPr>
        <w:t>substantiable</w:t>
      </w:r>
      <w:proofErr w:type="spellEnd"/>
      <w:r w:rsidRPr="00F318E4">
        <w:rPr>
          <w:color w:val="0D0D0D" w:themeColor="text1" w:themeTint="F2"/>
          <w:szCs w:val="24"/>
          <w:lang w:val="en-US"/>
        </w:rPr>
        <w:t xml:space="preserve">, sustainable ingredient brand’, </w:t>
      </w:r>
      <w:r w:rsidRPr="00F318E4">
        <w:rPr>
          <w:i/>
          <w:iCs/>
          <w:color w:val="0D0D0D" w:themeColor="text1" w:themeTint="F2"/>
          <w:szCs w:val="24"/>
          <w:lang w:val="en-US"/>
        </w:rPr>
        <w:t>Journal of Brand Strategy</w:t>
      </w:r>
      <w:r w:rsidRPr="00F318E4">
        <w:rPr>
          <w:color w:val="0D0D0D" w:themeColor="text1" w:themeTint="F2"/>
          <w:szCs w:val="24"/>
          <w:lang w:val="en-US"/>
        </w:rPr>
        <w:t>, 12(3), pp. 243–255.</w:t>
      </w:r>
    </w:p>
    <w:p w14:paraId="61091918" w14:textId="77777777"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de Magalhães Silva, F.R., Miranda, C.M.S., Reinert, P.S., Patricio, G.A. and Rodrigues, N.C. (2025) ‘Greenwashing and the preservation of corporate identity: A study of ESG actions in luxury fashion’, </w:t>
      </w:r>
      <w:r w:rsidRPr="00F318E4">
        <w:rPr>
          <w:i/>
          <w:iCs/>
          <w:color w:val="0D0D0D" w:themeColor="text1" w:themeTint="F2"/>
          <w:szCs w:val="24"/>
          <w:lang w:val="en-US"/>
        </w:rPr>
        <w:t>Revista Brasileira de Marketing</w:t>
      </w:r>
      <w:r w:rsidRPr="00F318E4">
        <w:rPr>
          <w:color w:val="0D0D0D" w:themeColor="text1" w:themeTint="F2"/>
          <w:szCs w:val="24"/>
          <w:lang w:val="en-US"/>
        </w:rPr>
        <w:t>, 24(1), pp. 1474–1506.</w:t>
      </w:r>
    </w:p>
    <w:p w14:paraId="3514A77A" w14:textId="77777777"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Díaz-Bustamante-Ventisca, M., Carcelén-García, S., </w:t>
      </w:r>
      <w:proofErr w:type="spellStart"/>
      <w:r w:rsidRPr="00F318E4">
        <w:rPr>
          <w:color w:val="0D0D0D" w:themeColor="text1" w:themeTint="F2"/>
          <w:szCs w:val="24"/>
          <w:lang w:val="en-US"/>
        </w:rPr>
        <w:t>Díaz-Soloaga</w:t>
      </w:r>
      <w:proofErr w:type="spellEnd"/>
      <w:r w:rsidRPr="00F318E4">
        <w:rPr>
          <w:color w:val="0D0D0D" w:themeColor="text1" w:themeTint="F2"/>
          <w:szCs w:val="24"/>
          <w:lang w:val="en-US"/>
        </w:rPr>
        <w:t xml:space="preserve">, P. and </w:t>
      </w:r>
      <w:proofErr w:type="spellStart"/>
      <w:r w:rsidRPr="00F318E4">
        <w:rPr>
          <w:color w:val="0D0D0D" w:themeColor="text1" w:themeTint="F2"/>
          <w:szCs w:val="24"/>
          <w:lang w:val="en-US"/>
        </w:rPr>
        <w:t>Kolotouchkina</w:t>
      </w:r>
      <w:proofErr w:type="spellEnd"/>
      <w:r w:rsidRPr="00F318E4">
        <w:rPr>
          <w:color w:val="0D0D0D" w:themeColor="text1" w:themeTint="F2"/>
          <w:szCs w:val="24"/>
          <w:lang w:val="en-US"/>
        </w:rPr>
        <w:t xml:space="preserve">, O. (2025) ‘Greenwashing perception in Spanish fast-fashion brands’ communication: </w:t>
      </w:r>
      <w:proofErr w:type="spellStart"/>
      <w:r w:rsidRPr="00F318E4">
        <w:rPr>
          <w:color w:val="0D0D0D" w:themeColor="text1" w:themeTint="F2"/>
          <w:szCs w:val="24"/>
          <w:lang w:val="en-US"/>
        </w:rPr>
        <w:t>Modelling</w:t>
      </w:r>
      <w:proofErr w:type="spellEnd"/>
      <w:r w:rsidRPr="00F318E4">
        <w:rPr>
          <w:color w:val="0D0D0D" w:themeColor="text1" w:themeTint="F2"/>
          <w:szCs w:val="24"/>
          <w:lang w:val="en-US"/>
        </w:rPr>
        <w:t xml:space="preserve"> sustainable </w:t>
      </w:r>
      <w:proofErr w:type="spellStart"/>
      <w:r w:rsidRPr="00F318E4">
        <w:rPr>
          <w:color w:val="0D0D0D" w:themeColor="text1" w:themeTint="F2"/>
          <w:szCs w:val="24"/>
          <w:lang w:val="en-US"/>
        </w:rPr>
        <w:t>behaviours</w:t>
      </w:r>
      <w:proofErr w:type="spellEnd"/>
      <w:r w:rsidRPr="00F318E4">
        <w:rPr>
          <w:color w:val="0D0D0D" w:themeColor="text1" w:themeTint="F2"/>
          <w:szCs w:val="24"/>
          <w:lang w:val="en-US"/>
        </w:rPr>
        <w:t xml:space="preserve"> and attitudes’, </w:t>
      </w:r>
      <w:r w:rsidRPr="00F318E4">
        <w:rPr>
          <w:i/>
          <w:iCs/>
          <w:color w:val="0D0D0D" w:themeColor="text1" w:themeTint="F2"/>
          <w:szCs w:val="24"/>
          <w:lang w:val="en-US"/>
        </w:rPr>
        <w:t>International Journal of Fashion Design, Technology and Education</w:t>
      </w:r>
      <w:r w:rsidRPr="00F318E4">
        <w:rPr>
          <w:color w:val="0D0D0D" w:themeColor="text1" w:themeTint="F2"/>
          <w:szCs w:val="24"/>
          <w:lang w:val="en-US"/>
        </w:rPr>
        <w:t>, 18(2), pp. 179–189.</w:t>
      </w:r>
    </w:p>
    <w:p w14:paraId="7469D386" w14:textId="77777777"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Do, A.D., Ha, D.L., Phan, T.T.L., Tran, M.N. and Dang, D.Q. (2025) ‘Antecedents of Gen Z’s green purchase intention in Vietnam’s fashion industry with the moderating role of greenwash perception’, </w:t>
      </w:r>
      <w:r w:rsidRPr="00F318E4">
        <w:rPr>
          <w:i/>
          <w:iCs/>
          <w:color w:val="0D0D0D" w:themeColor="text1" w:themeTint="F2"/>
          <w:szCs w:val="24"/>
          <w:lang w:val="en-US"/>
        </w:rPr>
        <w:t>PLOS ONE</w:t>
      </w:r>
      <w:r w:rsidRPr="00F318E4">
        <w:rPr>
          <w:color w:val="0D0D0D" w:themeColor="text1" w:themeTint="F2"/>
          <w:szCs w:val="24"/>
          <w:lang w:val="en-US"/>
        </w:rPr>
        <w:t>, 20(5), e0324923.</w:t>
      </w:r>
    </w:p>
    <w:p w14:paraId="1AE4C494" w14:textId="77777777"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lastRenderedPageBreak/>
        <w:t xml:space="preserve">Dobos, E. and Éltető, A. (2023) ‘Regulation of the fashion supply chains and the sustainability–growth balance’, </w:t>
      </w:r>
      <w:r w:rsidRPr="00F318E4">
        <w:rPr>
          <w:i/>
          <w:iCs/>
          <w:color w:val="0D0D0D" w:themeColor="text1" w:themeTint="F2"/>
          <w:szCs w:val="24"/>
          <w:lang w:val="en-US"/>
        </w:rPr>
        <w:t>Sustainability Accounting Management and Policy Journal</w:t>
      </w:r>
      <w:r w:rsidRPr="00F318E4">
        <w:rPr>
          <w:color w:val="0D0D0D" w:themeColor="text1" w:themeTint="F2"/>
          <w:szCs w:val="24"/>
          <w:lang w:val="en-US"/>
        </w:rPr>
        <w:t>, 14(1), pp. 101–129.</w:t>
      </w:r>
    </w:p>
    <w:p w14:paraId="55560FD8" w14:textId="77777777"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Eppinger, E. (2022) ‘Recycling technologies for enabling sustainability transitions of the fashion industry: status quo and avenues for increasing post-consumer waste recycling’, </w:t>
      </w:r>
      <w:r w:rsidRPr="00F318E4">
        <w:rPr>
          <w:i/>
          <w:iCs/>
          <w:color w:val="0D0D0D" w:themeColor="text1" w:themeTint="F2"/>
          <w:szCs w:val="24"/>
          <w:lang w:val="en-US"/>
        </w:rPr>
        <w:t>Sustainability Science Practice and Policy</w:t>
      </w:r>
      <w:r w:rsidRPr="00F318E4">
        <w:rPr>
          <w:color w:val="0D0D0D" w:themeColor="text1" w:themeTint="F2"/>
          <w:szCs w:val="24"/>
          <w:lang w:val="en-US"/>
        </w:rPr>
        <w:t>, 18(1), pp. 114–128.</w:t>
      </w:r>
    </w:p>
    <w:p w14:paraId="61AAC681" w14:textId="77777777"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Evans, S. and Peirson-Smith, A. (2018) ‘The sustainability word challenge: Exploring consumer interpretations of frequently used words to promote sustainable fashion brand behaviors and imagery’, </w:t>
      </w:r>
      <w:r w:rsidRPr="00F318E4">
        <w:rPr>
          <w:i/>
          <w:iCs/>
          <w:color w:val="0D0D0D" w:themeColor="text1" w:themeTint="F2"/>
          <w:szCs w:val="24"/>
          <w:lang w:val="en-US"/>
        </w:rPr>
        <w:t>Journal of Fashion Marketing and Management</w:t>
      </w:r>
      <w:r w:rsidRPr="00F318E4">
        <w:rPr>
          <w:color w:val="0D0D0D" w:themeColor="text1" w:themeTint="F2"/>
          <w:szCs w:val="24"/>
          <w:lang w:val="en-US"/>
        </w:rPr>
        <w:t>, 22(2), pp. 252–269.</w:t>
      </w:r>
    </w:p>
    <w:p w14:paraId="6F8E386C" w14:textId="754BE894" w:rsidR="00A82EBE" w:rsidRPr="00F318E4" w:rsidRDefault="00A82EBE" w:rsidP="00050EB0">
      <w:pPr>
        <w:jc w:val="left"/>
        <w:rPr>
          <w:color w:val="0D0D0D" w:themeColor="text1" w:themeTint="F2"/>
          <w:szCs w:val="24"/>
          <w:lang w:val="en-US"/>
        </w:rPr>
      </w:pPr>
      <w:proofErr w:type="spellStart"/>
      <w:r w:rsidRPr="00F318E4">
        <w:rPr>
          <w:color w:val="0D0D0D" w:themeColor="text1" w:themeTint="F2"/>
          <w:szCs w:val="24"/>
          <w:lang w:val="en-US"/>
        </w:rPr>
        <w:t>Falagas</w:t>
      </w:r>
      <w:proofErr w:type="spellEnd"/>
      <w:r w:rsidRPr="00F318E4">
        <w:rPr>
          <w:color w:val="0D0D0D" w:themeColor="text1" w:themeTint="F2"/>
          <w:szCs w:val="24"/>
          <w:lang w:val="en-US"/>
        </w:rPr>
        <w:t xml:space="preserve">, M., Pitsouni, E., </w:t>
      </w:r>
      <w:proofErr w:type="spellStart"/>
      <w:r w:rsidRPr="00F318E4">
        <w:rPr>
          <w:color w:val="0D0D0D" w:themeColor="text1" w:themeTint="F2"/>
          <w:szCs w:val="24"/>
          <w:lang w:val="en-US"/>
        </w:rPr>
        <w:t>Malietzis</w:t>
      </w:r>
      <w:proofErr w:type="spellEnd"/>
      <w:r w:rsidRPr="00F318E4">
        <w:rPr>
          <w:color w:val="0D0D0D" w:themeColor="text1" w:themeTint="F2"/>
          <w:szCs w:val="24"/>
          <w:lang w:val="en-US"/>
        </w:rPr>
        <w:t xml:space="preserve">, G. and Pappas, G. (2008) ‘Comparison of PubMed, Scopus, Web of Science, and Google Scholar: strengths and weaknesses’, </w:t>
      </w:r>
      <w:r w:rsidRPr="00F318E4">
        <w:rPr>
          <w:i/>
          <w:iCs/>
          <w:color w:val="0D0D0D" w:themeColor="text1" w:themeTint="F2"/>
          <w:szCs w:val="24"/>
          <w:lang w:val="en-US"/>
        </w:rPr>
        <w:t>The FASEB Journal</w:t>
      </w:r>
      <w:r w:rsidRPr="00F318E4">
        <w:rPr>
          <w:color w:val="0D0D0D" w:themeColor="text1" w:themeTint="F2"/>
          <w:szCs w:val="24"/>
          <w:lang w:val="en-US"/>
        </w:rPr>
        <w:t xml:space="preserve">, 22(2), pp. 338–342. Available at: </w:t>
      </w:r>
      <w:hyperlink r:id="rId24" w:tgtFrame="_new" w:history="1">
        <w:r w:rsidRPr="00F318E4">
          <w:rPr>
            <w:rStyle w:val="Hyperlink"/>
            <w:color w:val="0D0D0D" w:themeColor="text1" w:themeTint="F2"/>
            <w:szCs w:val="24"/>
            <w:u w:val="none"/>
            <w:lang w:val="en-US"/>
          </w:rPr>
          <w:t>https://doi.org/10.1096/fj.07-9492LSF</w:t>
        </w:r>
      </w:hyperlink>
      <w:r w:rsidRPr="00F318E4">
        <w:rPr>
          <w:color w:val="0D0D0D" w:themeColor="text1" w:themeTint="F2"/>
          <w:szCs w:val="24"/>
          <w:lang w:val="en-US"/>
        </w:rPr>
        <w:t>.</w:t>
      </w:r>
      <w:r w:rsidR="00522320">
        <w:rPr>
          <w:color w:val="0D0D0D" w:themeColor="text1" w:themeTint="F2"/>
          <w:szCs w:val="24"/>
          <w:lang w:val="en-US"/>
        </w:rPr>
        <w:t xml:space="preserve"> </w:t>
      </w:r>
      <w:r w:rsidR="00B00839" w:rsidRPr="00A82EBE">
        <w:rPr>
          <w:color w:val="0D0D0D" w:themeColor="text1" w:themeTint="F2"/>
          <w:szCs w:val="24"/>
          <w:lang w:val="en-US"/>
        </w:rPr>
        <w:t>Accessed</w:t>
      </w:r>
      <w:r w:rsidR="00B00839">
        <w:rPr>
          <w:lang w:val="en-US"/>
        </w:rPr>
        <w:t xml:space="preserve"> on </w:t>
      </w:r>
      <w:r w:rsidR="00522320">
        <w:rPr>
          <w:color w:val="0D0D0D" w:themeColor="text1" w:themeTint="F2"/>
          <w:szCs w:val="24"/>
          <w:lang w:val="en-US"/>
        </w:rPr>
        <w:t>25/11/2025</w:t>
      </w:r>
    </w:p>
    <w:p w14:paraId="3E178736" w14:textId="77777777"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Fang, Z. (2024) ‘Greenwashing versus green authenticity: How green social media influences consumer perceptions and green purchase decisions’, </w:t>
      </w:r>
      <w:r w:rsidRPr="00F318E4">
        <w:rPr>
          <w:i/>
          <w:iCs/>
          <w:color w:val="0D0D0D" w:themeColor="text1" w:themeTint="F2"/>
          <w:szCs w:val="24"/>
          <w:lang w:val="en-US"/>
        </w:rPr>
        <w:t>Sustainability (Switzerland)</w:t>
      </w:r>
      <w:r w:rsidRPr="00F318E4">
        <w:rPr>
          <w:color w:val="0D0D0D" w:themeColor="text1" w:themeTint="F2"/>
          <w:szCs w:val="24"/>
          <w:lang w:val="en-US"/>
        </w:rPr>
        <w:t>, 16(23), 10723.</w:t>
      </w:r>
    </w:p>
    <w:p w14:paraId="27AB05C0" w14:textId="77777777"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Garcia-Ortega, B., Galan-Cubillo, J., Llorens-Montes, F.J. and de-Miguel-Molina, B. (2023) ‘Sufficient consumption as a missing link toward sustainability: The case of fast fashion’, </w:t>
      </w:r>
      <w:r w:rsidRPr="00F318E4">
        <w:rPr>
          <w:i/>
          <w:iCs/>
          <w:color w:val="0D0D0D" w:themeColor="text1" w:themeTint="F2"/>
          <w:szCs w:val="24"/>
          <w:lang w:val="en-US"/>
        </w:rPr>
        <w:t>Journal of Cleaner Production</w:t>
      </w:r>
      <w:r w:rsidRPr="00F318E4">
        <w:rPr>
          <w:color w:val="0D0D0D" w:themeColor="text1" w:themeTint="F2"/>
          <w:szCs w:val="24"/>
          <w:lang w:val="en-US"/>
        </w:rPr>
        <w:t>, 399, 136678.</w:t>
      </w:r>
    </w:p>
    <w:p w14:paraId="67085623" w14:textId="77777777" w:rsidR="00A82EBE" w:rsidRPr="00F318E4" w:rsidRDefault="00A82EBE" w:rsidP="00050EB0">
      <w:pPr>
        <w:jc w:val="left"/>
        <w:rPr>
          <w:color w:val="0D0D0D" w:themeColor="text1" w:themeTint="F2"/>
          <w:szCs w:val="24"/>
          <w:lang w:val="en-US"/>
        </w:rPr>
      </w:pPr>
      <w:r w:rsidRPr="00F318E4">
        <w:rPr>
          <w:color w:val="0D0D0D" w:themeColor="text1" w:themeTint="F2"/>
          <w:szCs w:val="24"/>
          <w:lang w:val="en-US"/>
        </w:rPr>
        <w:t xml:space="preserve">Garcia-Ortega, B., Galan-Cubillo, J., Morozova, D. and Llorens-Montes, F.J. (2025) ‘Decoding business strategies toward sufficient consumption in the fashion industry’, </w:t>
      </w:r>
      <w:r w:rsidRPr="00F318E4">
        <w:rPr>
          <w:i/>
          <w:iCs/>
          <w:color w:val="0D0D0D" w:themeColor="text1" w:themeTint="F2"/>
          <w:szCs w:val="24"/>
          <w:lang w:val="en-US"/>
        </w:rPr>
        <w:t>Journal of Fashion Marketing and Management</w:t>
      </w:r>
      <w:r w:rsidRPr="00F318E4">
        <w:rPr>
          <w:color w:val="0D0D0D" w:themeColor="text1" w:themeTint="F2"/>
          <w:szCs w:val="24"/>
          <w:lang w:val="en-US"/>
        </w:rPr>
        <w:t>. (Article in press).</w:t>
      </w:r>
    </w:p>
    <w:p w14:paraId="45DD702E" w14:textId="77777777" w:rsidR="00A82EBE" w:rsidRPr="00A82EBE" w:rsidRDefault="00A82EBE" w:rsidP="00050EB0">
      <w:pPr>
        <w:jc w:val="left"/>
        <w:rPr>
          <w:color w:val="0D0D0D" w:themeColor="text1" w:themeTint="F2"/>
          <w:szCs w:val="24"/>
          <w:lang w:val="en-US"/>
        </w:rPr>
      </w:pPr>
      <w:r w:rsidRPr="00F318E4">
        <w:rPr>
          <w:color w:val="0D0D0D" w:themeColor="text1" w:themeTint="F2"/>
          <w:szCs w:val="24"/>
          <w:lang w:val="en-US"/>
        </w:rPr>
        <w:t xml:space="preserve">Goswami, S. and Jaiswal, G. (2023) ‘Lying by telling the truth – the risks of deception by paltering and hypocrisy in corporate social responsibilities context’, </w:t>
      </w:r>
      <w:r w:rsidRPr="00F318E4">
        <w:rPr>
          <w:i/>
          <w:iCs/>
          <w:color w:val="0D0D0D" w:themeColor="text1" w:themeTint="F2"/>
          <w:szCs w:val="24"/>
          <w:lang w:val="en-US"/>
        </w:rPr>
        <w:t>Journal of Global Fashion Marketing</w:t>
      </w:r>
      <w:r w:rsidRPr="00F318E4">
        <w:rPr>
          <w:color w:val="0D0D0D" w:themeColor="text1" w:themeTint="F2"/>
          <w:szCs w:val="24"/>
          <w:lang w:val="en-US"/>
        </w:rPr>
        <w:t>, 14(4), pp. 489–504.</w:t>
      </w:r>
    </w:p>
    <w:p w14:paraId="5B256B07"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Gough, D., Oliver, S. and Thomas, J. (2017) </w:t>
      </w:r>
      <w:r w:rsidRPr="00A82EBE">
        <w:rPr>
          <w:i/>
          <w:iCs/>
          <w:color w:val="0D0D0D" w:themeColor="text1" w:themeTint="F2"/>
          <w:szCs w:val="24"/>
          <w:lang w:val="en-US"/>
        </w:rPr>
        <w:t>An Introduction to Systematic Reviews</w:t>
      </w:r>
      <w:r w:rsidRPr="00A82EBE">
        <w:rPr>
          <w:color w:val="0D0D0D" w:themeColor="text1" w:themeTint="F2"/>
          <w:szCs w:val="24"/>
          <w:lang w:val="en-US"/>
        </w:rPr>
        <w:t>. 2nd edition. London: Sage.</w:t>
      </w:r>
    </w:p>
    <w:p w14:paraId="4587CEF9" w14:textId="77777777" w:rsidR="00A82EBE" w:rsidRPr="00A82EBE" w:rsidRDefault="00A82EBE" w:rsidP="00050EB0">
      <w:pPr>
        <w:jc w:val="left"/>
        <w:rPr>
          <w:color w:val="0D0D0D" w:themeColor="text1" w:themeTint="F2"/>
          <w:szCs w:val="24"/>
          <w:lang w:val="en-US"/>
        </w:rPr>
      </w:pPr>
      <w:proofErr w:type="spellStart"/>
      <w:r w:rsidRPr="00A82EBE">
        <w:rPr>
          <w:color w:val="0D0D0D" w:themeColor="text1" w:themeTint="F2"/>
          <w:szCs w:val="24"/>
          <w:lang w:val="en-US"/>
        </w:rPr>
        <w:t>Habtemaryam</w:t>
      </w:r>
      <w:proofErr w:type="spellEnd"/>
      <w:r w:rsidRPr="00A82EBE">
        <w:rPr>
          <w:color w:val="0D0D0D" w:themeColor="text1" w:themeTint="F2"/>
          <w:szCs w:val="24"/>
          <w:lang w:val="en-US"/>
        </w:rPr>
        <w:t xml:space="preserve">, T.N., </w:t>
      </w:r>
      <w:proofErr w:type="spellStart"/>
      <w:r w:rsidRPr="00A82EBE">
        <w:rPr>
          <w:color w:val="0D0D0D" w:themeColor="text1" w:themeTint="F2"/>
          <w:szCs w:val="24"/>
          <w:lang w:val="en-US"/>
        </w:rPr>
        <w:t>Degoma</w:t>
      </w:r>
      <w:proofErr w:type="spellEnd"/>
      <w:r w:rsidRPr="00A82EBE">
        <w:rPr>
          <w:color w:val="0D0D0D" w:themeColor="text1" w:themeTint="F2"/>
          <w:szCs w:val="24"/>
          <w:lang w:val="en-US"/>
        </w:rPr>
        <w:t xml:space="preserve">, A. and Tsegaye, A. (2025) ‘Driving environmental sustainability through synergistic green business practices and green innovation in </w:t>
      </w:r>
      <w:r w:rsidRPr="00A82EBE">
        <w:rPr>
          <w:color w:val="0D0D0D" w:themeColor="text1" w:themeTint="F2"/>
          <w:szCs w:val="24"/>
          <w:lang w:val="en-US"/>
        </w:rPr>
        <w:lastRenderedPageBreak/>
        <w:t xml:space="preserve">developing economies’ leather, textile and garment industries’, </w:t>
      </w:r>
      <w:r w:rsidRPr="00A82EBE">
        <w:rPr>
          <w:i/>
          <w:iCs/>
          <w:color w:val="0D0D0D" w:themeColor="text1" w:themeTint="F2"/>
          <w:szCs w:val="24"/>
          <w:lang w:val="en-US"/>
        </w:rPr>
        <w:t>Management and Sustainability</w:t>
      </w:r>
      <w:r w:rsidRPr="00A82EBE">
        <w:rPr>
          <w:color w:val="0D0D0D" w:themeColor="text1" w:themeTint="F2"/>
          <w:szCs w:val="24"/>
          <w:lang w:val="en-US"/>
        </w:rPr>
        <w:t>. (Article in press).</w:t>
      </w:r>
    </w:p>
    <w:p w14:paraId="061C01B9" w14:textId="77777777" w:rsidR="00A82EBE" w:rsidRPr="00A82EBE" w:rsidRDefault="00A82EBE" w:rsidP="00050EB0">
      <w:pPr>
        <w:jc w:val="left"/>
        <w:rPr>
          <w:color w:val="0D0D0D" w:themeColor="text1" w:themeTint="F2"/>
          <w:szCs w:val="24"/>
          <w:lang w:val="en-US"/>
        </w:rPr>
      </w:pPr>
      <w:proofErr w:type="spellStart"/>
      <w:r w:rsidRPr="00A82EBE">
        <w:rPr>
          <w:color w:val="0D0D0D" w:themeColor="text1" w:themeTint="F2"/>
          <w:szCs w:val="24"/>
          <w:lang w:val="en-US"/>
        </w:rPr>
        <w:t>Hairudinor</w:t>
      </w:r>
      <w:proofErr w:type="spellEnd"/>
      <w:r w:rsidRPr="00A82EBE">
        <w:rPr>
          <w:color w:val="0D0D0D" w:themeColor="text1" w:themeTint="F2"/>
          <w:szCs w:val="24"/>
          <w:lang w:val="en-US"/>
        </w:rPr>
        <w:t xml:space="preserve"> and </w:t>
      </w:r>
      <w:proofErr w:type="spellStart"/>
      <w:r w:rsidRPr="00A82EBE">
        <w:rPr>
          <w:color w:val="0D0D0D" w:themeColor="text1" w:themeTint="F2"/>
          <w:szCs w:val="24"/>
          <w:lang w:val="en-US"/>
        </w:rPr>
        <w:t>Barkatullah</w:t>
      </w:r>
      <w:proofErr w:type="spellEnd"/>
      <w:r w:rsidRPr="00A82EBE">
        <w:rPr>
          <w:color w:val="0D0D0D" w:themeColor="text1" w:themeTint="F2"/>
          <w:szCs w:val="24"/>
          <w:lang w:val="en-US"/>
        </w:rPr>
        <w:t xml:space="preserve">, A.H. (2020) ‘Implications of </w:t>
      </w:r>
      <w:proofErr w:type="spellStart"/>
      <w:r w:rsidRPr="00A82EBE">
        <w:rPr>
          <w:color w:val="0D0D0D" w:themeColor="text1" w:themeTint="F2"/>
          <w:szCs w:val="24"/>
          <w:lang w:val="en-US"/>
        </w:rPr>
        <w:t>enviropreneurial</w:t>
      </w:r>
      <w:proofErr w:type="spellEnd"/>
      <w:r w:rsidRPr="00A82EBE">
        <w:rPr>
          <w:color w:val="0D0D0D" w:themeColor="text1" w:themeTint="F2"/>
          <w:szCs w:val="24"/>
          <w:lang w:val="en-US"/>
        </w:rPr>
        <w:t xml:space="preserve"> orientation for garments brands in Indonesia: Can suitability be achieved through green marketing, eco-labeling and greenwashing strategies?’, </w:t>
      </w:r>
      <w:r w:rsidRPr="00A82EBE">
        <w:rPr>
          <w:i/>
          <w:iCs/>
          <w:color w:val="0D0D0D" w:themeColor="text1" w:themeTint="F2"/>
          <w:szCs w:val="24"/>
          <w:lang w:val="en-US"/>
        </w:rPr>
        <w:t>Journal of Security and Sustainability Issues</w:t>
      </w:r>
      <w:r w:rsidRPr="00A82EBE">
        <w:rPr>
          <w:color w:val="0D0D0D" w:themeColor="text1" w:themeTint="F2"/>
          <w:szCs w:val="24"/>
          <w:lang w:val="en-US"/>
        </w:rPr>
        <w:t>, 10(Oct), pp. 179–193.</w:t>
      </w:r>
    </w:p>
    <w:p w14:paraId="7B7AD2D2"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Haque, M.N. and Lang, C. (2025) ‘Unraveling the green veil: Investigating the affective responses of U.S. Generation Z to fast fashion greenwashing through C-A-B theory’, </w:t>
      </w:r>
      <w:r w:rsidRPr="00A82EBE">
        <w:rPr>
          <w:i/>
          <w:iCs/>
          <w:color w:val="0D0D0D" w:themeColor="text1" w:themeTint="F2"/>
          <w:szCs w:val="24"/>
          <w:lang w:val="en-US"/>
        </w:rPr>
        <w:t>Sustainability (Switzerland)</w:t>
      </w:r>
      <w:r w:rsidRPr="00A82EBE">
        <w:rPr>
          <w:color w:val="0D0D0D" w:themeColor="text1" w:themeTint="F2"/>
          <w:szCs w:val="24"/>
          <w:lang w:val="en-US"/>
        </w:rPr>
        <w:t>, 17(11), 4973.</w:t>
      </w:r>
    </w:p>
    <w:p w14:paraId="31F6C078" w14:textId="77777777" w:rsidR="00A82EBE" w:rsidRPr="00A82EBE" w:rsidRDefault="00A82EBE" w:rsidP="00050EB0">
      <w:pPr>
        <w:jc w:val="left"/>
        <w:rPr>
          <w:color w:val="0D0D0D" w:themeColor="text1" w:themeTint="F2"/>
          <w:szCs w:val="24"/>
          <w:lang w:val="en-US"/>
        </w:rPr>
      </w:pPr>
      <w:proofErr w:type="spellStart"/>
      <w:r w:rsidRPr="00A82EBE">
        <w:rPr>
          <w:color w:val="0D0D0D" w:themeColor="text1" w:themeTint="F2"/>
          <w:szCs w:val="24"/>
          <w:lang w:val="en-US"/>
        </w:rPr>
        <w:t>Heidenstrøm</w:t>
      </w:r>
      <w:proofErr w:type="spellEnd"/>
      <w:r w:rsidRPr="00A82EBE">
        <w:rPr>
          <w:color w:val="0D0D0D" w:themeColor="text1" w:themeTint="F2"/>
          <w:szCs w:val="24"/>
          <w:lang w:val="en-US"/>
        </w:rPr>
        <w:t xml:space="preserve">, N. (2024) ‘Green marketing in the fashion industry: A critical analysis of sustainability narratives’, </w:t>
      </w:r>
      <w:r w:rsidRPr="00A82EBE">
        <w:rPr>
          <w:i/>
          <w:iCs/>
          <w:color w:val="0D0D0D" w:themeColor="text1" w:themeTint="F2"/>
          <w:szCs w:val="24"/>
          <w:lang w:val="en-US"/>
        </w:rPr>
        <w:t>Consumption Markets &amp; Culture</w:t>
      </w:r>
      <w:r w:rsidRPr="00A82EBE">
        <w:rPr>
          <w:color w:val="0D0D0D" w:themeColor="text1" w:themeTint="F2"/>
          <w:szCs w:val="24"/>
          <w:lang w:val="en-US"/>
        </w:rPr>
        <w:t>, 27(5), pp. 488–504.</w:t>
      </w:r>
    </w:p>
    <w:p w14:paraId="624290EF"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Hejlova, D., </w:t>
      </w:r>
      <w:proofErr w:type="spellStart"/>
      <w:r w:rsidRPr="00A82EBE">
        <w:rPr>
          <w:color w:val="0D0D0D" w:themeColor="text1" w:themeTint="F2"/>
          <w:szCs w:val="24"/>
          <w:lang w:val="en-US"/>
        </w:rPr>
        <w:t>Ariestya</w:t>
      </w:r>
      <w:proofErr w:type="spellEnd"/>
      <w:r w:rsidRPr="00A82EBE">
        <w:rPr>
          <w:color w:val="0D0D0D" w:themeColor="text1" w:themeTint="F2"/>
          <w:szCs w:val="24"/>
          <w:lang w:val="en-US"/>
        </w:rPr>
        <w:t xml:space="preserve">, A., </w:t>
      </w:r>
      <w:proofErr w:type="spellStart"/>
      <w:r w:rsidRPr="00A82EBE">
        <w:rPr>
          <w:color w:val="0D0D0D" w:themeColor="text1" w:themeTint="F2"/>
          <w:szCs w:val="24"/>
          <w:lang w:val="en-US"/>
        </w:rPr>
        <w:t>Koudelkova</w:t>
      </w:r>
      <w:proofErr w:type="spellEnd"/>
      <w:r w:rsidRPr="00A82EBE">
        <w:rPr>
          <w:color w:val="0D0D0D" w:themeColor="text1" w:themeTint="F2"/>
          <w:szCs w:val="24"/>
          <w:lang w:val="en-US"/>
        </w:rPr>
        <w:t xml:space="preserve">, P. and </w:t>
      </w:r>
      <w:proofErr w:type="spellStart"/>
      <w:r w:rsidRPr="00A82EBE">
        <w:rPr>
          <w:color w:val="0D0D0D" w:themeColor="text1" w:themeTint="F2"/>
          <w:szCs w:val="24"/>
          <w:lang w:val="en-US"/>
        </w:rPr>
        <w:t>Schneiderova</w:t>
      </w:r>
      <w:proofErr w:type="spellEnd"/>
      <w:r w:rsidRPr="00A82EBE">
        <w:rPr>
          <w:color w:val="0D0D0D" w:themeColor="text1" w:themeTint="F2"/>
          <w:szCs w:val="24"/>
          <w:lang w:val="en-US"/>
        </w:rPr>
        <w:t xml:space="preserve">, S. (2025) ‘Strategic silence in corporate communication concerning deadstock and overstock in the fashion industry’, </w:t>
      </w:r>
      <w:r w:rsidRPr="00A82EBE">
        <w:rPr>
          <w:i/>
          <w:iCs/>
          <w:color w:val="0D0D0D" w:themeColor="text1" w:themeTint="F2"/>
          <w:szCs w:val="24"/>
          <w:lang w:val="en-US"/>
        </w:rPr>
        <w:t>Corporate Communications</w:t>
      </w:r>
      <w:r w:rsidRPr="00A82EBE">
        <w:rPr>
          <w:color w:val="0D0D0D" w:themeColor="text1" w:themeTint="F2"/>
          <w:szCs w:val="24"/>
          <w:lang w:val="en-US"/>
        </w:rPr>
        <w:t>, 30(2), pp. 294–312.</w:t>
      </w:r>
    </w:p>
    <w:p w14:paraId="2EBF1CC2"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Henninger, C.E., Alevizou, P.J. and Oates, C.J. (2016) ‘What is sustainable fashion?’, </w:t>
      </w:r>
      <w:r w:rsidRPr="00A82EBE">
        <w:rPr>
          <w:i/>
          <w:iCs/>
          <w:color w:val="0D0D0D" w:themeColor="text1" w:themeTint="F2"/>
          <w:szCs w:val="24"/>
          <w:lang w:val="en-US"/>
        </w:rPr>
        <w:t>Journal of Fashion Marketing and Management</w:t>
      </w:r>
      <w:r w:rsidRPr="00A82EBE">
        <w:rPr>
          <w:color w:val="0D0D0D" w:themeColor="text1" w:themeTint="F2"/>
          <w:szCs w:val="24"/>
          <w:lang w:val="en-US"/>
        </w:rPr>
        <w:t>, 20(4), pp. 400–416.</w:t>
      </w:r>
    </w:p>
    <w:p w14:paraId="74BF0295" w14:textId="1C40E845"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Higgins, J.P.T. and Green, S. (2011) </w:t>
      </w:r>
      <w:r w:rsidRPr="00A82EBE">
        <w:rPr>
          <w:i/>
          <w:iCs/>
          <w:color w:val="0D0D0D" w:themeColor="text1" w:themeTint="F2"/>
          <w:szCs w:val="24"/>
          <w:lang w:val="en-US"/>
        </w:rPr>
        <w:t>Cochrane Handbook for Systematic Reviews of Interventions</w:t>
      </w:r>
      <w:r w:rsidRPr="00A82EBE">
        <w:rPr>
          <w:color w:val="0D0D0D" w:themeColor="text1" w:themeTint="F2"/>
          <w:szCs w:val="24"/>
          <w:lang w:val="en-US"/>
        </w:rPr>
        <w:t xml:space="preserve">. Version 5.1.0. London: The Cochrane Collaboration. Available at: </w:t>
      </w:r>
      <w:hyperlink r:id="rId25" w:tgtFrame="_new" w:history="1">
        <w:r w:rsidRPr="00A82EBE">
          <w:rPr>
            <w:rStyle w:val="Hyperlink"/>
            <w:color w:val="0D0D0D" w:themeColor="text1" w:themeTint="F2"/>
            <w:szCs w:val="24"/>
            <w:u w:val="none"/>
            <w:lang w:val="en-US"/>
          </w:rPr>
          <w:t>www.cochrane-handbook.org</w:t>
        </w:r>
      </w:hyperlink>
      <w:r w:rsidRPr="00A82EBE">
        <w:rPr>
          <w:color w:val="0D0D0D" w:themeColor="text1" w:themeTint="F2"/>
          <w:szCs w:val="24"/>
          <w:lang w:val="en-US"/>
        </w:rPr>
        <w:t>.</w:t>
      </w:r>
      <w:r w:rsidR="006221BA">
        <w:rPr>
          <w:color w:val="0D0D0D" w:themeColor="text1" w:themeTint="F2"/>
          <w:szCs w:val="24"/>
          <w:lang w:val="en-US"/>
        </w:rPr>
        <w:t xml:space="preserve"> </w:t>
      </w:r>
      <w:r w:rsidR="00B00839" w:rsidRPr="00A82EBE">
        <w:rPr>
          <w:color w:val="0D0D0D" w:themeColor="text1" w:themeTint="F2"/>
          <w:szCs w:val="24"/>
          <w:lang w:val="en-US"/>
        </w:rPr>
        <w:t>Accessed</w:t>
      </w:r>
      <w:r w:rsidR="00B00839">
        <w:rPr>
          <w:lang w:val="en-US"/>
        </w:rPr>
        <w:t xml:space="preserve"> on </w:t>
      </w:r>
      <w:r w:rsidR="006221BA">
        <w:rPr>
          <w:color w:val="0D0D0D" w:themeColor="text1" w:themeTint="F2"/>
          <w:szCs w:val="24"/>
          <w:lang w:val="en-US"/>
        </w:rPr>
        <w:t>28/</w:t>
      </w:r>
      <w:r w:rsidR="0067203F">
        <w:rPr>
          <w:color w:val="0D0D0D" w:themeColor="text1" w:themeTint="F2"/>
          <w:szCs w:val="24"/>
          <w:lang w:val="en-US"/>
        </w:rPr>
        <w:t>11/2025</w:t>
      </w:r>
    </w:p>
    <w:p w14:paraId="5ED3129A" w14:textId="61B915C5"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Hoffmann, S. </w:t>
      </w:r>
      <w:r w:rsidR="00A7080E" w:rsidRPr="00A7080E">
        <w:rPr>
          <w:i/>
          <w:iCs/>
          <w:color w:val="0D0D0D" w:themeColor="text1" w:themeTint="F2"/>
          <w:szCs w:val="24"/>
          <w:lang w:val="en-US"/>
        </w:rPr>
        <w:t>et al</w:t>
      </w:r>
      <w:r w:rsidRPr="00A82EBE">
        <w:rPr>
          <w:color w:val="0D0D0D" w:themeColor="text1" w:themeTint="F2"/>
          <w:szCs w:val="24"/>
          <w:lang w:val="en-US"/>
        </w:rPr>
        <w:t xml:space="preserve">. (2025) ‘Greenwashing risk and the fashion industry: a snapshot of legal developments’, White &amp; Case LLP. Available at: </w:t>
      </w:r>
      <w:hyperlink r:id="rId26" w:tgtFrame="_new" w:history="1">
        <w:r w:rsidRPr="00A82EBE">
          <w:rPr>
            <w:rStyle w:val="Hyperlink"/>
            <w:color w:val="0D0D0D" w:themeColor="text1" w:themeTint="F2"/>
            <w:szCs w:val="24"/>
            <w:u w:val="none"/>
            <w:lang w:val="en-US"/>
          </w:rPr>
          <w:t>https://www.whitecase.com/insight-our-thinking/greenwashing-risk-and-fashion-industry-snapshot-legal-developments</w:t>
        </w:r>
      </w:hyperlink>
      <w:r w:rsidR="00B00839" w:rsidRPr="00B00839">
        <w:rPr>
          <w:color w:val="0D0D0D" w:themeColor="text1" w:themeTint="F2"/>
          <w:szCs w:val="24"/>
          <w:lang w:val="en-US"/>
        </w:rPr>
        <w:t xml:space="preserve"> </w:t>
      </w:r>
      <w:r w:rsidR="00B00839" w:rsidRPr="00A82EBE">
        <w:rPr>
          <w:color w:val="0D0D0D" w:themeColor="text1" w:themeTint="F2"/>
          <w:szCs w:val="24"/>
          <w:lang w:val="en-US"/>
        </w:rPr>
        <w:t>Accessed</w:t>
      </w:r>
      <w:r w:rsidR="00B00839">
        <w:rPr>
          <w:lang w:val="en-US"/>
        </w:rPr>
        <w:t xml:space="preserve"> on</w:t>
      </w:r>
      <w:r w:rsidRPr="00A82EBE">
        <w:rPr>
          <w:color w:val="0D0D0D" w:themeColor="text1" w:themeTint="F2"/>
          <w:szCs w:val="24"/>
          <w:lang w:val="en-US"/>
        </w:rPr>
        <w:t>.</w:t>
      </w:r>
      <w:r w:rsidR="0067203F">
        <w:rPr>
          <w:color w:val="0D0D0D" w:themeColor="text1" w:themeTint="F2"/>
          <w:szCs w:val="24"/>
          <w:lang w:val="en-US"/>
        </w:rPr>
        <w:t>28/11/2025</w:t>
      </w:r>
    </w:p>
    <w:p w14:paraId="627D7D2D" w14:textId="77777777" w:rsidR="00A82EBE" w:rsidRPr="00A82EBE" w:rsidRDefault="00A82EBE" w:rsidP="00050EB0">
      <w:pPr>
        <w:jc w:val="left"/>
        <w:rPr>
          <w:color w:val="0D0D0D" w:themeColor="text1" w:themeTint="F2"/>
          <w:szCs w:val="24"/>
          <w:lang w:val="en-US"/>
        </w:rPr>
      </w:pPr>
      <w:proofErr w:type="spellStart"/>
      <w:r w:rsidRPr="00A82EBE">
        <w:rPr>
          <w:color w:val="0D0D0D" w:themeColor="text1" w:themeTint="F2"/>
          <w:szCs w:val="24"/>
          <w:lang w:val="en-US"/>
        </w:rPr>
        <w:t>Jestratijevic</w:t>
      </w:r>
      <w:proofErr w:type="spellEnd"/>
      <w:r w:rsidRPr="00A82EBE">
        <w:rPr>
          <w:color w:val="0D0D0D" w:themeColor="text1" w:themeTint="F2"/>
          <w:szCs w:val="24"/>
          <w:lang w:val="en-US"/>
        </w:rPr>
        <w:t xml:space="preserve">, I., </w:t>
      </w:r>
      <w:proofErr w:type="spellStart"/>
      <w:r w:rsidRPr="00A82EBE">
        <w:rPr>
          <w:color w:val="0D0D0D" w:themeColor="text1" w:themeTint="F2"/>
          <w:szCs w:val="24"/>
          <w:lang w:val="en-US"/>
        </w:rPr>
        <w:t>Uanhoro</w:t>
      </w:r>
      <w:proofErr w:type="spellEnd"/>
      <w:r w:rsidRPr="00A82EBE">
        <w:rPr>
          <w:color w:val="0D0D0D" w:themeColor="text1" w:themeTint="F2"/>
          <w:szCs w:val="24"/>
          <w:lang w:val="en-US"/>
        </w:rPr>
        <w:t xml:space="preserve">, J.O. and Rana, M.R.I. (2024) ‘Transparency of sustainability disclosures among luxury and mass-market fashion brands: Longitudinal approach’, </w:t>
      </w:r>
      <w:r w:rsidRPr="00A82EBE">
        <w:rPr>
          <w:i/>
          <w:iCs/>
          <w:color w:val="0D0D0D" w:themeColor="text1" w:themeTint="F2"/>
          <w:szCs w:val="24"/>
          <w:lang w:val="en-US"/>
        </w:rPr>
        <w:t>Journal of Cleaner Production</w:t>
      </w:r>
      <w:r w:rsidRPr="00A82EBE">
        <w:rPr>
          <w:color w:val="0D0D0D" w:themeColor="text1" w:themeTint="F2"/>
          <w:szCs w:val="24"/>
          <w:lang w:val="en-US"/>
        </w:rPr>
        <w:t>, 436, 140481.</w:t>
      </w:r>
    </w:p>
    <w:p w14:paraId="03382262"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Kim, Y. and Oh, K.W. (2020) ‘Which consumer associations can build a sustainable fashion brand image? Evidence from fast fashion brands’, </w:t>
      </w:r>
      <w:r w:rsidRPr="00A82EBE">
        <w:rPr>
          <w:i/>
          <w:iCs/>
          <w:color w:val="0D0D0D" w:themeColor="text1" w:themeTint="F2"/>
          <w:szCs w:val="24"/>
          <w:lang w:val="en-US"/>
        </w:rPr>
        <w:t>Sustainability (Switzerland)</w:t>
      </w:r>
      <w:r w:rsidRPr="00A82EBE">
        <w:rPr>
          <w:color w:val="0D0D0D" w:themeColor="text1" w:themeTint="F2"/>
          <w:szCs w:val="24"/>
          <w:lang w:val="en-US"/>
        </w:rPr>
        <w:t>, 12(5), 1703.</w:t>
      </w:r>
    </w:p>
    <w:p w14:paraId="1B8BC6D2"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lastRenderedPageBreak/>
        <w:t xml:space="preserve">Kitchenham, B. and Charters, S. (2007) </w:t>
      </w:r>
      <w:r w:rsidRPr="00A82EBE">
        <w:rPr>
          <w:i/>
          <w:iCs/>
          <w:color w:val="0D0D0D" w:themeColor="text1" w:themeTint="F2"/>
          <w:szCs w:val="24"/>
          <w:lang w:val="en-US"/>
        </w:rPr>
        <w:t>Guidelines for Performing Systematic Literature Reviews in Software Engineering</w:t>
      </w:r>
      <w:r w:rsidRPr="00A82EBE">
        <w:rPr>
          <w:color w:val="0D0D0D" w:themeColor="text1" w:themeTint="F2"/>
          <w:szCs w:val="24"/>
          <w:lang w:val="en-US"/>
        </w:rPr>
        <w:t>. EBSE Technical Report. Keele University and Durham University.</w:t>
      </w:r>
    </w:p>
    <w:p w14:paraId="5C572920" w14:textId="14851803"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Li, M., Cavender, R. and Lee, M.-Y. (2025) ‘Consumer awareness of fashion greenwashing: Insights from social media discussions’, </w:t>
      </w:r>
      <w:r w:rsidRPr="00A82EBE">
        <w:rPr>
          <w:i/>
          <w:iCs/>
          <w:color w:val="0D0D0D" w:themeColor="text1" w:themeTint="F2"/>
          <w:szCs w:val="24"/>
          <w:lang w:val="en-US"/>
        </w:rPr>
        <w:t>Sustainability</w:t>
      </w:r>
      <w:r w:rsidRPr="00A82EBE">
        <w:rPr>
          <w:color w:val="0D0D0D" w:themeColor="text1" w:themeTint="F2"/>
          <w:szCs w:val="24"/>
          <w:lang w:val="en-US"/>
        </w:rPr>
        <w:t xml:space="preserve">, 17(7), 2982. Available at: </w:t>
      </w:r>
      <w:hyperlink r:id="rId27" w:tgtFrame="_new" w:history="1">
        <w:r w:rsidRPr="00A82EBE">
          <w:rPr>
            <w:rStyle w:val="Hyperlink"/>
            <w:color w:val="0D0D0D" w:themeColor="text1" w:themeTint="F2"/>
            <w:szCs w:val="24"/>
            <w:u w:val="none"/>
            <w:lang w:val="en-US"/>
          </w:rPr>
          <w:t>https://doi.org/10.3390/su17072982</w:t>
        </w:r>
      </w:hyperlink>
      <w:r w:rsidRPr="00A82EBE">
        <w:rPr>
          <w:color w:val="0D0D0D" w:themeColor="text1" w:themeTint="F2"/>
          <w:szCs w:val="24"/>
          <w:lang w:val="en-US"/>
        </w:rPr>
        <w:t>.</w:t>
      </w:r>
      <w:r w:rsidR="0067203F">
        <w:rPr>
          <w:color w:val="0D0D0D" w:themeColor="text1" w:themeTint="F2"/>
          <w:szCs w:val="24"/>
          <w:lang w:val="en-US"/>
        </w:rPr>
        <w:t xml:space="preserve"> </w:t>
      </w:r>
      <w:r w:rsidR="00B00839" w:rsidRPr="00A82EBE">
        <w:rPr>
          <w:color w:val="0D0D0D" w:themeColor="text1" w:themeTint="F2"/>
          <w:szCs w:val="24"/>
          <w:lang w:val="en-US"/>
        </w:rPr>
        <w:t>Accessed</w:t>
      </w:r>
      <w:r w:rsidR="00B00839">
        <w:rPr>
          <w:lang w:val="en-US"/>
        </w:rPr>
        <w:t xml:space="preserve"> on </w:t>
      </w:r>
      <w:r w:rsidR="0067203F">
        <w:rPr>
          <w:color w:val="0D0D0D" w:themeColor="text1" w:themeTint="F2"/>
          <w:szCs w:val="24"/>
          <w:lang w:val="en-US"/>
        </w:rPr>
        <w:t>01/12/2025</w:t>
      </w:r>
    </w:p>
    <w:p w14:paraId="16D1A25E" w14:textId="77777777" w:rsidR="00A82EBE" w:rsidRPr="00A82EBE" w:rsidRDefault="00A82EBE" w:rsidP="00050EB0">
      <w:pPr>
        <w:jc w:val="left"/>
        <w:rPr>
          <w:color w:val="0D0D0D" w:themeColor="text1" w:themeTint="F2"/>
          <w:szCs w:val="24"/>
          <w:lang w:val="en-US"/>
        </w:rPr>
      </w:pPr>
      <w:proofErr w:type="spellStart"/>
      <w:r w:rsidRPr="00A82EBE">
        <w:rPr>
          <w:color w:val="0D0D0D" w:themeColor="text1" w:themeTint="F2"/>
          <w:szCs w:val="24"/>
          <w:lang w:val="en-US"/>
        </w:rPr>
        <w:t>Liedong</w:t>
      </w:r>
      <w:proofErr w:type="spellEnd"/>
      <w:r w:rsidRPr="00A82EBE">
        <w:rPr>
          <w:color w:val="0D0D0D" w:themeColor="text1" w:themeTint="F2"/>
          <w:szCs w:val="24"/>
          <w:lang w:val="en-US"/>
        </w:rPr>
        <w:t xml:space="preserve">, T.A., </w:t>
      </w:r>
      <w:proofErr w:type="spellStart"/>
      <w:r w:rsidRPr="00A82EBE">
        <w:rPr>
          <w:color w:val="0D0D0D" w:themeColor="text1" w:themeTint="F2"/>
          <w:szCs w:val="24"/>
          <w:lang w:val="en-US"/>
        </w:rPr>
        <w:t>Taticchi</w:t>
      </w:r>
      <w:proofErr w:type="spellEnd"/>
      <w:r w:rsidRPr="00A82EBE">
        <w:rPr>
          <w:color w:val="0D0D0D" w:themeColor="text1" w:themeTint="F2"/>
          <w:szCs w:val="24"/>
          <w:lang w:val="en-US"/>
        </w:rPr>
        <w:t xml:space="preserve">, P., Rajwani, T. and Pisani, N. (2022) ‘Gracious growth: How to manage the trade-off between corporate greening and corporate growth’, </w:t>
      </w:r>
      <w:r w:rsidRPr="00A82EBE">
        <w:rPr>
          <w:i/>
          <w:iCs/>
          <w:color w:val="0D0D0D" w:themeColor="text1" w:themeTint="F2"/>
          <w:szCs w:val="24"/>
          <w:lang w:val="en-US"/>
        </w:rPr>
        <w:t>Organizational Dynamics</w:t>
      </w:r>
      <w:r w:rsidRPr="00A82EBE">
        <w:rPr>
          <w:color w:val="0D0D0D" w:themeColor="text1" w:themeTint="F2"/>
          <w:szCs w:val="24"/>
          <w:lang w:val="en-US"/>
        </w:rPr>
        <w:t>, 51(3), 100895.</w:t>
      </w:r>
    </w:p>
    <w:p w14:paraId="034EBFA7"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Lovrić, I.B. and Čagalj, M. (2025) ‘Fast fashion as a reflection of risk society and the culture of unsustainability: Insights from youth in Croatia’, </w:t>
      </w:r>
      <w:proofErr w:type="spellStart"/>
      <w:r w:rsidRPr="00A82EBE">
        <w:rPr>
          <w:i/>
          <w:iCs/>
          <w:color w:val="0D0D0D" w:themeColor="text1" w:themeTint="F2"/>
          <w:szCs w:val="24"/>
          <w:lang w:val="en-US"/>
        </w:rPr>
        <w:t>Studia</w:t>
      </w:r>
      <w:proofErr w:type="spellEnd"/>
      <w:r w:rsidRPr="00A82EBE">
        <w:rPr>
          <w:i/>
          <w:iCs/>
          <w:color w:val="0D0D0D" w:themeColor="text1" w:themeTint="F2"/>
          <w:szCs w:val="24"/>
          <w:lang w:val="en-US"/>
        </w:rPr>
        <w:t xml:space="preserve"> </w:t>
      </w:r>
      <w:proofErr w:type="spellStart"/>
      <w:r w:rsidRPr="00A82EBE">
        <w:rPr>
          <w:i/>
          <w:iCs/>
          <w:color w:val="0D0D0D" w:themeColor="text1" w:themeTint="F2"/>
          <w:szCs w:val="24"/>
          <w:lang w:val="en-US"/>
        </w:rPr>
        <w:t>Ecologiae</w:t>
      </w:r>
      <w:proofErr w:type="spellEnd"/>
      <w:r w:rsidRPr="00A82EBE">
        <w:rPr>
          <w:i/>
          <w:iCs/>
          <w:color w:val="0D0D0D" w:themeColor="text1" w:themeTint="F2"/>
          <w:szCs w:val="24"/>
          <w:lang w:val="en-US"/>
        </w:rPr>
        <w:t xml:space="preserve"> et </w:t>
      </w:r>
      <w:proofErr w:type="spellStart"/>
      <w:r w:rsidRPr="00A82EBE">
        <w:rPr>
          <w:i/>
          <w:iCs/>
          <w:color w:val="0D0D0D" w:themeColor="text1" w:themeTint="F2"/>
          <w:szCs w:val="24"/>
          <w:lang w:val="en-US"/>
        </w:rPr>
        <w:t>Bioethicae</w:t>
      </w:r>
      <w:proofErr w:type="spellEnd"/>
      <w:r w:rsidRPr="00A82EBE">
        <w:rPr>
          <w:color w:val="0D0D0D" w:themeColor="text1" w:themeTint="F2"/>
          <w:szCs w:val="24"/>
          <w:lang w:val="en-US"/>
        </w:rPr>
        <w:t>, 23(3), pp. 49–61.</w:t>
      </w:r>
    </w:p>
    <w:p w14:paraId="7F1B126D"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Lu, X., Sheng, T., Zhou, X., Shen, C. and Fang, B. (2022) ‘How does young consumers’ greenwashing perception impact their green purchase intention in the fast fashion industry? An analysis from the perspective of perceived risk theory’, </w:t>
      </w:r>
      <w:r w:rsidRPr="00A82EBE">
        <w:rPr>
          <w:i/>
          <w:iCs/>
          <w:color w:val="0D0D0D" w:themeColor="text1" w:themeTint="F2"/>
          <w:szCs w:val="24"/>
          <w:lang w:val="en-US"/>
        </w:rPr>
        <w:t>Sustainability (Switzerland)</w:t>
      </w:r>
      <w:r w:rsidRPr="00A82EBE">
        <w:rPr>
          <w:color w:val="0D0D0D" w:themeColor="text1" w:themeTint="F2"/>
          <w:szCs w:val="24"/>
          <w:lang w:val="en-US"/>
        </w:rPr>
        <w:t>, 14(20), 13473.</w:t>
      </w:r>
    </w:p>
    <w:p w14:paraId="4C9ED89C"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Marko, M. and </w:t>
      </w:r>
      <w:proofErr w:type="spellStart"/>
      <w:r w:rsidRPr="00A82EBE">
        <w:rPr>
          <w:color w:val="0D0D0D" w:themeColor="text1" w:themeTint="F2"/>
          <w:szCs w:val="24"/>
          <w:lang w:val="en-US"/>
        </w:rPr>
        <w:t>Kusá</w:t>
      </w:r>
      <w:proofErr w:type="spellEnd"/>
      <w:r w:rsidRPr="00A82EBE">
        <w:rPr>
          <w:color w:val="0D0D0D" w:themeColor="text1" w:themeTint="F2"/>
          <w:szCs w:val="24"/>
          <w:lang w:val="en-US"/>
        </w:rPr>
        <w:t xml:space="preserve">, A. (2023) ‘Greenwashing and the nature of education in relation to consumer trust in fast fashion marketing communication’, </w:t>
      </w:r>
      <w:r w:rsidRPr="00A82EBE">
        <w:rPr>
          <w:i/>
          <w:iCs/>
          <w:color w:val="0D0D0D" w:themeColor="text1" w:themeTint="F2"/>
          <w:szCs w:val="24"/>
          <w:lang w:val="en-US"/>
        </w:rPr>
        <w:t>Communication Today</w:t>
      </w:r>
      <w:r w:rsidRPr="00A82EBE">
        <w:rPr>
          <w:color w:val="0D0D0D" w:themeColor="text1" w:themeTint="F2"/>
          <w:szCs w:val="24"/>
          <w:lang w:val="en-US"/>
        </w:rPr>
        <w:t>, 14(1), pp. 86–98.</w:t>
      </w:r>
    </w:p>
    <w:p w14:paraId="04E8B091"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Mofokeng, T.M. (2025) ‘Mediating and moderating effects of green practices on environmental and operational performance in South African textiles’, </w:t>
      </w:r>
      <w:r w:rsidRPr="00A82EBE">
        <w:rPr>
          <w:i/>
          <w:iCs/>
          <w:color w:val="0D0D0D" w:themeColor="text1" w:themeTint="F2"/>
          <w:szCs w:val="24"/>
          <w:lang w:val="en-US"/>
        </w:rPr>
        <w:t>Journal of Transport and Supply Chain Management</w:t>
      </w:r>
      <w:r w:rsidRPr="00A82EBE">
        <w:rPr>
          <w:color w:val="0D0D0D" w:themeColor="text1" w:themeTint="F2"/>
          <w:szCs w:val="24"/>
          <w:lang w:val="en-US"/>
        </w:rPr>
        <w:t>, 19, a1182.</w:t>
      </w:r>
    </w:p>
    <w:p w14:paraId="6DCA609F" w14:textId="48ACBCC6"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Moher, D., Liberati, A., Tetzlaff, J., Altman, D. and PRISMA Group (2009) ‘Preferred reporting items for systematic reviews and meta-analyses: the PRISMA statement’, </w:t>
      </w:r>
      <w:r w:rsidRPr="00A82EBE">
        <w:rPr>
          <w:i/>
          <w:iCs/>
          <w:color w:val="0D0D0D" w:themeColor="text1" w:themeTint="F2"/>
          <w:szCs w:val="24"/>
          <w:lang w:val="en-US"/>
        </w:rPr>
        <w:t>PLoS Medicine</w:t>
      </w:r>
      <w:r w:rsidRPr="00A82EBE">
        <w:rPr>
          <w:color w:val="0D0D0D" w:themeColor="text1" w:themeTint="F2"/>
          <w:szCs w:val="24"/>
          <w:lang w:val="en-US"/>
        </w:rPr>
        <w:t xml:space="preserve">, 6(7), e1000097. Available at: </w:t>
      </w:r>
      <w:hyperlink r:id="rId28" w:tgtFrame="_new" w:history="1">
        <w:r w:rsidRPr="00A82EBE">
          <w:rPr>
            <w:rStyle w:val="Hyperlink"/>
            <w:color w:val="0D0D0D" w:themeColor="text1" w:themeTint="F2"/>
            <w:szCs w:val="24"/>
            <w:u w:val="none"/>
            <w:lang w:val="en-US"/>
          </w:rPr>
          <w:t>https://doi.org/10.1371/journal.pmed.1000097</w:t>
        </w:r>
      </w:hyperlink>
      <w:r w:rsidRPr="00A82EBE">
        <w:rPr>
          <w:color w:val="0D0D0D" w:themeColor="text1" w:themeTint="F2"/>
          <w:szCs w:val="24"/>
          <w:lang w:val="en-US"/>
        </w:rPr>
        <w:t>.</w:t>
      </w:r>
      <w:r w:rsidR="00780AEE">
        <w:rPr>
          <w:color w:val="0D0D0D" w:themeColor="text1" w:themeTint="F2"/>
          <w:szCs w:val="24"/>
          <w:lang w:val="en-US"/>
        </w:rPr>
        <w:t xml:space="preserve"> </w:t>
      </w:r>
      <w:r w:rsidR="00B00839" w:rsidRPr="00A82EBE">
        <w:rPr>
          <w:color w:val="0D0D0D" w:themeColor="text1" w:themeTint="F2"/>
          <w:szCs w:val="24"/>
          <w:lang w:val="en-US"/>
        </w:rPr>
        <w:t>Accessed</w:t>
      </w:r>
      <w:r w:rsidR="00B00839">
        <w:rPr>
          <w:lang w:val="en-US"/>
        </w:rPr>
        <w:t xml:space="preserve"> on </w:t>
      </w:r>
      <w:r w:rsidR="00780AEE">
        <w:rPr>
          <w:color w:val="0D0D0D" w:themeColor="text1" w:themeTint="F2"/>
          <w:szCs w:val="24"/>
          <w:lang w:val="en-US"/>
        </w:rPr>
        <w:t>02/12/2025</w:t>
      </w:r>
    </w:p>
    <w:p w14:paraId="07E9AB93"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Mousavi, K., Kowsari, E., Ramakrishna, S., Chinnappan, A. and </w:t>
      </w:r>
      <w:proofErr w:type="spellStart"/>
      <w:r w:rsidRPr="00A82EBE">
        <w:rPr>
          <w:color w:val="0D0D0D" w:themeColor="text1" w:themeTint="F2"/>
          <w:szCs w:val="24"/>
          <w:lang w:val="en-US"/>
        </w:rPr>
        <w:t>Gheibi</w:t>
      </w:r>
      <w:proofErr w:type="spellEnd"/>
      <w:r w:rsidRPr="00A82EBE">
        <w:rPr>
          <w:color w:val="0D0D0D" w:themeColor="text1" w:themeTint="F2"/>
          <w:szCs w:val="24"/>
          <w:lang w:val="en-US"/>
        </w:rPr>
        <w:t xml:space="preserve">, M. (2025) ‘A comprehensive review of greenwashing in the textile industry (life cycle assessment, life cycle cost, and eco-labeling)’, </w:t>
      </w:r>
      <w:r w:rsidRPr="00A82EBE">
        <w:rPr>
          <w:i/>
          <w:iCs/>
          <w:color w:val="0D0D0D" w:themeColor="text1" w:themeTint="F2"/>
          <w:szCs w:val="24"/>
          <w:lang w:val="en-US"/>
        </w:rPr>
        <w:t>Environment, Development and Sustainability</w:t>
      </w:r>
      <w:r w:rsidRPr="00A82EBE">
        <w:rPr>
          <w:color w:val="0D0D0D" w:themeColor="text1" w:themeTint="F2"/>
          <w:szCs w:val="24"/>
          <w:lang w:val="en-US"/>
        </w:rPr>
        <w:t>, 27(9), pp. 21737–21777.</w:t>
      </w:r>
    </w:p>
    <w:p w14:paraId="2A67EAF7"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lastRenderedPageBreak/>
        <w:t xml:space="preserve">Nigatu, T., </w:t>
      </w:r>
      <w:proofErr w:type="spellStart"/>
      <w:r w:rsidRPr="00A82EBE">
        <w:rPr>
          <w:color w:val="0D0D0D" w:themeColor="text1" w:themeTint="F2"/>
          <w:szCs w:val="24"/>
          <w:lang w:val="en-US"/>
        </w:rPr>
        <w:t>Degoma</w:t>
      </w:r>
      <w:proofErr w:type="spellEnd"/>
      <w:r w:rsidRPr="00A82EBE">
        <w:rPr>
          <w:color w:val="0D0D0D" w:themeColor="text1" w:themeTint="F2"/>
          <w:szCs w:val="24"/>
          <w:lang w:val="en-US"/>
        </w:rPr>
        <w:t xml:space="preserve">, A. and Tsegaye, A. (2024) ‘Green practices and economic performance: Mediating role of green innovation in Ethiopian leather, textile, and garment industries—An integrated PLS-SEM analysis’, </w:t>
      </w:r>
      <w:proofErr w:type="spellStart"/>
      <w:r w:rsidRPr="00A82EBE">
        <w:rPr>
          <w:i/>
          <w:iCs/>
          <w:color w:val="0D0D0D" w:themeColor="text1" w:themeTint="F2"/>
          <w:szCs w:val="24"/>
          <w:lang w:val="en-US"/>
        </w:rPr>
        <w:t>Heliyon</w:t>
      </w:r>
      <w:proofErr w:type="spellEnd"/>
      <w:r w:rsidRPr="00A82EBE">
        <w:rPr>
          <w:color w:val="0D0D0D" w:themeColor="text1" w:themeTint="F2"/>
          <w:szCs w:val="24"/>
          <w:lang w:val="en-US"/>
        </w:rPr>
        <w:t>, 10(15), e35188.</w:t>
      </w:r>
    </w:p>
    <w:p w14:paraId="6FADC0EC"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Petticrew, M. and Roberts, H. (2006) </w:t>
      </w:r>
      <w:r w:rsidRPr="00A82EBE">
        <w:rPr>
          <w:i/>
          <w:iCs/>
          <w:color w:val="0D0D0D" w:themeColor="text1" w:themeTint="F2"/>
          <w:szCs w:val="24"/>
          <w:lang w:val="en-US"/>
        </w:rPr>
        <w:t>Systematic Reviews in the Social Sciences: A Practical Guide</w:t>
      </w:r>
      <w:r w:rsidRPr="00A82EBE">
        <w:rPr>
          <w:color w:val="0D0D0D" w:themeColor="text1" w:themeTint="F2"/>
          <w:szCs w:val="24"/>
          <w:lang w:val="en-US"/>
        </w:rPr>
        <w:t>. Oxford: Blackwell Publishing.</w:t>
      </w:r>
    </w:p>
    <w:p w14:paraId="77CF0A9A" w14:textId="77777777" w:rsidR="00A82EBE" w:rsidRPr="00A82EBE" w:rsidRDefault="00A82EBE" w:rsidP="00050EB0">
      <w:pPr>
        <w:jc w:val="left"/>
        <w:rPr>
          <w:color w:val="0D0D0D" w:themeColor="text1" w:themeTint="F2"/>
          <w:szCs w:val="24"/>
          <w:lang w:val="en-US"/>
        </w:rPr>
      </w:pPr>
      <w:proofErr w:type="spellStart"/>
      <w:r w:rsidRPr="00A82EBE">
        <w:rPr>
          <w:color w:val="0D0D0D" w:themeColor="text1" w:themeTint="F2"/>
          <w:szCs w:val="24"/>
          <w:lang w:val="en-US"/>
        </w:rPr>
        <w:t>Policarpo</w:t>
      </w:r>
      <w:proofErr w:type="spellEnd"/>
      <w:r w:rsidRPr="00A82EBE">
        <w:rPr>
          <w:color w:val="0D0D0D" w:themeColor="text1" w:themeTint="F2"/>
          <w:szCs w:val="24"/>
          <w:lang w:val="en-US"/>
        </w:rPr>
        <w:t xml:space="preserve">, M.C., </w:t>
      </w:r>
      <w:proofErr w:type="spellStart"/>
      <w:r w:rsidRPr="00A82EBE">
        <w:rPr>
          <w:color w:val="0D0D0D" w:themeColor="text1" w:themeTint="F2"/>
          <w:szCs w:val="24"/>
          <w:lang w:val="en-US"/>
        </w:rPr>
        <w:t>Apaolaza</w:t>
      </w:r>
      <w:proofErr w:type="spellEnd"/>
      <w:r w:rsidRPr="00A82EBE">
        <w:rPr>
          <w:color w:val="0D0D0D" w:themeColor="text1" w:themeTint="F2"/>
          <w:szCs w:val="24"/>
          <w:lang w:val="en-US"/>
        </w:rPr>
        <w:t xml:space="preserve">, V., Hartmann, P., Paredes, M.R. and D’Souza, C. (2023) ‘Social cynicism, greenwashing, and trust in green clothing brands’, </w:t>
      </w:r>
      <w:r w:rsidRPr="00A82EBE">
        <w:rPr>
          <w:i/>
          <w:iCs/>
          <w:color w:val="0D0D0D" w:themeColor="text1" w:themeTint="F2"/>
          <w:szCs w:val="24"/>
          <w:lang w:val="en-US"/>
        </w:rPr>
        <w:t>International Journal of Consumer Studies</w:t>
      </w:r>
      <w:r w:rsidRPr="00A82EBE">
        <w:rPr>
          <w:color w:val="0D0D0D" w:themeColor="text1" w:themeTint="F2"/>
          <w:szCs w:val="24"/>
          <w:lang w:val="en-US"/>
        </w:rPr>
        <w:t>, 47(5), pp. 1950–1961.</w:t>
      </w:r>
    </w:p>
    <w:p w14:paraId="5CD6B34D" w14:textId="7CA7FD38"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Popay, J., Roberts, H., Sowden, A., Petticrew, M., Arai, L., Rodgers, M., Britten, N., Roen, K. and Duffy, S. (2006) </w:t>
      </w:r>
      <w:r w:rsidRPr="00A82EBE">
        <w:rPr>
          <w:i/>
          <w:iCs/>
          <w:color w:val="0D0D0D" w:themeColor="text1" w:themeTint="F2"/>
          <w:szCs w:val="24"/>
          <w:lang w:val="en-US"/>
        </w:rPr>
        <w:t xml:space="preserve">Guidance on the Conduct of Narrative Synthesis in Systematic Reviews. A Product from the ESRC Methods </w:t>
      </w:r>
      <w:proofErr w:type="spellStart"/>
      <w:r w:rsidRPr="00A82EBE">
        <w:rPr>
          <w:i/>
          <w:iCs/>
          <w:color w:val="0D0D0D" w:themeColor="text1" w:themeTint="F2"/>
          <w:szCs w:val="24"/>
          <w:lang w:val="en-US"/>
        </w:rPr>
        <w:t>Programme</w:t>
      </w:r>
      <w:proofErr w:type="spellEnd"/>
      <w:r w:rsidRPr="00A82EBE">
        <w:rPr>
          <w:color w:val="0D0D0D" w:themeColor="text1" w:themeTint="F2"/>
          <w:szCs w:val="24"/>
          <w:lang w:val="en-US"/>
        </w:rPr>
        <w:t xml:space="preserve">. Available at: </w:t>
      </w:r>
      <w:hyperlink r:id="rId29" w:tgtFrame="_new" w:history="1">
        <w:r w:rsidRPr="00A82EBE">
          <w:rPr>
            <w:rStyle w:val="Hyperlink"/>
            <w:color w:val="0D0D0D" w:themeColor="text1" w:themeTint="F2"/>
            <w:szCs w:val="24"/>
            <w:u w:val="none"/>
            <w:lang w:val="en-US"/>
          </w:rPr>
          <w:t>https://www.lancaster.ac.uk/media/lancaster-university/content-assets/documents/fhm/dhr/chir/NSsynthesisguidanceVersion1-April2006.pdf</w:t>
        </w:r>
      </w:hyperlink>
      <w:r w:rsidRPr="00A82EBE">
        <w:rPr>
          <w:color w:val="0D0D0D" w:themeColor="text1" w:themeTint="F2"/>
          <w:szCs w:val="24"/>
          <w:lang w:val="en-US"/>
        </w:rPr>
        <w:t>.</w:t>
      </w:r>
      <w:r w:rsidR="00903C93">
        <w:rPr>
          <w:color w:val="0D0D0D" w:themeColor="text1" w:themeTint="F2"/>
          <w:szCs w:val="24"/>
          <w:lang w:val="en-US"/>
        </w:rPr>
        <w:t xml:space="preserve"> </w:t>
      </w:r>
      <w:r w:rsidR="007D45C9" w:rsidRPr="00A82EBE">
        <w:rPr>
          <w:color w:val="0D0D0D" w:themeColor="text1" w:themeTint="F2"/>
          <w:szCs w:val="24"/>
          <w:lang w:val="en-US"/>
        </w:rPr>
        <w:t>Accessed</w:t>
      </w:r>
      <w:r w:rsidR="007D45C9">
        <w:rPr>
          <w:lang w:val="en-US"/>
        </w:rPr>
        <w:t xml:space="preserve"> on </w:t>
      </w:r>
      <w:r w:rsidR="00903C93">
        <w:rPr>
          <w:color w:val="0D0D0D" w:themeColor="text1" w:themeTint="F2"/>
          <w:szCs w:val="24"/>
          <w:lang w:val="en-US"/>
        </w:rPr>
        <w:t>02/12/2025</w:t>
      </w:r>
    </w:p>
    <w:p w14:paraId="33A96678"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Pozzo, B. (2023) ‘Sustainable fashion… Italian style!’, </w:t>
      </w:r>
      <w:r w:rsidRPr="00A82EBE">
        <w:rPr>
          <w:i/>
          <w:iCs/>
          <w:color w:val="0D0D0D" w:themeColor="text1" w:themeTint="F2"/>
          <w:szCs w:val="24"/>
          <w:lang w:val="en-US"/>
        </w:rPr>
        <w:t>Italian Law Journal</w:t>
      </w:r>
      <w:r w:rsidRPr="00A82EBE">
        <w:rPr>
          <w:color w:val="0D0D0D" w:themeColor="text1" w:themeTint="F2"/>
          <w:szCs w:val="24"/>
          <w:lang w:val="en-US"/>
        </w:rPr>
        <w:t>, 9(1), pp. 263–287.</w:t>
      </w:r>
    </w:p>
    <w:p w14:paraId="04CCC6BD" w14:textId="77777777" w:rsidR="00A82EBE" w:rsidRPr="00A82EBE" w:rsidRDefault="00A82EBE" w:rsidP="00050EB0">
      <w:pPr>
        <w:jc w:val="left"/>
        <w:rPr>
          <w:color w:val="0D0D0D" w:themeColor="text1" w:themeTint="F2"/>
          <w:szCs w:val="24"/>
          <w:lang w:val="en-US"/>
        </w:rPr>
      </w:pPr>
      <w:proofErr w:type="spellStart"/>
      <w:r w:rsidRPr="00A82EBE">
        <w:rPr>
          <w:color w:val="0D0D0D" w:themeColor="text1" w:themeTint="F2"/>
          <w:szCs w:val="24"/>
          <w:lang w:val="en-US"/>
        </w:rPr>
        <w:t>Promalessy</w:t>
      </w:r>
      <w:proofErr w:type="spellEnd"/>
      <w:r w:rsidRPr="00A82EBE">
        <w:rPr>
          <w:color w:val="0D0D0D" w:themeColor="text1" w:themeTint="F2"/>
          <w:szCs w:val="24"/>
          <w:lang w:val="en-US"/>
        </w:rPr>
        <w:t xml:space="preserve">, R. and </w:t>
      </w:r>
      <w:proofErr w:type="spellStart"/>
      <w:r w:rsidRPr="00A82EBE">
        <w:rPr>
          <w:color w:val="0D0D0D" w:themeColor="text1" w:themeTint="F2"/>
          <w:szCs w:val="24"/>
          <w:lang w:val="en-US"/>
        </w:rPr>
        <w:t>Handriana</w:t>
      </w:r>
      <w:proofErr w:type="spellEnd"/>
      <w:r w:rsidRPr="00A82EBE">
        <w:rPr>
          <w:color w:val="0D0D0D" w:themeColor="text1" w:themeTint="F2"/>
          <w:szCs w:val="24"/>
          <w:lang w:val="en-US"/>
        </w:rPr>
        <w:t xml:space="preserve">, T. (2024) ‘How does greenwashing affect green word of mouth through green skepticism? Empirical research for fast fashion business’, </w:t>
      </w:r>
      <w:r w:rsidRPr="00A82EBE">
        <w:rPr>
          <w:i/>
          <w:iCs/>
          <w:color w:val="0D0D0D" w:themeColor="text1" w:themeTint="F2"/>
          <w:szCs w:val="24"/>
          <w:lang w:val="en-US"/>
        </w:rPr>
        <w:t>Cogent Business &amp; Management</w:t>
      </w:r>
      <w:r w:rsidRPr="00A82EBE">
        <w:rPr>
          <w:color w:val="0D0D0D" w:themeColor="text1" w:themeTint="F2"/>
          <w:szCs w:val="24"/>
          <w:lang w:val="en-US"/>
        </w:rPr>
        <w:t>, 11(1), 2389467.</w:t>
      </w:r>
    </w:p>
    <w:p w14:paraId="3EF0FC87"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Rausch, T.M. and Kopplin, C.S. (2021) ‘Bridge the gap: Consumers’ purchase intention and behavior regarding sustainable clothing’, </w:t>
      </w:r>
      <w:r w:rsidRPr="00A82EBE">
        <w:rPr>
          <w:i/>
          <w:iCs/>
          <w:color w:val="0D0D0D" w:themeColor="text1" w:themeTint="F2"/>
          <w:szCs w:val="24"/>
          <w:lang w:val="en-US"/>
        </w:rPr>
        <w:t>Journal of Cleaner Production</w:t>
      </w:r>
      <w:r w:rsidRPr="00A82EBE">
        <w:rPr>
          <w:color w:val="0D0D0D" w:themeColor="text1" w:themeTint="F2"/>
          <w:szCs w:val="24"/>
          <w:lang w:val="en-US"/>
        </w:rPr>
        <w:t>, 278, 123882.</w:t>
      </w:r>
    </w:p>
    <w:p w14:paraId="3E14A5E7"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Reck, R., </w:t>
      </w:r>
      <w:proofErr w:type="spellStart"/>
      <w:r w:rsidRPr="00A82EBE">
        <w:rPr>
          <w:color w:val="0D0D0D" w:themeColor="text1" w:themeTint="F2"/>
          <w:szCs w:val="24"/>
          <w:lang w:val="en-US"/>
        </w:rPr>
        <w:t>Castagna</w:t>
      </w:r>
      <w:proofErr w:type="spellEnd"/>
      <w:r w:rsidRPr="00A82EBE">
        <w:rPr>
          <w:color w:val="0D0D0D" w:themeColor="text1" w:themeTint="F2"/>
          <w:szCs w:val="24"/>
          <w:lang w:val="en-US"/>
        </w:rPr>
        <w:t xml:space="preserve">, A.C., </w:t>
      </w:r>
      <w:proofErr w:type="spellStart"/>
      <w:r w:rsidRPr="00A82EBE">
        <w:rPr>
          <w:color w:val="0D0D0D" w:themeColor="text1" w:themeTint="F2"/>
          <w:szCs w:val="24"/>
          <w:lang w:val="en-US"/>
        </w:rPr>
        <w:t>Shuqair</w:t>
      </w:r>
      <w:proofErr w:type="spellEnd"/>
      <w:r w:rsidRPr="00A82EBE">
        <w:rPr>
          <w:color w:val="0D0D0D" w:themeColor="text1" w:themeTint="F2"/>
          <w:szCs w:val="24"/>
          <w:lang w:val="en-US"/>
        </w:rPr>
        <w:t xml:space="preserve">, S. and Costa Pinto, D. (2022) ‘The transparency paradox: When transparency cues helps or backfires for brands?’, </w:t>
      </w:r>
      <w:r w:rsidRPr="00A82EBE">
        <w:rPr>
          <w:i/>
          <w:iCs/>
          <w:color w:val="0D0D0D" w:themeColor="text1" w:themeTint="F2"/>
          <w:szCs w:val="24"/>
          <w:lang w:val="en-US"/>
        </w:rPr>
        <w:t>Journal of Cleaner Production</w:t>
      </w:r>
      <w:r w:rsidRPr="00A82EBE">
        <w:rPr>
          <w:color w:val="0D0D0D" w:themeColor="text1" w:themeTint="F2"/>
          <w:szCs w:val="24"/>
          <w:lang w:val="en-US"/>
        </w:rPr>
        <w:t>, 372, 133381.</w:t>
      </w:r>
    </w:p>
    <w:p w14:paraId="392D671C"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Redman, A. (2025) ‘“There is no fashion on a dead planet:” How a mandatory reporting directive shared by the US and the EU and centered on transparency could be the first step to increased sustainability in the fashion industry’, </w:t>
      </w:r>
      <w:r w:rsidRPr="00A82EBE">
        <w:rPr>
          <w:i/>
          <w:iCs/>
          <w:color w:val="0D0D0D" w:themeColor="text1" w:themeTint="F2"/>
          <w:szCs w:val="24"/>
          <w:lang w:val="en-US"/>
        </w:rPr>
        <w:t>Northwestern Journal of International Law and Business</w:t>
      </w:r>
      <w:r w:rsidRPr="00A82EBE">
        <w:rPr>
          <w:color w:val="0D0D0D" w:themeColor="text1" w:themeTint="F2"/>
          <w:szCs w:val="24"/>
          <w:lang w:val="en-US"/>
        </w:rPr>
        <w:t>, 45(2), pp. 263–286.</w:t>
      </w:r>
    </w:p>
    <w:p w14:paraId="1DD96EFF"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lastRenderedPageBreak/>
        <w:t xml:space="preserve">Reza, N. and Du Plessis, J.J. (2022) ‘The garment industry in Bangladesh, corporate social responsibility of multinational corporations, and the impact of COVID-19’, </w:t>
      </w:r>
      <w:r w:rsidRPr="00A82EBE">
        <w:rPr>
          <w:i/>
          <w:iCs/>
          <w:color w:val="0D0D0D" w:themeColor="text1" w:themeTint="F2"/>
          <w:szCs w:val="24"/>
          <w:lang w:val="en-US"/>
        </w:rPr>
        <w:t>Asian Journal of Law and Society</w:t>
      </w:r>
      <w:r w:rsidRPr="00A82EBE">
        <w:rPr>
          <w:color w:val="0D0D0D" w:themeColor="text1" w:themeTint="F2"/>
          <w:szCs w:val="24"/>
          <w:lang w:val="en-US"/>
        </w:rPr>
        <w:t>, 9(2), pp. 255–285.</w:t>
      </w:r>
    </w:p>
    <w:p w14:paraId="3983ED9A"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Roozen, I., </w:t>
      </w:r>
      <w:proofErr w:type="spellStart"/>
      <w:r w:rsidRPr="00A82EBE">
        <w:rPr>
          <w:color w:val="0D0D0D" w:themeColor="text1" w:themeTint="F2"/>
          <w:szCs w:val="24"/>
          <w:lang w:val="en-US"/>
        </w:rPr>
        <w:t>Raedts</w:t>
      </w:r>
      <w:proofErr w:type="spellEnd"/>
      <w:r w:rsidRPr="00A82EBE">
        <w:rPr>
          <w:color w:val="0D0D0D" w:themeColor="text1" w:themeTint="F2"/>
          <w:szCs w:val="24"/>
          <w:lang w:val="en-US"/>
        </w:rPr>
        <w:t xml:space="preserve">, M. and </w:t>
      </w:r>
      <w:proofErr w:type="spellStart"/>
      <w:r w:rsidRPr="00A82EBE">
        <w:rPr>
          <w:color w:val="0D0D0D" w:themeColor="text1" w:themeTint="F2"/>
          <w:szCs w:val="24"/>
          <w:lang w:val="en-US"/>
        </w:rPr>
        <w:t>Henderix</w:t>
      </w:r>
      <w:proofErr w:type="spellEnd"/>
      <w:r w:rsidRPr="00A82EBE">
        <w:rPr>
          <w:color w:val="0D0D0D" w:themeColor="text1" w:themeTint="F2"/>
          <w:szCs w:val="24"/>
          <w:lang w:val="en-US"/>
        </w:rPr>
        <w:t xml:space="preserve">, M. (2025) ‘Exploring the role of green brand extensions and greenwashing in the fashion industry’, </w:t>
      </w:r>
      <w:r w:rsidRPr="00A82EBE">
        <w:rPr>
          <w:i/>
          <w:iCs/>
          <w:color w:val="0D0D0D" w:themeColor="text1" w:themeTint="F2"/>
          <w:szCs w:val="24"/>
          <w:lang w:val="en-US"/>
        </w:rPr>
        <w:t>Journal of Global Fashion Marketing</w:t>
      </w:r>
      <w:r w:rsidRPr="00A82EBE">
        <w:rPr>
          <w:color w:val="0D0D0D" w:themeColor="text1" w:themeTint="F2"/>
          <w:szCs w:val="24"/>
          <w:lang w:val="en-US"/>
        </w:rPr>
        <w:t>, 16(1), pp. 32–46.</w:t>
      </w:r>
    </w:p>
    <w:p w14:paraId="153EF2EE"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Sailer, A., Wilfing, H. and Straus, E. (2022) ‘Greenwashing and </w:t>
      </w:r>
      <w:proofErr w:type="spellStart"/>
      <w:r w:rsidRPr="00A82EBE">
        <w:rPr>
          <w:color w:val="0D0D0D" w:themeColor="text1" w:themeTint="F2"/>
          <w:szCs w:val="24"/>
          <w:lang w:val="en-US"/>
        </w:rPr>
        <w:t>bluewashing</w:t>
      </w:r>
      <w:proofErr w:type="spellEnd"/>
      <w:r w:rsidRPr="00A82EBE">
        <w:rPr>
          <w:color w:val="0D0D0D" w:themeColor="text1" w:themeTint="F2"/>
          <w:szCs w:val="24"/>
          <w:lang w:val="en-US"/>
        </w:rPr>
        <w:t xml:space="preserve"> in Black Friday-related sustainable fashion marketing on Instagram’, </w:t>
      </w:r>
      <w:r w:rsidRPr="00A82EBE">
        <w:rPr>
          <w:i/>
          <w:iCs/>
          <w:color w:val="0D0D0D" w:themeColor="text1" w:themeTint="F2"/>
          <w:szCs w:val="24"/>
          <w:lang w:val="en-US"/>
        </w:rPr>
        <w:t>Sustainability (Switzerland)</w:t>
      </w:r>
      <w:r w:rsidRPr="00A82EBE">
        <w:rPr>
          <w:color w:val="0D0D0D" w:themeColor="text1" w:themeTint="F2"/>
          <w:szCs w:val="24"/>
          <w:lang w:val="en-US"/>
        </w:rPr>
        <w:t>, 14(3), 1494.</w:t>
      </w:r>
    </w:p>
    <w:p w14:paraId="2AFA60F7" w14:textId="66D6380B" w:rsidR="00A82EBE" w:rsidRPr="00A82EBE" w:rsidRDefault="00A82EBE" w:rsidP="00050EB0">
      <w:pPr>
        <w:jc w:val="left"/>
        <w:rPr>
          <w:color w:val="0D0D0D" w:themeColor="text1" w:themeTint="F2"/>
          <w:szCs w:val="24"/>
          <w:lang w:val="en-US"/>
        </w:rPr>
      </w:pPr>
      <w:proofErr w:type="spellStart"/>
      <w:r w:rsidRPr="00A82EBE">
        <w:rPr>
          <w:color w:val="0D0D0D" w:themeColor="text1" w:themeTint="F2"/>
          <w:szCs w:val="24"/>
          <w:lang w:val="en-US"/>
        </w:rPr>
        <w:t>Savilia</w:t>
      </w:r>
      <w:proofErr w:type="spellEnd"/>
      <w:r w:rsidRPr="00A82EBE">
        <w:rPr>
          <w:color w:val="0D0D0D" w:themeColor="text1" w:themeTint="F2"/>
          <w:szCs w:val="24"/>
          <w:lang w:val="en-US"/>
        </w:rPr>
        <w:t xml:space="preserve">, K. (2024) ‘The importance of sustainability in fashion’, </w:t>
      </w:r>
      <w:r w:rsidRPr="00A82EBE">
        <w:rPr>
          <w:i/>
          <w:iCs/>
          <w:color w:val="0D0D0D" w:themeColor="text1" w:themeTint="F2"/>
          <w:szCs w:val="24"/>
          <w:lang w:val="en-US"/>
        </w:rPr>
        <w:t>Forbes</w:t>
      </w:r>
      <w:r w:rsidRPr="00A82EBE">
        <w:rPr>
          <w:color w:val="0D0D0D" w:themeColor="text1" w:themeTint="F2"/>
          <w:szCs w:val="24"/>
          <w:lang w:val="en-US"/>
        </w:rPr>
        <w:t xml:space="preserve">, 26 April. Available at: </w:t>
      </w:r>
      <w:hyperlink r:id="rId30" w:tgtFrame="_new" w:history="1">
        <w:r w:rsidRPr="00A82EBE">
          <w:rPr>
            <w:rStyle w:val="Hyperlink"/>
            <w:color w:val="0D0D0D" w:themeColor="text1" w:themeTint="F2"/>
            <w:szCs w:val="24"/>
            <w:u w:val="none"/>
            <w:lang w:val="en-US"/>
          </w:rPr>
          <w:t>https://www.forbes.com/councils/forbestechcouncil/2024/04/26/the-importance-of-sustainability-in-fashion/</w:t>
        </w:r>
      </w:hyperlink>
      <w:r w:rsidRPr="00A82EBE">
        <w:rPr>
          <w:color w:val="0D0D0D" w:themeColor="text1" w:themeTint="F2"/>
          <w:szCs w:val="24"/>
          <w:lang w:val="en-US"/>
        </w:rPr>
        <w:t>.</w:t>
      </w:r>
      <w:r w:rsidR="007D45C9" w:rsidRPr="007D45C9">
        <w:rPr>
          <w:color w:val="0D0D0D" w:themeColor="text1" w:themeTint="F2"/>
          <w:szCs w:val="24"/>
          <w:lang w:val="en-US"/>
        </w:rPr>
        <w:t xml:space="preserve"> </w:t>
      </w:r>
      <w:r w:rsidR="007D45C9" w:rsidRPr="00A82EBE">
        <w:rPr>
          <w:color w:val="0D0D0D" w:themeColor="text1" w:themeTint="F2"/>
          <w:szCs w:val="24"/>
          <w:lang w:val="en-US"/>
        </w:rPr>
        <w:t>Accessed</w:t>
      </w:r>
      <w:r w:rsidR="007D45C9">
        <w:rPr>
          <w:lang w:val="en-US"/>
        </w:rPr>
        <w:t xml:space="preserve"> on</w:t>
      </w:r>
      <w:r w:rsidR="00903C93">
        <w:rPr>
          <w:color w:val="0D0D0D" w:themeColor="text1" w:themeTint="F2"/>
          <w:szCs w:val="24"/>
          <w:lang w:val="en-US"/>
        </w:rPr>
        <w:t xml:space="preserve"> 05/12/2025</w:t>
      </w:r>
    </w:p>
    <w:p w14:paraId="6266A8AA" w14:textId="77777777" w:rsidR="00A82EBE" w:rsidRPr="00A82EBE" w:rsidRDefault="00A82EBE" w:rsidP="00050EB0">
      <w:pPr>
        <w:jc w:val="left"/>
        <w:rPr>
          <w:color w:val="0D0D0D" w:themeColor="text1" w:themeTint="F2"/>
          <w:szCs w:val="24"/>
          <w:lang w:val="en-US"/>
        </w:rPr>
      </w:pPr>
      <w:proofErr w:type="spellStart"/>
      <w:r w:rsidRPr="00A82EBE">
        <w:rPr>
          <w:color w:val="0D0D0D" w:themeColor="text1" w:themeTint="F2"/>
          <w:szCs w:val="24"/>
          <w:lang w:val="en-US"/>
        </w:rPr>
        <w:t>Schwoy</w:t>
      </w:r>
      <w:proofErr w:type="spellEnd"/>
      <w:r w:rsidRPr="00A82EBE">
        <w:rPr>
          <w:color w:val="0D0D0D" w:themeColor="text1" w:themeTint="F2"/>
          <w:szCs w:val="24"/>
          <w:lang w:val="en-US"/>
        </w:rPr>
        <w:t xml:space="preserve">, S.M., </w:t>
      </w:r>
      <w:proofErr w:type="spellStart"/>
      <w:r w:rsidRPr="00A82EBE">
        <w:rPr>
          <w:color w:val="0D0D0D" w:themeColor="text1" w:themeTint="F2"/>
          <w:szCs w:val="24"/>
          <w:lang w:val="en-US"/>
        </w:rPr>
        <w:t>Dutzi</w:t>
      </w:r>
      <w:proofErr w:type="spellEnd"/>
      <w:r w:rsidRPr="00A82EBE">
        <w:rPr>
          <w:color w:val="0D0D0D" w:themeColor="text1" w:themeTint="F2"/>
          <w:szCs w:val="24"/>
          <w:lang w:val="en-US"/>
        </w:rPr>
        <w:t xml:space="preserve">, A. and Messing, J. (2025) ‘Silence is golden? – Analysing the transparency of ESG controversies in corporate reporting within the pharmaceutical and textile industry’, </w:t>
      </w:r>
      <w:r w:rsidRPr="00A82EBE">
        <w:rPr>
          <w:i/>
          <w:iCs/>
          <w:color w:val="0D0D0D" w:themeColor="text1" w:themeTint="F2"/>
          <w:szCs w:val="24"/>
          <w:lang w:val="en-US"/>
        </w:rPr>
        <w:t>Management Decision</w:t>
      </w:r>
      <w:r w:rsidRPr="00A82EBE">
        <w:rPr>
          <w:color w:val="0D0D0D" w:themeColor="text1" w:themeTint="F2"/>
          <w:szCs w:val="24"/>
          <w:lang w:val="en-US"/>
        </w:rPr>
        <w:t>, 63(2), pp. 665–707.</w:t>
      </w:r>
    </w:p>
    <w:p w14:paraId="17615FCC" w14:textId="60251A42"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Statista (2024) </w:t>
      </w:r>
      <w:r w:rsidRPr="00A82EBE">
        <w:rPr>
          <w:i/>
          <w:iCs/>
          <w:color w:val="0D0D0D" w:themeColor="text1" w:themeTint="F2"/>
          <w:szCs w:val="24"/>
          <w:lang w:val="en-US"/>
        </w:rPr>
        <w:t>Sustainable fashion worldwide</w:t>
      </w:r>
      <w:r w:rsidRPr="00A82EBE">
        <w:rPr>
          <w:color w:val="0D0D0D" w:themeColor="text1" w:themeTint="F2"/>
          <w:szCs w:val="24"/>
          <w:lang w:val="en-US"/>
        </w:rPr>
        <w:t xml:space="preserve">. Available at: </w:t>
      </w:r>
      <w:hyperlink r:id="rId31" w:anchor="topicOverview" w:tgtFrame="_new" w:history="1">
        <w:r w:rsidRPr="00A82EBE">
          <w:rPr>
            <w:rStyle w:val="Hyperlink"/>
            <w:color w:val="0D0D0D" w:themeColor="text1" w:themeTint="F2"/>
            <w:szCs w:val="24"/>
            <w:u w:val="none"/>
            <w:lang w:val="en-US"/>
          </w:rPr>
          <w:t>https://www.statista.com/topics/9543/sustainable-fashion-worldwide/?srsltid=AfmBOopou9mEl5JsSxO0mFVTnUJ5aDZxXor4vKqRNc6MX2u07o03cRKg#topicOverview</w:t>
        </w:r>
      </w:hyperlink>
      <w:r w:rsidR="00CB30C0">
        <w:t>.</w:t>
      </w:r>
      <w:r w:rsidRPr="00A82EBE">
        <w:rPr>
          <w:color w:val="0D0D0D" w:themeColor="text1" w:themeTint="F2"/>
          <w:szCs w:val="24"/>
          <w:lang w:val="en-US"/>
        </w:rPr>
        <w:t xml:space="preserve"> Accessed</w:t>
      </w:r>
      <w:r w:rsidR="00CB30C0">
        <w:rPr>
          <w:color w:val="0D0D0D" w:themeColor="text1" w:themeTint="F2"/>
          <w:szCs w:val="24"/>
          <w:lang w:val="en-US"/>
        </w:rPr>
        <w:t xml:space="preserve"> on </w:t>
      </w:r>
      <w:r w:rsidR="00B7487E">
        <w:rPr>
          <w:color w:val="0D0D0D" w:themeColor="text1" w:themeTint="F2"/>
          <w:szCs w:val="24"/>
          <w:lang w:val="en-US"/>
        </w:rPr>
        <w:t>05/12/</w:t>
      </w:r>
      <w:r w:rsidRPr="00A82EBE">
        <w:rPr>
          <w:color w:val="0D0D0D" w:themeColor="text1" w:themeTint="F2"/>
          <w:szCs w:val="24"/>
          <w:lang w:val="en-US"/>
        </w:rPr>
        <w:t>2025</w:t>
      </w:r>
    </w:p>
    <w:p w14:paraId="0DA4C704"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Tolentino-Zondervan, F. and DiVito, L. (2024) ‘Sustainability performance of Dutch firms and the role of digitalization: The case of textile and apparel industry’, </w:t>
      </w:r>
      <w:r w:rsidRPr="00A82EBE">
        <w:rPr>
          <w:i/>
          <w:iCs/>
          <w:color w:val="0D0D0D" w:themeColor="text1" w:themeTint="F2"/>
          <w:szCs w:val="24"/>
          <w:lang w:val="en-US"/>
        </w:rPr>
        <w:t>Journal of Cleaner Production</w:t>
      </w:r>
      <w:r w:rsidRPr="00A82EBE">
        <w:rPr>
          <w:color w:val="0D0D0D" w:themeColor="text1" w:themeTint="F2"/>
          <w:szCs w:val="24"/>
          <w:lang w:val="en-US"/>
        </w:rPr>
        <w:t>, 459, 142573.</w:t>
      </w:r>
    </w:p>
    <w:p w14:paraId="057396E2" w14:textId="39AAA3B5" w:rsidR="00A82EBE" w:rsidRPr="00A82EBE" w:rsidRDefault="00A82EBE" w:rsidP="00050EB0">
      <w:pPr>
        <w:jc w:val="left"/>
        <w:rPr>
          <w:color w:val="0D0D0D" w:themeColor="text1" w:themeTint="F2"/>
          <w:szCs w:val="24"/>
          <w:lang w:val="en-US"/>
        </w:rPr>
      </w:pPr>
      <w:r w:rsidRPr="00A82EBE">
        <w:rPr>
          <w:color w:val="0D0D0D" w:themeColor="text1" w:themeTint="F2"/>
          <w:szCs w:val="24"/>
          <w:lang w:val="nl-NL"/>
        </w:rPr>
        <w:t xml:space="preserve">Vassalo, A.L. </w:t>
      </w:r>
      <w:r w:rsidR="00A7080E" w:rsidRPr="00A7080E">
        <w:rPr>
          <w:i/>
          <w:iCs/>
          <w:color w:val="0D0D0D" w:themeColor="text1" w:themeTint="F2"/>
          <w:szCs w:val="24"/>
          <w:lang w:val="nl-NL"/>
        </w:rPr>
        <w:t>et al</w:t>
      </w:r>
      <w:r w:rsidRPr="00A82EBE">
        <w:rPr>
          <w:color w:val="0D0D0D" w:themeColor="text1" w:themeTint="F2"/>
          <w:szCs w:val="24"/>
          <w:lang w:val="nl-NL"/>
        </w:rPr>
        <w:t xml:space="preserve">. </w:t>
      </w:r>
      <w:r w:rsidRPr="00A82EBE">
        <w:rPr>
          <w:color w:val="0D0D0D" w:themeColor="text1" w:themeTint="F2"/>
          <w:szCs w:val="24"/>
          <w:lang w:val="en-US"/>
        </w:rPr>
        <w:t xml:space="preserve">(2024) ‘Sustainability in the fashion industry in relation to consumption in a digital age’, </w:t>
      </w:r>
      <w:r w:rsidRPr="00A82EBE">
        <w:rPr>
          <w:i/>
          <w:iCs/>
          <w:color w:val="0D0D0D" w:themeColor="text1" w:themeTint="F2"/>
          <w:szCs w:val="24"/>
          <w:lang w:val="en-US"/>
        </w:rPr>
        <w:t>Sustainability</w:t>
      </w:r>
      <w:r w:rsidRPr="00A82EBE">
        <w:rPr>
          <w:color w:val="0D0D0D" w:themeColor="text1" w:themeTint="F2"/>
          <w:szCs w:val="24"/>
          <w:lang w:val="en-US"/>
        </w:rPr>
        <w:t xml:space="preserve">, 16(13), 5303. Available at: </w:t>
      </w:r>
      <w:hyperlink r:id="rId32" w:tgtFrame="_new" w:history="1">
        <w:r w:rsidRPr="00A82EBE">
          <w:rPr>
            <w:rStyle w:val="Hyperlink"/>
            <w:color w:val="0D0D0D" w:themeColor="text1" w:themeTint="F2"/>
            <w:szCs w:val="24"/>
            <w:u w:val="none"/>
            <w:lang w:val="en-US"/>
          </w:rPr>
          <w:t>https://doi.org/10.3390/su16135303</w:t>
        </w:r>
      </w:hyperlink>
      <w:r w:rsidRPr="00A82EBE">
        <w:rPr>
          <w:color w:val="0D0D0D" w:themeColor="text1" w:themeTint="F2"/>
          <w:szCs w:val="24"/>
          <w:lang w:val="en-US"/>
        </w:rPr>
        <w:t>.</w:t>
      </w:r>
      <w:r w:rsidR="00ED51D2">
        <w:rPr>
          <w:color w:val="0D0D0D" w:themeColor="text1" w:themeTint="F2"/>
          <w:szCs w:val="24"/>
          <w:lang w:val="en-US"/>
        </w:rPr>
        <w:t xml:space="preserve"> </w:t>
      </w:r>
      <w:r w:rsidR="00ED51D2" w:rsidRPr="00A82EBE">
        <w:rPr>
          <w:color w:val="0D0D0D" w:themeColor="text1" w:themeTint="F2"/>
          <w:szCs w:val="24"/>
          <w:lang w:val="en-US"/>
        </w:rPr>
        <w:t>Accessed</w:t>
      </w:r>
      <w:r w:rsidR="00B7487E">
        <w:rPr>
          <w:color w:val="0D0D0D" w:themeColor="text1" w:themeTint="F2"/>
          <w:szCs w:val="24"/>
          <w:lang w:val="en-US"/>
        </w:rPr>
        <w:t xml:space="preserve"> on</w:t>
      </w:r>
      <w:r w:rsidR="00E41B81">
        <w:rPr>
          <w:color w:val="0D0D0D" w:themeColor="text1" w:themeTint="F2"/>
          <w:szCs w:val="24"/>
          <w:lang w:val="en-US"/>
        </w:rPr>
        <w:t xml:space="preserve"> 07/12/2025</w:t>
      </w:r>
    </w:p>
    <w:p w14:paraId="3E7018F2" w14:textId="77777777" w:rsidR="00A82EBE" w:rsidRPr="00A82EBE" w:rsidRDefault="00A82EBE" w:rsidP="00050EB0">
      <w:pPr>
        <w:jc w:val="left"/>
        <w:rPr>
          <w:color w:val="0D0D0D" w:themeColor="text1" w:themeTint="F2"/>
          <w:szCs w:val="24"/>
          <w:lang w:val="en-US"/>
        </w:rPr>
      </w:pPr>
      <w:proofErr w:type="spellStart"/>
      <w:r w:rsidRPr="00A82EBE">
        <w:rPr>
          <w:color w:val="0D0D0D" w:themeColor="text1" w:themeTint="F2"/>
          <w:szCs w:val="24"/>
          <w:lang w:val="en-US"/>
        </w:rPr>
        <w:t>Vehbi</w:t>
      </w:r>
      <w:proofErr w:type="spellEnd"/>
      <w:r w:rsidRPr="00A82EBE">
        <w:rPr>
          <w:color w:val="0D0D0D" w:themeColor="text1" w:themeTint="F2"/>
          <w:szCs w:val="24"/>
          <w:lang w:val="en-US"/>
        </w:rPr>
        <w:t xml:space="preserve">, A., </w:t>
      </w:r>
      <w:proofErr w:type="spellStart"/>
      <w:r w:rsidRPr="00A82EBE">
        <w:rPr>
          <w:color w:val="0D0D0D" w:themeColor="text1" w:themeTint="F2"/>
          <w:szCs w:val="24"/>
          <w:lang w:val="en-US"/>
        </w:rPr>
        <w:t>Farmanesh</w:t>
      </w:r>
      <w:proofErr w:type="spellEnd"/>
      <w:r w:rsidRPr="00A82EBE">
        <w:rPr>
          <w:color w:val="0D0D0D" w:themeColor="text1" w:themeTint="F2"/>
          <w:szCs w:val="24"/>
          <w:lang w:val="en-US"/>
        </w:rPr>
        <w:t xml:space="preserve">, P. and </w:t>
      </w:r>
      <w:proofErr w:type="spellStart"/>
      <w:r w:rsidRPr="00A82EBE">
        <w:rPr>
          <w:color w:val="0D0D0D" w:themeColor="text1" w:themeTint="F2"/>
          <w:szCs w:val="24"/>
          <w:lang w:val="en-US"/>
        </w:rPr>
        <w:t>Solati</w:t>
      </w:r>
      <w:proofErr w:type="spellEnd"/>
      <w:r w:rsidRPr="00A82EBE">
        <w:rPr>
          <w:color w:val="0D0D0D" w:themeColor="text1" w:themeTint="F2"/>
          <w:szCs w:val="24"/>
          <w:lang w:val="en-US"/>
        </w:rPr>
        <w:t xml:space="preserve"> </w:t>
      </w:r>
      <w:proofErr w:type="spellStart"/>
      <w:r w:rsidRPr="00A82EBE">
        <w:rPr>
          <w:color w:val="0D0D0D" w:themeColor="text1" w:themeTint="F2"/>
          <w:szCs w:val="24"/>
          <w:lang w:val="en-US"/>
        </w:rPr>
        <w:t>Dehkordi</w:t>
      </w:r>
      <w:proofErr w:type="spellEnd"/>
      <w:r w:rsidRPr="00A82EBE">
        <w:rPr>
          <w:color w:val="0D0D0D" w:themeColor="text1" w:themeTint="F2"/>
          <w:szCs w:val="24"/>
          <w:lang w:val="en-US"/>
        </w:rPr>
        <w:t xml:space="preserve">, N. (2025) ‘Nexus amid green marketing, green business strategy, and competitive business among the fashion industry: Does environmental turbulence matter?’, </w:t>
      </w:r>
      <w:r w:rsidRPr="00A82EBE">
        <w:rPr>
          <w:i/>
          <w:iCs/>
          <w:color w:val="0D0D0D" w:themeColor="text1" w:themeTint="F2"/>
          <w:szCs w:val="24"/>
          <w:lang w:val="en-US"/>
        </w:rPr>
        <w:t>Sustainability (Switzerland)</w:t>
      </w:r>
      <w:r w:rsidRPr="00A82EBE">
        <w:rPr>
          <w:color w:val="0D0D0D" w:themeColor="text1" w:themeTint="F2"/>
          <w:szCs w:val="24"/>
          <w:lang w:val="en-US"/>
        </w:rPr>
        <w:t>, 17(5), 1769.</w:t>
      </w:r>
    </w:p>
    <w:p w14:paraId="6D79C245" w14:textId="77777777" w:rsidR="00A82EBE" w:rsidRPr="00A82EBE" w:rsidRDefault="00A82EBE" w:rsidP="00050EB0">
      <w:pPr>
        <w:jc w:val="left"/>
        <w:rPr>
          <w:color w:val="0D0D0D" w:themeColor="text1" w:themeTint="F2"/>
          <w:szCs w:val="24"/>
          <w:lang w:val="en-US"/>
        </w:rPr>
      </w:pPr>
      <w:proofErr w:type="spellStart"/>
      <w:r w:rsidRPr="00A82EBE">
        <w:rPr>
          <w:color w:val="0D0D0D" w:themeColor="text1" w:themeTint="F2"/>
          <w:szCs w:val="24"/>
          <w:lang w:val="en-US"/>
        </w:rPr>
        <w:lastRenderedPageBreak/>
        <w:t>Velasco-Molpeceres</w:t>
      </w:r>
      <w:proofErr w:type="spellEnd"/>
      <w:r w:rsidRPr="00A82EBE">
        <w:rPr>
          <w:color w:val="0D0D0D" w:themeColor="text1" w:themeTint="F2"/>
          <w:szCs w:val="24"/>
          <w:lang w:val="en-US"/>
        </w:rPr>
        <w:t xml:space="preserve">, A., Zarauza-Castro, J., Pérez-Curiel, C. and Mateos-González, S. (2023) ‘Slow fashion as a communication strategy of fashion brands on Instagram’, </w:t>
      </w:r>
      <w:r w:rsidRPr="00A82EBE">
        <w:rPr>
          <w:i/>
          <w:iCs/>
          <w:color w:val="0D0D0D" w:themeColor="text1" w:themeTint="F2"/>
          <w:szCs w:val="24"/>
          <w:lang w:val="en-US"/>
        </w:rPr>
        <w:t>Sustainability (Switzerland)</w:t>
      </w:r>
      <w:r w:rsidRPr="00A82EBE">
        <w:rPr>
          <w:color w:val="0D0D0D" w:themeColor="text1" w:themeTint="F2"/>
          <w:szCs w:val="24"/>
          <w:lang w:val="en-US"/>
        </w:rPr>
        <w:t>, 15(1), 423.</w:t>
      </w:r>
    </w:p>
    <w:p w14:paraId="731EC068" w14:textId="1F204E4D" w:rsidR="00A82EBE" w:rsidRPr="00A82EBE" w:rsidRDefault="00A82EBE" w:rsidP="00050EB0">
      <w:pPr>
        <w:jc w:val="left"/>
        <w:rPr>
          <w:color w:val="0D0D0D" w:themeColor="text1" w:themeTint="F2"/>
          <w:szCs w:val="24"/>
          <w:lang w:val="en-US"/>
        </w:rPr>
      </w:pPr>
      <w:proofErr w:type="spellStart"/>
      <w:r w:rsidRPr="00A82EBE">
        <w:rPr>
          <w:color w:val="0D0D0D" w:themeColor="text1" w:themeTint="F2"/>
          <w:szCs w:val="24"/>
          <w:lang w:val="en-US"/>
        </w:rPr>
        <w:t>Venciute</w:t>
      </w:r>
      <w:proofErr w:type="spellEnd"/>
      <w:r w:rsidRPr="00A82EBE">
        <w:rPr>
          <w:color w:val="0D0D0D" w:themeColor="text1" w:themeTint="F2"/>
          <w:szCs w:val="24"/>
          <w:lang w:val="en-US"/>
        </w:rPr>
        <w:t xml:space="preserve">, D., </w:t>
      </w:r>
      <w:proofErr w:type="spellStart"/>
      <w:r w:rsidRPr="00A82EBE">
        <w:rPr>
          <w:color w:val="0D0D0D" w:themeColor="text1" w:themeTint="F2"/>
          <w:szCs w:val="24"/>
          <w:lang w:val="en-US"/>
        </w:rPr>
        <w:t>Lukosiute</w:t>
      </w:r>
      <w:proofErr w:type="spellEnd"/>
      <w:r w:rsidRPr="00A82EBE">
        <w:rPr>
          <w:color w:val="0D0D0D" w:themeColor="text1" w:themeTint="F2"/>
          <w:szCs w:val="24"/>
          <w:lang w:val="en-US"/>
        </w:rPr>
        <w:t xml:space="preserve">, N., Correia, R., Meneses, R. and </w:t>
      </w:r>
      <w:proofErr w:type="spellStart"/>
      <w:r w:rsidRPr="00A82EBE">
        <w:rPr>
          <w:color w:val="0D0D0D" w:themeColor="text1" w:themeTint="F2"/>
          <w:szCs w:val="24"/>
          <w:lang w:val="en-US"/>
        </w:rPr>
        <w:t>Kuslys</w:t>
      </w:r>
      <w:proofErr w:type="spellEnd"/>
      <w:r w:rsidRPr="00A82EBE">
        <w:rPr>
          <w:color w:val="0D0D0D" w:themeColor="text1" w:themeTint="F2"/>
          <w:szCs w:val="24"/>
          <w:lang w:val="en-US"/>
        </w:rPr>
        <w:t xml:space="preserve">, M. (2025) ‘Leveraging sustainability cues in fashion advertising: Comparative insights from Lithuania’s slow and fast fashion markets’, </w:t>
      </w:r>
      <w:r w:rsidRPr="00A82EBE">
        <w:rPr>
          <w:i/>
          <w:iCs/>
          <w:color w:val="0D0D0D" w:themeColor="text1" w:themeTint="F2"/>
          <w:szCs w:val="24"/>
          <w:lang w:val="en-US"/>
        </w:rPr>
        <w:t>European Business Review</w:t>
      </w:r>
      <w:r w:rsidRPr="00A82EBE">
        <w:rPr>
          <w:color w:val="0D0D0D" w:themeColor="text1" w:themeTint="F2"/>
          <w:szCs w:val="24"/>
          <w:lang w:val="en-US"/>
        </w:rPr>
        <w:t>.</w:t>
      </w:r>
    </w:p>
    <w:p w14:paraId="7DC852FC"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Wang, Y. and Jung, S. (2025) ‘The aftermath of greenwashing in the fashion industry: Chinese consumer responses to different types of greenwashing’, </w:t>
      </w:r>
      <w:r w:rsidRPr="00A82EBE">
        <w:rPr>
          <w:i/>
          <w:iCs/>
          <w:color w:val="0D0D0D" w:themeColor="text1" w:themeTint="F2"/>
          <w:szCs w:val="24"/>
          <w:lang w:val="en-US"/>
        </w:rPr>
        <w:t>Asia Pacific Journal of Marketing and Logistics</w:t>
      </w:r>
      <w:r w:rsidRPr="00A82EBE">
        <w:rPr>
          <w:color w:val="0D0D0D" w:themeColor="text1" w:themeTint="F2"/>
          <w:szCs w:val="24"/>
          <w:lang w:val="en-US"/>
        </w:rPr>
        <w:t>. (Article in press).</w:t>
      </w:r>
    </w:p>
    <w:p w14:paraId="09247B78" w14:textId="77777777" w:rsidR="00A82EBE"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Wu, W., Fu, Y., Wang, Z., Li, B. and Huang, G.Q. (2022) ‘Consortium blockchain-enabled smart ESG reporting platform with token-based incentives for corporate crowdsensing’, </w:t>
      </w:r>
      <w:r w:rsidRPr="00A82EBE">
        <w:rPr>
          <w:i/>
          <w:iCs/>
          <w:color w:val="0D0D0D" w:themeColor="text1" w:themeTint="F2"/>
          <w:szCs w:val="24"/>
          <w:lang w:val="en-US"/>
        </w:rPr>
        <w:t>Computers &amp; Industrial Engineering</w:t>
      </w:r>
      <w:r w:rsidRPr="00A82EBE">
        <w:rPr>
          <w:color w:val="0D0D0D" w:themeColor="text1" w:themeTint="F2"/>
          <w:szCs w:val="24"/>
          <w:lang w:val="en-US"/>
        </w:rPr>
        <w:t>, 172, 108456.</w:t>
      </w:r>
    </w:p>
    <w:p w14:paraId="43F80CBD" w14:textId="1E0D7D1D" w:rsidR="003B099C" w:rsidRPr="00A82EBE" w:rsidRDefault="00A82EBE" w:rsidP="00050EB0">
      <w:pPr>
        <w:jc w:val="left"/>
        <w:rPr>
          <w:color w:val="0D0D0D" w:themeColor="text1" w:themeTint="F2"/>
          <w:szCs w:val="24"/>
          <w:lang w:val="en-US"/>
        </w:rPr>
      </w:pPr>
      <w:r w:rsidRPr="00A82EBE">
        <w:rPr>
          <w:color w:val="0D0D0D" w:themeColor="text1" w:themeTint="F2"/>
          <w:szCs w:val="24"/>
          <w:lang w:val="en-US"/>
        </w:rPr>
        <w:t xml:space="preserve">Yang, Y., Chen, M. and Meng, H. (2024) ‘The drivers of sharing willingness regarding sustainable fashion brand image based on commitment theory’, </w:t>
      </w:r>
      <w:r w:rsidRPr="00A82EBE">
        <w:rPr>
          <w:i/>
          <w:iCs/>
          <w:color w:val="0D0D0D" w:themeColor="text1" w:themeTint="F2"/>
          <w:szCs w:val="24"/>
          <w:lang w:val="en-US"/>
        </w:rPr>
        <w:t>Asia Pacific Journal of Marketing and Logistics</w:t>
      </w:r>
      <w:r w:rsidRPr="00A82EBE">
        <w:rPr>
          <w:color w:val="0D0D0D" w:themeColor="text1" w:themeTint="F2"/>
          <w:szCs w:val="24"/>
          <w:lang w:val="en-US"/>
        </w:rPr>
        <w:t>, 36(11), pp. 2831–2848.</w:t>
      </w:r>
    </w:p>
    <w:p w14:paraId="4F4E16C4" w14:textId="08B165E2" w:rsidR="00A430EC" w:rsidRPr="00050EB0" w:rsidRDefault="00A430EC">
      <w:pPr>
        <w:spacing w:before="0" w:after="160" w:line="259" w:lineRule="auto"/>
        <w:jc w:val="left"/>
      </w:pPr>
    </w:p>
    <w:sectPr w:rsidR="00A430EC" w:rsidRPr="00050EB0" w:rsidSect="001F7590">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63B81" w14:textId="77777777" w:rsidR="002C1B76" w:rsidRDefault="002C1B76" w:rsidP="00177CC9">
      <w:pPr>
        <w:spacing w:after="0" w:line="240" w:lineRule="auto"/>
      </w:pPr>
      <w:r>
        <w:separator/>
      </w:r>
    </w:p>
  </w:endnote>
  <w:endnote w:type="continuationSeparator" w:id="0">
    <w:p w14:paraId="1773111B" w14:textId="77777777" w:rsidR="002C1B76" w:rsidRDefault="002C1B76" w:rsidP="00177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Noto Sans Symbols">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7608753"/>
      <w:docPartObj>
        <w:docPartGallery w:val="Page Numbers (Bottom of Page)"/>
        <w:docPartUnique/>
      </w:docPartObj>
    </w:sdtPr>
    <w:sdtEndPr>
      <w:rPr>
        <w:noProof/>
      </w:rPr>
    </w:sdtEndPr>
    <w:sdtContent>
      <w:p w14:paraId="4C98A0DB" w14:textId="3D76251F" w:rsidR="008C5097" w:rsidRDefault="008C50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B21E42" w14:textId="77777777" w:rsidR="008C5097" w:rsidRDefault="008C5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4256B" w14:textId="77777777" w:rsidR="002C1B76" w:rsidRDefault="002C1B76" w:rsidP="00177CC9">
      <w:pPr>
        <w:spacing w:after="0" w:line="240" w:lineRule="auto"/>
      </w:pPr>
      <w:r>
        <w:separator/>
      </w:r>
    </w:p>
  </w:footnote>
  <w:footnote w:type="continuationSeparator" w:id="0">
    <w:p w14:paraId="292BCAB0" w14:textId="77777777" w:rsidR="002C1B76" w:rsidRDefault="002C1B76" w:rsidP="00177C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F3D86"/>
    <w:multiLevelType w:val="hybridMultilevel"/>
    <w:tmpl w:val="A35C7D1E"/>
    <w:lvl w:ilvl="0" w:tplc="0409001B">
      <w:start w:val="1"/>
      <w:numFmt w:val="lowerRoman"/>
      <w:lvlText w:val="%1."/>
      <w:lvlJc w:val="righ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 w15:restartNumberingAfterBreak="0">
    <w:nsid w:val="067C694F"/>
    <w:multiLevelType w:val="multilevel"/>
    <w:tmpl w:val="818A20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BC10FF"/>
    <w:multiLevelType w:val="hybridMultilevel"/>
    <w:tmpl w:val="2B468D3E"/>
    <w:lvl w:ilvl="0" w:tplc="0409001B">
      <w:start w:val="1"/>
      <w:numFmt w:val="lowerRoman"/>
      <w:lvlText w:val="%1."/>
      <w:lvlJc w:val="right"/>
      <w:pPr>
        <w:ind w:left="1152" w:hanging="360"/>
      </w:pPr>
    </w:lvl>
    <w:lvl w:ilvl="1" w:tplc="FFFFFFFF">
      <w:start w:val="1"/>
      <w:numFmt w:val="bullet"/>
      <w:lvlText w:val="o"/>
      <w:lvlJc w:val="left"/>
      <w:pPr>
        <w:ind w:left="1872" w:hanging="360"/>
      </w:pPr>
      <w:rPr>
        <w:rFonts w:ascii="Courier New" w:hAnsi="Courier New" w:cs="Courier New" w:hint="default"/>
      </w:rPr>
    </w:lvl>
    <w:lvl w:ilvl="2" w:tplc="FFFFFFFF">
      <w:start w:val="1"/>
      <w:numFmt w:val="bullet"/>
      <w:lvlText w:val=""/>
      <w:lvlJc w:val="left"/>
      <w:pPr>
        <w:ind w:left="2592" w:hanging="360"/>
      </w:pPr>
      <w:rPr>
        <w:rFonts w:ascii="Wingdings" w:hAnsi="Wingdings" w:hint="default"/>
      </w:rPr>
    </w:lvl>
    <w:lvl w:ilvl="3" w:tplc="FFFFFFFF">
      <w:start w:val="1"/>
      <w:numFmt w:val="bullet"/>
      <w:lvlText w:val=""/>
      <w:lvlJc w:val="left"/>
      <w:pPr>
        <w:ind w:left="3312" w:hanging="360"/>
      </w:pPr>
      <w:rPr>
        <w:rFonts w:ascii="Symbol" w:hAnsi="Symbol" w:hint="default"/>
      </w:rPr>
    </w:lvl>
    <w:lvl w:ilvl="4" w:tplc="FFFFFFFF">
      <w:start w:val="1"/>
      <w:numFmt w:val="bullet"/>
      <w:lvlText w:val="o"/>
      <w:lvlJc w:val="left"/>
      <w:pPr>
        <w:ind w:left="4032" w:hanging="360"/>
      </w:pPr>
      <w:rPr>
        <w:rFonts w:ascii="Courier New" w:hAnsi="Courier New" w:cs="Courier New" w:hint="default"/>
      </w:rPr>
    </w:lvl>
    <w:lvl w:ilvl="5" w:tplc="FFFFFFFF">
      <w:start w:val="1"/>
      <w:numFmt w:val="bullet"/>
      <w:lvlText w:val=""/>
      <w:lvlJc w:val="left"/>
      <w:pPr>
        <w:ind w:left="4752" w:hanging="360"/>
      </w:pPr>
      <w:rPr>
        <w:rFonts w:ascii="Wingdings" w:hAnsi="Wingdings" w:hint="default"/>
      </w:rPr>
    </w:lvl>
    <w:lvl w:ilvl="6" w:tplc="FFFFFFFF">
      <w:start w:val="1"/>
      <w:numFmt w:val="bullet"/>
      <w:lvlText w:val=""/>
      <w:lvlJc w:val="left"/>
      <w:pPr>
        <w:ind w:left="5472" w:hanging="360"/>
      </w:pPr>
      <w:rPr>
        <w:rFonts w:ascii="Symbol" w:hAnsi="Symbol" w:hint="default"/>
      </w:rPr>
    </w:lvl>
    <w:lvl w:ilvl="7" w:tplc="FFFFFFFF">
      <w:start w:val="1"/>
      <w:numFmt w:val="bullet"/>
      <w:lvlText w:val="o"/>
      <w:lvlJc w:val="left"/>
      <w:pPr>
        <w:ind w:left="6192" w:hanging="360"/>
      </w:pPr>
      <w:rPr>
        <w:rFonts w:ascii="Courier New" w:hAnsi="Courier New" w:cs="Courier New" w:hint="default"/>
      </w:rPr>
    </w:lvl>
    <w:lvl w:ilvl="8" w:tplc="FFFFFFFF">
      <w:start w:val="1"/>
      <w:numFmt w:val="bullet"/>
      <w:lvlText w:val=""/>
      <w:lvlJc w:val="left"/>
      <w:pPr>
        <w:ind w:left="6912" w:hanging="360"/>
      </w:pPr>
      <w:rPr>
        <w:rFonts w:ascii="Wingdings" w:hAnsi="Wingdings" w:hint="default"/>
      </w:rPr>
    </w:lvl>
  </w:abstractNum>
  <w:abstractNum w:abstractNumId="3" w15:restartNumberingAfterBreak="0">
    <w:nsid w:val="078E00C0"/>
    <w:multiLevelType w:val="hybridMultilevel"/>
    <w:tmpl w:val="ED404D92"/>
    <w:lvl w:ilvl="0" w:tplc="A7A03B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F24F95"/>
    <w:multiLevelType w:val="multilevel"/>
    <w:tmpl w:val="3F5ABD1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482775B"/>
    <w:multiLevelType w:val="multilevel"/>
    <w:tmpl w:val="83480092"/>
    <w:lvl w:ilvl="0">
      <w:start w:val="1"/>
      <w:numFmt w:val="decimal"/>
      <w:pStyle w:val="Heading1"/>
      <w:lvlText w:val="%1"/>
      <w:lvlJc w:val="left"/>
      <w:pPr>
        <w:ind w:left="432" w:hanging="432"/>
      </w:pPr>
      <w:rPr>
        <w:color w:val="FFFFFF" w:themeColor="background1"/>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D3954D7"/>
    <w:multiLevelType w:val="hybridMultilevel"/>
    <w:tmpl w:val="ED3A4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9963FC"/>
    <w:multiLevelType w:val="multilevel"/>
    <w:tmpl w:val="3F5ABD1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117159"/>
    <w:multiLevelType w:val="hybridMultilevel"/>
    <w:tmpl w:val="61440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DA0ABA"/>
    <w:multiLevelType w:val="hybridMultilevel"/>
    <w:tmpl w:val="64768484"/>
    <w:lvl w:ilvl="0" w:tplc="A7A28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24038"/>
    <w:multiLevelType w:val="hybridMultilevel"/>
    <w:tmpl w:val="31B65D0A"/>
    <w:lvl w:ilvl="0" w:tplc="D55A9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6E3747"/>
    <w:multiLevelType w:val="hybridMultilevel"/>
    <w:tmpl w:val="9AC63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6179C0"/>
    <w:multiLevelType w:val="hybridMultilevel"/>
    <w:tmpl w:val="03589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A875F4"/>
    <w:multiLevelType w:val="hybridMultilevel"/>
    <w:tmpl w:val="A162D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1A3DDA"/>
    <w:multiLevelType w:val="hybridMultilevel"/>
    <w:tmpl w:val="35D6B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0C1FAA"/>
    <w:multiLevelType w:val="hybridMultilevel"/>
    <w:tmpl w:val="B0F077C8"/>
    <w:lvl w:ilvl="0" w:tplc="0409000F">
      <w:start w:val="1"/>
      <w:numFmt w:val="decimal"/>
      <w:lvlText w:val="%1."/>
      <w:lvlJc w:val="left"/>
      <w:pPr>
        <w:ind w:left="1152" w:hanging="360"/>
      </w:pPr>
    </w:lvl>
    <w:lvl w:ilvl="1" w:tplc="FFFFFFFF">
      <w:start w:val="1"/>
      <w:numFmt w:val="bullet"/>
      <w:lvlText w:val="o"/>
      <w:lvlJc w:val="left"/>
      <w:pPr>
        <w:ind w:left="1872" w:hanging="360"/>
      </w:pPr>
      <w:rPr>
        <w:rFonts w:ascii="Courier New" w:hAnsi="Courier New" w:cs="Courier New" w:hint="default"/>
      </w:rPr>
    </w:lvl>
    <w:lvl w:ilvl="2" w:tplc="FFFFFFFF">
      <w:start w:val="1"/>
      <w:numFmt w:val="bullet"/>
      <w:lvlText w:val=""/>
      <w:lvlJc w:val="left"/>
      <w:pPr>
        <w:ind w:left="2592" w:hanging="360"/>
      </w:pPr>
      <w:rPr>
        <w:rFonts w:ascii="Wingdings" w:hAnsi="Wingdings" w:hint="default"/>
      </w:rPr>
    </w:lvl>
    <w:lvl w:ilvl="3" w:tplc="FFFFFFFF">
      <w:start w:val="1"/>
      <w:numFmt w:val="bullet"/>
      <w:lvlText w:val=""/>
      <w:lvlJc w:val="left"/>
      <w:pPr>
        <w:ind w:left="3312" w:hanging="360"/>
      </w:pPr>
      <w:rPr>
        <w:rFonts w:ascii="Symbol" w:hAnsi="Symbol" w:hint="default"/>
      </w:rPr>
    </w:lvl>
    <w:lvl w:ilvl="4" w:tplc="FFFFFFFF">
      <w:start w:val="1"/>
      <w:numFmt w:val="bullet"/>
      <w:lvlText w:val="o"/>
      <w:lvlJc w:val="left"/>
      <w:pPr>
        <w:ind w:left="4032" w:hanging="360"/>
      </w:pPr>
      <w:rPr>
        <w:rFonts w:ascii="Courier New" w:hAnsi="Courier New" w:cs="Courier New" w:hint="default"/>
      </w:rPr>
    </w:lvl>
    <w:lvl w:ilvl="5" w:tplc="FFFFFFFF">
      <w:start w:val="1"/>
      <w:numFmt w:val="bullet"/>
      <w:lvlText w:val=""/>
      <w:lvlJc w:val="left"/>
      <w:pPr>
        <w:ind w:left="4752" w:hanging="360"/>
      </w:pPr>
      <w:rPr>
        <w:rFonts w:ascii="Wingdings" w:hAnsi="Wingdings" w:hint="default"/>
      </w:rPr>
    </w:lvl>
    <w:lvl w:ilvl="6" w:tplc="FFFFFFFF">
      <w:start w:val="1"/>
      <w:numFmt w:val="bullet"/>
      <w:lvlText w:val=""/>
      <w:lvlJc w:val="left"/>
      <w:pPr>
        <w:ind w:left="5472" w:hanging="360"/>
      </w:pPr>
      <w:rPr>
        <w:rFonts w:ascii="Symbol" w:hAnsi="Symbol" w:hint="default"/>
      </w:rPr>
    </w:lvl>
    <w:lvl w:ilvl="7" w:tplc="FFFFFFFF">
      <w:start w:val="1"/>
      <w:numFmt w:val="bullet"/>
      <w:lvlText w:val="o"/>
      <w:lvlJc w:val="left"/>
      <w:pPr>
        <w:ind w:left="6192" w:hanging="360"/>
      </w:pPr>
      <w:rPr>
        <w:rFonts w:ascii="Courier New" w:hAnsi="Courier New" w:cs="Courier New" w:hint="default"/>
      </w:rPr>
    </w:lvl>
    <w:lvl w:ilvl="8" w:tplc="FFFFFFFF">
      <w:start w:val="1"/>
      <w:numFmt w:val="bullet"/>
      <w:lvlText w:val=""/>
      <w:lvlJc w:val="left"/>
      <w:pPr>
        <w:ind w:left="6912" w:hanging="360"/>
      </w:pPr>
      <w:rPr>
        <w:rFonts w:ascii="Wingdings" w:hAnsi="Wingdings" w:hint="default"/>
      </w:rPr>
    </w:lvl>
  </w:abstractNum>
  <w:abstractNum w:abstractNumId="16" w15:restartNumberingAfterBreak="0">
    <w:nsid w:val="5FD377BB"/>
    <w:multiLevelType w:val="multilevel"/>
    <w:tmpl w:val="F60818AE"/>
    <w:lvl w:ilvl="0">
      <w:start w:val="1"/>
      <w:numFmt w:val="decimal"/>
      <w:lvlText w:val="%1."/>
      <w:lvlJc w:val="left"/>
      <w:pPr>
        <w:ind w:left="768" w:hanging="408"/>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C7E5C44"/>
    <w:multiLevelType w:val="multilevel"/>
    <w:tmpl w:val="ABDC8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B534BA"/>
    <w:multiLevelType w:val="hybridMultilevel"/>
    <w:tmpl w:val="0CF6AAC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563174743">
    <w:abstractNumId w:val="3"/>
  </w:num>
  <w:num w:numId="2" w16cid:durableId="1814640174">
    <w:abstractNumId w:val="10"/>
  </w:num>
  <w:num w:numId="3" w16cid:durableId="1484155584">
    <w:abstractNumId w:val="9"/>
  </w:num>
  <w:num w:numId="4" w16cid:durableId="1237128198">
    <w:abstractNumId w:val="14"/>
  </w:num>
  <w:num w:numId="5" w16cid:durableId="1871068900">
    <w:abstractNumId w:val="5"/>
  </w:num>
  <w:num w:numId="6" w16cid:durableId="1959723349">
    <w:abstractNumId w:val="5"/>
  </w:num>
  <w:num w:numId="7" w16cid:durableId="1457990053">
    <w:abstractNumId w:val="5"/>
  </w:num>
  <w:num w:numId="8" w16cid:durableId="1520967555">
    <w:abstractNumId w:val="5"/>
  </w:num>
  <w:num w:numId="9" w16cid:durableId="174811159">
    <w:abstractNumId w:val="5"/>
  </w:num>
  <w:num w:numId="10" w16cid:durableId="2030988137">
    <w:abstractNumId w:val="5"/>
  </w:num>
  <w:num w:numId="11" w16cid:durableId="2082284854">
    <w:abstractNumId w:val="5"/>
  </w:num>
  <w:num w:numId="12" w16cid:durableId="971785175">
    <w:abstractNumId w:val="5"/>
  </w:num>
  <w:num w:numId="13" w16cid:durableId="1270505543">
    <w:abstractNumId w:val="5"/>
  </w:num>
  <w:num w:numId="14" w16cid:durableId="1748116825">
    <w:abstractNumId w:val="5"/>
  </w:num>
  <w:num w:numId="15" w16cid:durableId="1339892382">
    <w:abstractNumId w:val="15"/>
    <w:lvlOverride w:ilvl="0">
      <w:startOverride w:val="1"/>
    </w:lvlOverride>
    <w:lvlOverride w:ilvl="1"/>
    <w:lvlOverride w:ilvl="2"/>
    <w:lvlOverride w:ilvl="3"/>
    <w:lvlOverride w:ilvl="4"/>
    <w:lvlOverride w:ilvl="5"/>
    <w:lvlOverride w:ilvl="6"/>
    <w:lvlOverride w:ilvl="7"/>
    <w:lvlOverride w:ilvl="8"/>
  </w:num>
  <w:num w:numId="16" w16cid:durableId="7631120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32234372">
    <w:abstractNumId w:val="15"/>
  </w:num>
  <w:num w:numId="18" w16cid:durableId="1949963556">
    <w:abstractNumId w:val="18"/>
  </w:num>
  <w:num w:numId="19" w16cid:durableId="1857033715">
    <w:abstractNumId w:val="0"/>
  </w:num>
  <w:num w:numId="20" w16cid:durableId="841041537">
    <w:abstractNumId w:val="2"/>
  </w:num>
  <w:num w:numId="21" w16cid:durableId="1145656680">
    <w:abstractNumId w:val="13"/>
  </w:num>
  <w:num w:numId="22" w16cid:durableId="1299336773">
    <w:abstractNumId w:val="17"/>
  </w:num>
  <w:num w:numId="23" w16cid:durableId="10837259">
    <w:abstractNumId w:val="12"/>
  </w:num>
  <w:num w:numId="24" w16cid:durableId="1005286995">
    <w:abstractNumId w:val="6"/>
  </w:num>
  <w:num w:numId="25" w16cid:durableId="1712997053">
    <w:abstractNumId w:val="16"/>
    <w:lvlOverride w:ilvl="0">
      <w:startOverride w:val="1"/>
    </w:lvlOverride>
    <w:lvlOverride w:ilvl="1"/>
    <w:lvlOverride w:ilvl="2"/>
    <w:lvlOverride w:ilvl="3"/>
    <w:lvlOverride w:ilvl="4"/>
    <w:lvlOverride w:ilvl="5"/>
    <w:lvlOverride w:ilvl="6"/>
    <w:lvlOverride w:ilvl="7"/>
    <w:lvlOverride w:ilvl="8"/>
  </w:num>
  <w:num w:numId="26" w16cid:durableId="7264178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7689214">
    <w:abstractNumId w:val="8"/>
  </w:num>
  <w:num w:numId="28" w16cid:durableId="1876383754">
    <w:abstractNumId w:val="11"/>
  </w:num>
  <w:num w:numId="29" w16cid:durableId="377970875">
    <w:abstractNumId w:val="7"/>
  </w:num>
  <w:num w:numId="30" w16cid:durableId="13556936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EB6"/>
    <w:rsid w:val="00006562"/>
    <w:rsid w:val="0000695C"/>
    <w:rsid w:val="00023C1D"/>
    <w:rsid w:val="000245C4"/>
    <w:rsid w:val="00025DE6"/>
    <w:rsid w:val="00026AA8"/>
    <w:rsid w:val="000327D9"/>
    <w:rsid w:val="000336AF"/>
    <w:rsid w:val="00044EBD"/>
    <w:rsid w:val="00045FFD"/>
    <w:rsid w:val="00050EB0"/>
    <w:rsid w:val="00053ECC"/>
    <w:rsid w:val="0005635E"/>
    <w:rsid w:val="0007105C"/>
    <w:rsid w:val="00073282"/>
    <w:rsid w:val="00075149"/>
    <w:rsid w:val="000812D7"/>
    <w:rsid w:val="000823A9"/>
    <w:rsid w:val="00086105"/>
    <w:rsid w:val="000934FE"/>
    <w:rsid w:val="000A1170"/>
    <w:rsid w:val="000D7BDD"/>
    <w:rsid w:val="000E34B1"/>
    <w:rsid w:val="000E67B0"/>
    <w:rsid w:val="000F7BA6"/>
    <w:rsid w:val="00110437"/>
    <w:rsid w:val="0011433A"/>
    <w:rsid w:val="00114BA2"/>
    <w:rsid w:val="00116FF3"/>
    <w:rsid w:val="001205E3"/>
    <w:rsid w:val="00123928"/>
    <w:rsid w:val="00124D19"/>
    <w:rsid w:val="001263B3"/>
    <w:rsid w:val="00131052"/>
    <w:rsid w:val="00131195"/>
    <w:rsid w:val="00132628"/>
    <w:rsid w:val="00134673"/>
    <w:rsid w:val="0013528E"/>
    <w:rsid w:val="00136A7C"/>
    <w:rsid w:val="001447EC"/>
    <w:rsid w:val="00144F55"/>
    <w:rsid w:val="00146BF1"/>
    <w:rsid w:val="00150228"/>
    <w:rsid w:val="001552EF"/>
    <w:rsid w:val="001557CE"/>
    <w:rsid w:val="001575A8"/>
    <w:rsid w:val="00160182"/>
    <w:rsid w:val="00162D5E"/>
    <w:rsid w:val="00173913"/>
    <w:rsid w:val="00173CA7"/>
    <w:rsid w:val="00177CC9"/>
    <w:rsid w:val="001810E8"/>
    <w:rsid w:val="00183867"/>
    <w:rsid w:val="0018464E"/>
    <w:rsid w:val="0018485B"/>
    <w:rsid w:val="0018489B"/>
    <w:rsid w:val="00184F98"/>
    <w:rsid w:val="00190813"/>
    <w:rsid w:val="00196F7D"/>
    <w:rsid w:val="001B056D"/>
    <w:rsid w:val="001B0F28"/>
    <w:rsid w:val="001B1D02"/>
    <w:rsid w:val="001E4CD8"/>
    <w:rsid w:val="001F2018"/>
    <w:rsid w:val="001F7590"/>
    <w:rsid w:val="0020193B"/>
    <w:rsid w:val="00201F8E"/>
    <w:rsid w:val="002033FB"/>
    <w:rsid w:val="00215254"/>
    <w:rsid w:val="00220990"/>
    <w:rsid w:val="00221B94"/>
    <w:rsid w:val="00222CDA"/>
    <w:rsid w:val="002267A7"/>
    <w:rsid w:val="0023531B"/>
    <w:rsid w:val="00245F03"/>
    <w:rsid w:val="00253B08"/>
    <w:rsid w:val="00257E8E"/>
    <w:rsid w:val="00263943"/>
    <w:rsid w:val="00266A9B"/>
    <w:rsid w:val="00270A2E"/>
    <w:rsid w:val="00274CCD"/>
    <w:rsid w:val="0027595A"/>
    <w:rsid w:val="00281D09"/>
    <w:rsid w:val="00287613"/>
    <w:rsid w:val="00290907"/>
    <w:rsid w:val="00295FB2"/>
    <w:rsid w:val="00297961"/>
    <w:rsid w:val="002A140E"/>
    <w:rsid w:val="002A2A73"/>
    <w:rsid w:val="002A5B23"/>
    <w:rsid w:val="002A741A"/>
    <w:rsid w:val="002B420F"/>
    <w:rsid w:val="002C1B76"/>
    <w:rsid w:val="002C44B0"/>
    <w:rsid w:val="002D3337"/>
    <w:rsid w:val="002D36C3"/>
    <w:rsid w:val="002D4F29"/>
    <w:rsid w:val="002D7DA5"/>
    <w:rsid w:val="002E13D7"/>
    <w:rsid w:val="002E5DC2"/>
    <w:rsid w:val="002E6C92"/>
    <w:rsid w:val="002E7258"/>
    <w:rsid w:val="002F35B3"/>
    <w:rsid w:val="002F3D87"/>
    <w:rsid w:val="002F65AD"/>
    <w:rsid w:val="002F765A"/>
    <w:rsid w:val="00300BFD"/>
    <w:rsid w:val="00303EAD"/>
    <w:rsid w:val="00311D74"/>
    <w:rsid w:val="00316906"/>
    <w:rsid w:val="00331060"/>
    <w:rsid w:val="00333A4C"/>
    <w:rsid w:val="003344CF"/>
    <w:rsid w:val="003358E7"/>
    <w:rsid w:val="003379CD"/>
    <w:rsid w:val="003400F8"/>
    <w:rsid w:val="003463E2"/>
    <w:rsid w:val="00356DF5"/>
    <w:rsid w:val="00357FC2"/>
    <w:rsid w:val="00360CEC"/>
    <w:rsid w:val="0036206F"/>
    <w:rsid w:val="00365D07"/>
    <w:rsid w:val="0036662F"/>
    <w:rsid w:val="00367681"/>
    <w:rsid w:val="00376456"/>
    <w:rsid w:val="0037671D"/>
    <w:rsid w:val="00391EB6"/>
    <w:rsid w:val="003945BC"/>
    <w:rsid w:val="003A1846"/>
    <w:rsid w:val="003B099C"/>
    <w:rsid w:val="003C08E6"/>
    <w:rsid w:val="003C29CF"/>
    <w:rsid w:val="003D367C"/>
    <w:rsid w:val="003D69FC"/>
    <w:rsid w:val="003E07D0"/>
    <w:rsid w:val="003E52DE"/>
    <w:rsid w:val="003F2E67"/>
    <w:rsid w:val="00416852"/>
    <w:rsid w:val="00420B3B"/>
    <w:rsid w:val="0042410A"/>
    <w:rsid w:val="00425D9D"/>
    <w:rsid w:val="00427090"/>
    <w:rsid w:val="00430A11"/>
    <w:rsid w:val="00431C43"/>
    <w:rsid w:val="004356A4"/>
    <w:rsid w:val="004505F9"/>
    <w:rsid w:val="00464BB6"/>
    <w:rsid w:val="004724F8"/>
    <w:rsid w:val="00481E3B"/>
    <w:rsid w:val="004967D8"/>
    <w:rsid w:val="004A1753"/>
    <w:rsid w:val="004A2B2B"/>
    <w:rsid w:val="004A42C5"/>
    <w:rsid w:val="004B0E8E"/>
    <w:rsid w:val="004B32A2"/>
    <w:rsid w:val="004B38F7"/>
    <w:rsid w:val="004C0955"/>
    <w:rsid w:val="004C20D5"/>
    <w:rsid w:val="004C26D6"/>
    <w:rsid w:val="004C498E"/>
    <w:rsid w:val="004C5F89"/>
    <w:rsid w:val="004C6B06"/>
    <w:rsid w:val="004C7E07"/>
    <w:rsid w:val="004D36B1"/>
    <w:rsid w:val="004D518A"/>
    <w:rsid w:val="004D55B6"/>
    <w:rsid w:val="004D602A"/>
    <w:rsid w:val="004E1E89"/>
    <w:rsid w:val="004E1F0F"/>
    <w:rsid w:val="004E2DCA"/>
    <w:rsid w:val="004E4695"/>
    <w:rsid w:val="004F1254"/>
    <w:rsid w:val="00505BFF"/>
    <w:rsid w:val="00507E0D"/>
    <w:rsid w:val="005124A1"/>
    <w:rsid w:val="00515587"/>
    <w:rsid w:val="00521270"/>
    <w:rsid w:val="00522320"/>
    <w:rsid w:val="005413D5"/>
    <w:rsid w:val="00542821"/>
    <w:rsid w:val="00573080"/>
    <w:rsid w:val="00573D28"/>
    <w:rsid w:val="00575590"/>
    <w:rsid w:val="00575EFC"/>
    <w:rsid w:val="00576B56"/>
    <w:rsid w:val="00582568"/>
    <w:rsid w:val="00586DF9"/>
    <w:rsid w:val="00587916"/>
    <w:rsid w:val="005B0BEF"/>
    <w:rsid w:val="005B7853"/>
    <w:rsid w:val="005B7E0A"/>
    <w:rsid w:val="005C5F43"/>
    <w:rsid w:val="005C6A89"/>
    <w:rsid w:val="005C6AAA"/>
    <w:rsid w:val="005C79DD"/>
    <w:rsid w:val="005D2AE4"/>
    <w:rsid w:val="005E358F"/>
    <w:rsid w:val="005E4203"/>
    <w:rsid w:val="005F3C84"/>
    <w:rsid w:val="005F3D73"/>
    <w:rsid w:val="005F5508"/>
    <w:rsid w:val="00600127"/>
    <w:rsid w:val="0060189B"/>
    <w:rsid w:val="00612428"/>
    <w:rsid w:val="00613033"/>
    <w:rsid w:val="00613767"/>
    <w:rsid w:val="00616036"/>
    <w:rsid w:val="006221BA"/>
    <w:rsid w:val="00625F21"/>
    <w:rsid w:val="00632EC9"/>
    <w:rsid w:val="00642FB6"/>
    <w:rsid w:val="00644DD1"/>
    <w:rsid w:val="006471DD"/>
    <w:rsid w:val="006514D2"/>
    <w:rsid w:val="00656E91"/>
    <w:rsid w:val="006651AC"/>
    <w:rsid w:val="0067203F"/>
    <w:rsid w:val="006950FB"/>
    <w:rsid w:val="006A6E25"/>
    <w:rsid w:val="006B0A27"/>
    <w:rsid w:val="006B3DF2"/>
    <w:rsid w:val="006B3F18"/>
    <w:rsid w:val="006B5A34"/>
    <w:rsid w:val="006C2E8F"/>
    <w:rsid w:val="006C65F5"/>
    <w:rsid w:val="006F3C1C"/>
    <w:rsid w:val="006F3C8C"/>
    <w:rsid w:val="006F6CEE"/>
    <w:rsid w:val="0070287A"/>
    <w:rsid w:val="00702AB6"/>
    <w:rsid w:val="0071021E"/>
    <w:rsid w:val="00710716"/>
    <w:rsid w:val="007204EC"/>
    <w:rsid w:val="00721358"/>
    <w:rsid w:val="0072303F"/>
    <w:rsid w:val="007344A1"/>
    <w:rsid w:val="0073623E"/>
    <w:rsid w:val="007400C9"/>
    <w:rsid w:val="00745A60"/>
    <w:rsid w:val="00750082"/>
    <w:rsid w:val="00750EE3"/>
    <w:rsid w:val="00763434"/>
    <w:rsid w:val="00764D6C"/>
    <w:rsid w:val="00766A16"/>
    <w:rsid w:val="0077475B"/>
    <w:rsid w:val="00774DDD"/>
    <w:rsid w:val="00777B7D"/>
    <w:rsid w:val="00780AEE"/>
    <w:rsid w:val="00781A44"/>
    <w:rsid w:val="00783B53"/>
    <w:rsid w:val="00784DDC"/>
    <w:rsid w:val="00786750"/>
    <w:rsid w:val="00787BE5"/>
    <w:rsid w:val="0079224E"/>
    <w:rsid w:val="007A6353"/>
    <w:rsid w:val="007B1503"/>
    <w:rsid w:val="007C1595"/>
    <w:rsid w:val="007C2BE7"/>
    <w:rsid w:val="007C525D"/>
    <w:rsid w:val="007C5573"/>
    <w:rsid w:val="007D45C9"/>
    <w:rsid w:val="007E0A19"/>
    <w:rsid w:val="007E43CB"/>
    <w:rsid w:val="007E64DB"/>
    <w:rsid w:val="007F790A"/>
    <w:rsid w:val="008000E0"/>
    <w:rsid w:val="008019B4"/>
    <w:rsid w:val="0080206B"/>
    <w:rsid w:val="00817118"/>
    <w:rsid w:val="00825156"/>
    <w:rsid w:val="008269FA"/>
    <w:rsid w:val="00826C4D"/>
    <w:rsid w:val="00833F2A"/>
    <w:rsid w:val="00836D99"/>
    <w:rsid w:val="00842E62"/>
    <w:rsid w:val="0084454D"/>
    <w:rsid w:val="00852E01"/>
    <w:rsid w:val="00853372"/>
    <w:rsid w:val="00864325"/>
    <w:rsid w:val="00865F87"/>
    <w:rsid w:val="008720EE"/>
    <w:rsid w:val="00886CA0"/>
    <w:rsid w:val="00886DBA"/>
    <w:rsid w:val="00895FD5"/>
    <w:rsid w:val="00896005"/>
    <w:rsid w:val="008B6088"/>
    <w:rsid w:val="008B716E"/>
    <w:rsid w:val="008B75B9"/>
    <w:rsid w:val="008B7779"/>
    <w:rsid w:val="008C5097"/>
    <w:rsid w:val="008C6233"/>
    <w:rsid w:val="008E2284"/>
    <w:rsid w:val="008E5B2C"/>
    <w:rsid w:val="008F01BE"/>
    <w:rsid w:val="008F1273"/>
    <w:rsid w:val="008F78FC"/>
    <w:rsid w:val="00903C93"/>
    <w:rsid w:val="00903D96"/>
    <w:rsid w:val="00903E37"/>
    <w:rsid w:val="00913E1C"/>
    <w:rsid w:val="00917756"/>
    <w:rsid w:val="00917E8A"/>
    <w:rsid w:val="00920740"/>
    <w:rsid w:val="00921E6C"/>
    <w:rsid w:val="00924AC3"/>
    <w:rsid w:val="009314FB"/>
    <w:rsid w:val="0093397D"/>
    <w:rsid w:val="00934FB7"/>
    <w:rsid w:val="00935F51"/>
    <w:rsid w:val="009400C6"/>
    <w:rsid w:val="009437CA"/>
    <w:rsid w:val="00945344"/>
    <w:rsid w:val="009462E1"/>
    <w:rsid w:val="00953689"/>
    <w:rsid w:val="00957D2C"/>
    <w:rsid w:val="009617DC"/>
    <w:rsid w:val="0096254D"/>
    <w:rsid w:val="00972F0F"/>
    <w:rsid w:val="0097548D"/>
    <w:rsid w:val="00981A13"/>
    <w:rsid w:val="00983A75"/>
    <w:rsid w:val="009847AB"/>
    <w:rsid w:val="009865E1"/>
    <w:rsid w:val="00990C76"/>
    <w:rsid w:val="00991B44"/>
    <w:rsid w:val="009A01FF"/>
    <w:rsid w:val="009A3886"/>
    <w:rsid w:val="009B0640"/>
    <w:rsid w:val="009B22E1"/>
    <w:rsid w:val="009B2427"/>
    <w:rsid w:val="009C0D79"/>
    <w:rsid w:val="009C3E60"/>
    <w:rsid w:val="009C3E91"/>
    <w:rsid w:val="009D14F8"/>
    <w:rsid w:val="009D3348"/>
    <w:rsid w:val="009E302C"/>
    <w:rsid w:val="009E6AA3"/>
    <w:rsid w:val="009F474D"/>
    <w:rsid w:val="009F6F72"/>
    <w:rsid w:val="009F7F38"/>
    <w:rsid w:val="00A0131F"/>
    <w:rsid w:val="00A135B1"/>
    <w:rsid w:val="00A15DA7"/>
    <w:rsid w:val="00A248A7"/>
    <w:rsid w:val="00A31AA9"/>
    <w:rsid w:val="00A361D7"/>
    <w:rsid w:val="00A36771"/>
    <w:rsid w:val="00A40718"/>
    <w:rsid w:val="00A430EC"/>
    <w:rsid w:val="00A4691E"/>
    <w:rsid w:val="00A57D1B"/>
    <w:rsid w:val="00A662D7"/>
    <w:rsid w:val="00A7080E"/>
    <w:rsid w:val="00A82EBE"/>
    <w:rsid w:val="00A85E77"/>
    <w:rsid w:val="00A90D95"/>
    <w:rsid w:val="00A93049"/>
    <w:rsid w:val="00A9343B"/>
    <w:rsid w:val="00A94E97"/>
    <w:rsid w:val="00AA4D7F"/>
    <w:rsid w:val="00AA53DC"/>
    <w:rsid w:val="00AA5CDC"/>
    <w:rsid w:val="00AB1546"/>
    <w:rsid w:val="00AB6AC0"/>
    <w:rsid w:val="00AD7BAC"/>
    <w:rsid w:val="00AE05DD"/>
    <w:rsid w:val="00AE5923"/>
    <w:rsid w:val="00AF097C"/>
    <w:rsid w:val="00AF2194"/>
    <w:rsid w:val="00AF27AD"/>
    <w:rsid w:val="00AF32C6"/>
    <w:rsid w:val="00B00839"/>
    <w:rsid w:val="00B02494"/>
    <w:rsid w:val="00B069E4"/>
    <w:rsid w:val="00B07D93"/>
    <w:rsid w:val="00B14817"/>
    <w:rsid w:val="00B15BE6"/>
    <w:rsid w:val="00B20C35"/>
    <w:rsid w:val="00B20E80"/>
    <w:rsid w:val="00B267C5"/>
    <w:rsid w:val="00B3099C"/>
    <w:rsid w:val="00B36A79"/>
    <w:rsid w:val="00B37A65"/>
    <w:rsid w:val="00B40521"/>
    <w:rsid w:val="00B43AF1"/>
    <w:rsid w:val="00B4409F"/>
    <w:rsid w:val="00B45F51"/>
    <w:rsid w:val="00B46FF9"/>
    <w:rsid w:val="00B50265"/>
    <w:rsid w:val="00B55361"/>
    <w:rsid w:val="00B564FB"/>
    <w:rsid w:val="00B56C66"/>
    <w:rsid w:val="00B67FB8"/>
    <w:rsid w:val="00B716BD"/>
    <w:rsid w:val="00B7487E"/>
    <w:rsid w:val="00B84E2B"/>
    <w:rsid w:val="00B85D20"/>
    <w:rsid w:val="00B8670E"/>
    <w:rsid w:val="00B87834"/>
    <w:rsid w:val="00B9447F"/>
    <w:rsid w:val="00B95016"/>
    <w:rsid w:val="00B95693"/>
    <w:rsid w:val="00BA23F4"/>
    <w:rsid w:val="00BA2416"/>
    <w:rsid w:val="00BA25E8"/>
    <w:rsid w:val="00BB0BAA"/>
    <w:rsid w:val="00BC1D7B"/>
    <w:rsid w:val="00BD0912"/>
    <w:rsid w:val="00BE04DD"/>
    <w:rsid w:val="00BE0886"/>
    <w:rsid w:val="00BE7CC6"/>
    <w:rsid w:val="00BF4FD7"/>
    <w:rsid w:val="00BF52C5"/>
    <w:rsid w:val="00BF5946"/>
    <w:rsid w:val="00BF6B13"/>
    <w:rsid w:val="00C06EEA"/>
    <w:rsid w:val="00C1168F"/>
    <w:rsid w:val="00C1191D"/>
    <w:rsid w:val="00C23EB3"/>
    <w:rsid w:val="00C23EC2"/>
    <w:rsid w:val="00C2426C"/>
    <w:rsid w:val="00C352FF"/>
    <w:rsid w:val="00C5312A"/>
    <w:rsid w:val="00C57E74"/>
    <w:rsid w:val="00C61BF8"/>
    <w:rsid w:val="00C76992"/>
    <w:rsid w:val="00C77B6C"/>
    <w:rsid w:val="00C807F6"/>
    <w:rsid w:val="00C838E4"/>
    <w:rsid w:val="00C83E04"/>
    <w:rsid w:val="00C9153F"/>
    <w:rsid w:val="00C94426"/>
    <w:rsid w:val="00C955B0"/>
    <w:rsid w:val="00CA377E"/>
    <w:rsid w:val="00CA64EF"/>
    <w:rsid w:val="00CB30C0"/>
    <w:rsid w:val="00CB5157"/>
    <w:rsid w:val="00CD2430"/>
    <w:rsid w:val="00CE049F"/>
    <w:rsid w:val="00CE25E7"/>
    <w:rsid w:val="00CE30FD"/>
    <w:rsid w:val="00CE5E89"/>
    <w:rsid w:val="00CE653C"/>
    <w:rsid w:val="00CE6882"/>
    <w:rsid w:val="00CF065A"/>
    <w:rsid w:val="00CF103F"/>
    <w:rsid w:val="00D023C5"/>
    <w:rsid w:val="00D02E6D"/>
    <w:rsid w:val="00D03F60"/>
    <w:rsid w:val="00D07F91"/>
    <w:rsid w:val="00D235D8"/>
    <w:rsid w:val="00D2412E"/>
    <w:rsid w:val="00D25F17"/>
    <w:rsid w:val="00D320CB"/>
    <w:rsid w:val="00D478F9"/>
    <w:rsid w:val="00D52EDC"/>
    <w:rsid w:val="00D53504"/>
    <w:rsid w:val="00D61CE6"/>
    <w:rsid w:val="00D620EE"/>
    <w:rsid w:val="00D6276F"/>
    <w:rsid w:val="00D643DA"/>
    <w:rsid w:val="00D64501"/>
    <w:rsid w:val="00D65A48"/>
    <w:rsid w:val="00D66FDF"/>
    <w:rsid w:val="00D72408"/>
    <w:rsid w:val="00D72C59"/>
    <w:rsid w:val="00D776D1"/>
    <w:rsid w:val="00D80451"/>
    <w:rsid w:val="00D8328F"/>
    <w:rsid w:val="00D854E9"/>
    <w:rsid w:val="00D864CA"/>
    <w:rsid w:val="00D86557"/>
    <w:rsid w:val="00D870C0"/>
    <w:rsid w:val="00DA6645"/>
    <w:rsid w:val="00DB11F2"/>
    <w:rsid w:val="00DB7E38"/>
    <w:rsid w:val="00DC0142"/>
    <w:rsid w:val="00DD0977"/>
    <w:rsid w:val="00DD1231"/>
    <w:rsid w:val="00DE049A"/>
    <w:rsid w:val="00DE087B"/>
    <w:rsid w:val="00DE38FA"/>
    <w:rsid w:val="00DE4530"/>
    <w:rsid w:val="00DE4753"/>
    <w:rsid w:val="00DF19BC"/>
    <w:rsid w:val="00DF5153"/>
    <w:rsid w:val="00E10932"/>
    <w:rsid w:val="00E12FAC"/>
    <w:rsid w:val="00E35615"/>
    <w:rsid w:val="00E41B81"/>
    <w:rsid w:val="00E51032"/>
    <w:rsid w:val="00E578B4"/>
    <w:rsid w:val="00E62D38"/>
    <w:rsid w:val="00E66708"/>
    <w:rsid w:val="00E6722A"/>
    <w:rsid w:val="00E72D74"/>
    <w:rsid w:val="00E83E7F"/>
    <w:rsid w:val="00E8587F"/>
    <w:rsid w:val="00E919EE"/>
    <w:rsid w:val="00E94AFA"/>
    <w:rsid w:val="00EA5B5B"/>
    <w:rsid w:val="00EB59EF"/>
    <w:rsid w:val="00ED388B"/>
    <w:rsid w:val="00ED51D2"/>
    <w:rsid w:val="00ED5F34"/>
    <w:rsid w:val="00EF1B95"/>
    <w:rsid w:val="00EF4A9F"/>
    <w:rsid w:val="00F01025"/>
    <w:rsid w:val="00F10401"/>
    <w:rsid w:val="00F10EA3"/>
    <w:rsid w:val="00F11AF0"/>
    <w:rsid w:val="00F145C9"/>
    <w:rsid w:val="00F16CAD"/>
    <w:rsid w:val="00F22389"/>
    <w:rsid w:val="00F22F35"/>
    <w:rsid w:val="00F26110"/>
    <w:rsid w:val="00F279CD"/>
    <w:rsid w:val="00F312F1"/>
    <w:rsid w:val="00F318E4"/>
    <w:rsid w:val="00F34DBE"/>
    <w:rsid w:val="00F35082"/>
    <w:rsid w:val="00F527C8"/>
    <w:rsid w:val="00F721FC"/>
    <w:rsid w:val="00F83B24"/>
    <w:rsid w:val="00F87FEA"/>
    <w:rsid w:val="00F97B39"/>
    <w:rsid w:val="00F97E6E"/>
    <w:rsid w:val="00FA2B67"/>
    <w:rsid w:val="00FA4D12"/>
    <w:rsid w:val="00FA5583"/>
    <w:rsid w:val="00FB3D87"/>
    <w:rsid w:val="00FC1D96"/>
    <w:rsid w:val="00FC1EA2"/>
    <w:rsid w:val="00FC44CB"/>
    <w:rsid w:val="00FE29C3"/>
    <w:rsid w:val="00FF20B6"/>
    <w:rsid w:val="00FF254F"/>
    <w:rsid w:val="00FF39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DBD9B2"/>
  <w15:chartTrackingRefBased/>
  <w15:docId w15:val="{9D54C2D9-8B37-4085-B1D2-C29ABCA3F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AC0"/>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8C5097"/>
    <w:pPr>
      <w:keepNext/>
      <w:keepLines/>
      <w:numPr>
        <w:numId w:val="14"/>
      </w:numPr>
      <w:pBdr>
        <w:bottom w:val="single" w:sz="4" w:space="1" w:color="595959" w:themeColor="text1" w:themeTint="A6"/>
      </w:pBdr>
      <w:jc w:val="center"/>
      <w:outlineLvl w:val="0"/>
    </w:pPr>
    <w:rPr>
      <w:rFonts w:eastAsiaTheme="majorEastAsia" w:cstheme="majorBidi"/>
      <w:b/>
      <w:bCs/>
      <w:smallCaps/>
      <w:color w:val="000000" w:themeColor="text1"/>
      <w:sz w:val="32"/>
      <w:szCs w:val="36"/>
    </w:rPr>
  </w:style>
  <w:style w:type="paragraph" w:styleId="Heading2">
    <w:name w:val="heading 2"/>
    <w:basedOn w:val="Normal"/>
    <w:next w:val="Normal"/>
    <w:link w:val="Heading2Char"/>
    <w:uiPriority w:val="9"/>
    <w:unhideWhenUsed/>
    <w:qFormat/>
    <w:rsid w:val="008C5097"/>
    <w:pPr>
      <w:keepNext/>
      <w:keepLines/>
      <w:numPr>
        <w:ilvl w:val="1"/>
        <w:numId w:val="14"/>
      </w:numPr>
      <w:outlineLvl w:val="1"/>
    </w:pPr>
    <w:rPr>
      <w:rFonts w:eastAsiaTheme="majorEastAsia" w:cstheme="majorBidi"/>
      <w:b/>
      <w:bCs/>
      <w:color w:val="000000" w:themeColor="text1"/>
      <w:sz w:val="28"/>
      <w:szCs w:val="28"/>
    </w:rPr>
  </w:style>
  <w:style w:type="paragraph" w:styleId="Heading3">
    <w:name w:val="heading 3"/>
    <w:basedOn w:val="Normal"/>
    <w:next w:val="Normal"/>
    <w:link w:val="Heading3Char"/>
    <w:uiPriority w:val="9"/>
    <w:unhideWhenUsed/>
    <w:qFormat/>
    <w:rsid w:val="00B267C5"/>
    <w:pPr>
      <w:keepNext/>
      <w:keepLines/>
      <w:numPr>
        <w:ilvl w:val="2"/>
        <w:numId w:val="14"/>
      </w:numPr>
      <w:outlineLvl w:val="2"/>
    </w:pPr>
    <w:rPr>
      <w:rFonts w:eastAsiaTheme="majorEastAsia" w:cstheme="majorBidi"/>
      <w:b/>
      <w:bCs/>
      <w:color w:val="000000" w:themeColor="text1"/>
    </w:rPr>
  </w:style>
  <w:style w:type="paragraph" w:styleId="Heading4">
    <w:name w:val="heading 4"/>
    <w:basedOn w:val="Normal"/>
    <w:next w:val="Normal"/>
    <w:link w:val="Heading4Char"/>
    <w:uiPriority w:val="9"/>
    <w:semiHidden/>
    <w:unhideWhenUsed/>
    <w:qFormat/>
    <w:rsid w:val="008C5097"/>
    <w:pPr>
      <w:keepNext/>
      <w:keepLines/>
      <w:numPr>
        <w:ilvl w:val="3"/>
        <w:numId w:val="14"/>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8C5097"/>
    <w:pPr>
      <w:keepNext/>
      <w:keepLines/>
      <w:numPr>
        <w:ilvl w:val="4"/>
        <w:numId w:val="14"/>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8C5097"/>
    <w:pPr>
      <w:keepNext/>
      <w:keepLines/>
      <w:numPr>
        <w:ilvl w:val="5"/>
        <w:numId w:val="14"/>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8C5097"/>
    <w:pPr>
      <w:keepNext/>
      <w:keepLines/>
      <w:numPr>
        <w:ilvl w:val="6"/>
        <w:numId w:val="1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5097"/>
    <w:pPr>
      <w:keepNext/>
      <w:keepLines/>
      <w:numPr>
        <w:ilvl w:val="7"/>
        <w:numId w:val="1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5097"/>
    <w:pPr>
      <w:keepNext/>
      <w:keepLines/>
      <w:numPr>
        <w:ilvl w:val="8"/>
        <w:numId w:val="1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EB6"/>
    <w:pPr>
      <w:ind w:left="720"/>
      <w:contextualSpacing/>
    </w:pPr>
  </w:style>
  <w:style w:type="paragraph" w:customStyle="1" w:styleId="paragraph">
    <w:name w:val="paragraph"/>
    <w:basedOn w:val="Normal"/>
    <w:rsid w:val="003C08E6"/>
    <w:pPr>
      <w:spacing w:before="100" w:beforeAutospacing="1" w:after="100" w:afterAutospacing="1" w:line="240" w:lineRule="auto"/>
    </w:pPr>
    <w:rPr>
      <w:rFonts w:ascii="Times New Roman" w:eastAsia="Times New Roman" w:hAnsi="Times New Roman" w:cs="Times New Roman"/>
      <w:szCs w:val="24"/>
      <w:lang w:eastAsia="zh-CN"/>
    </w:rPr>
  </w:style>
  <w:style w:type="character" w:customStyle="1" w:styleId="normaltextrun">
    <w:name w:val="normaltextrun"/>
    <w:basedOn w:val="DefaultParagraphFont"/>
    <w:rsid w:val="003C08E6"/>
  </w:style>
  <w:style w:type="character" w:customStyle="1" w:styleId="eop">
    <w:name w:val="eop"/>
    <w:basedOn w:val="DefaultParagraphFont"/>
    <w:rsid w:val="003C08E6"/>
  </w:style>
  <w:style w:type="paragraph" w:styleId="Header">
    <w:name w:val="header"/>
    <w:basedOn w:val="Normal"/>
    <w:link w:val="HeaderChar"/>
    <w:uiPriority w:val="99"/>
    <w:unhideWhenUsed/>
    <w:rsid w:val="00177C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CC9"/>
  </w:style>
  <w:style w:type="paragraph" w:styleId="Footer">
    <w:name w:val="footer"/>
    <w:basedOn w:val="Normal"/>
    <w:link w:val="FooterChar"/>
    <w:uiPriority w:val="99"/>
    <w:unhideWhenUsed/>
    <w:rsid w:val="00177C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CC9"/>
  </w:style>
  <w:style w:type="character" w:customStyle="1" w:styleId="Heading1Char">
    <w:name w:val="Heading 1 Char"/>
    <w:basedOn w:val="DefaultParagraphFont"/>
    <w:link w:val="Heading1"/>
    <w:uiPriority w:val="9"/>
    <w:rsid w:val="008C5097"/>
    <w:rPr>
      <w:rFonts w:ascii="Arial" w:eastAsiaTheme="majorEastAsia" w:hAnsi="Arial" w:cstheme="majorBidi"/>
      <w:b/>
      <w:bCs/>
      <w:smallCaps/>
      <w:color w:val="000000" w:themeColor="text1"/>
      <w:sz w:val="32"/>
      <w:szCs w:val="36"/>
    </w:rPr>
  </w:style>
  <w:style w:type="character" w:customStyle="1" w:styleId="Heading2Char">
    <w:name w:val="Heading 2 Char"/>
    <w:basedOn w:val="DefaultParagraphFont"/>
    <w:link w:val="Heading2"/>
    <w:uiPriority w:val="9"/>
    <w:rsid w:val="008C5097"/>
    <w:rPr>
      <w:rFonts w:asciiTheme="minorBidi" w:eastAsiaTheme="majorEastAsia" w:hAnsiTheme="minorBidi" w:cstheme="majorBidi"/>
      <w:b/>
      <w:bCs/>
      <w:color w:val="000000" w:themeColor="text1"/>
      <w:sz w:val="28"/>
      <w:szCs w:val="28"/>
    </w:rPr>
  </w:style>
  <w:style w:type="character" w:customStyle="1" w:styleId="Heading3Char">
    <w:name w:val="Heading 3 Char"/>
    <w:basedOn w:val="DefaultParagraphFont"/>
    <w:link w:val="Heading3"/>
    <w:uiPriority w:val="9"/>
    <w:rsid w:val="00B267C5"/>
    <w:rPr>
      <w:rFonts w:asciiTheme="minorBidi" w:eastAsiaTheme="majorEastAsia" w:hAnsiTheme="minorBidi" w:cstheme="majorBidi"/>
      <w:b/>
      <w:bCs/>
      <w:color w:val="000000" w:themeColor="text1"/>
      <w:sz w:val="24"/>
    </w:rPr>
  </w:style>
  <w:style w:type="character" w:customStyle="1" w:styleId="Heading4Char">
    <w:name w:val="Heading 4 Char"/>
    <w:basedOn w:val="DefaultParagraphFont"/>
    <w:link w:val="Heading4"/>
    <w:uiPriority w:val="9"/>
    <w:semiHidden/>
    <w:rsid w:val="008C509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8C5097"/>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8C5097"/>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8C509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509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509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8C5097"/>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8C509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8C509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8C5097"/>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8C5097"/>
    <w:rPr>
      <w:color w:val="5A5A5A" w:themeColor="text1" w:themeTint="A5"/>
      <w:spacing w:val="10"/>
    </w:rPr>
  </w:style>
  <w:style w:type="character" w:styleId="Strong">
    <w:name w:val="Strong"/>
    <w:basedOn w:val="DefaultParagraphFont"/>
    <w:uiPriority w:val="22"/>
    <w:qFormat/>
    <w:rsid w:val="008C5097"/>
    <w:rPr>
      <w:b/>
      <w:bCs/>
      <w:color w:val="000000" w:themeColor="text1"/>
    </w:rPr>
  </w:style>
  <w:style w:type="character" w:styleId="Emphasis">
    <w:name w:val="Emphasis"/>
    <w:basedOn w:val="DefaultParagraphFont"/>
    <w:uiPriority w:val="20"/>
    <w:qFormat/>
    <w:rsid w:val="008C5097"/>
    <w:rPr>
      <w:i/>
      <w:iCs/>
      <w:color w:val="auto"/>
    </w:rPr>
  </w:style>
  <w:style w:type="paragraph" w:styleId="NoSpacing">
    <w:name w:val="No Spacing"/>
    <w:uiPriority w:val="1"/>
    <w:qFormat/>
    <w:rsid w:val="001F7590"/>
    <w:pPr>
      <w:spacing w:after="0" w:line="360" w:lineRule="auto"/>
      <w:jc w:val="center"/>
    </w:pPr>
    <w:rPr>
      <w:rFonts w:asciiTheme="minorBidi" w:hAnsiTheme="minorBidi"/>
      <w:i/>
      <w:color w:val="1F4E79" w:themeColor="accent1" w:themeShade="80"/>
    </w:rPr>
  </w:style>
  <w:style w:type="paragraph" w:styleId="Quote">
    <w:name w:val="Quote"/>
    <w:basedOn w:val="Normal"/>
    <w:next w:val="Normal"/>
    <w:link w:val="QuoteChar"/>
    <w:uiPriority w:val="29"/>
    <w:qFormat/>
    <w:rsid w:val="008C5097"/>
    <w:pPr>
      <w:spacing w:before="160"/>
      <w:ind w:left="720" w:right="720"/>
    </w:pPr>
    <w:rPr>
      <w:i/>
      <w:iCs/>
      <w:color w:val="000000" w:themeColor="text1"/>
    </w:rPr>
  </w:style>
  <w:style w:type="character" w:customStyle="1" w:styleId="QuoteChar">
    <w:name w:val="Quote Char"/>
    <w:basedOn w:val="DefaultParagraphFont"/>
    <w:link w:val="Quote"/>
    <w:uiPriority w:val="29"/>
    <w:rsid w:val="008C5097"/>
    <w:rPr>
      <w:i/>
      <w:iCs/>
      <w:color w:val="000000" w:themeColor="text1"/>
    </w:rPr>
  </w:style>
  <w:style w:type="paragraph" w:styleId="IntenseQuote">
    <w:name w:val="Intense Quote"/>
    <w:basedOn w:val="Normal"/>
    <w:next w:val="Normal"/>
    <w:link w:val="IntenseQuoteChar"/>
    <w:uiPriority w:val="30"/>
    <w:qFormat/>
    <w:rsid w:val="008C509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8C5097"/>
    <w:rPr>
      <w:color w:val="000000" w:themeColor="text1"/>
      <w:shd w:val="clear" w:color="auto" w:fill="F2F2F2" w:themeFill="background1" w:themeFillShade="F2"/>
    </w:rPr>
  </w:style>
  <w:style w:type="character" w:styleId="SubtleEmphasis">
    <w:name w:val="Subtle Emphasis"/>
    <w:basedOn w:val="DefaultParagraphFont"/>
    <w:uiPriority w:val="19"/>
    <w:qFormat/>
    <w:rsid w:val="008C5097"/>
    <w:rPr>
      <w:i/>
      <w:iCs/>
      <w:color w:val="404040" w:themeColor="text1" w:themeTint="BF"/>
    </w:rPr>
  </w:style>
  <w:style w:type="character" w:styleId="IntenseEmphasis">
    <w:name w:val="Intense Emphasis"/>
    <w:basedOn w:val="DefaultParagraphFont"/>
    <w:uiPriority w:val="21"/>
    <w:qFormat/>
    <w:rsid w:val="008C5097"/>
    <w:rPr>
      <w:b/>
      <w:bCs/>
      <w:i/>
      <w:iCs/>
      <w:caps/>
    </w:rPr>
  </w:style>
  <w:style w:type="character" w:styleId="SubtleReference">
    <w:name w:val="Subtle Reference"/>
    <w:basedOn w:val="DefaultParagraphFont"/>
    <w:uiPriority w:val="31"/>
    <w:qFormat/>
    <w:rsid w:val="008C5097"/>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C5097"/>
    <w:rPr>
      <w:b/>
      <w:bCs/>
      <w:smallCaps/>
      <w:u w:val="single"/>
    </w:rPr>
  </w:style>
  <w:style w:type="character" w:styleId="BookTitle">
    <w:name w:val="Book Title"/>
    <w:basedOn w:val="DefaultParagraphFont"/>
    <w:uiPriority w:val="33"/>
    <w:qFormat/>
    <w:rsid w:val="008C5097"/>
    <w:rPr>
      <w:b w:val="0"/>
      <w:bCs w:val="0"/>
      <w:smallCaps/>
      <w:spacing w:val="5"/>
    </w:rPr>
  </w:style>
  <w:style w:type="paragraph" w:styleId="TOCHeading">
    <w:name w:val="TOC Heading"/>
    <w:basedOn w:val="Heading1"/>
    <w:next w:val="Normal"/>
    <w:uiPriority w:val="39"/>
    <w:unhideWhenUsed/>
    <w:qFormat/>
    <w:rsid w:val="008C5097"/>
    <w:pPr>
      <w:outlineLvl w:val="9"/>
    </w:pPr>
  </w:style>
  <w:style w:type="paragraph" w:styleId="TOC2">
    <w:name w:val="toc 2"/>
    <w:basedOn w:val="Normal"/>
    <w:next w:val="Normal"/>
    <w:autoRedefine/>
    <w:uiPriority w:val="39"/>
    <w:unhideWhenUsed/>
    <w:rsid w:val="008C5097"/>
    <w:pPr>
      <w:spacing w:after="100"/>
      <w:ind w:left="220"/>
    </w:pPr>
    <w:rPr>
      <w:rFonts w:cs="Times New Roman"/>
      <w:lang w:val="en-US"/>
    </w:rPr>
  </w:style>
  <w:style w:type="paragraph" w:styleId="TOC1">
    <w:name w:val="toc 1"/>
    <w:basedOn w:val="Normal"/>
    <w:next w:val="Normal"/>
    <w:autoRedefine/>
    <w:uiPriority w:val="39"/>
    <w:unhideWhenUsed/>
    <w:rsid w:val="008C5097"/>
    <w:pPr>
      <w:spacing w:after="100"/>
    </w:pPr>
    <w:rPr>
      <w:rFonts w:cs="Times New Roman"/>
      <w:lang w:val="en-US"/>
    </w:rPr>
  </w:style>
  <w:style w:type="paragraph" w:styleId="TOC3">
    <w:name w:val="toc 3"/>
    <w:basedOn w:val="Normal"/>
    <w:next w:val="Normal"/>
    <w:autoRedefine/>
    <w:uiPriority w:val="39"/>
    <w:unhideWhenUsed/>
    <w:rsid w:val="008C5097"/>
    <w:pPr>
      <w:spacing w:after="100"/>
      <w:ind w:left="440"/>
    </w:pPr>
    <w:rPr>
      <w:rFonts w:cs="Times New Roman"/>
      <w:lang w:val="en-US"/>
    </w:rPr>
  </w:style>
  <w:style w:type="character" w:styleId="Hyperlink">
    <w:name w:val="Hyperlink"/>
    <w:basedOn w:val="DefaultParagraphFont"/>
    <w:uiPriority w:val="99"/>
    <w:unhideWhenUsed/>
    <w:rsid w:val="008C5097"/>
    <w:rPr>
      <w:color w:val="0563C1" w:themeColor="hyperlink"/>
      <w:u w:val="single"/>
    </w:rPr>
  </w:style>
  <w:style w:type="paragraph" w:styleId="NormalWeb">
    <w:name w:val="Normal (Web)"/>
    <w:basedOn w:val="Normal"/>
    <w:uiPriority w:val="99"/>
    <w:unhideWhenUsed/>
    <w:rsid w:val="00E578B4"/>
    <w:pPr>
      <w:spacing w:before="100" w:beforeAutospacing="1" w:after="100" w:afterAutospacing="1" w:line="240" w:lineRule="auto"/>
      <w:jc w:val="left"/>
    </w:pPr>
    <w:rPr>
      <w:rFonts w:ascii="Times New Roman" w:eastAsia="Times New Roman" w:hAnsi="Times New Roman" w:cs="Times New Roman"/>
      <w:szCs w:val="24"/>
      <w:lang w:val="en-US" w:eastAsia="zh-CN" w:bidi="bn-IN"/>
    </w:rPr>
  </w:style>
  <w:style w:type="character" w:styleId="UnresolvedMention">
    <w:name w:val="Unresolved Mention"/>
    <w:basedOn w:val="DefaultParagraphFont"/>
    <w:uiPriority w:val="99"/>
    <w:semiHidden/>
    <w:unhideWhenUsed/>
    <w:rsid w:val="00E578B4"/>
    <w:rPr>
      <w:color w:val="605E5C"/>
      <w:shd w:val="clear" w:color="auto" w:fill="E1DFDD"/>
    </w:rPr>
  </w:style>
  <w:style w:type="table" w:styleId="PlainTable2">
    <w:name w:val="Plain Table 2"/>
    <w:basedOn w:val="TableNormal"/>
    <w:uiPriority w:val="42"/>
    <w:rsid w:val="0061242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4D6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A6353"/>
    <w:pPr>
      <w:spacing w:after="0" w:line="240" w:lineRule="auto"/>
    </w:pPr>
    <w:rPr>
      <w:rFonts w:ascii="Calibri" w:eastAsia="Calibri" w:hAnsi="Calibri" w:cs="Calibri"/>
      <w:sz w:val="24"/>
      <w:szCs w:val="24"/>
      <w:lang w:val="en" w:eastAsia="zh-CN" w:bidi="bn-I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E228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TMLPreformatted">
    <w:name w:val="HTML Preformatted"/>
    <w:basedOn w:val="Normal"/>
    <w:link w:val="HTMLPreformattedChar"/>
    <w:uiPriority w:val="99"/>
    <w:semiHidden/>
    <w:unhideWhenUsed/>
    <w:rsid w:val="00946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Times New Roman" w:hAnsi="Courier New" w:cs="Courier New"/>
      <w:sz w:val="20"/>
      <w:szCs w:val="20"/>
      <w:lang w:val="en-US" w:eastAsia="zh-CN" w:bidi="bn-IN"/>
    </w:rPr>
  </w:style>
  <w:style w:type="character" w:customStyle="1" w:styleId="HTMLPreformattedChar">
    <w:name w:val="HTML Preformatted Char"/>
    <w:basedOn w:val="DefaultParagraphFont"/>
    <w:link w:val="HTMLPreformatted"/>
    <w:uiPriority w:val="99"/>
    <w:semiHidden/>
    <w:rsid w:val="009462E1"/>
    <w:rPr>
      <w:rFonts w:ascii="Courier New" w:eastAsia="Times New Roman" w:hAnsi="Courier New" w:cs="Courier New"/>
      <w:sz w:val="20"/>
      <w:szCs w:val="20"/>
      <w:lang w:val="en-US" w:eastAsia="zh-CN" w:bidi="bn-IN"/>
    </w:rPr>
  </w:style>
  <w:style w:type="character" w:styleId="HTMLCode">
    <w:name w:val="HTML Code"/>
    <w:basedOn w:val="DefaultParagraphFont"/>
    <w:uiPriority w:val="99"/>
    <w:semiHidden/>
    <w:unhideWhenUsed/>
    <w:rsid w:val="009462E1"/>
    <w:rPr>
      <w:rFonts w:ascii="Courier New" w:eastAsia="Times New Roman" w:hAnsi="Courier New" w:cs="Courier New"/>
      <w:sz w:val="20"/>
      <w:szCs w:val="20"/>
    </w:rPr>
  </w:style>
  <w:style w:type="table" w:styleId="PlainTable5">
    <w:name w:val="Plain Table 5"/>
    <w:basedOn w:val="TableNormal"/>
    <w:uiPriority w:val="45"/>
    <w:rsid w:val="009462E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4D36B1"/>
    <w:rPr>
      <w:sz w:val="16"/>
      <w:szCs w:val="16"/>
    </w:rPr>
  </w:style>
  <w:style w:type="paragraph" w:styleId="CommentText">
    <w:name w:val="annotation text"/>
    <w:basedOn w:val="Normal"/>
    <w:link w:val="CommentTextChar"/>
    <w:uiPriority w:val="99"/>
    <w:unhideWhenUsed/>
    <w:rsid w:val="004D36B1"/>
    <w:pPr>
      <w:spacing w:line="240" w:lineRule="auto"/>
    </w:pPr>
    <w:rPr>
      <w:sz w:val="20"/>
      <w:szCs w:val="20"/>
    </w:rPr>
  </w:style>
  <w:style w:type="character" w:customStyle="1" w:styleId="CommentTextChar">
    <w:name w:val="Comment Text Char"/>
    <w:basedOn w:val="DefaultParagraphFont"/>
    <w:link w:val="CommentText"/>
    <w:uiPriority w:val="99"/>
    <w:rsid w:val="004D36B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D36B1"/>
    <w:rPr>
      <w:b/>
      <w:bCs/>
    </w:rPr>
  </w:style>
  <w:style w:type="character" w:customStyle="1" w:styleId="CommentSubjectChar">
    <w:name w:val="Comment Subject Char"/>
    <w:basedOn w:val="CommentTextChar"/>
    <w:link w:val="CommentSubject"/>
    <w:uiPriority w:val="99"/>
    <w:semiHidden/>
    <w:rsid w:val="004D36B1"/>
    <w:rPr>
      <w:rFonts w:ascii="Arial" w:hAnsi="Arial"/>
      <w:b/>
      <w:bCs/>
      <w:sz w:val="20"/>
      <w:szCs w:val="20"/>
    </w:rPr>
  </w:style>
  <w:style w:type="paragraph" w:styleId="TableofFigures">
    <w:name w:val="table of figures"/>
    <w:basedOn w:val="Normal"/>
    <w:next w:val="Normal"/>
    <w:uiPriority w:val="99"/>
    <w:unhideWhenUsed/>
    <w:rsid w:val="00050EB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769908">
      <w:bodyDiv w:val="1"/>
      <w:marLeft w:val="0"/>
      <w:marRight w:val="0"/>
      <w:marTop w:val="0"/>
      <w:marBottom w:val="0"/>
      <w:divBdr>
        <w:top w:val="none" w:sz="0" w:space="0" w:color="auto"/>
        <w:left w:val="none" w:sz="0" w:space="0" w:color="auto"/>
        <w:bottom w:val="none" w:sz="0" w:space="0" w:color="auto"/>
        <w:right w:val="none" w:sz="0" w:space="0" w:color="auto"/>
      </w:divBdr>
      <w:divsChild>
        <w:div w:id="194930276">
          <w:marLeft w:val="0"/>
          <w:marRight w:val="0"/>
          <w:marTop w:val="0"/>
          <w:marBottom w:val="0"/>
          <w:divBdr>
            <w:top w:val="none" w:sz="0" w:space="0" w:color="auto"/>
            <w:left w:val="none" w:sz="0" w:space="0" w:color="auto"/>
            <w:bottom w:val="none" w:sz="0" w:space="0" w:color="auto"/>
            <w:right w:val="none" w:sz="0" w:space="0" w:color="auto"/>
          </w:divBdr>
        </w:div>
        <w:div w:id="731152085">
          <w:marLeft w:val="0"/>
          <w:marRight w:val="0"/>
          <w:marTop w:val="0"/>
          <w:marBottom w:val="0"/>
          <w:divBdr>
            <w:top w:val="none" w:sz="0" w:space="0" w:color="auto"/>
            <w:left w:val="none" w:sz="0" w:space="0" w:color="auto"/>
            <w:bottom w:val="none" w:sz="0" w:space="0" w:color="auto"/>
            <w:right w:val="none" w:sz="0" w:space="0" w:color="auto"/>
          </w:divBdr>
        </w:div>
        <w:div w:id="1554343219">
          <w:marLeft w:val="0"/>
          <w:marRight w:val="0"/>
          <w:marTop w:val="0"/>
          <w:marBottom w:val="0"/>
          <w:divBdr>
            <w:top w:val="none" w:sz="0" w:space="0" w:color="auto"/>
            <w:left w:val="none" w:sz="0" w:space="0" w:color="auto"/>
            <w:bottom w:val="none" w:sz="0" w:space="0" w:color="auto"/>
            <w:right w:val="none" w:sz="0" w:space="0" w:color="auto"/>
          </w:divBdr>
        </w:div>
        <w:div w:id="1970818316">
          <w:marLeft w:val="0"/>
          <w:marRight w:val="0"/>
          <w:marTop w:val="0"/>
          <w:marBottom w:val="0"/>
          <w:divBdr>
            <w:top w:val="none" w:sz="0" w:space="0" w:color="auto"/>
            <w:left w:val="none" w:sz="0" w:space="0" w:color="auto"/>
            <w:bottom w:val="none" w:sz="0" w:space="0" w:color="auto"/>
            <w:right w:val="none" w:sz="0" w:space="0" w:color="auto"/>
          </w:divBdr>
        </w:div>
        <w:div w:id="1706981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techfore.2024.123833" TargetMode="External"/><Relationship Id="rId18" Type="http://schemas.openxmlformats.org/officeDocument/2006/relationships/hyperlink" Target="https://doi.org/10.1111/j.1756-5391.2011.01122.x" TargetMode="External"/><Relationship Id="rId26" Type="http://schemas.openxmlformats.org/officeDocument/2006/relationships/hyperlink" Target="https://www.whitecase.com/insight-our-thinking/greenwashing-risk-and-fashion-industry-snapshot-legal-developments" TargetMode="External"/><Relationship Id="rId3" Type="http://schemas.openxmlformats.org/officeDocument/2006/relationships/styles" Target="styles.xml"/><Relationship Id="rId21" Type="http://schemas.openxmlformats.org/officeDocument/2006/relationships/hyperlink" Target="https://doi.org/10.1136/bmj.m5375"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86/s13643-023-02322-1" TargetMode="External"/><Relationship Id="rId17" Type="http://schemas.openxmlformats.org/officeDocument/2006/relationships/hyperlink" Target="https://www.uwtsd.ac.uk/research/research-integrity-and-ethics" TargetMode="External"/><Relationship Id="rId25" Type="http://schemas.openxmlformats.org/officeDocument/2006/relationships/hyperlink" Target="http://www.cochrane-handbook.or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7/978-3-658-27602-7_3" TargetMode="External"/><Relationship Id="rId20" Type="http://schemas.openxmlformats.org/officeDocument/2006/relationships/hyperlink" Target="https://doi.org/10.5195/jmla.2017.88" TargetMode="External"/><Relationship Id="rId29" Type="http://schemas.openxmlformats.org/officeDocument/2006/relationships/hyperlink" Target="https://www.lancaster.ac.uk/media/lancaster-university/content-assets/documents/fhm/dhr/chir/NSsynthesisguidanceVersion1-April2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96/fj.07-9492LSF" TargetMode="External"/><Relationship Id="rId32" Type="http://schemas.openxmlformats.org/officeDocument/2006/relationships/hyperlink" Target="https://doi.org/10.3390/su16135303" TargetMode="External"/><Relationship Id="rId5" Type="http://schemas.openxmlformats.org/officeDocument/2006/relationships/webSettings" Target="webSettings.xml"/><Relationship Id="rId15" Type="http://schemas.openxmlformats.org/officeDocument/2006/relationships/hyperlink" Target="https://doi.org/10.3389/frma.2023.1268045" TargetMode="External"/><Relationship Id="rId23" Type="http://schemas.openxmlformats.org/officeDocument/2006/relationships/hyperlink" Target="http://changingmarkets.org/wp-content/uploads/2021/01/FOSSIL-FASHION_Web-compressed.pdf" TargetMode="External"/><Relationship Id="rId28" Type="http://schemas.openxmlformats.org/officeDocument/2006/relationships/hyperlink" Target="https://doi.org/10.1371/journal.pmed.1000097" TargetMode="External"/><Relationship Id="rId10" Type="http://schemas.openxmlformats.org/officeDocument/2006/relationships/image" Target="media/image3.png"/><Relationship Id="rId19" Type="http://schemas.openxmlformats.org/officeDocument/2006/relationships/hyperlink" Target="https://doi.org/10.1016/j.cogsc.2022.100710" TargetMode="External"/><Relationship Id="rId31" Type="http://schemas.openxmlformats.org/officeDocument/2006/relationships/hyperlink" Target="https://www.statista.com/topics/9543/sustainable-fashion-worldwide/?srsltid=AfmBOopou9mEl5JsSxO0mFVTnUJ5aDZxXor4vKqRNc6MX2u07o03cRK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86/s13643-021-01626-4" TargetMode="External"/><Relationship Id="rId22" Type="http://schemas.openxmlformats.org/officeDocument/2006/relationships/hyperlink" Target="https://casp-uk.net/casp-tools-checklists/" TargetMode="External"/><Relationship Id="rId27" Type="http://schemas.openxmlformats.org/officeDocument/2006/relationships/hyperlink" Target="https://doi.org/10.3390/su17072982" TargetMode="External"/><Relationship Id="rId30" Type="http://schemas.openxmlformats.org/officeDocument/2006/relationships/hyperlink" Target="https://www.forbes.com/councils/forbestechcouncil/2024/04/26/the-importance-of-sustainability-in-fashion/"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980C2-16C8-437E-AC5C-E762836F75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74</Pages>
  <Words>20676</Words>
  <Characters>117854</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Jaydeep Thakarshibhai Shingala (2419329)</cp:lastModifiedBy>
  <cp:revision>23</cp:revision>
  <dcterms:created xsi:type="dcterms:W3CDTF">2025-12-09T12:25:00Z</dcterms:created>
  <dcterms:modified xsi:type="dcterms:W3CDTF">2025-12-24T10:38:00Z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2b9b275e-de7d-426a-b953-79eee52dce30</vt:lpwstr>
  </property>
</Properties>
</file>