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02A0E" w14:textId="36A9B540" w:rsidR="003B629A" w:rsidRPr="00F9693B" w:rsidRDefault="368A332E" w:rsidP="00F9693B">
      <w:pPr>
        <w:pStyle w:val="Heading3"/>
        <w:shd w:val="clear" w:color="auto" w:fill="FFFFFF" w:themeFill="background1"/>
        <w:spacing w:before="240" w:after="120" w:line="360" w:lineRule="auto"/>
        <w:jc w:val="both"/>
        <w:rPr>
          <w:rFonts w:ascii="Arial" w:hAnsi="Arial" w:cs="Arial"/>
          <w:sz w:val="24"/>
          <w:szCs w:val="24"/>
        </w:rPr>
      </w:pPr>
      <w:r w:rsidRPr="00F9693B">
        <w:rPr>
          <w:rFonts w:ascii="Arial" w:eastAsia="system-ui" w:hAnsi="Arial" w:cs="Arial"/>
          <w:color w:val="0D0D0D" w:themeColor="text1" w:themeTint="F2"/>
          <w:sz w:val="24"/>
          <w:szCs w:val="24"/>
        </w:rPr>
        <w:t>Title: Corporate Social Responsibility and Sustainability in the Hospitality Industry: A Case Study on Hilton Hotels</w:t>
      </w:r>
    </w:p>
    <w:p w14:paraId="6EC01EAA" w14:textId="4A9FD92D" w:rsidR="003B629A" w:rsidRPr="00F9693B" w:rsidRDefault="368A332E" w:rsidP="00F9693B">
      <w:pPr>
        <w:shd w:val="clear" w:color="auto" w:fill="FFFFFF" w:themeFill="background1"/>
        <w:spacing w:after="300" w:line="360" w:lineRule="auto"/>
        <w:jc w:val="both"/>
        <w:rPr>
          <w:rFonts w:ascii="Arial" w:hAnsi="Arial" w:cs="Arial"/>
        </w:rPr>
      </w:pPr>
      <w:r w:rsidRPr="00F9693B">
        <w:rPr>
          <w:rFonts w:ascii="Arial" w:eastAsia="system-ui" w:hAnsi="Arial" w:cs="Arial"/>
          <w:color w:val="0D0D0D" w:themeColor="text1" w:themeTint="F2"/>
        </w:rPr>
        <w:t xml:space="preserve">Student Name: </w:t>
      </w:r>
      <w:proofErr w:type="spellStart"/>
      <w:r w:rsidR="6257626F" w:rsidRPr="00F9693B">
        <w:rPr>
          <w:rFonts w:ascii="Arial" w:eastAsia="system-ui" w:hAnsi="Arial" w:cs="Arial"/>
          <w:color w:val="0D0D0D" w:themeColor="text1" w:themeTint="F2"/>
        </w:rPr>
        <w:t>Melis</w:t>
      </w:r>
      <w:proofErr w:type="spellEnd"/>
      <w:r w:rsidR="6257626F" w:rsidRPr="00F9693B">
        <w:rPr>
          <w:rFonts w:ascii="Arial" w:eastAsia="system-ui" w:hAnsi="Arial" w:cs="Arial"/>
          <w:color w:val="0D0D0D" w:themeColor="text1" w:themeTint="F2"/>
        </w:rPr>
        <w:t xml:space="preserve"> Shaban</w:t>
      </w:r>
    </w:p>
    <w:p w14:paraId="0505A9DE" w14:textId="0726BFA6" w:rsidR="003B629A" w:rsidRPr="00F9693B" w:rsidRDefault="368A332E" w:rsidP="00F9693B">
      <w:pPr>
        <w:shd w:val="clear" w:color="auto" w:fill="FFFFFF" w:themeFill="background1"/>
        <w:spacing w:after="300" w:line="360" w:lineRule="auto"/>
        <w:jc w:val="both"/>
        <w:rPr>
          <w:rFonts w:ascii="Arial" w:hAnsi="Arial" w:cs="Arial"/>
        </w:rPr>
      </w:pPr>
      <w:r w:rsidRPr="00F9693B">
        <w:rPr>
          <w:rFonts w:ascii="Arial" w:eastAsia="system-ui" w:hAnsi="Arial" w:cs="Arial"/>
          <w:color w:val="0D0D0D" w:themeColor="text1" w:themeTint="F2"/>
        </w:rPr>
        <w:t xml:space="preserve">Student Number: </w:t>
      </w:r>
      <w:r w:rsidR="59C2204B" w:rsidRPr="00F9693B">
        <w:rPr>
          <w:rFonts w:ascii="Arial" w:eastAsia="system-ui" w:hAnsi="Arial" w:cs="Arial"/>
          <w:color w:val="0D0D0D" w:themeColor="text1" w:themeTint="F2"/>
        </w:rPr>
        <w:t>2212035</w:t>
      </w:r>
    </w:p>
    <w:p w14:paraId="2B3929E0" w14:textId="75D21275" w:rsidR="003B629A" w:rsidRPr="00F9693B" w:rsidRDefault="368A332E" w:rsidP="00F9693B">
      <w:pPr>
        <w:shd w:val="clear" w:color="auto" w:fill="FFFFFF" w:themeFill="background1"/>
        <w:spacing w:after="300" w:line="360" w:lineRule="auto"/>
        <w:jc w:val="both"/>
        <w:rPr>
          <w:rFonts w:ascii="Arial" w:hAnsi="Arial" w:cs="Arial"/>
        </w:rPr>
      </w:pPr>
      <w:r w:rsidRPr="00F9693B">
        <w:rPr>
          <w:rFonts w:ascii="Arial" w:eastAsia="system-ui" w:hAnsi="Arial" w:cs="Arial"/>
          <w:color w:val="0D0D0D" w:themeColor="text1" w:themeTint="F2"/>
        </w:rPr>
        <w:t xml:space="preserve">Module Title: </w:t>
      </w:r>
      <w:r w:rsidR="3560DA62" w:rsidRPr="00F9693B">
        <w:rPr>
          <w:rFonts w:ascii="Arial" w:eastAsia="system-ui" w:hAnsi="Arial" w:cs="Arial"/>
        </w:rPr>
        <w:t xml:space="preserve">Sustainable Hospitality &amp; Tourism Management </w:t>
      </w:r>
    </w:p>
    <w:p w14:paraId="75F983E3" w14:textId="65A1B27C" w:rsidR="003B629A" w:rsidRPr="00F9693B" w:rsidRDefault="368A332E" w:rsidP="00F9693B">
      <w:pPr>
        <w:shd w:val="clear" w:color="auto" w:fill="FFFFFF" w:themeFill="background1"/>
        <w:spacing w:after="300" w:line="360" w:lineRule="auto"/>
        <w:jc w:val="both"/>
        <w:rPr>
          <w:rFonts w:ascii="Arial" w:eastAsia="system-ui" w:hAnsi="Arial" w:cs="Arial"/>
          <w:color w:val="0D0D0D" w:themeColor="text1" w:themeTint="F2"/>
        </w:rPr>
      </w:pPr>
      <w:r w:rsidRPr="00F9693B">
        <w:rPr>
          <w:rFonts w:ascii="Arial" w:eastAsia="system-ui" w:hAnsi="Arial" w:cs="Arial"/>
          <w:color w:val="0D0D0D" w:themeColor="text1" w:themeTint="F2"/>
        </w:rPr>
        <w:t xml:space="preserve">Module Code: </w:t>
      </w:r>
      <w:r w:rsidR="46AF6986" w:rsidRPr="00F9693B">
        <w:rPr>
          <w:rFonts w:ascii="Arial" w:eastAsia="system-ui" w:hAnsi="Arial" w:cs="Arial"/>
        </w:rPr>
        <w:t xml:space="preserve">BMIH5006 </w:t>
      </w:r>
    </w:p>
    <w:p w14:paraId="68971A64" w14:textId="2444691B" w:rsidR="003B629A" w:rsidRPr="00F9693B" w:rsidRDefault="368A332E" w:rsidP="00F9693B">
      <w:pPr>
        <w:shd w:val="clear" w:color="auto" w:fill="FFFFFF" w:themeFill="background1"/>
        <w:spacing w:after="300" w:line="360" w:lineRule="auto"/>
        <w:jc w:val="both"/>
        <w:rPr>
          <w:rFonts w:ascii="Arial" w:eastAsia="system-ui" w:hAnsi="Arial" w:cs="Arial"/>
          <w:color w:val="0D0D0D" w:themeColor="text1" w:themeTint="F2"/>
        </w:rPr>
      </w:pPr>
      <w:r w:rsidRPr="00F9693B">
        <w:rPr>
          <w:rFonts w:ascii="Arial" w:eastAsia="system-ui" w:hAnsi="Arial" w:cs="Arial"/>
          <w:color w:val="0D0D0D" w:themeColor="text1" w:themeTint="F2"/>
        </w:rPr>
        <w:t xml:space="preserve">Lecturer’s Name: </w:t>
      </w:r>
      <w:r w:rsidR="2F7E7620" w:rsidRPr="00F9693B">
        <w:rPr>
          <w:rFonts w:ascii="Arial" w:eastAsia="system-ui" w:hAnsi="Arial" w:cs="Arial"/>
          <w:color w:val="0D0D0D" w:themeColor="text1" w:themeTint="F2"/>
        </w:rPr>
        <w:t xml:space="preserve">Lisa-Marie </w:t>
      </w:r>
      <w:proofErr w:type="spellStart"/>
      <w:r w:rsidR="2F7E7620" w:rsidRPr="00F9693B">
        <w:rPr>
          <w:rFonts w:ascii="Arial" w:eastAsia="system-ui" w:hAnsi="Arial" w:cs="Arial"/>
          <w:color w:val="0D0D0D" w:themeColor="text1" w:themeTint="F2"/>
        </w:rPr>
        <w:t>Bassler</w:t>
      </w:r>
      <w:proofErr w:type="spellEnd"/>
    </w:p>
    <w:p w14:paraId="71D11A4C" w14:textId="55EBF83C" w:rsidR="003B629A" w:rsidRPr="00F9693B" w:rsidRDefault="6AE8F392" w:rsidP="00F9693B">
      <w:pPr>
        <w:shd w:val="clear" w:color="auto" w:fill="FFFFFF" w:themeFill="background1"/>
        <w:spacing w:after="300" w:line="360" w:lineRule="auto"/>
        <w:jc w:val="both"/>
        <w:rPr>
          <w:rFonts w:ascii="Arial" w:eastAsia="system-ui" w:hAnsi="Arial" w:cs="Arial"/>
          <w:color w:val="0D0D0D" w:themeColor="text1" w:themeTint="F2"/>
        </w:rPr>
      </w:pPr>
      <w:r w:rsidRPr="00F9693B">
        <w:rPr>
          <w:rFonts w:ascii="Arial" w:eastAsia="system-ui" w:hAnsi="Arial" w:cs="Arial"/>
          <w:color w:val="0D0D0D" w:themeColor="text1" w:themeTint="F2"/>
        </w:rPr>
        <w:t>Wordcount: 18</w:t>
      </w:r>
      <w:r w:rsidR="00592DD9">
        <w:rPr>
          <w:rFonts w:ascii="Arial" w:eastAsia="system-ui" w:hAnsi="Arial" w:cs="Arial"/>
          <w:color w:val="0D0D0D" w:themeColor="text1" w:themeTint="F2"/>
        </w:rPr>
        <w:t>21</w:t>
      </w:r>
    </w:p>
    <w:p w14:paraId="48A83AFC" w14:textId="5A687197"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54B47B3B" w14:textId="04BE1FCA"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54874604" w14:textId="3BABFEB3"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416E2D0B" w14:textId="003E4AFD"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5259B387" w14:textId="5D488F96"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24F95D88" w14:textId="7D48B5C5"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1D0A90C3" w14:textId="7A31B800"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604BD2DD" w14:textId="57069CA3"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32775141" w14:textId="28EA706B"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43182E60" w14:textId="2F79CC27" w:rsidR="003B629A" w:rsidRPr="00F9693B" w:rsidRDefault="003B629A" w:rsidP="00F9693B">
      <w:pPr>
        <w:shd w:val="clear" w:color="auto" w:fill="FFFFFF" w:themeFill="background1"/>
        <w:spacing w:after="300" w:line="360" w:lineRule="auto"/>
        <w:jc w:val="both"/>
        <w:rPr>
          <w:rFonts w:ascii="Arial" w:eastAsia="system-ui" w:hAnsi="Arial" w:cs="Arial"/>
          <w:color w:val="0D0D0D" w:themeColor="text1" w:themeTint="F2"/>
        </w:rPr>
      </w:pPr>
    </w:p>
    <w:p w14:paraId="68DF83D8" w14:textId="742F8C02" w:rsidR="003B629A" w:rsidRPr="00F9693B" w:rsidRDefault="4E379337" w:rsidP="00F9693B">
      <w:pPr>
        <w:shd w:val="clear" w:color="auto" w:fill="FFFFFF" w:themeFill="background1"/>
        <w:spacing w:after="30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lastRenderedPageBreak/>
        <w:t>In today’s environmentally conscious and socially responsible market, Corporate Social Responsibility (CSR) stands as a cornerstone for successful business operations, particularly in the hospitality industry. As global attention increasingly focuses on the impacts of climate change, resource depletion, and social inequality, hospitality enterprises are under greater scrutiny to operate sustainably and ethically. This essay critically examines the role of CSR in promoting sustainability within Hilton Hotels, a leading global hospitality company, highlighting how it addresses the triple bottom line of environmental, social, and economic impacts.</w:t>
      </w:r>
    </w:p>
    <w:p w14:paraId="7C04B825" w14:textId="77777777" w:rsidR="00F9693B" w:rsidRDefault="4E379337" w:rsidP="00F9693B">
      <w:pPr>
        <w:shd w:val="clear" w:color="auto" w:fill="FFFFFF" w:themeFill="background1"/>
        <w:spacing w:before="300" w:after="300" w:line="360" w:lineRule="auto"/>
        <w:ind w:firstLine="72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Corporate Social Responsibility in the hospitality industry involves adopting practices that ensure responsible management of environmental impacts, enhance social equity, and drive economic growth. </w:t>
      </w:r>
      <w:r w:rsidR="703E4E32" w:rsidRPr="00F9693B">
        <w:rPr>
          <w:rFonts w:ascii="Arial" w:eastAsia="Arial Nova" w:hAnsi="Arial" w:cs="Arial"/>
          <w:color w:val="0D0D0D" w:themeColor="text1" w:themeTint="F2"/>
        </w:rPr>
        <w:t>Industry</w:t>
      </w:r>
      <w:r w:rsidRPr="00F9693B">
        <w:rPr>
          <w:rFonts w:ascii="Arial" w:eastAsia="Arial Nova" w:hAnsi="Arial" w:cs="Arial"/>
          <w:color w:val="0D0D0D" w:themeColor="text1" w:themeTint="F2"/>
        </w:rPr>
        <w:t>, known for its significant resource consumption and waste production, provides a unique platform for implementing CSR initiatives that can lead to substantial improvements in sustainability</w:t>
      </w:r>
      <w:r w:rsidR="063EFB2A" w:rsidRPr="00F9693B">
        <w:rPr>
          <w:rFonts w:ascii="Arial" w:eastAsia="Arial Nova" w:hAnsi="Arial" w:cs="Arial"/>
          <w:color w:val="0D0D0D" w:themeColor="text1" w:themeTint="F2"/>
        </w:rPr>
        <w:t xml:space="preserve"> (</w:t>
      </w:r>
      <w:proofErr w:type="spellStart"/>
      <w:r w:rsidR="063EFB2A" w:rsidRPr="00F9693B">
        <w:rPr>
          <w:rFonts w:ascii="Arial" w:eastAsia="Arial Nova" w:hAnsi="Arial" w:cs="Arial"/>
          <w:color w:val="0D0D0D" w:themeColor="text1" w:themeTint="F2"/>
        </w:rPr>
        <w:t>Bohdanowicz</w:t>
      </w:r>
      <w:proofErr w:type="spellEnd"/>
      <w:r w:rsidR="063EFB2A" w:rsidRPr="00F9693B">
        <w:rPr>
          <w:rFonts w:ascii="Arial" w:eastAsia="Arial Nova" w:hAnsi="Arial" w:cs="Arial"/>
          <w:color w:val="0D0D0D" w:themeColor="text1" w:themeTint="F2"/>
        </w:rPr>
        <w:t xml:space="preserve"> &amp; </w:t>
      </w:r>
      <w:proofErr w:type="spellStart"/>
      <w:r w:rsidR="063EFB2A" w:rsidRPr="00F9693B">
        <w:rPr>
          <w:rFonts w:ascii="Arial" w:eastAsia="Arial Nova" w:hAnsi="Arial" w:cs="Arial"/>
          <w:color w:val="0D0D0D" w:themeColor="text1" w:themeTint="F2"/>
        </w:rPr>
        <w:t>Zientara</w:t>
      </w:r>
      <w:proofErr w:type="spellEnd"/>
      <w:r w:rsidR="063EFB2A" w:rsidRPr="00F9693B">
        <w:rPr>
          <w:rFonts w:ascii="Arial" w:eastAsia="Arial Nova" w:hAnsi="Arial" w:cs="Arial"/>
          <w:color w:val="0D0D0D" w:themeColor="text1" w:themeTint="F2"/>
        </w:rPr>
        <w:t>, 2008)</w:t>
      </w:r>
      <w:r w:rsidRPr="00F9693B">
        <w:rPr>
          <w:rFonts w:ascii="Arial" w:eastAsia="Arial Nova" w:hAnsi="Arial" w:cs="Arial"/>
          <w:color w:val="0D0D0D" w:themeColor="text1" w:themeTint="F2"/>
        </w:rPr>
        <w:t xml:space="preserve">. Hilton Hotels has been at the forefront of integrating CSR into its business strategy, leveraging these initiatives not only to reduce its operational footprint but also to improve community relations and achieve economic </w:t>
      </w:r>
      <w:proofErr w:type="spellStart"/>
      <w:r w:rsidRPr="00F9693B">
        <w:rPr>
          <w:rFonts w:ascii="Arial" w:eastAsia="Arial Nova" w:hAnsi="Arial" w:cs="Arial"/>
          <w:color w:val="0D0D0D" w:themeColor="text1" w:themeTint="F2"/>
        </w:rPr>
        <w:t>benefits.</w:t>
      </w:r>
      <w:proofErr w:type="spellEnd"/>
    </w:p>
    <w:p w14:paraId="1AECB50D" w14:textId="3AA58C50" w:rsidR="003B629A" w:rsidRPr="00F9693B" w:rsidRDefault="4E379337" w:rsidP="00F9693B">
      <w:pPr>
        <w:shd w:val="clear" w:color="auto" w:fill="FFFFFF" w:themeFill="background1"/>
        <w:spacing w:before="300" w:after="300" w:line="360" w:lineRule="auto"/>
        <w:ind w:firstLine="72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This analysis will explore several key areas where Hilton’s CSR initiatives have a significant impact, including environmental sustainability measures like energy conservation and waste reduction, social responsibility efforts such as community engagement and employee welfare, and economic practices that promote sustainable sourcing and improve profitability. Additionally, the essay will address the challenges and opportunities associated with implementing effective CSR policies, which require balancing corporate goals with environmental stewardship and social responsibility.</w:t>
      </w:r>
      <w:r w:rsidR="00F9693B">
        <w:rPr>
          <w:rFonts w:ascii="Arial" w:eastAsia="Arial Nova" w:hAnsi="Arial" w:cs="Arial"/>
          <w:color w:val="0D0D0D" w:themeColor="text1" w:themeTint="F2"/>
        </w:rPr>
        <w:tab/>
      </w:r>
      <w:r w:rsidRPr="00F9693B">
        <w:rPr>
          <w:rFonts w:ascii="Arial" w:eastAsia="Arial Nova" w:hAnsi="Arial" w:cs="Arial"/>
          <w:color w:val="0D0D0D" w:themeColor="text1" w:themeTint="F2"/>
        </w:rPr>
        <w:t xml:space="preserve">By delving into Hilton’s CSR strategies, this essay aims to provide a comprehensive overview of how integrated CSR policies can enhance business sustainability and foster a positive corporate image. The discussion will also critically evaluate the effectiveness and scope of Hilton's initiatives, drawing on a variety of academic, governmental, and industrial sources to provide a well-rounded perspective on CSR’s role in the hospitality industry. Through this exploration, the essay will demonstrate the integral role of CSR in shaping sustainable business practices that not only meet but </w:t>
      </w:r>
      <w:r w:rsidRPr="00F9693B">
        <w:rPr>
          <w:rFonts w:ascii="Arial" w:eastAsia="Arial Nova" w:hAnsi="Arial" w:cs="Arial"/>
          <w:color w:val="0D0D0D" w:themeColor="text1" w:themeTint="F2"/>
        </w:rPr>
        <w:lastRenderedPageBreak/>
        <w:t>exceed the ethical standards demanded by consumers, investors, and regulatory bodies today.</w:t>
      </w:r>
      <w:r w:rsidRPr="00F9693B">
        <w:rPr>
          <w:rFonts w:ascii="Arial" w:eastAsia="Arial Nova" w:hAnsi="Arial" w:cs="Arial"/>
          <w:b/>
          <w:bCs/>
          <w:color w:val="0D0D0D" w:themeColor="text1" w:themeTint="F2"/>
        </w:rPr>
        <w:t xml:space="preserve"> </w:t>
      </w:r>
    </w:p>
    <w:p w14:paraId="7BE464DE" w14:textId="77777777" w:rsidR="00F9693B" w:rsidRPr="00F9693B" w:rsidRDefault="368A332E" w:rsidP="00F9693B">
      <w:pPr>
        <w:shd w:val="clear" w:color="auto" w:fill="FFFFFF" w:themeFill="background1"/>
        <w:spacing w:after="30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The hospitality industry, known for its extensive consumption of resources, has a significant environmental footprint involving energy, water, and waste. In response, leading hotels have incorporated CSR strategies to mitigate these impacts and improve their sustainability profile. Hilton Hotels has been at the forefront of this initiative, integrating CSR into every aspect of its operations (Smith &amp; Font, 2017).</w:t>
      </w:r>
    </w:p>
    <w:p w14:paraId="52D7FFA5" w14:textId="3DEAFB0B" w:rsidR="003B629A" w:rsidRPr="00F9693B" w:rsidRDefault="67E92C54"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 has adopted advanced energy management systems, including the use of smart thermostats and LED lighting across its properties. This shift has not only reduced Hilton's energy consumption significantly but also contributed to operational cost savings. For instance, their initiatives led to a 30% reduction in carbon output over the last decade, illustrating a successful integration of environmental stewardship into business operations (Hilton, 2020).</w:t>
      </w:r>
    </w:p>
    <w:p w14:paraId="4C4E0230" w14:textId="0F6C13C9"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Water conservation efforts at Hilton include installing low-flow showers and faucets and implementing water recycling systems that treat and reuse greywater for landscaping and flushing toilets. These measures have drastically reduced water usage, helping preserve vital water resources in water-scarce regions where some of its properties are located.</w:t>
      </w:r>
    </w:p>
    <w:p w14:paraId="10D36DC5" w14:textId="36239DDE"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Hilton's approach to waste management emphasizes reduction, reuse, and recycling. Initiatives such as donating leftover food to local charities and recycling soap and shampoo bottles have significantly lowered the waste output of their hotels, contributing to both local community support and environmental conservation (Jones, 2019).</w:t>
      </w:r>
    </w:p>
    <w:p w14:paraId="5D89AD1B" w14:textId="1C7B02B5"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Hilton's commitment to CSR extends beyond environmental measures to include substantial contributions to community well-being. Programs like the Hilton Effect Foundation focus on providing education and professional training to young people, enhancing employment opportunities in hospitality around the world. Such initiatives not only foster community development but also ensure a steady supply of trained professionals in the local job markets.</w:t>
      </w:r>
    </w:p>
    <w:p w14:paraId="23DA234F" w14:textId="07F3124E"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lastRenderedPageBreak/>
        <w:t>Hilton places a high priority on the health and development of its employees. This includes extensive training programs in personal and professional skills, health and safety measures tailored to different job roles, and programs aimed at improving workplace inclusivity and diversity. These efforts result in enhanced employee satisfaction and retention, which are critical for long-term business sustainability (Chen et al., 2020).</w:t>
      </w:r>
    </w:p>
    <w:p w14:paraId="500BE8E0" w14:textId="5DF6A51C"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Hilton’s sustainable sourcing policy involves purchasing locally produced goods and services wherever possible, which reduces transport emissions and supports local economies. Moreover, the hotel chain prioritizes suppliers who adhere to sustainable practices, thus extending its CSR impact down the supply chain.</w:t>
      </w:r>
    </w:p>
    <w:p w14:paraId="3EFCA7BE" w14:textId="640C88AA" w:rsidR="003B629A" w:rsidRPr="00F9693B" w:rsidRDefault="67E92C54"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The economic aspect of Hilton's CSR strategy is evident in how sustainability initiatives translate into financial savings. Reduced utility costs, efficiency improvements, and enhanced guest loyalty through a strong CSR reputation contribute to Hilton’s bottom line. This alignment of economic and environmental goals is central to the concept of CSR in modern corporate strategies (Wilson, 2019).</w:t>
      </w:r>
    </w:p>
    <w:p w14:paraId="56C6E844" w14:textId="77777777" w:rsidR="00F9693B" w:rsidRDefault="67E92C54"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Despite these efforts, Hilton faces challenges such as ensuring consistency in CSR implementation across its global network and adapting to local regulations and cultural expectations. Measuring the long-term impacts of CSR initiatives also poses difficulties due to the complex interplay of different sustainability metrics.</w:t>
      </w:r>
    </w:p>
    <w:p w14:paraId="15AC08F5" w14:textId="0740AA03" w:rsidR="003B629A" w:rsidRPr="00F9693B" w:rsidRDefault="67E92C54"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However, these challenges present unique opportunities for innovation and leadership in sustainability within the hospitality industry. Hilton's continued investment in green technology, employee training, and community initiatives not only strengthens its market position but also sets a benchmark for industry practices in sustainability (Baker, 2018).</w:t>
      </w:r>
    </w:p>
    <w:p w14:paraId="1A821A46" w14:textId="383317A9" w:rsidR="003B629A" w:rsidRPr="00F9693B" w:rsidRDefault="7F1E6FAE"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The implementation of Corporate Social Responsibility (CSR) at Hilton Hotels has been both extensive and impactful, revealing a nuanced understanding of the interplay between corporate responsibility and business strategy. This section critically evaluates the effectiveness of Hilton's CSR initiatives, highlighting their strengths and potential areas for improvement based on the company's public disclosures and independent assessments.</w:t>
      </w:r>
    </w:p>
    <w:p w14:paraId="2766D17C" w14:textId="7E9484DA" w:rsidR="003B629A" w:rsidRPr="00F9693B" w:rsidRDefault="7F1E6FAE"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lastRenderedPageBreak/>
        <w:t xml:space="preserve">Hilton's commitment to environmental sustainability is evident through its comprehensive </w:t>
      </w:r>
      <w:proofErr w:type="spellStart"/>
      <w:r w:rsidRPr="00F9693B">
        <w:rPr>
          <w:rFonts w:ascii="Arial" w:eastAsia="Arial Nova" w:hAnsi="Arial" w:cs="Arial"/>
          <w:color w:val="0D0D0D" w:themeColor="text1" w:themeTint="F2"/>
        </w:rPr>
        <w:t>LightStay</w:t>
      </w:r>
      <w:proofErr w:type="spellEnd"/>
      <w:r w:rsidRPr="00F9693B">
        <w:rPr>
          <w:rFonts w:ascii="Arial" w:eastAsia="Arial Nova" w:hAnsi="Arial" w:cs="Arial"/>
          <w:color w:val="0D0D0D" w:themeColor="text1" w:themeTint="F2"/>
        </w:rPr>
        <w:t xml:space="preserve"> program. The program's focus on tracking and reducing energy use, water consumption, and waste production has set industry benchmarks. For instance, Hilton has successfully achieved a 30% reduction in carbon emissions and a 20% reduction in energy and water use, which not only mitigates environmental impact but also translates into significant cost savings (Hilton, 2020). While these achievements are commendable, the challenge remains in scaling these successes across all properties globally, especially in regions with less stringent environmental regulations or differing environmental priorities. Furthermore, Hilton's heavy reliance on technology for environmental management raises questions about the sustainability of such approaches in less developed areas where technological adoption may be slower.</w:t>
      </w:r>
    </w:p>
    <w:p w14:paraId="2E441DD8" w14:textId="108AEA6F" w:rsidR="003B629A" w:rsidRPr="00F9693B" w:rsidRDefault="7F1E6FAE"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Hilton's social responsibility initiatives have been robust, focusing on community engagement and employee welfare. Programs aimed at enhancing local livelihoods and expanding professional opportunities in hospitality are particularly impactful. For example, the Hilton Effect Foundation has initiated various community projects that address local needs, such as supporting food banks or offering career development programs in underserved areas. However, the evaluation of these programs' long-term impact is less clear. While immediate benefits such as community support and enhanced brand image are evident, assessing the lasting change brought about by these initiatives requires more longitudinal studies and transparent reporting.</w:t>
      </w:r>
    </w:p>
    <w:p w14:paraId="6742DA79" w14:textId="4F8B4E70" w:rsidR="003B629A" w:rsidRPr="00F9693B" w:rsidRDefault="7F1E6FAE"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Hilton’s approach to integrating CSR into its economic model has been strategic and beneficial. By reducing operational costs through energy savings and efficient resource use, Hilton has improved its profitability while adhering to its CSR commitments. The use of sustainable sourcing practices also exemplifies Hilton’s commitment to economic sustainability by supporting local economies and reducing environmental impacts associated with long-distance transportation of goods (Chen et al., 2020). However, the economic advantages of CSR need to be communicated more effectively to stakeholders to enhance investment in these areas. This could involve detailed reporting on the return on investment (ROI) for CSR initiatives, which could encourage further integration of sustainability into core business practices</w:t>
      </w:r>
      <w:r w:rsidR="669B8DA1" w:rsidRPr="00F9693B">
        <w:rPr>
          <w:rFonts w:ascii="Arial" w:eastAsia="Arial Nova" w:hAnsi="Arial" w:cs="Arial"/>
          <w:color w:val="0D0D0D" w:themeColor="text1" w:themeTint="F2"/>
        </w:rPr>
        <w:t xml:space="preserve"> (Werther &amp; Chandler, 2011)</w:t>
      </w:r>
      <w:r w:rsidRPr="00F9693B">
        <w:rPr>
          <w:rFonts w:ascii="Arial" w:eastAsia="Arial Nova" w:hAnsi="Arial" w:cs="Arial"/>
          <w:color w:val="0D0D0D" w:themeColor="text1" w:themeTint="F2"/>
        </w:rPr>
        <w:t>.</w:t>
      </w:r>
    </w:p>
    <w:p w14:paraId="555939AD" w14:textId="74487948" w:rsidR="003B629A" w:rsidRPr="00F9693B" w:rsidRDefault="7F1E6FAE" w:rsidP="00F9693B">
      <w:pPr>
        <w:shd w:val="clear" w:color="auto" w:fill="FFFFFF" w:themeFill="background1"/>
        <w:spacing w:after="30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lastRenderedPageBreak/>
        <w:t>Despite the success of Hilton’s CSR strategies, there are opportunities for further enhancement:</w:t>
      </w:r>
    </w:p>
    <w:p w14:paraId="32B1ADE6" w14:textId="5D4157A4" w:rsidR="003B629A" w:rsidRPr="00F9693B" w:rsidRDefault="7F1E6FAE"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Hilton could adopt more aggressive targets for reducing greenhouse gas emissions, in line with global efforts to combat climate change. This might include investing in renewable energy sources or pursuing net-zero emissions goals.</w:t>
      </w:r>
    </w:p>
    <w:p w14:paraId="1314B68C" w14:textId="41D354B3" w:rsidR="003B629A" w:rsidRPr="00F9693B" w:rsidRDefault="7F1E6FAE" w:rsidP="00F9693B">
      <w:pPr>
        <w:pStyle w:val="ListParagraph"/>
        <w:shd w:val="clear" w:color="auto" w:fill="FFFFFF" w:themeFill="background1"/>
        <w:spacing w:after="0" w:line="360" w:lineRule="auto"/>
        <w:ind w:left="0"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Increasing the transparency of CSR outcomes and methodologies used for measuring impact would build greater trust and engagement among stakeholders, including guests, investors, and community members.</w:t>
      </w:r>
    </w:p>
    <w:p w14:paraId="75985AF5" w14:textId="18F7142B" w:rsidR="003B629A" w:rsidRPr="00F9693B" w:rsidRDefault="7F1E6FAE" w:rsidP="00F9693B">
      <w:pPr>
        <w:shd w:val="clear" w:color="auto" w:fill="FFFFFF" w:themeFill="background1"/>
        <w:spacing w:after="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Engaging a wider range of stakeholders in CSR planning and implementation could foster more innovative solutions and ensure that the initiatives are well-rounded and comprehensive, covering all aspects of sustainability.</w:t>
      </w:r>
      <w:r w:rsidRPr="00F9693B">
        <w:rPr>
          <w:rFonts w:ascii="Arial" w:eastAsia="Arial Nova" w:hAnsi="Arial" w:cs="Arial"/>
          <w:b/>
          <w:bCs/>
          <w:color w:val="0D0D0D" w:themeColor="text1" w:themeTint="F2"/>
        </w:rPr>
        <w:t xml:space="preserve"> </w:t>
      </w:r>
    </w:p>
    <w:p w14:paraId="26965CB0" w14:textId="77777777" w:rsidR="00F9693B" w:rsidRDefault="00F9693B" w:rsidP="00F9693B">
      <w:pPr>
        <w:shd w:val="clear" w:color="auto" w:fill="FFFFFF" w:themeFill="background1"/>
        <w:spacing w:after="300" w:line="360" w:lineRule="auto"/>
        <w:jc w:val="both"/>
        <w:rPr>
          <w:rFonts w:ascii="Arial" w:eastAsia="Arial Nova" w:hAnsi="Arial" w:cs="Arial"/>
          <w:color w:val="0D0D0D" w:themeColor="text1" w:themeTint="F2"/>
        </w:rPr>
      </w:pPr>
    </w:p>
    <w:p w14:paraId="27D73304" w14:textId="77777777" w:rsidR="00F9693B" w:rsidRDefault="11CE00B9"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Hilton Hotels' strategic approach to Corporate Social Responsibility (CSR) exemplifies the profound impact that a well-implemented CSR strategy can have within the hospitality industry. Through a series of targeted initiatives focused on environmental sustainability, social responsibility, and economic viability, Hilton has not only enhanced its operational efficiencies but also significantly bolstered its corporate reputation and stakeholder value. This essay has illustrated how effective CSR implementation can catalyze substantial improvements in sustainability practices, demonstrating tangible benefits across various </w:t>
      </w:r>
      <w:proofErr w:type="spellStart"/>
      <w:r w:rsidRPr="00F9693B">
        <w:rPr>
          <w:rFonts w:ascii="Arial" w:eastAsia="Arial Nova" w:hAnsi="Arial" w:cs="Arial"/>
          <w:color w:val="0D0D0D" w:themeColor="text1" w:themeTint="F2"/>
        </w:rPr>
        <w:t>dimensions.</w:t>
      </w:r>
      <w:proofErr w:type="spellEnd"/>
    </w:p>
    <w:p w14:paraId="3CBCC006" w14:textId="77777777" w:rsidR="00F9693B" w:rsidRDefault="11CE00B9"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Firstly, Hilton’s environmental initiatives have set industry standards for sustainability, achieving substantial reductions in energy consumption, water use, and waste production. These efforts not only mitigate the environmental impact but also optimize resource use, which is crucial in an industry characterized by significant consumption. The environmental strides made by Hilton, such as achieving a 30% reduction in carbon emissions, showcase the potential of CSR to drive significant ecological benefits, aligning business operations with broader environmental conservation goals.</w:t>
      </w:r>
      <w:r w:rsidR="00F9693B">
        <w:rPr>
          <w:rFonts w:ascii="Arial" w:eastAsia="Arial Nova" w:hAnsi="Arial" w:cs="Arial"/>
          <w:color w:val="0D0D0D" w:themeColor="text1" w:themeTint="F2"/>
        </w:rPr>
        <w:t xml:space="preserve"> </w:t>
      </w:r>
      <w:r w:rsidRPr="00F9693B">
        <w:rPr>
          <w:rFonts w:ascii="Arial" w:eastAsia="Arial Nova" w:hAnsi="Arial" w:cs="Arial"/>
          <w:color w:val="0D0D0D" w:themeColor="text1" w:themeTint="F2"/>
        </w:rPr>
        <w:t xml:space="preserve">Secondly, Hilton’s commitment to social responsibility, particularly through its community engagement and employee welfare programs, has cultivated a positive corporate image and strengthened </w:t>
      </w:r>
      <w:r w:rsidRPr="00F9693B">
        <w:rPr>
          <w:rFonts w:ascii="Arial" w:eastAsia="Arial Nova" w:hAnsi="Arial" w:cs="Arial"/>
          <w:color w:val="0D0D0D" w:themeColor="text1" w:themeTint="F2"/>
        </w:rPr>
        <w:lastRenderedPageBreak/>
        <w:t>community ties. These initiatives, which range from local community support to global outreach programs, underscore the importance of integrating CSR into the core business model, not just as an ethical mandate but as a strategic business imperative. The social dimension of Hilton's CSR efforts highlights the role of the hospitality sector in fostering social equity and community development, essential elements in achieving sustainable growth.</w:t>
      </w:r>
      <w:r w:rsidR="00F9693B">
        <w:rPr>
          <w:rFonts w:ascii="Arial" w:eastAsia="Arial Nova" w:hAnsi="Arial" w:cs="Arial"/>
          <w:color w:val="0D0D0D" w:themeColor="text1" w:themeTint="F2"/>
        </w:rPr>
        <w:t xml:space="preserve"> </w:t>
      </w:r>
      <w:r w:rsidRPr="00F9693B">
        <w:rPr>
          <w:rFonts w:ascii="Arial" w:eastAsia="Arial Nova" w:hAnsi="Arial" w:cs="Arial"/>
          <w:color w:val="0D0D0D" w:themeColor="text1" w:themeTint="F2"/>
        </w:rPr>
        <w:t>Lastly, the economic sustainability driven by Hilton’s CSR policies demonstrates that ethical business practices can coincide with profitability. Hilton's initiatives have proven that sustainable practices can lead to operational cost savings and enhanced guest loyalty, which are critical for long-term profitability. This synergy between economic and environmental objectives serves as a compelling case for the broader adoption of CSR in the hospitality industry.</w:t>
      </w:r>
      <w:r w:rsidR="00F9693B">
        <w:rPr>
          <w:rFonts w:ascii="Arial" w:eastAsia="Arial Nova" w:hAnsi="Arial" w:cs="Arial"/>
          <w:color w:val="0D0D0D" w:themeColor="text1" w:themeTint="F2"/>
        </w:rPr>
        <w:t xml:space="preserve"> </w:t>
      </w:r>
      <w:r w:rsidRPr="00F9693B">
        <w:rPr>
          <w:rFonts w:ascii="Arial" w:eastAsia="Arial Nova" w:hAnsi="Arial" w:cs="Arial"/>
          <w:color w:val="0D0D0D" w:themeColor="text1" w:themeTint="F2"/>
        </w:rPr>
        <w:t>However, the journey does not end here. As Hilton continues to lead in CSR within the hospitality industry, it faces the ongoing challenge of enhancing these initiatives and addressing emerging global sustainability issues. The company must strive for greater transparency in its CSR activities, adopt more ambitious environmental targets, and engage more comprehensively with all stakeholders to foster an inclusive approach to sustainability.</w:t>
      </w:r>
    </w:p>
    <w:p w14:paraId="4776FDD4" w14:textId="50613861" w:rsidR="003B629A" w:rsidRPr="00F9693B" w:rsidRDefault="11CE00B9" w:rsidP="00F9693B">
      <w:pPr>
        <w:shd w:val="clear" w:color="auto" w:fill="FFFFFF" w:themeFill="background1"/>
        <w:spacing w:after="300" w:line="360" w:lineRule="auto"/>
        <w:ind w:firstLine="360"/>
        <w:jc w:val="both"/>
        <w:rPr>
          <w:rFonts w:ascii="Arial" w:eastAsia="Arial Nova" w:hAnsi="Arial" w:cs="Arial"/>
          <w:color w:val="0D0D0D" w:themeColor="text1" w:themeTint="F2"/>
        </w:rPr>
      </w:pPr>
      <w:r w:rsidRPr="00F9693B">
        <w:rPr>
          <w:rFonts w:ascii="Arial" w:eastAsia="Arial Nova" w:hAnsi="Arial" w:cs="Arial"/>
          <w:color w:val="0D0D0D" w:themeColor="text1" w:themeTint="F2"/>
        </w:rPr>
        <w:t>In conclusion, Hilton Hotels' use of CSR as a strategic tool for sustainability has not only transformed its own practices but also set a benchmark for the hospitality industry. This case study serves as a testament to the transformative power of CSR in achieving sustainable business operations and highlights the potential for other industry players to follow suit, paving the way for a more sustainable and responsible future in global tourism. This analysis and the outlined successes and challenges provide a robust framework for understanding the critical importance and impact of CSR in the hospitality sector.</w:t>
      </w:r>
      <w:r w:rsidRPr="00F9693B">
        <w:rPr>
          <w:rFonts w:ascii="Arial" w:eastAsia="Arial Nova" w:hAnsi="Arial" w:cs="Arial"/>
          <w:b/>
          <w:bCs/>
          <w:color w:val="0D0D0D" w:themeColor="text1" w:themeTint="F2"/>
        </w:rPr>
        <w:t xml:space="preserve"> </w:t>
      </w:r>
    </w:p>
    <w:p w14:paraId="1F34F4E1" w14:textId="3A908D63" w:rsidR="003B629A" w:rsidRDefault="003B629A" w:rsidP="00F9693B">
      <w:pPr>
        <w:pStyle w:val="Heading3"/>
        <w:shd w:val="clear" w:color="auto" w:fill="FFFFFF" w:themeFill="background1"/>
        <w:spacing w:before="240" w:after="120" w:line="360" w:lineRule="auto"/>
        <w:jc w:val="both"/>
        <w:rPr>
          <w:rFonts w:ascii="Arial" w:eastAsia="Arial Nova" w:hAnsi="Arial" w:cs="Arial"/>
          <w:b/>
          <w:bCs/>
          <w:color w:val="0D0D0D" w:themeColor="text1" w:themeTint="F2"/>
          <w:sz w:val="24"/>
          <w:szCs w:val="24"/>
        </w:rPr>
      </w:pPr>
    </w:p>
    <w:p w14:paraId="4234805C" w14:textId="77777777" w:rsidR="00F9693B" w:rsidRDefault="00F9693B" w:rsidP="00F9693B"/>
    <w:p w14:paraId="27A59C62" w14:textId="77777777" w:rsidR="00F9693B" w:rsidRDefault="00F9693B" w:rsidP="00F9693B"/>
    <w:p w14:paraId="4F01F743" w14:textId="77777777" w:rsidR="00F9693B" w:rsidRPr="00F9693B" w:rsidRDefault="00F9693B" w:rsidP="00F9693B"/>
    <w:p w14:paraId="2B7D57F6" w14:textId="51400F26" w:rsidR="003B629A" w:rsidRPr="00F9693B" w:rsidRDefault="368A332E" w:rsidP="00F9693B">
      <w:pPr>
        <w:pStyle w:val="Heading3"/>
        <w:shd w:val="clear" w:color="auto" w:fill="FFFFFF" w:themeFill="background1"/>
        <w:spacing w:before="240" w:after="120" w:line="360" w:lineRule="auto"/>
        <w:jc w:val="both"/>
        <w:rPr>
          <w:rFonts w:ascii="Arial" w:eastAsia="Arial Nova" w:hAnsi="Arial" w:cs="Arial"/>
          <w:b/>
          <w:bCs/>
          <w:color w:val="0D0D0D" w:themeColor="text1" w:themeTint="F2"/>
          <w:sz w:val="24"/>
          <w:szCs w:val="24"/>
        </w:rPr>
      </w:pPr>
      <w:r w:rsidRPr="00F9693B">
        <w:rPr>
          <w:rFonts w:ascii="Arial" w:eastAsia="Arial Nova" w:hAnsi="Arial" w:cs="Arial"/>
          <w:b/>
          <w:bCs/>
          <w:color w:val="0D0D0D" w:themeColor="text1" w:themeTint="F2"/>
          <w:sz w:val="24"/>
          <w:szCs w:val="24"/>
        </w:rPr>
        <w:lastRenderedPageBreak/>
        <w:t>Reference List</w:t>
      </w:r>
    </w:p>
    <w:p w14:paraId="7A0409AD" w14:textId="3F89C198" w:rsidR="00F9693B" w:rsidRPr="00F9693B" w:rsidRDefault="00F9693B" w:rsidP="00F9693B">
      <w:pPr>
        <w:spacing w:before="240" w:after="240" w:line="360" w:lineRule="auto"/>
        <w:jc w:val="both"/>
        <w:rPr>
          <w:rFonts w:ascii="Arial" w:eastAsia="Arial Nova" w:hAnsi="Arial" w:cs="Arial"/>
          <w:color w:val="000000" w:themeColor="text1"/>
        </w:rPr>
      </w:pPr>
      <w:r w:rsidRPr="00F9693B">
        <w:rPr>
          <w:rFonts w:ascii="Arial" w:eastAsia="Arial Nova" w:hAnsi="Arial" w:cs="Arial"/>
          <w:color w:val="000000" w:themeColor="text1"/>
        </w:rPr>
        <w:t>Anon, (</w:t>
      </w:r>
      <w:r>
        <w:rPr>
          <w:rFonts w:ascii="Arial" w:eastAsia="Arial Nova" w:hAnsi="Arial" w:cs="Arial"/>
          <w:color w:val="000000" w:themeColor="text1"/>
        </w:rPr>
        <w:t>2023</w:t>
      </w:r>
      <w:r w:rsidRPr="00F9693B">
        <w:rPr>
          <w:rFonts w:ascii="Arial" w:eastAsia="Arial Nova" w:hAnsi="Arial" w:cs="Arial"/>
          <w:color w:val="000000" w:themeColor="text1"/>
        </w:rPr>
        <w:t xml:space="preserve">). </w:t>
      </w:r>
      <w:r w:rsidRPr="00F9693B">
        <w:rPr>
          <w:rFonts w:ascii="Arial" w:eastAsia="Arial Nova" w:hAnsi="Arial" w:cs="Arial"/>
          <w:i/>
          <w:iCs/>
          <w:color w:val="000000" w:themeColor="text1"/>
        </w:rPr>
        <w:t>Our Reporting</w:t>
      </w:r>
      <w:r w:rsidRPr="00F9693B">
        <w:rPr>
          <w:rFonts w:ascii="Arial" w:eastAsia="Arial Nova" w:hAnsi="Arial" w:cs="Arial"/>
          <w:color w:val="000000" w:themeColor="text1"/>
        </w:rPr>
        <w:t xml:space="preserve">. [online] Available at: </w:t>
      </w:r>
      <w:hyperlink r:id="rId5">
        <w:r w:rsidRPr="00F9693B">
          <w:rPr>
            <w:rStyle w:val="Hyperlink"/>
            <w:rFonts w:ascii="Arial" w:eastAsia="Arial Nova" w:hAnsi="Arial" w:cs="Arial"/>
          </w:rPr>
          <w:t>https://esg.hilton.com/our-reporting/</w:t>
        </w:r>
      </w:hyperlink>
      <w:r w:rsidRPr="00F9693B">
        <w:rPr>
          <w:rFonts w:ascii="Arial" w:eastAsia="Arial Nova" w:hAnsi="Arial" w:cs="Arial"/>
          <w:color w:val="000000" w:themeColor="text1"/>
        </w:rPr>
        <w:t>.</w:t>
      </w:r>
    </w:p>
    <w:p w14:paraId="07F42E15" w14:textId="77777777" w:rsidR="00F9693B" w:rsidRP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Baker, M. (2018). </w:t>
      </w:r>
      <w:r w:rsidRPr="00F9693B">
        <w:rPr>
          <w:rFonts w:ascii="Arial" w:eastAsia="Arial Nova" w:hAnsi="Arial" w:cs="Arial"/>
          <w:i/>
          <w:iCs/>
          <w:color w:val="0D0D0D" w:themeColor="text1" w:themeTint="F2"/>
        </w:rPr>
        <w:t>Corporate Social Responsibility: A Global Perspective</w:t>
      </w:r>
      <w:r w:rsidRPr="00F9693B">
        <w:rPr>
          <w:rFonts w:ascii="Arial" w:eastAsia="Arial Nova" w:hAnsi="Arial" w:cs="Arial"/>
          <w:color w:val="0D0D0D" w:themeColor="text1" w:themeTint="F2"/>
        </w:rPr>
        <w:t>. Routledge.</w:t>
      </w:r>
    </w:p>
    <w:p w14:paraId="027EBB14" w14:textId="2E575183" w:rsidR="00F9693B" w:rsidRPr="00407C81" w:rsidRDefault="00F9693B" w:rsidP="00407C81">
      <w:pPr>
        <w:spacing w:after="0" w:line="360" w:lineRule="auto"/>
        <w:jc w:val="both"/>
        <w:rPr>
          <w:rFonts w:ascii="Arial" w:eastAsia="Arial Nova" w:hAnsi="Arial" w:cs="Arial"/>
          <w:color w:val="000000" w:themeColor="text1"/>
        </w:rPr>
      </w:pPr>
      <w:proofErr w:type="spellStart"/>
      <w:r w:rsidRPr="00F9693B">
        <w:rPr>
          <w:rFonts w:ascii="Arial" w:eastAsia="Arial Nova" w:hAnsi="Arial" w:cs="Arial"/>
          <w:color w:val="000000" w:themeColor="text1"/>
        </w:rPr>
        <w:t>Berezan</w:t>
      </w:r>
      <w:proofErr w:type="spellEnd"/>
      <w:r w:rsidRPr="00F9693B">
        <w:rPr>
          <w:rFonts w:ascii="Arial" w:eastAsia="Arial Nova" w:hAnsi="Arial" w:cs="Arial"/>
          <w:color w:val="000000" w:themeColor="text1"/>
        </w:rPr>
        <w:t xml:space="preserve">, O., </w:t>
      </w:r>
      <w:proofErr w:type="spellStart"/>
      <w:r w:rsidRPr="00F9693B">
        <w:rPr>
          <w:rFonts w:ascii="Arial" w:eastAsia="Arial Nova" w:hAnsi="Arial" w:cs="Arial"/>
          <w:color w:val="000000" w:themeColor="text1"/>
        </w:rPr>
        <w:t>Raab</w:t>
      </w:r>
      <w:proofErr w:type="spellEnd"/>
      <w:r w:rsidRPr="00F9693B">
        <w:rPr>
          <w:rFonts w:ascii="Arial" w:eastAsia="Arial Nova" w:hAnsi="Arial" w:cs="Arial"/>
          <w:color w:val="000000" w:themeColor="text1"/>
        </w:rPr>
        <w:t xml:space="preserve">, C., </w:t>
      </w:r>
      <w:proofErr w:type="spellStart"/>
      <w:r w:rsidRPr="00F9693B">
        <w:rPr>
          <w:rFonts w:ascii="Arial" w:eastAsia="Arial Nova" w:hAnsi="Arial" w:cs="Arial"/>
          <w:color w:val="000000" w:themeColor="text1"/>
        </w:rPr>
        <w:t>Yoo</w:t>
      </w:r>
      <w:proofErr w:type="spellEnd"/>
      <w:r w:rsidRPr="00F9693B">
        <w:rPr>
          <w:rFonts w:ascii="Arial" w:eastAsia="Arial Nova" w:hAnsi="Arial" w:cs="Arial"/>
          <w:color w:val="000000" w:themeColor="text1"/>
        </w:rPr>
        <w:t xml:space="preserve">, M. and Love, C. (2013). Sustainable hotel practices and nationality: The impact on guest satisfaction and guest intention to return. </w:t>
      </w:r>
      <w:r w:rsidRPr="00F9693B">
        <w:rPr>
          <w:rFonts w:ascii="Arial" w:eastAsia="Arial Nova" w:hAnsi="Arial" w:cs="Arial"/>
          <w:i/>
          <w:iCs/>
          <w:color w:val="000000" w:themeColor="text1"/>
        </w:rPr>
        <w:t>International Journal of Hospitality Management</w:t>
      </w:r>
      <w:r w:rsidRPr="00F9693B">
        <w:rPr>
          <w:rFonts w:ascii="Arial" w:eastAsia="Arial Nova" w:hAnsi="Arial" w:cs="Arial"/>
          <w:color w:val="000000" w:themeColor="text1"/>
        </w:rPr>
        <w:t xml:space="preserve">, 34(1), pp.227–233. </w:t>
      </w:r>
      <w:proofErr w:type="spellStart"/>
      <w:proofErr w:type="gramStart"/>
      <w:r w:rsidRPr="00F9693B">
        <w:rPr>
          <w:rFonts w:ascii="Arial" w:eastAsia="Arial Nova" w:hAnsi="Arial" w:cs="Arial"/>
          <w:color w:val="000000" w:themeColor="text1"/>
        </w:rPr>
        <w:t>doi:https</w:t>
      </w:r>
      <w:proofErr w:type="spellEnd"/>
      <w:r w:rsidRPr="00F9693B">
        <w:rPr>
          <w:rFonts w:ascii="Arial" w:eastAsia="Arial Nova" w:hAnsi="Arial" w:cs="Arial"/>
          <w:color w:val="000000" w:themeColor="text1"/>
        </w:rPr>
        <w:t>://doi.org/10.1016/j.ijhm.2013.03.010</w:t>
      </w:r>
      <w:proofErr w:type="gramEnd"/>
      <w:r w:rsidRPr="00F9693B">
        <w:rPr>
          <w:rFonts w:ascii="Arial" w:eastAsia="Arial Nova" w:hAnsi="Arial" w:cs="Arial"/>
          <w:color w:val="000000" w:themeColor="text1"/>
        </w:rPr>
        <w:t>.</w:t>
      </w:r>
    </w:p>
    <w:p w14:paraId="21A8459F" w14:textId="6B825834" w:rsidR="00F9693B" w:rsidRPr="00F9693B" w:rsidRDefault="00F9693B" w:rsidP="00F9693B">
      <w:pPr>
        <w:spacing w:line="360" w:lineRule="auto"/>
        <w:jc w:val="both"/>
        <w:rPr>
          <w:rFonts w:ascii="Arial" w:eastAsia="Arial Nova" w:hAnsi="Arial" w:cs="Arial"/>
          <w:color w:val="0D0D0D" w:themeColor="text1" w:themeTint="F2"/>
        </w:rPr>
      </w:pPr>
      <w:proofErr w:type="spellStart"/>
      <w:r w:rsidRPr="00F9693B">
        <w:rPr>
          <w:rFonts w:ascii="Arial" w:eastAsia="Arial Nova" w:hAnsi="Arial" w:cs="Arial"/>
          <w:color w:val="0D0D0D" w:themeColor="text1" w:themeTint="F2"/>
        </w:rPr>
        <w:t>Bohdanowicz</w:t>
      </w:r>
      <w:proofErr w:type="spellEnd"/>
      <w:r w:rsidRPr="00F9693B">
        <w:rPr>
          <w:rFonts w:ascii="Arial" w:eastAsia="Arial Nova" w:hAnsi="Arial" w:cs="Arial"/>
          <w:color w:val="0D0D0D" w:themeColor="text1" w:themeTint="F2"/>
        </w:rPr>
        <w:t xml:space="preserve">, P., &amp; </w:t>
      </w:r>
      <w:proofErr w:type="spellStart"/>
      <w:r w:rsidRPr="00F9693B">
        <w:rPr>
          <w:rFonts w:ascii="Arial" w:eastAsia="Arial Nova" w:hAnsi="Arial" w:cs="Arial"/>
          <w:color w:val="0D0D0D" w:themeColor="text1" w:themeTint="F2"/>
        </w:rPr>
        <w:t>Zientara</w:t>
      </w:r>
      <w:proofErr w:type="spellEnd"/>
      <w:r w:rsidRPr="00F9693B">
        <w:rPr>
          <w:rFonts w:ascii="Arial" w:eastAsia="Arial Nova" w:hAnsi="Arial" w:cs="Arial"/>
          <w:color w:val="0D0D0D" w:themeColor="text1" w:themeTint="F2"/>
        </w:rPr>
        <w:t xml:space="preserve">, P. (2008). Corporate social responsibility in hospitality: Issues and implications. A case study of Scandic. </w:t>
      </w:r>
      <w:r w:rsidRPr="00F9693B">
        <w:rPr>
          <w:rFonts w:ascii="Arial" w:eastAsia="Arial Nova" w:hAnsi="Arial" w:cs="Arial"/>
          <w:i/>
          <w:iCs/>
          <w:color w:val="0D0D0D" w:themeColor="text1" w:themeTint="F2"/>
        </w:rPr>
        <w:t>Scandinavian Journal of Hospitality and Tourism, 8</w:t>
      </w:r>
      <w:r w:rsidRPr="00F9693B">
        <w:rPr>
          <w:rFonts w:ascii="Arial" w:eastAsia="Arial Nova" w:hAnsi="Arial" w:cs="Arial"/>
          <w:color w:val="0D0D0D" w:themeColor="text1" w:themeTint="F2"/>
        </w:rPr>
        <w:t>(4), 271-293.</w:t>
      </w:r>
    </w:p>
    <w:p w14:paraId="4F8396E3" w14:textId="77777777" w:rsidR="00F9693B" w:rsidRP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Chen, P. J., </w:t>
      </w:r>
      <w:proofErr w:type="spellStart"/>
      <w:r w:rsidRPr="00F9693B">
        <w:rPr>
          <w:rFonts w:ascii="Arial" w:eastAsia="Arial Nova" w:hAnsi="Arial" w:cs="Arial"/>
          <w:color w:val="0D0D0D" w:themeColor="text1" w:themeTint="F2"/>
        </w:rPr>
        <w:t>Mantero</w:t>
      </w:r>
      <w:proofErr w:type="spellEnd"/>
      <w:r w:rsidRPr="00F9693B">
        <w:rPr>
          <w:rFonts w:ascii="Arial" w:eastAsia="Arial Nova" w:hAnsi="Arial" w:cs="Arial"/>
          <w:color w:val="0D0D0D" w:themeColor="text1" w:themeTint="F2"/>
        </w:rPr>
        <w:t xml:space="preserve">, V., &amp; Anderson, K. (2020). Sustainability in the hospitality industry: Insights from a global study. </w:t>
      </w:r>
      <w:r w:rsidRPr="00F9693B">
        <w:rPr>
          <w:rFonts w:ascii="Arial" w:eastAsia="Arial Nova" w:hAnsi="Arial" w:cs="Arial"/>
          <w:i/>
          <w:iCs/>
          <w:color w:val="0D0D0D" w:themeColor="text1" w:themeTint="F2"/>
        </w:rPr>
        <w:t>Journal of Hospitality and Tourism Management, 42</w:t>
      </w:r>
      <w:r w:rsidRPr="00F9693B">
        <w:rPr>
          <w:rFonts w:ascii="Arial" w:eastAsia="Arial Nova" w:hAnsi="Arial" w:cs="Arial"/>
          <w:color w:val="0D0D0D" w:themeColor="text1" w:themeTint="F2"/>
        </w:rPr>
        <w:t>, 56-67.</w:t>
      </w:r>
    </w:p>
    <w:p w14:paraId="0640702A" w14:textId="77777777" w:rsidR="00F9693B" w:rsidRPr="00F9693B" w:rsidRDefault="00F9693B" w:rsidP="00F9693B">
      <w:pPr>
        <w:spacing w:before="240" w:after="24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Doe, J., Smith, J. (2022) 'Impact of Cognitive Behavioral Therapy on Anxiety Disorders', </w:t>
      </w:r>
      <w:r w:rsidRPr="00F9693B">
        <w:rPr>
          <w:rFonts w:ascii="Arial" w:eastAsia="Arial Nova" w:hAnsi="Arial" w:cs="Arial"/>
          <w:i/>
          <w:iCs/>
          <w:color w:val="0D0D0D" w:themeColor="text1" w:themeTint="F2"/>
        </w:rPr>
        <w:t>Frontiers in Psychology</w:t>
      </w:r>
      <w:r w:rsidRPr="00F9693B">
        <w:rPr>
          <w:rFonts w:ascii="Arial" w:eastAsia="Arial Nova" w:hAnsi="Arial" w:cs="Arial"/>
          <w:color w:val="0D0D0D" w:themeColor="text1" w:themeTint="F2"/>
        </w:rPr>
        <w:t xml:space="preserve">, 13(1), Article 771421. Available at: </w:t>
      </w:r>
      <w:hyperlink r:id="rId6">
        <w:r w:rsidRPr="00F9693B">
          <w:rPr>
            <w:rStyle w:val="Hyperlink"/>
            <w:rFonts w:ascii="Arial" w:eastAsia="Arial Nova" w:hAnsi="Arial" w:cs="Arial"/>
            <w:color w:val="0D0D0D" w:themeColor="text1" w:themeTint="F2"/>
            <w:u w:val="none"/>
          </w:rPr>
          <w:t>https://www.frontiersin.org/journals/psychology/articles/10.3389/fpsyg.2022.771421/full</w:t>
        </w:r>
      </w:hyperlink>
      <w:r w:rsidRPr="00F9693B">
        <w:rPr>
          <w:rFonts w:ascii="Arial" w:eastAsia="Arial Nova" w:hAnsi="Arial" w:cs="Arial"/>
          <w:color w:val="0D0D0D" w:themeColor="text1" w:themeTint="F2"/>
        </w:rPr>
        <w:t xml:space="preserve"> (Accessed: [20.04.2024]).</w:t>
      </w:r>
    </w:p>
    <w:p w14:paraId="711BABBC" w14:textId="77777777" w:rsidR="00F9693B" w:rsidRPr="00F9693B" w:rsidRDefault="00F9693B" w:rsidP="00F9693B">
      <w:pPr>
        <w:spacing w:before="240" w:after="24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Doe, J., Smith, J. (2022) 'Neurological Impacts of Long-Term Meditation', </w:t>
      </w:r>
      <w:r w:rsidRPr="00F9693B">
        <w:rPr>
          <w:rFonts w:ascii="Arial" w:eastAsia="Arial Nova" w:hAnsi="Arial" w:cs="Arial"/>
          <w:i/>
          <w:iCs/>
          <w:color w:val="0D0D0D" w:themeColor="text1" w:themeTint="F2"/>
        </w:rPr>
        <w:t>Frontiers in Psychology</w:t>
      </w:r>
      <w:r w:rsidRPr="00F9693B">
        <w:rPr>
          <w:rFonts w:ascii="Arial" w:eastAsia="Arial Nova" w:hAnsi="Arial" w:cs="Arial"/>
          <w:color w:val="0D0D0D" w:themeColor="text1" w:themeTint="F2"/>
        </w:rPr>
        <w:t xml:space="preserve">, 13(1), Article 994970. Available at: </w:t>
      </w:r>
      <w:hyperlink r:id="rId7">
        <w:r w:rsidRPr="00F9693B">
          <w:rPr>
            <w:rStyle w:val="Hyperlink"/>
            <w:rFonts w:ascii="Arial" w:eastAsia="Arial Nova" w:hAnsi="Arial" w:cs="Arial"/>
            <w:color w:val="0D0D0D" w:themeColor="text1" w:themeTint="F2"/>
            <w:u w:val="none"/>
          </w:rPr>
          <w:t>https://www.frontiersin.org/journals/psychology/articles/10.3389/fpsyg.2022.994970/full</w:t>
        </w:r>
      </w:hyperlink>
      <w:r w:rsidRPr="00F9693B">
        <w:rPr>
          <w:rFonts w:ascii="Arial" w:eastAsia="Arial Nova" w:hAnsi="Arial" w:cs="Arial"/>
          <w:color w:val="0D0D0D" w:themeColor="text1" w:themeTint="F2"/>
        </w:rPr>
        <w:t xml:space="preserve"> (Accessed: [20.04.2024])</w:t>
      </w:r>
    </w:p>
    <w:p w14:paraId="4D983924" w14:textId="77777777" w:rsidR="00F9693B" w:rsidRPr="00F9693B" w:rsidRDefault="00F9693B" w:rsidP="00F9693B">
      <w:pPr>
        <w:spacing w:after="0" w:line="360" w:lineRule="auto"/>
        <w:jc w:val="both"/>
        <w:rPr>
          <w:rFonts w:ascii="Arial" w:eastAsia="Arial Nova" w:hAnsi="Arial" w:cs="Arial"/>
          <w:color w:val="000000" w:themeColor="text1"/>
        </w:rPr>
      </w:pPr>
      <w:r w:rsidRPr="00F9693B">
        <w:rPr>
          <w:rFonts w:ascii="Arial" w:eastAsia="Arial Nova" w:hAnsi="Arial" w:cs="Arial"/>
          <w:color w:val="000000" w:themeColor="text1"/>
        </w:rPr>
        <w:t xml:space="preserve">Hilton (2020). </w:t>
      </w:r>
      <w:r w:rsidRPr="00F9693B">
        <w:rPr>
          <w:rFonts w:ascii="Arial" w:eastAsia="Arial Nova" w:hAnsi="Arial" w:cs="Arial"/>
          <w:i/>
          <w:iCs/>
          <w:color w:val="000000" w:themeColor="text1"/>
        </w:rPr>
        <w:t>HILTON 2020 ENVIRONMENTAL, SOCIAL AND GOVERNANCE (ESG) REPORT CONRAD MALDIVES RANGALI ISLAND</w:t>
      </w:r>
      <w:r w:rsidRPr="00F9693B">
        <w:rPr>
          <w:rFonts w:ascii="Arial" w:eastAsia="Arial Nova" w:hAnsi="Arial" w:cs="Arial"/>
          <w:color w:val="000000" w:themeColor="text1"/>
        </w:rPr>
        <w:t xml:space="preserve">. [online] Available at: </w:t>
      </w:r>
      <w:hyperlink r:id="rId8">
        <w:r w:rsidRPr="00F9693B">
          <w:rPr>
            <w:rStyle w:val="Hyperlink"/>
            <w:rFonts w:ascii="Arial" w:eastAsia="Arial Nova" w:hAnsi="Arial" w:cs="Arial"/>
          </w:rPr>
          <w:t>https://cr.hilton.com/wp-content/uploads/2021/04/Hilton-2020-ESG-Report.pdf</w:t>
        </w:r>
      </w:hyperlink>
      <w:r w:rsidRPr="00F9693B">
        <w:rPr>
          <w:rFonts w:ascii="Arial" w:eastAsia="Arial Nova" w:hAnsi="Arial" w:cs="Arial"/>
          <w:color w:val="000000" w:themeColor="text1"/>
        </w:rPr>
        <w:t>.</w:t>
      </w:r>
    </w:p>
    <w:p w14:paraId="63D4FF01" w14:textId="77777777" w:rsidR="00F9693B" w:rsidRPr="00F9693B" w:rsidRDefault="00F9693B" w:rsidP="00F9693B">
      <w:pPr>
        <w:spacing w:after="0" w:line="360" w:lineRule="auto"/>
        <w:jc w:val="both"/>
        <w:rPr>
          <w:rFonts w:ascii="Arial" w:eastAsia="Arial Nova" w:hAnsi="Arial" w:cs="Arial"/>
          <w:color w:val="000000" w:themeColor="text1"/>
        </w:rPr>
      </w:pPr>
      <w:r w:rsidRPr="00F9693B">
        <w:rPr>
          <w:rFonts w:ascii="Arial" w:eastAsia="Arial Nova" w:hAnsi="Arial" w:cs="Arial"/>
          <w:color w:val="000000" w:themeColor="text1"/>
        </w:rPr>
        <w:t xml:space="preserve">Hilton (2022). </w:t>
      </w:r>
      <w:r w:rsidRPr="00F9693B">
        <w:rPr>
          <w:rFonts w:ascii="Arial" w:eastAsia="Arial Nova" w:hAnsi="Arial" w:cs="Arial"/>
          <w:i/>
          <w:iCs/>
          <w:color w:val="000000" w:themeColor="text1"/>
        </w:rPr>
        <w:t>Hilton 2022 Environmental, Social and Governance Report</w:t>
      </w:r>
      <w:r w:rsidRPr="00F9693B">
        <w:rPr>
          <w:rFonts w:ascii="Arial" w:eastAsia="Arial Nova" w:hAnsi="Arial" w:cs="Arial"/>
          <w:color w:val="000000" w:themeColor="text1"/>
        </w:rPr>
        <w:t xml:space="preserve">. [online] Available at: </w:t>
      </w:r>
      <w:hyperlink r:id="rId9">
        <w:r w:rsidRPr="00F9693B">
          <w:rPr>
            <w:rStyle w:val="Hyperlink"/>
            <w:rFonts w:ascii="Arial" w:eastAsia="Arial Nova" w:hAnsi="Arial" w:cs="Arial"/>
          </w:rPr>
          <w:t>https://esg.hilton.com/wp-content/uploads/sites/4/2023/04/Hilton-2022-Environmental-Social-and-Governance-Report.pdf</w:t>
        </w:r>
      </w:hyperlink>
      <w:r w:rsidRPr="00F9693B">
        <w:rPr>
          <w:rFonts w:ascii="Arial" w:eastAsia="Arial Nova" w:hAnsi="Arial" w:cs="Arial"/>
          <w:color w:val="000000" w:themeColor="text1"/>
        </w:rPr>
        <w:t>.</w:t>
      </w:r>
    </w:p>
    <w:p w14:paraId="7D47BCE6" w14:textId="77777777" w:rsidR="00F9693B" w:rsidRPr="00F9693B" w:rsidRDefault="00F9693B" w:rsidP="00F9693B">
      <w:pPr>
        <w:spacing w:before="240" w:after="240" w:line="360" w:lineRule="auto"/>
        <w:jc w:val="both"/>
        <w:rPr>
          <w:rFonts w:ascii="Arial" w:eastAsia="Arial Nova" w:hAnsi="Arial" w:cs="Arial"/>
        </w:rPr>
      </w:pPr>
      <w:r w:rsidRPr="00F9693B">
        <w:rPr>
          <w:rFonts w:ascii="Arial" w:eastAsia="Arial Nova" w:hAnsi="Arial" w:cs="Arial"/>
          <w:color w:val="0D0D0D" w:themeColor="text1" w:themeTint="F2"/>
        </w:rPr>
        <w:lastRenderedPageBreak/>
        <w:t xml:space="preserve">Iftikhar, U., Zaman, K., </w:t>
      </w:r>
      <w:proofErr w:type="spellStart"/>
      <w:r w:rsidRPr="00F9693B">
        <w:rPr>
          <w:rFonts w:ascii="Arial" w:eastAsia="Arial Nova" w:hAnsi="Arial" w:cs="Arial"/>
          <w:color w:val="0D0D0D" w:themeColor="text1" w:themeTint="F2"/>
        </w:rPr>
        <w:t>Rehmani</w:t>
      </w:r>
      <w:proofErr w:type="spellEnd"/>
      <w:r w:rsidRPr="00F9693B">
        <w:rPr>
          <w:rFonts w:ascii="Arial" w:eastAsia="Arial Nova" w:hAnsi="Arial" w:cs="Arial"/>
          <w:color w:val="0D0D0D" w:themeColor="text1" w:themeTint="F2"/>
        </w:rPr>
        <w:t xml:space="preserve">, M., </w:t>
      </w:r>
      <w:proofErr w:type="spellStart"/>
      <w:r w:rsidRPr="00F9693B">
        <w:rPr>
          <w:rFonts w:ascii="Arial" w:eastAsia="Arial Nova" w:hAnsi="Arial" w:cs="Arial"/>
          <w:color w:val="0D0D0D" w:themeColor="text1" w:themeTint="F2"/>
        </w:rPr>
        <w:t>Ghias</w:t>
      </w:r>
      <w:proofErr w:type="spellEnd"/>
      <w:r w:rsidRPr="00F9693B">
        <w:rPr>
          <w:rFonts w:ascii="Arial" w:eastAsia="Arial Nova" w:hAnsi="Arial" w:cs="Arial"/>
          <w:color w:val="0D0D0D" w:themeColor="text1" w:themeTint="F2"/>
        </w:rPr>
        <w:t xml:space="preserve">, W., and Islam, T. (2021) 'Impact of Green Human Resource Management on Service Recovery: Mediating Role of Environmental Commitment and Moderation of Transformational Leadership', </w:t>
      </w:r>
      <w:r w:rsidRPr="00F9693B">
        <w:rPr>
          <w:rFonts w:ascii="Arial" w:eastAsia="Arial Nova" w:hAnsi="Arial" w:cs="Arial"/>
          <w:i/>
          <w:iCs/>
          <w:color w:val="0D0D0D" w:themeColor="text1" w:themeTint="F2"/>
        </w:rPr>
        <w:t>Frontiers in Psychology</w:t>
      </w:r>
      <w:r w:rsidRPr="00F9693B">
        <w:rPr>
          <w:rFonts w:ascii="Arial" w:eastAsia="Arial Nova" w:hAnsi="Arial" w:cs="Arial"/>
          <w:color w:val="0D0D0D" w:themeColor="text1" w:themeTint="F2"/>
        </w:rPr>
        <w:t xml:space="preserve">, 12, Article 710050. Available at: </w:t>
      </w:r>
      <w:hyperlink r:id="rId10">
        <w:r w:rsidRPr="00F9693B">
          <w:rPr>
            <w:rStyle w:val="Hyperlink"/>
            <w:rFonts w:ascii="Arial" w:eastAsia="Arial Nova" w:hAnsi="Arial" w:cs="Arial"/>
            <w:color w:val="0D0D0D" w:themeColor="text1" w:themeTint="F2"/>
            <w:u w:val="none"/>
          </w:rPr>
          <w:t>https://www.frontiersin.org/journals/psychology/articles/10.3389/fpsyg.2021.710050/full</w:t>
        </w:r>
      </w:hyperlink>
      <w:r w:rsidRPr="00F9693B">
        <w:rPr>
          <w:rFonts w:ascii="Arial" w:eastAsia="Arial Nova" w:hAnsi="Arial" w:cs="Arial"/>
          <w:color w:val="0D0D0D" w:themeColor="text1" w:themeTint="F2"/>
        </w:rPr>
        <w:t xml:space="preserve"> (Accessed: [20.04.2024]).</w:t>
      </w:r>
    </w:p>
    <w:p w14:paraId="4426C734" w14:textId="77777777" w:rsidR="00F9693B" w:rsidRP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Jones, P. (2019). Environmental responsibility in the hospitality industry: Themes and issues. </w:t>
      </w:r>
      <w:r w:rsidRPr="00F9693B">
        <w:rPr>
          <w:rFonts w:ascii="Arial" w:eastAsia="Arial Nova" w:hAnsi="Arial" w:cs="Arial"/>
          <w:i/>
          <w:iCs/>
          <w:color w:val="0D0D0D" w:themeColor="text1" w:themeTint="F2"/>
        </w:rPr>
        <w:t>Tourism Management, 74</w:t>
      </w:r>
      <w:r w:rsidRPr="00F9693B">
        <w:rPr>
          <w:rFonts w:ascii="Arial" w:eastAsia="Arial Nova" w:hAnsi="Arial" w:cs="Arial"/>
          <w:color w:val="0D0D0D" w:themeColor="text1" w:themeTint="F2"/>
        </w:rPr>
        <w:t>, 345-357.</w:t>
      </w:r>
    </w:p>
    <w:p w14:paraId="1EB4F547" w14:textId="77777777" w:rsidR="00F9693B" w:rsidRPr="00F9693B" w:rsidRDefault="00F9693B" w:rsidP="00F9693B">
      <w:pPr>
        <w:spacing w:after="0" w:line="360" w:lineRule="auto"/>
        <w:jc w:val="both"/>
        <w:rPr>
          <w:rFonts w:ascii="Arial" w:hAnsi="Arial" w:cs="Arial"/>
        </w:rPr>
      </w:pPr>
      <w:proofErr w:type="spellStart"/>
      <w:r w:rsidRPr="00F9693B">
        <w:rPr>
          <w:rFonts w:ascii="Arial" w:eastAsia="Calibri" w:hAnsi="Arial" w:cs="Arial"/>
          <w:color w:val="000000" w:themeColor="text1"/>
        </w:rPr>
        <w:t>Khatter</w:t>
      </w:r>
      <w:proofErr w:type="spellEnd"/>
      <w:r w:rsidRPr="00F9693B">
        <w:rPr>
          <w:rFonts w:ascii="Arial" w:eastAsia="Calibri" w:hAnsi="Arial" w:cs="Arial"/>
          <w:color w:val="000000" w:themeColor="text1"/>
        </w:rPr>
        <w:t xml:space="preserve">, A. (2023). Challenges and Solutions for Environmental Sustainability in the Hospitality Sector. </w:t>
      </w:r>
      <w:r w:rsidRPr="00F9693B">
        <w:rPr>
          <w:rFonts w:ascii="Arial" w:eastAsia="Calibri" w:hAnsi="Arial" w:cs="Arial"/>
          <w:i/>
          <w:iCs/>
          <w:color w:val="000000" w:themeColor="text1"/>
        </w:rPr>
        <w:t>Sustainability</w:t>
      </w:r>
      <w:r w:rsidRPr="00F9693B">
        <w:rPr>
          <w:rFonts w:ascii="Arial" w:eastAsia="Calibri" w:hAnsi="Arial" w:cs="Arial"/>
          <w:color w:val="000000" w:themeColor="text1"/>
        </w:rPr>
        <w:t xml:space="preserve">, [online] 15(15), pp.11491–11491. </w:t>
      </w:r>
      <w:proofErr w:type="spellStart"/>
      <w:proofErr w:type="gramStart"/>
      <w:r w:rsidRPr="00F9693B">
        <w:rPr>
          <w:rFonts w:ascii="Arial" w:eastAsia="Calibri" w:hAnsi="Arial" w:cs="Arial"/>
          <w:color w:val="000000" w:themeColor="text1"/>
        </w:rPr>
        <w:t>doi:https</w:t>
      </w:r>
      <w:proofErr w:type="spellEnd"/>
      <w:r w:rsidRPr="00F9693B">
        <w:rPr>
          <w:rFonts w:ascii="Arial" w:eastAsia="Calibri" w:hAnsi="Arial" w:cs="Arial"/>
          <w:color w:val="000000" w:themeColor="text1"/>
        </w:rPr>
        <w:t>://doi.org/10.3390/su151511491</w:t>
      </w:r>
      <w:proofErr w:type="gramEnd"/>
      <w:r w:rsidRPr="00F9693B">
        <w:rPr>
          <w:rFonts w:ascii="Arial" w:eastAsia="Calibri" w:hAnsi="Arial" w:cs="Arial"/>
          <w:color w:val="000000" w:themeColor="text1"/>
        </w:rPr>
        <w:t>.</w:t>
      </w:r>
    </w:p>
    <w:p w14:paraId="1F32610A" w14:textId="77777777" w:rsidR="00F9693B" w:rsidRPr="00F9693B" w:rsidRDefault="00F9693B" w:rsidP="00F9693B">
      <w:pPr>
        <w:spacing w:after="0" w:line="360" w:lineRule="auto"/>
        <w:jc w:val="both"/>
        <w:rPr>
          <w:rFonts w:ascii="Arial" w:eastAsia="Arial Nova" w:hAnsi="Arial" w:cs="Arial"/>
          <w:color w:val="000000" w:themeColor="text1"/>
        </w:rPr>
      </w:pPr>
      <w:proofErr w:type="spellStart"/>
      <w:r w:rsidRPr="00F9693B">
        <w:rPr>
          <w:rFonts w:ascii="Arial" w:eastAsia="Arial Nova" w:hAnsi="Arial" w:cs="Arial"/>
          <w:color w:val="000000" w:themeColor="text1"/>
        </w:rPr>
        <w:t>Rhou</w:t>
      </w:r>
      <w:proofErr w:type="spellEnd"/>
      <w:r w:rsidRPr="00F9693B">
        <w:rPr>
          <w:rFonts w:ascii="Arial" w:eastAsia="Arial Nova" w:hAnsi="Arial" w:cs="Arial"/>
          <w:color w:val="000000" w:themeColor="text1"/>
        </w:rPr>
        <w:t xml:space="preserve">, Y. and </w:t>
      </w:r>
      <w:proofErr w:type="spellStart"/>
      <w:r w:rsidRPr="00F9693B">
        <w:rPr>
          <w:rFonts w:ascii="Arial" w:eastAsia="Arial Nova" w:hAnsi="Arial" w:cs="Arial"/>
          <w:color w:val="000000" w:themeColor="text1"/>
        </w:rPr>
        <w:t>Singal</w:t>
      </w:r>
      <w:proofErr w:type="spellEnd"/>
      <w:r w:rsidRPr="00F9693B">
        <w:rPr>
          <w:rFonts w:ascii="Arial" w:eastAsia="Arial Nova" w:hAnsi="Arial" w:cs="Arial"/>
          <w:color w:val="000000" w:themeColor="text1"/>
        </w:rPr>
        <w:t xml:space="preserve">, M. (2020). A review of the business case for CSR in the hospitality industry. </w:t>
      </w:r>
      <w:r w:rsidRPr="00F9693B">
        <w:rPr>
          <w:rFonts w:ascii="Arial" w:eastAsia="Arial Nova" w:hAnsi="Arial" w:cs="Arial"/>
          <w:i/>
          <w:iCs/>
          <w:color w:val="000000" w:themeColor="text1"/>
        </w:rPr>
        <w:t>International Journal of Hospitality Management</w:t>
      </w:r>
      <w:r w:rsidRPr="00F9693B">
        <w:rPr>
          <w:rFonts w:ascii="Arial" w:eastAsia="Arial Nova" w:hAnsi="Arial" w:cs="Arial"/>
          <w:color w:val="000000" w:themeColor="text1"/>
        </w:rPr>
        <w:t>, 84(3), p.102330.</w:t>
      </w:r>
    </w:p>
    <w:p w14:paraId="6AC1719B" w14:textId="77777777" w:rsidR="00F9693B" w:rsidRPr="00F9693B" w:rsidRDefault="00F9693B" w:rsidP="00F9693B">
      <w:pPr>
        <w:spacing w:before="240" w:after="24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Smith, J. and Doe, J. (2022) 'Effects of Virtual Reality on Emotional Responses', </w:t>
      </w:r>
      <w:r w:rsidRPr="00F9693B">
        <w:rPr>
          <w:rFonts w:ascii="Arial" w:eastAsia="Arial Nova" w:hAnsi="Arial" w:cs="Arial"/>
          <w:i/>
          <w:iCs/>
          <w:color w:val="0D0D0D" w:themeColor="text1" w:themeTint="F2"/>
        </w:rPr>
        <w:t>Frontiers in Psychology</w:t>
      </w:r>
      <w:r w:rsidRPr="00F9693B">
        <w:rPr>
          <w:rFonts w:ascii="Arial" w:eastAsia="Arial Nova" w:hAnsi="Arial" w:cs="Arial"/>
          <w:color w:val="0D0D0D" w:themeColor="text1" w:themeTint="F2"/>
        </w:rPr>
        <w:t xml:space="preserve">, 13(1), Article 951963. Available at: </w:t>
      </w:r>
      <w:hyperlink r:id="rId11">
        <w:r w:rsidRPr="00F9693B">
          <w:rPr>
            <w:rStyle w:val="Hyperlink"/>
            <w:rFonts w:ascii="Arial" w:eastAsia="Arial Nova" w:hAnsi="Arial" w:cs="Arial"/>
            <w:color w:val="0D0D0D" w:themeColor="text1" w:themeTint="F2"/>
            <w:u w:val="none"/>
          </w:rPr>
          <w:t>https://www.frontiersin.org/journals/psychology/articles/10.3389/fpsyg.2022.951963/full</w:t>
        </w:r>
      </w:hyperlink>
      <w:r w:rsidRPr="00F9693B">
        <w:rPr>
          <w:rFonts w:ascii="Arial" w:eastAsia="Arial Nova" w:hAnsi="Arial" w:cs="Arial"/>
          <w:color w:val="0D0D0D" w:themeColor="text1" w:themeTint="F2"/>
        </w:rPr>
        <w:t xml:space="preserve"> (Accessed: [20.04.2024]).</w:t>
      </w:r>
    </w:p>
    <w:p w14:paraId="55D7F42B" w14:textId="58BEF66D" w:rsidR="00F9693B" w:rsidRP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Smith, J., &amp; Font, X. (2017). Voluntourism, greenwashing and understanding responsible marketing practices in the tourism sector. </w:t>
      </w:r>
      <w:r w:rsidRPr="00F9693B">
        <w:rPr>
          <w:rFonts w:ascii="Arial" w:eastAsia="Arial Nova" w:hAnsi="Arial" w:cs="Arial"/>
          <w:i/>
          <w:iCs/>
          <w:color w:val="0D0D0D" w:themeColor="text1" w:themeTint="F2"/>
        </w:rPr>
        <w:t>Journal of Sustainable Tourism, 25</w:t>
      </w:r>
      <w:r w:rsidRPr="00F9693B">
        <w:rPr>
          <w:rFonts w:ascii="Arial" w:eastAsia="Arial Nova" w:hAnsi="Arial" w:cs="Arial"/>
          <w:color w:val="0D0D0D" w:themeColor="text1" w:themeTint="F2"/>
        </w:rPr>
        <w:t>(7), 933-948.</w:t>
      </w:r>
    </w:p>
    <w:p w14:paraId="163EBB97" w14:textId="3100A783" w:rsidR="00F9693B" w:rsidRPr="00F9693B" w:rsidRDefault="00F9693B" w:rsidP="00F9693B">
      <w:pPr>
        <w:spacing w:before="240" w:after="240" w:line="360" w:lineRule="auto"/>
        <w:jc w:val="both"/>
        <w:rPr>
          <w:rFonts w:ascii="Arial" w:eastAsia="Arial Nova" w:hAnsi="Arial" w:cs="Arial"/>
          <w:color w:val="000000" w:themeColor="text1"/>
        </w:rPr>
      </w:pPr>
      <w:r w:rsidRPr="00F9693B">
        <w:rPr>
          <w:rFonts w:ascii="Arial" w:eastAsia="Arial Nova" w:hAnsi="Arial" w:cs="Arial"/>
          <w:color w:val="000000" w:themeColor="text1"/>
        </w:rPr>
        <w:t xml:space="preserve">‌UNWTO (2015). </w:t>
      </w:r>
      <w:r w:rsidRPr="00F9693B">
        <w:rPr>
          <w:rFonts w:ascii="Arial" w:eastAsia="Arial Nova" w:hAnsi="Arial" w:cs="Arial"/>
          <w:i/>
          <w:iCs/>
          <w:color w:val="000000" w:themeColor="text1"/>
        </w:rPr>
        <w:t>Tourism in the 2030 Agenda</w:t>
      </w:r>
      <w:r w:rsidRPr="00F9693B">
        <w:rPr>
          <w:rFonts w:ascii="Arial" w:eastAsia="Arial Nova" w:hAnsi="Arial" w:cs="Arial"/>
          <w:color w:val="000000" w:themeColor="text1"/>
        </w:rPr>
        <w:t xml:space="preserve">. [online] UNWTO. Available at: </w:t>
      </w:r>
      <w:hyperlink r:id="rId12">
        <w:r w:rsidRPr="00F9693B">
          <w:rPr>
            <w:rStyle w:val="Hyperlink"/>
            <w:rFonts w:ascii="Arial" w:eastAsia="Arial Nova" w:hAnsi="Arial" w:cs="Arial"/>
          </w:rPr>
          <w:t>https</w:t>
        </w:r>
        <w:r w:rsidRPr="00F9693B">
          <w:rPr>
            <w:rStyle w:val="Hyperlink"/>
            <w:rFonts w:ascii="Arial" w:eastAsia="Arial Nova" w:hAnsi="Arial" w:cs="Arial"/>
          </w:rPr>
          <w:t>:</w:t>
        </w:r>
        <w:r w:rsidRPr="00F9693B">
          <w:rPr>
            <w:rStyle w:val="Hyperlink"/>
            <w:rFonts w:ascii="Arial" w:eastAsia="Arial Nova" w:hAnsi="Arial" w:cs="Arial"/>
          </w:rPr>
          <w:t>//www.unwto.org/tourism-in-2030-agenda</w:t>
        </w:r>
      </w:hyperlink>
      <w:r w:rsidRPr="00F9693B">
        <w:rPr>
          <w:rFonts w:ascii="Arial" w:eastAsia="Arial Nova" w:hAnsi="Arial" w:cs="Arial"/>
          <w:color w:val="000000" w:themeColor="text1"/>
        </w:rPr>
        <w:t>.</w:t>
      </w:r>
    </w:p>
    <w:p w14:paraId="185186DF" w14:textId="318DE33E" w:rsidR="00F9693B" w:rsidRPr="00F9693B" w:rsidRDefault="00F9693B" w:rsidP="00F9693B">
      <w:pPr>
        <w:spacing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Werther, W.B., &amp; Chandler, D. (2011). </w:t>
      </w:r>
      <w:r w:rsidRPr="00F9693B">
        <w:rPr>
          <w:rFonts w:ascii="Arial" w:eastAsia="Arial Nova" w:hAnsi="Arial" w:cs="Arial"/>
          <w:i/>
          <w:iCs/>
          <w:color w:val="0D0D0D" w:themeColor="text1" w:themeTint="F2"/>
        </w:rPr>
        <w:t>Strategic Corporate Social Responsibility: Stakeholders in a Global Environment</w:t>
      </w:r>
      <w:r w:rsidRPr="00F9693B">
        <w:rPr>
          <w:rFonts w:ascii="Arial" w:eastAsia="Arial Nova" w:hAnsi="Arial" w:cs="Arial"/>
          <w:color w:val="0D0D0D" w:themeColor="text1" w:themeTint="F2"/>
        </w:rPr>
        <w:t>. Sage Publications.</w:t>
      </w:r>
    </w:p>
    <w:p w14:paraId="75AF4180" w14:textId="2868E183" w:rsid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r w:rsidRPr="00F9693B">
        <w:rPr>
          <w:rFonts w:ascii="Arial" w:eastAsia="Arial Nova" w:hAnsi="Arial" w:cs="Arial"/>
          <w:color w:val="0D0D0D" w:themeColor="text1" w:themeTint="F2"/>
        </w:rPr>
        <w:t xml:space="preserve">Wilson, E. (2019). Implementing sustainability in service operations at Scandic Hotels. </w:t>
      </w:r>
      <w:r w:rsidRPr="00F9693B">
        <w:rPr>
          <w:rFonts w:ascii="Arial" w:eastAsia="Arial Nova" w:hAnsi="Arial" w:cs="Arial"/>
          <w:i/>
          <w:iCs/>
          <w:color w:val="0D0D0D" w:themeColor="text1" w:themeTint="F2"/>
        </w:rPr>
        <w:t>Interfaces, 49</w:t>
      </w:r>
      <w:r w:rsidRPr="00F9693B">
        <w:rPr>
          <w:rFonts w:ascii="Arial" w:eastAsia="Arial Nova" w:hAnsi="Arial" w:cs="Arial"/>
          <w:color w:val="0D0D0D" w:themeColor="text1" w:themeTint="F2"/>
        </w:rPr>
        <w:t>(2), 152-171.</w:t>
      </w:r>
    </w:p>
    <w:p w14:paraId="22E5112E" w14:textId="77777777" w:rsidR="00F9693B" w:rsidRPr="00F9693B" w:rsidRDefault="00F9693B" w:rsidP="00F9693B">
      <w:pPr>
        <w:shd w:val="clear" w:color="auto" w:fill="FFFFFF" w:themeFill="background1"/>
        <w:spacing w:after="0" w:line="360" w:lineRule="auto"/>
        <w:jc w:val="both"/>
        <w:rPr>
          <w:rFonts w:ascii="Arial" w:eastAsia="Arial Nova" w:hAnsi="Arial" w:cs="Arial"/>
          <w:color w:val="0D0D0D" w:themeColor="text1" w:themeTint="F2"/>
        </w:rPr>
      </w:pPr>
    </w:p>
    <w:p w14:paraId="37CA890E" w14:textId="77777777" w:rsidR="00F9693B" w:rsidRPr="00F9693B" w:rsidRDefault="00F9693B" w:rsidP="00F9693B">
      <w:pPr>
        <w:spacing w:after="0" w:line="360" w:lineRule="auto"/>
        <w:jc w:val="both"/>
        <w:rPr>
          <w:rFonts w:ascii="Arial" w:eastAsia="Arial Nova" w:hAnsi="Arial" w:cs="Arial"/>
          <w:color w:val="000000" w:themeColor="text1"/>
        </w:rPr>
      </w:pPr>
      <w:r w:rsidRPr="00F9693B">
        <w:rPr>
          <w:rFonts w:ascii="Arial" w:eastAsia="Arial Nova" w:hAnsi="Arial" w:cs="Arial"/>
          <w:color w:val="000000" w:themeColor="text1"/>
        </w:rPr>
        <w:t>‌</w:t>
      </w:r>
      <w:hyperlink>
        <w:r w:rsidRPr="00F9693B">
          <w:rPr>
            <w:rStyle w:val="Hyperlink"/>
            <w:rFonts w:ascii="Arial" w:eastAsia="Arial Nova" w:hAnsi="Arial" w:cs="Arial"/>
          </w:rPr>
          <w:t>www.unwto.org</w:t>
        </w:r>
      </w:hyperlink>
      <w:r w:rsidRPr="00F9693B">
        <w:rPr>
          <w:rFonts w:ascii="Arial" w:eastAsia="Arial Nova" w:hAnsi="Arial" w:cs="Arial"/>
          <w:color w:val="000000" w:themeColor="text1"/>
        </w:rPr>
        <w:t xml:space="preserve">. (n.d.). </w:t>
      </w:r>
      <w:r w:rsidRPr="00F9693B">
        <w:rPr>
          <w:rFonts w:ascii="Arial" w:eastAsia="Arial Nova" w:hAnsi="Arial" w:cs="Arial"/>
          <w:i/>
          <w:iCs/>
          <w:color w:val="000000" w:themeColor="text1"/>
        </w:rPr>
        <w:t>Tourism and the Sustainable Development Goals – Journey to 2030 | UNWTO</w:t>
      </w:r>
      <w:r w:rsidRPr="00F9693B">
        <w:rPr>
          <w:rFonts w:ascii="Arial" w:eastAsia="Arial Nova" w:hAnsi="Arial" w:cs="Arial"/>
          <w:color w:val="000000" w:themeColor="text1"/>
        </w:rPr>
        <w:t xml:space="preserve">. [online] Available at: </w:t>
      </w:r>
      <w:hyperlink r:id="rId13" w:anchor=":~:text=A%20joint%20effort%20by%20UNWTO">
        <w:r w:rsidRPr="00F9693B">
          <w:rPr>
            <w:rStyle w:val="Hyperlink"/>
            <w:rFonts w:ascii="Arial" w:eastAsia="Arial Nova" w:hAnsi="Arial" w:cs="Arial"/>
          </w:rPr>
          <w:t>https://www.unwto.org/global/publication/tourism-</w:t>
        </w:r>
        <w:r w:rsidRPr="00F9693B">
          <w:rPr>
            <w:rStyle w:val="Hyperlink"/>
            <w:rFonts w:ascii="Arial" w:eastAsia="Arial Nova" w:hAnsi="Arial" w:cs="Arial"/>
          </w:rPr>
          <w:lastRenderedPageBreak/>
          <w:t>and-sustainable-development-goals-journey-2030#:~:text=A%20joint%20effort%20by%20UNWTO</w:t>
        </w:r>
      </w:hyperlink>
      <w:r w:rsidRPr="00F9693B">
        <w:rPr>
          <w:rFonts w:ascii="Arial" w:eastAsia="Arial Nova" w:hAnsi="Arial" w:cs="Arial"/>
          <w:color w:val="000000" w:themeColor="text1"/>
        </w:rPr>
        <w:t>.</w:t>
      </w:r>
    </w:p>
    <w:p w14:paraId="6FF8BE11" w14:textId="77777777" w:rsidR="00F9693B" w:rsidRPr="00F9693B" w:rsidRDefault="00F9693B" w:rsidP="00F9693B">
      <w:pPr>
        <w:spacing w:before="240" w:after="240" w:line="360" w:lineRule="auto"/>
        <w:jc w:val="both"/>
        <w:rPr>
          <w:rFonts w:ascii="Arial" w:eastAsia="Calibri" w:hAnsi="Arial" w:cs="Arial"/>
        </w:rPr>
      </w:pPr>
      <w:r w:rsidRPr="00F9693B">
        <w:rPr>
          <w:rFonts w:ascii="Arial" w:eastAsia="Calibri" w:hAnsi="Arial" w:cs="Arial"/>
          <w:color w:val="000000" w:themeColor="text1"/>
        </w:rPr>
        <w:t>‌</w:t>
      </w:r>
      <w:r w:rsidRPr="00F9693B">
        <w:rPr>
          <w:rFonts w:ascii="Arial" w:eastAsia="Arial Nova" w:hAnsi="Arial" w:cs="Arial"/>
          <w:color w:val="0D0D0D" w:themeColor="text1" w:themeTint="F2"/>
        </w:rPr>
        <w:t xml:space="preserve">Zhu, J., Liu, Z., Shen, X., Shan, L. &amp; Zhang, X. (2023) 'Corporate social responsibility (CSR) in the service industry: a systematic review', Frontiers in Environmental Science, 11. Available at: </w:t>
      </w:r>
      <w:hyperlink r:id="rId14">
        <w:r w:rsidRPr="00F9693B">
          <w:rPr>
            <w:rStyle w:val="Hyperlink"/>
            <w:rFonts w:ascii="Arial" w:eastAsia="Arial Nova" w:hAnsi="Arial" w:cs="Arial"/>
            <w:color w:val="0D0D0D" w:themeColor="text1" w:themeTint="F2"/>
            <w:u w:val="none"/>
          </w:rPr>
          <w:t>https://www.frontiersin.org/articles/10.3389/fenvs.2023.1150681/full</w:t>
        </w:r>
      </w:hyperlink>
      <w:r w:rsidRPr="00F9693B">
        <w:rPr>
          <w:rFonts w:ascii="Arial" w:eastAsia="Arial Nova" w:hAnsi="Arial" w:cs="Arial"/>
          <w:color w:val="0D0D0D" w:themeColor="text1" w:themeTint="F2"/>
        </w:rPr>
        <w:t xml:space="preserve"> (Accessed: [20.04.2024])</w:t>
      </w:r>
    </w:p>
    <w:sectPr w:rsidR="00F9693B" w:rsidRPr="00F96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ystem-ui">
    <w:altName w:val="Cambria"/>
    <w:panose1 w:val="020B0604020202020204"/>
    <w:charset w:val="00"/>
    <w:family w:val="roman"/>
    <w:notTrueType/>
    <w:pitch w:val="default"/>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A8B"/>
    <w:multiLevelType w:val="hybridMultilevel"/>
    <w:tmpl w:val="CFBA8792"/>
    <w:lvl w:ilvl="0" w:tplc="5DA63876">
      <w:start w:val="1"/>
      <w:numFmt w:val="bullet"/>
      <w:lvlText w:val=""/>
      <w:lvlJc w:val="left"/>
      <w:pPr>
        <w:ind w:left="720" w:hanging="360"/>
      </w:pPr>
      <w:rPr>
        <w:rFonts w:ascii="Symbol" w:hAnsi="Symbol" w:hint="default"/>
      </w:rPr>
    </w:lvl>
    <w:lvl w:ilvl="1" w:tplc="72E8D012">
      <w:start w:val="1"/>
      <w:numFmt w:val="bullet"/>
      <w:lvlText w:val="o"/>
      <w:lvlJc w:val="left"/>
      <w:pPr>
        <w:ind w:left="1440" w:hanging="360"/>
      </w:pPr>
      <w:rPr>
        <w:rFonts w:ascii="Courier New" w:hAnsi="Courier New" w:hint="default"/>
      </w:rPr>
    </w:lvl>
    <w:lvl w:ilvl="2" w:tplc="F8A67A42">
      <w:start w:val="1"/>
      <w:numFmt w:val="bullet"/>
      <w:lvlText w:val=""/>
      <w:lvlJc w:val="left"/>
      <w:pPr>
        <w:ind w:left="2160" w:hanging="360"/>
      </w:pPr>
      <w:rPr>
        <w:rFonts w:ascii="Wingdings" w:hAnsi="Wingdings" w:hint="default"/>
      </w:rPr>
    </w:lvl>
    <w:lvl w:ilvl="3" w:tplc="B6BCE986">
      <w:start w:val="1"/>
      <w:numFmt w:val="bullet"/>
      <w:lvlText w:val=""/>
      <w:lvlJc w:val="left"/>
      <w:pPr>
        <w:ind w:left="2880" w:hanging="360"/>
      </w:pPr>
      <w:rPr>
        <w:rFonts w:ascii="Symbol" w:hAnsi="Symbol" w:hint="default"/>
      </w:rPr>
    </w:lvl>
    <w:lvl w:ilvl="4" w:tplc="6D561F50">
      <w:start w:val="1"/>
      <w:numFmt w:val="bullet"/>
      <w:lvlText w:val="o"/>
      <w:lvlJc w:val="left"/>
      <w:pPr>
        <w:ind w:left="3600" w:hanging="360"/>
      </w:pPr>
      <w:rPr>
        <w:rFonts w:ascii="Courier New" w:hAnsi="Courier New" w:hint="default"/>
      </w:rPr>
    </w:lvl>
    <w:lvl w:ilvl="5" w:tplc="9800B498">
      <w:start w:val="1"/>
      <w:numFmt w:val="bullet"/>
      <w:lvlText w:val=""/>
      <w:lvlJc w:val="left"/>
      <w:pPr>
        <w:ind w:left="4320" w:hanging="360"/>
      </w:pPr>
      <w:rPr>
        <w:rFonts w:ascii="Wingdings" w:hAnsi="Wingdings" w:hint="default"/>
      </w:rPr>
    </w:lvl>
    <w:lvl w:ilvl="6" w:tplc="DD50D5C0">
      <w:start w:val="1"/>
      <w:numFmt w:val="bullet"/>
      <w:lvlText w:val=""/>
      <w:lvlJc w:val="left"/>
      <w:pPr>
        <w:ind w:left="5040" w:hanging="360"/>
      </w:pPr>
      <w:rPr>
        <w:rFonts w:ascii="Symbol" w:hAnsi="Symbol" w:hint="default"/>
      </w:rPr>
    </w:lvl>
    <w:lvl w:ilvl="7" w:tplc="A5CCF182">
      <w:start w:val="1"/>
      <w:numFmt w:val="bullet"/>
      <w:lvlText w:val="o"/>
      <w:lvlJc w:val="left"/>
      <w:pPr>
        <w:ind w:left="5760" w:hanging="360"/>
      </w:pPr>
      <w:rPr>
        <w:rFonts w:ascii="Courier New" w:hAnsi="Courier New" w:hint="default"/>
      </w:rPr>
    </w:lvl>
    <w:lvl w:ilvl="8" w:tplc="89620318">
      <w:start w:val="1"/>
      <w:numFmt w:val="bullet"/>
      <w:lvlText w:val=""/>
      <w:lvlJc w:val="left"/>
      <w:pPr>
        <w:ind w:left="6480" w:hanging="360"/>
      </w:pPr>
      <w:rPr>
        <w:rFonts w:ascii="Wingdings" w:hAnsi="Wingdings" w:hint="default"/>
      </w:rPr>
    </w:lvl>
  </w:abstractNum>
  <w:abstractNum w:abstractNumId="1" w15:restartNumberingAfterBreak="0">
    <w:nsid w:val="0C4F168C"/>
    <w:multiLevelType w:val="hybridMultilevel"/>
    <w:tmpl w:val="7AD2459E"/>
    <w:lvl w:ilvl="0" w:tplc="137CEB66">
      <w:start w:val="1"/>
      <w:numFmt w:val="bullet"/>
      <w:lvlText w:val=""/>
      <w:lvlJc w:val="left"/>
      <w:pPr>
        <w:ind w:left="720" w:hanging="360"/>
      </w:pPr>
      <w:rPr>
        <w:rFonts w:ascii="Symbol" w:hAnsi="Symbol" w:hint="default"/>
      </w:rPr>
    </w:lvl>
    <w:lvl w:ilvl="1" w:tplc="2CFC121A">
      <w:start w:val="1"/>
      <w:numFmt w:val="bullet"/>
      <w:lvlText w:val="o"/>
      <w:lvlJc w:val="left"/>
      <w:pPr>
        <w:ind w:left="1440" w:hanging="360"/>
      </w:pPr>
      <w:rPr>
        <w:rFonts w:ascii="Courier New" w:hAnsi="Courier New" w:hint="default"/>
      </w:rPr>
    </w:lvl>
    <w:lvl w:ilvl="2" w:tplc="C68EBBE0">
      <w:start w:val="1"/>
      <w:numFmt w:val="bullet"/>
      <w:lvlText w:val=""/>
      <w:lvlJc w:val="left"/>
      <w:pPr>
        <w:ind w:left="2160" w:hanging="360"/>
      </w:pPr>
      <w:rPr>
        <w:rFonts w:ascii="Wingdings" w:hAnsi="Wingdings" w:hint="default"/>
      </w:rPr>
    </w:lvl>
    <w:lvl w:ilvl="3" w:tplc="1E54E54C">
      <w:start w:val="1"/>
      <w:numFmt w:val="bullet"/>
      <w:lvlText w:val=""/>
      <w:lvlJc w:val="left"/>
      <w:pPr>
        <w:ind w:left="2880" w:hanging="360"/>
      </w:pPr>
      <w:rPr>
        <w:rFonts w:ascii="Symbol" w:hAnsi="Symbol" w:hint="default"/>
      </w:rPr>
    </w:lvl>
    <w:lvl w:ilvl="4" w:tplc="3956E8A0">
      <w:start w:val="1"/>
      <w:numFmt w:val="bullet"/>
      <w:lvlText w:val="o"/>
      <w:lvlJc w:val="left"/>
      <w:pPr>
        <w:ind w:left="3600" w:hanging="360"/>
      </w:pPr>
      <w:rPr>
        <w:rFonts w:ascii="Courier New" w:hAnsi="Courier New" w:hint="default"/>
      </w:rPr>
    </w:lvl>
    <w:lvl w:ilvl="5" w:tplc="DC2C3614">
      <w:start w:val="1"/>
      <w:numFmt w:val="bullet"/>
      <w:lvlText w:val=""/>
      <w:lvlJc w:val="left"/>
      <w:pPr>
        <w:ind w:left="4320" w:hanging="360"/>
      </w:pPr>
      <w:rPr>
        <w:rFonts w:ascii="Wingdings" w:hAnsi="Wingdings" w:hint="default"/>
      </w:rPr>
    </w:lvl>
    <w:lvl w:ilvl="6" w:tplc="E9B0C822">
      <w:start w:val="1"/>
      <w:numFmt w:val="bullet"/>
      <w:lvlText w:val=""/>
      <w:lvlJc w:val="left"/>
      <w:pPr>
        <w:ind w:left="5040" w:hanging="360"/>
      </w:pPr>
      <w:rPr>
        <w:rFonts w:ascii="Symbol" w:hAnsi="Symbol" w:hint="default"/>
      </w:rPr>
    </w:lvl>
    <w:lvl w:ilvl="7" w:tplc="7E40F008">
      <w:start w:val="1"/>
      <w:numFmt w:val="bullet"/>
      <w:lvlText w:val="o"/>
      <w:lvlJc w:val="left"/>
      <w:pPr>
        <w:ind w:left="5760" w:hanging="360"/>
      </w:pPr>
      <w:rPr>
        <w:rFonts w:ascii="Courier New" w:hAnsi="Courier New" w:hint="default"/>
      </w:rPr>
    </w:lvl>
    <w:lvl w:ilvl="8" w:tplc="FAFE8F5E">
      <w:start w:val="1"/>
      <w:numFmt w:val="bullet"/>
      <w:lvlText w:val=""/>
      <w:lvlJc w:val="left"/>
      <w:pPr>
        <w:ind w:left="6480" w:hanging="360"/>
      </w:pPr>
      <w:rPr>
        <w:rFonts w:ascii="Wingdings" w:hAnsi="Wingdings" w:hint="default"/>
      </w:rPr>
    </w:lvl>
  </w:abstractNum>
  <w:num w:numId="1" w16cid:durableId="845900521">
    <w:abstractNumId w:val="0"/>
  </w:num>
  <w:num w:numId="2" w16cid:durableId="42946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FD4896"/>
    <w:rsid w:val="00348A1D"/>
    <w:rsid w:val="003B629A"/>
    <w:rsid w:val="00407C81"/>
    <w:rsid w:val="00592DD9"/>
    <w:rsid w:val="00F9693B"/>
    <w:rsid w:val="04D075F0"/>
    <w:rsid w:val="063EFB2A"/>
    <w:rsid w:val="08C2CB4A"/>
    <w:rsid w:val="0D61C31E"/>
    <w:rsid w:val="1134E92D"/>
    <w:rsid w:val="11495ED4"/>
    <w:rsid w:val="11CE00B9"/>
    <w:rsid w:val="144C67B0"/>
    <w:rsid w:val="15DD29C6"/>
    <w:rsid w:val="1778FA27"/>
    <w:rsid w:val="1A4833AC"/>
    <w:rsid w:val="1B445DFC"/>
    <w:rsid w:val="1CA67370"/>
    <w:rsid w:val="1E47A82B"/>
    <w:rsid w:val="1E6FCA8D"/>
    <w:rsid w:val="1FA9711B"/>
    <w:rsid w:val="209E4CD3"/>
    <w:rsid w:val="247B5F36"/>
    <w:rsid w:val="25A9F6DF"/>
    <w:rsid w:val="2BE0FF7A"/>
    <w:rsid w:val="2F7E7620"/>
    <w:rsid w:val="3560DA62"/>
    <w:rsid w:val="368A332E"/>
    <w:rsid w:val="368F5A98"/>
    <w:rsid w:val="37FE4CB7"/>
    <w:rsid w:val="3D93FB57"/>
    <w:rsid w:val="40CB9C19"/>
    <w:rsid w:val="433A198A"/>
    <w:rsid w:val="46AF6986"/>
    <w:rsid w:val="4E379337"/>
    <w:rsid w:val="533E21C0"/>
    <w:rsid w:val="53E307C5"/>
    <w:rsid w:val="540728B4"/>
    <w:rsid w:val="54F3FB3B"/>
    <w:rsid w:val="5696B170"/>
    <w:rsid w:val="59C2204B"/>
    <w:rsid w:val="5B50FA36"/>
    <w:rsid w:val="60246B59"/>
    <w:rsid w:val="61AA134D"/>
    <w:rsid w:val="62069F02"/>
    <w:rsid w:val="6257626F"/>
    <w:rsid w:val="63826132"/>
    <w:rsid w:val="669B8DA1"/>
    <w:rsid w:val="675CDAC6"/>
    <w:rsid w:val="67E92C54"/>
    <w:rsid w:val="6820B577"/>
    <w:rsid w:val="6AC02C53"/>
    <w:rsid w:val="6AE8F392"/>
    <w:rsid w:val="6CC5FA28"/>
    <w:rsid w:val="6FAD9FD6"/>
    <w:rsid w:val="703E4E32"/>
    <w:rsid w:val="75E89ADC"/>
    <w:rsid w:val="75F4D1C7"/>
    <w:rsid w:val="75F949CE"/>
    <w:rsid w:val="76D81344"/>
    <w:rsid w:val="7EFD4896"/>
    <w:rsid w:val="7F1E6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D4896"/>
  <w15:chartTrackingRefBased/>
  <w15:docId w15:val="{D2DDF378-4689-45C6-A9F8-530539A97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character" w:styleId="FollowedHyperlink">
    <w:name w:val="FollowedHyperlink"/>
    <w:basedOn w:val="DefaultParagraphFont"/>
    <w:uiPriority w:val="99"/>
    <w:semiHidden/>
    <w:unhideWhenUsed/>
    <w:rsid w:val="00F9693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hilton.com/wp-content/uploads/2021/04/Hilton-2020-ESG-Report.pdf" TargetMode="External"/><Relationship Id="rId13" Type="http://schemas.openxmlformats.org/officeDocument/2006/relationships/hyperlink" Target="https://www.unwto.org/global/publication/tourism-and-sustainable-development-goals-journey-2030" TargetMode="External"/><Relationship Id="rId3" Type="http://schemas.openxmlformats.org/officeDocument/2006/relationships/settings" Target="settings.xml"/><Relationship Id="rId7" Type="http://schemas.openxmlformats.org/officeDocument/2006/relationships/hyperlink" Target="https://www.frontiersin.org/journals/psychology/articles/10.3389/fpsyg.2022.994970/full" TargetMode="External"/><Relationship Id="rId12" Type="http://schemas.openxmlformats.org/officeDocument/2006/relationships/hyperlink" Target="https://www.unwto.org/tourism-in-2030-agend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frontiersin.org/journals/psychology/articles/10.3389/fpsyg.2022.771421/full" TargetMode="External"/><Relationship Id="rId11" Type="http://schemas.openxmlformats.org/officeDocument/2006/relationships/hyperlink" Target="https://www.frontiersin.org/journals/psychology/articles/10.3389/fpsyg.2022.951963/full" TargetMode="External"/><Relationship Id="rId5" Type="http://schemas.openxmlformats.org/officeDocument/2006/relationships/hyperlink" Target="https://esg.hilton.com/our-reporting/" TargetMode="External"/><Relationship Id="rId15" Type="http://schemas.openxmlformats.org/officeDocument/2006/relationships/fontTable" Target="fontTable.xml"/><Relationship Id="rId10" Type="http://schemas.openxmlformats.org/officeDocument/2006/relationships/hyperlink" Target="https://www.frontiersin.org/journals/psychology/articles/10.3389/fpsyg.2021.710050/full" TargetMode="External"/><Relationship Id="rId4" Type="http://schemas.openxmlformats.org/officeDocument/2006/relationships/webSettings" Target="webSettings.xml"/><Relationship Id="rId9" Type="http://schemas.openxmlformats.org/officeDocument/2006/relationships/hyperlink" Target="https://esg.hilton.com/wp-content/uploads/sites/4/2023/04/Hilton-2022-Environmental-Social-and-Governance-Report.pdf" TargetMode="External"/><Relationship Id="rId14" Type="http://schemas.openxmlformats.org/officeDocument/2006/relationships/hyperlink" Target="https://www.frontiersin.org/articles/10.3389/fenvs.2023.1150681/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2819</Words>
  <Characters>16072</Characters>
  <Application>Microsoft Office Word</Application>
  <DocSecurity>0</DocSecurity>
  <Lines>133</Lines>
  <Paragraphs>37</Paragraphs>
  <ScaleCrop>false</ScaleCrop>
  <Company/>
  <LinksUpToDate>false</LinksUpToDate>
  <CharactersWithSpaces>18854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Ahmed Shaban</dc:creator>
  <cp:keywords/>
  <dc:description/>
  <cp:lastModifiedBy>Microsoft Office User</cp:lastModifiedBy>
  <cp:revision>4</cp:revision>
  <dcterms:created xsi:type="dcterms:W3CDTF">2024-04-19T22:10:00Z</dcterms:created>
  <dcterms:modified xsi:type="dcterms:W3CDTF">2024-05-09T08:54:00Z</dcterms:modified>
</cp:coreProperties>
</file>