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0E457" w14:textId="55648E0F" w:rsidR="00E33468" w:rsidRDefault="00F8657D" w:rsidP="00F8657D">
      <w:pPr>
        <w:jc w:val="center"/>
        <w:rPr>
          <w:sz w:val="28"/>
          <w:szCs w:val="28"/>
          <w:u w:val="single"/>
        </w:rPr>
      </w:pPr>
      <w:r w:rsidRPr="00F8657D">
        <w:rPr>
          <w:sz w:val="28"/>
          <w:szCs w:val="28"/>
          <w:u w:val="single"/>
        </w:rPr>
        <w:t>Primary Source Analysis: Lord William Bentinck’s Minute on the Suppression of Sati, 8 November 1829</w:t>
      </w:r>
    </w:p>
    <w:p w14:paraId="3C19ED2F" w14:textId="77777777" w:rsidR="00F8657D" w:rsidRDefault="00F8657D" w:rsidP="00F8657D">
      <w:pPr>
        <w:jc w:val="center"/>
        <w:rPr>
          <w:sz w:val="28"/>
          <w:szCs w:val="28"/>
          <w:u w:val="single"/>
        </w:rPr>
      </w:pPr>
    </w:p>
    <w:p w14:paraId="70659361" w14:textId="18A5EDB0" w:rsidR="001617ED" w:rsidRPr="001617ED" w:rsidRDefault="001617ED" w:rsidP="001617ED">
      <w:pPr>
        <w:rPr>
          <w:sz w:val="24"/>
          <w:szCs w:val="24"/>
        </w:rPr>
      </w:pPr>
      <w:r w:rsidRPr="001617ED">
        <w:rPr>
          <w:sz w:val="24"/>
          <w:szCs w:val="24"/>
        </w:rPr>
        <w:t>Lord William Bentinck’s Minute on the Suppression of Sati, composed on 8 November 1829, represents an important colonial government document created just prior to the official abolition of sati in Bengal under Regulation XVII of December 1829. Bentinck, who served as Governor-General of India from 1828 to 1835, employed the Minute to rationalise the prohibition of widow-burning, framing it as a moral, humanitarian, and political imperative. The source is valuable because it does not simply announce abolition, but reveals the reasoning behind it. Bentinck presents sati as a cruel practice that a “civilized nation” could no longer tolerate, yet his argument is also shaped by anxiety over imperial stability, religious non-interference and the survival of British supremacy in India.</w:t>
      </w:r>
      <w:r>
        <w:rPr>
          <w:rStyle w:val="FootnoteReference"/>
          <w:sz w:val="24"/>
          <w:szCs w:val="24"/>
        </w:rPr>
        <w:footnoteReference w:id="1"/>
      </w:r>
      <w:r w:rsidRPr="001617ED">
        <w:rPr>
          <w:sz w:val="24"/>
          <w:szCs w:val="24"/>
        </w:rPr>
        <w:t xml:space="preserve"> The Minute therefore shows that the abolition of sati was not only a humanitarian intervention, but also a moment in which the colonial state defined the boundaries of religion, violence, law and legitimate imperial authority.</w:t>
      </w:r>
      <w:r w:rsidRPr="001617ED">
        <w:rPr>
          <w:sz w:val="24"/>
          <w:szCs w:val="24"/>
        </w:rPr>
        <w:br/>
      </w:r>
      <w:r w:rsidRPr="001617ED">
        <w:rPr>
          <w:sz w:val="24"/>
          <w:szCs w:val="24"/>
        </w:rPr>
        <w:br/>
        <w:t>The context of the source holds significant importance. Bentinck reflected on the lengthy official discussions regarding the East India Company's role in intervening in Indian religious and social practices. Previous policy was influenced by a sense of caution, particularly due to the concern that meddling in religious matters might incite opposition. Bentinck clearly recognises this peril when he mentions the “very safety of the British empire in India.”</w:t>
      </w:r>
      <w:r>
        <w:rPr>
          <w:rStyle w:val="FootnoteReference"/>
          <w:sz w:val="24"/>
          <w:szCs w:val="24"/>
        </w:rPr>
        <w:footnoteReference w:id="2"/>
      </w:r>
      <w:r w:rsidRPr="001617ED">
        <w:rPr>
          <w:sz w:val="24"/>
          <w:szCs w:val="24"/>
        </w:rPr>
        <w:t xml:space="preserve"> His memory of the Vellore Mutiny is particularly revealing. He recalls the “dreadful consequences of a supposed violation of religious customs” and presents himself as someone personally aware of the risks of religious intervention.</w:t>
      </w:r>
      <w:r>
        <w:rPr>
          <w:rStyle w:val="FootnoteReference"/>
          <w:sz w:val="24"/>
          <w:szCs w:val="24"/>
        </w:rPr>
        <w:footnoteReference w:id="3"/>
      </w:r>
      <w:r w:rsidRPr="001617ED">
        <w:rPr>
          <w:sz w:val="24"/>
          <w:szCs w:val="24"/>
        </w:rPr>
        <w:t xml:space="preserve"> This elevates the Minute beyond merely expressing moral outrage. It also represents an assessment of the risks associated with colonialism. Bentinck had to demonstrate not only that sati was morally incorrect, but also that its abolition would not undermine British authority.</w:t>
      </w:r>
      <w:r w:rsidRPr="001617ED">
        <w:rPr>
          <w:sz w:val="24"/>
          <w:szCs w:val="24"/>
        </w:rPr>
        <w:br/>
      </w:r>
      <w:r w:rsidRPr="001617ED">
        <w:rPr>
          <w:sz w:val="24"/>
          <w:szCs w:val="24"/>
        </w:rPr>
        <w:br/>
        <w:t>The source was not aimed at the broader Indian population, nor at the widows whose lives were purportedly in jeopardy. It was written for colonial officials and decision-makers who needed to be persuaded that intervention was both morally justified and politically safe. Its tone is consequently cautious, protective, and seeks to validate itself. Bentinck asserts that his decision has been guided by “reason, and reason alone,” attempting to separate himself from emotional influences, despite employing language that is deeply emotive.</w:t>
      </w:r>
      <w:r>
        <w:rPr>
          <w:rStyle w:val="FootnoteReference"/>
          <w:sz w:val="24"/>
          <w:szCs w:val="24"/>
        </w:rPr>
        <w:footnoteReference w:id="4"/>
      </w:r>
      <w:r w:rsidRPr="001617ED">
        <w:rPr>
          <w:sz w:val="24"/>
          <w:szCs w:val="24"/>
        </w:rPr>
        <w:t xml:space="preserve"> This represents a key tension within the source material. At first glance, he dismisses the notion of “feeling” as a basis for policy decisions; however, in reality, he consistently references concepts such as horror, murder, humanity, and </w:t>
      </w:r>
      <w:r w:rsidRPr="001617ED">
        <w:rPr>
          <w:sz w:val="24"/>
          <w:szCs w:val="24"/>
        </w:rPr>
        <w:lastRenderedPageBreak/>
        <w:t>civilisation. His aim was to frame abolition as a reasoned action of governance, rather than as an impulsive humanitarian gesture.</w:t>
      </w:r>
      <w:r w:rsidRPr="001617ED">
        <w:rPr>
          <w:sz w:val="24"/>
          <w:szCs w:val="24"/>
        </w:rPr>
        <w:br/>
      </w:r>
      <w:r w:rsidRPr="001617ED">
        <w:rPr>
          <w:sz w:val="24"/>
          <w:szCs w:val="24"/>
        </w:rPr>
        <w:br/>
        <w:t>The language of the Minute is deeply moralised. Bentinck characterises sati as the yearly dispatch of “hundreds of innocent victims to a cruel and untimely end,” a description that frames widows as passive victims in need of salvation.</w:t>
      </w:r>
      <w:r>
        <w:rPr>
          <w:rStyle w:val="FootnoteReference"/>
          <w:sz w:val="24"/>
          <w:szCs w:val="24"/>
        </w:rPr>
        <w:footnoteReference w:id="5"/>
      </w:r>
      <w:r w:rsidRPr="001617ED">
        <w:rPr>
          <w:sz w:val="24"/>
          <w:szCs w:val="24"/>
        </w:rPr>
        <w:t xml:space="preserve"> He subsequently refers to the practice as a “inhuman and impious rite,” positioning it beyond the bounds of both humanity and legitimate religious practice.</w:t>
      </w:r>
      <w:r>
        <w:rPr>
          <w:rStyle w:val="FootnoteReference"/>
          <w:sz w:val="24"/>
          <w:szCs w:val="24"/>
        </w:rPr>
        <w:footnoteReference w:id="6"/>
      </w:r>
      <w:r w:rsidRPr="001617ED">
        <w:rPr>
          <w:sz w:val="24"/>
          <w:szCs w:val="24"/>
        </w:rPr>
        <w:t xml:space="preserve"> This language is important because it shows how sati became a symbolic test of civilisation. As Philippa Levine argues, gender was central to imperial history because the treatment of women was often used as an index by which societies were judged.</w:t>
      </w:r>
      <w:r>
        <w:rPr>
          <w:rStyle w:val="FootnoteReference"/>
          <w:sz w:val="24"/>
          <w:szCs w:val="24"/>
        </w:rPr>
        <w:footnoteReference w:id="7"/>
      </w:r>
      <w:r w:rsidRPr="001617ED">
        <w:rPr>
          <w:sz w:val="24"/>
          <w:szCs w:val="24"/>
        </w:rPr>
        <w:t xml:space="preserve"> Bentinck’s language aligns perfectly with this pattern. Indian society is implicitly measured against British moral authority, and the widow becomes evidence in a broader imperial judgement about civilisation, religion and governance.Yet Bentinck’s humanitarian argument is inseparable from imperial self-interest. He claims that continuing to tolerate sati could </w:t>
      </w:r>
      <w:r w:rsidR="009725A3">
        <w:rPr>
          <w:sz w:val="24"/>
          <w:szCs w:val="24"/>
        </w:rPr>
        <w:t xml:space="preserve"> </w:t>
      </w:r>
      <w:r w:rsidRPr="001617ED">
        <w:rPr>
          <w:sz w:val="24"/>
          <w:szCs w:val="24"/>
        </w:rPr>
        <w:t>only be justified if abolition threatened the larger “good of mankind” supposedly made possible by British supremacy.</w:t>
      </w:r>
      <w:r>
        <w:rPr>
          <w:rStyle w:val="FootnoteReference"/>
          <w:sz w:val="24"/>
          <w:szCs w:val="24"/>
        </w:rPr>
        <w:footnoteReference w:id="8"/>
      </w:r>
      <w:r>
        <w:rPr>
          <w:sz w:val="24"/>
          <w:szCs w:val="24"/>
        </w:rPr>
        <w:t xml:space="preserve"> </w:t>
      </w:r>
      <w:r w:rsidRPr="001617ED">
        <w:rPr>
          <w:sz w:val="24"/>
          <w:szCs w:val="24"/>
        </w:rPr>
        <w:t>This is an impressive formulation. It implies that British rule is perceived as a humanitarian endeavour, where the maintenance of this project might be considered more significant than the immediate hardships faced by widows. In essence, the empire is depicted as possessing moral worth due to its commitment to fostering future advancements for "millions. This reveals the civilising mission logic at work: colonial dominance is justified because it claims to produce moral and social progress. Bentinck’s abolitionism therefore does not challenge empire, It helps legitimise it.</w:t>
      </w:r>
      <w:r w:rsidR="009725A3">
        <w:rPr>
          <w:sz w:val="24"/>
          <w:szCs w:val="24"/>
        </w:rPr>
        <w:t xml:space="preserve"> </w:t>
      </w:r>
      <w:r w:rsidRPr="001617ED">
        <w:rPr>
          <w:sz w:val="24"/>
          <w:szCs w:val="24"/>
        </w:rPr>
        <w:t>This supports Lata Mani’s argument that the colonial debate over sati was never simply about women’s suffering. Mani argues that the widow remained marginal to a debate ostensibly about whether she should live or die.</w:t>
      </w:r>
      <w:r>
        <w:rPr>
          <w:rStyle w:val="FootnoteReference"/>
          <w:sz w:val="24"/>
          <w:szCs w:val="24"/>
        </w:rPr>
        <w:footnoteReference w:id="9"/>
      </w:r>
      <w:r w:rsidRPr="001617ED">
        <w:rPr>
          <w:sz w:val="24"/>
          <w:szCs w:val="24"/>
        </w:rPr>
        <w:t xml:space="preserve"> Bentinck’s Minute provides confirmation of this. The widow is central as an image, but absent as a speaker. She appears as a “innocent victim,” but not as someone whose own testimony, desires or circumstances are recoverable. Ania Loomba's argument proves to be quite valuable in this context. Loomba warns that sati discourse repeatedly turns the burning widow into either an archetypal victim or a sovereign agent, rather than locating her within specific social, economic and ideological contexts.</w:t>
      </w:r>
      <w:r>
        <w:rPr>
          <w:rStyle w:val="FootnoteReference"/>
          <w:sz w:val="24"/>
          <w:szCs w:val="24"/>
        </w:rPr>
        <w:footnoteReference w:id="10"/>
      </w:r>
      <w:r w:rsidRPr="001617ED">
        <w:rPr>
          <w:sz w:val="24"/>
          <w:szCs w:val="24"/>
        </w:rPr>
        <w:t xml:space="preserve"> Bentinck’s source does the former. It portrays the widow as a universal victim of Hindu brutality, yet it largely overlooks the complexities of caste, familial pressures, property dynamics, the nuances of widowhood, local variations, and the perspectives of women themselves.</w:t>
      </w:r>
      <w:r w:rsidRPr="001617ED">
        <w:rPr>
          <w:sz w:val="24"/>
          <w:szCs w:val="24"/>
        </w:rPr>
        <w:br/>
      </w:r>
      <w:r w:rsidRPr="001617ED">
        <w:rPr>
          <w:sz w:val="24"/>
          <w:szCs w:val="24"/>
        </w:rPr>
        <w:br/>
        <w:t xml:space="preserve">The Minute is also valuable for what it reveals about colonial knowledge-production. Bentinck refers to official reports of the nizamat adalat and statistics on sati in 1827 and </w:t>
      </w:r>
      <w:r w:rsidRPr="001617ED">
        <w:rPr>
          <w:sz w:val="24"/>
          <w:szCs w:val="24"/>
        </w:rPr>
        <w:lastRenderedPageBreak/>
        <w:t>1828, noting a decrease in recorded cases.</w:t>
      </w:r>
      <w:r>
        <w:rPr>
          <w:rStyle w:val="FootnoteReference"/>
          <w:sz w:val="24"/>
          <w:szCs w:val="24"/>
        </w:rPr>
        <w:footnoteReference w:id="11"/>
      </w:r>
      <w:r w:rsidRPr="001617ED">
        <w:rPr>
          <w:sz w:val="24"/>
          <w:szCs w:val="24"/>
        </w:rPr>
        <w:t xml:space="preserve"> This shows the bureaucratic character of the colonial state: sati is turned into an administrative problem through reports, returns and comparative numbers. However, Bentinck is sceptical about what the statistics mean. He proposes that the decline could be indicative of seasonal illnesses, patterns of cholera, or shifts in the conduct of European officials and law enforcement.</w:t>
      </w:r>
      <w:r>
        <w:rPr>
          <w:rStyle w:val="FootnoteReference"/>
          <w:sz w:val="24"/>
          <w:szCs w:val="24"/>
        </w:rPr>
        <w:footnoteReference w:id="12"/>
      </w:r>
      <w:r w:rsidRPr="001617ED">
        <w:rPr>
          <w:sz w:val="24"/>
          <w:szCs w:val="24"/>
        </w:rPr>
        <w:t xml:space="preserve"> This is a strength of the source, because it shows that Bentinck was not simply using numbers uncritically. However, it also highlights a limitation. The knowledge accessible to him was derived from colonial institutions rather than the perspectives of widows or the local communities directly.</w:t>
      </w:r>
      <w:r w:rsidR="009725A3">
        <w:rPr>
          <w:sz w:val="24"/>
          <w:szCs w:val="24"/>
        </w:rPr>
        <w:t xml:space="preserve"> </w:t>
      </w:r>
      <w:r w:rsidRPr="001617ED">
        <w:rPr>
          <w:sz w:val="24"/>
          <w:szCs w:val="24"/>
        </w:rPr>
        <w:t>The source further exposes the contradiction between colonial non-interference and colonial power. Bentinck acknowledges that earlier British policy might have “lent a sort of sanction” to sati by opting for regulation instead of outright abolition.</w:t>
      </w:r>
      <w:r>
        <w:rPr>
          <w:rStyle w:val="FootnoteReference"/>
          <w:sz w:val="24"/>
          <w:szCs w:val="24"/>
        </w:rPr>
        <w:footnoteReference w:id="13"/>
      </w:r>
      <w:r w:rsidRPr="001617ED">
        <w:rPr>
          <w:sz w:val="24"/>
          <w:szCs w:val="24"/>
        </w:rPr>
        <w:t xml:space="preserve"> This indicates that the state's previous efforts to oversee the ritual may have inadvertently conferred legitimacy upon it. Tanika Sarkar’s work helps explain this problem. Sarkar argues that colonial governance of sati institutionalised the issue of widow consent, unintentionally producing “something like rights” for certain women even as the state and its Brahman advisers did not intend to create a liberal rights framework.</w:t>
      </w:r>
      <w:r>
        <w:rPr>
          <w:rStyle w:val="FootnoteReference"/>
          <w:sz w:val="24"/>
          <w:szCs w:val="24"/>
        </w:rPr>
        <w:footnoteReference w:id="14"/>
      </w:r>
      <w:r w:rsidRPr="001617ED">
        <w:rPr>
          <w:sz w:val="24"/>
          <w:szCs w:val="24"/>
        </w:rPr>
        <w:t xml:space="preserve"> Bentinck’s Minute sits at the turning point of this process. He rejects partial interference and moves toward outright legal prohibition, but his reasoning still depends on the colonial state’s authority to decide what counts as valid religion, custom or crime.</w:t>
      </w:r>
      <w:r w:rsidRPr="001617ED">
        <w:rPr>
          <w:sz w:val="24"/>
          <w:szCs w:val="24"/>
        </w:rPr>
        <w:br/>
      </w:r>
      <w:r w:rsidRPr="001617ED">
        <w:rPr>
          <w:sz w:val="24"/>
          <w:szCs w:val="24"/>
        </w:rPr>
        <w:br/>
        <w:t>Andrea Major’s Pious Flames serves to enrich the understanding of Bentinck’s moral certainty, adding layers of complexity to the discussion. Major argues that European responses to sati were not simply the natural reaction of a civilised West to a barbaric Indian custom. Instead, they were historically specific and shaped by European debates about religion, suicide, gender, pain and the body.</w:t>
      </w:r>
      <w:r>
        <w:rPr>
          <w:rStyle w:val="FootnoteReference"/>
          <w:sz w:val="24"/>
          <w:szCs w:val="24"/>
        </w:rPr>
        <w:footnoteReference w:id="15"/>
      </w:r>
      <w:r w:rsidRPr="001617ED">
        <w:rPr>
          <w:sz w:val="24"/>
          <w:szCs w:val="24"/>
        </w:rPr>
        <w:t xml:space="preserve"> Bentinck’s Minute should therefore not be read as timeless humanitarian common sense. Its condemnation of sati illustrates a specific moral framework prevalent in early nineteenth-century Britain. His language of “civilization,” “humanity” and “murder” belongs to a specific imperial moment when British officials increasingly saw social reform as compatible with, and even necessary to, colonial authority. Major's argument is valuable as it encourages us to critically examine Bentinck's moral vocabulary rather than accepting it at face value.</w:t>
      </w:r>
      <w:r w:rsidRPr="001617ED">
        <w:rPr>
          <w:sz w:val="24"/>
          <w:szCs w:val="24"/>
        </w:rPr>
        <w:br/>
      </w:r>
      <w:r w:rsidRPr="001617ED">
        <w:rPr>
          <w:sz w:val="24"/>
          <w:szCs w:val="24"/>
        </w:rPr>
        <w:br/>
        <w:t xml:space="preserve">The source’s greatest strength is that it reveals the mental world of colonial governance. It reveals the underlying anxieties, moral beliefs, and political considerations that influenced the movement for abolition. It also illustrates that colonial authority functioned not solely through coercion, but also through assertions of moral obligation. Nonetheless, its weaknesses hold significant importance as well. It is an elite male colonial document, written from above, and it tells us far more about British governance </w:t>
      </w:r>
      <w:r w:rsidRPr="001617ED">
        <w:rPr>
          <w:sz w:val="24"/>
          <w:szCs w:val="24"/>
        </w:rPr>
        <w:lastRenderedPageBreak/>
        <w:t>than about sati as lived experience. It does not explain the social pressures on widows, the role of families, the economic position of widows, or the diversity of Hindu attitudes. Nor does it include Indian reformist voices such as Rammohun Roy, except indirectly through the wider debate. The source, therefore, cannot be solely relied upon to comprehend sati. It is essential to engage with this text critically, in conjunction with Indian, feminist, and postcolonial scholarship.</w:t>
      </w:r>
      <w:r w:rsidRPr="001617ED">
        <w:rPr>
          <w:sz w:val="24"/>
          <w:szCs w:val="24"/>
        </w:rPr>
        <w:br/>
      </w:r>
      <w:r w:rsidRPr="001617ED">
        <w:rPr>
          <w:sz w:val="24"/>
          <w:szCs w:val="24"/>
        </w:rPr>
        <w:br/>
        <w:t>In conclusion, Bentinck’s Minute serves as a valuable primary source, as it encapsulates the complex interplay of gender, violence, and empire. It portrays abolition as a serious humanitarian obligation while simultaneously uncovering the imperial rationale that underlies this obligation. Bentinck was concerned about the ongoing practice of sati and the potential political ramifications that could arise from its suppression. He proposed that abolition be viewed as an act of moral courage, facilitated by the dominance of British power. The source provides support for historians like Mani and Loomba, who contend that the widow frequently found herself marginalised in discussions surrounding widow-burning. It also supports the work of Major and Sarkar, who demonstrate that the discourse surrounding sati was historically intricate, influenced by evolving concepts of morality, law, agency, and consent. Ultimately, the Minute indicates that the abolition of sati encompassed more than merely putting an end to a violent practice. It also involved the colonial state claiming its authority to delineate concepts such as violence, religion, civilisation, and the moral justification of empire.</w:t>
      </w:r>
    </w:p>
    <w:p w14:paraId="0D5942E4" w14:textId="77777777" w:rsidR="00F8657D" w:rsidRDefault="00F8657D" w:rsidP="00F8657D">
      <w:pPr>
        <w:rPr>
          <w:sz w:val="28"/>
          <w:szCs w:val="28"/>
        </w:rPr>
      </w:pPr>
    </w:p>
    <w:p w14:paraId="4A959868" w14:textId="58D7DD46" w:rsidR="001617ED" w:rsidRDefault="001617ED" w:rsidP="00F8657D">
      <w:pPr>
        <w:rPr>
          <w:sz w:val="28"/>
          <w:szCs w:val="28"/>
          <w:u w:val="single"/>
        </w:rPr>
      </w:pPr>
      <w:r>
        <w:rPr>
          <w:sz w:val="28"/>
          <w:szCs w:val="28"/>
          <w:u w:val="single"/>
        </w:rPr>
        <w:t>Bibliography</w:t>
      </w:r>
    </w:p>
    <w:p w14:paraId="70B613F8" w14:textId="77777777" w:rsidR="001617ED" w:rsidRDefault="001617ED" w:rsidP="00F8657D">
      <w:pPr>
        <w:rPr>
          <w:sz w:val="28"/>
          <w:szCs w:val="28"/>
          <w:u w:val="single"/>
        </w:rPr>
      </w:pPr>
    </w:p>
    <w:p w14:paraId="712D6637" w14:textId="77777777" w:rsidR="001617ED" w:rsidRPr="001617ED" w:rsidRDefault="001617ED" w:rsidP="001617ED">
      <w:pPr>
        <w:rPr>
          <w:sz w:val="24"/>
          <w:szCs w:val="24"/>
        </w:rPr>
      </w:pPr>
      <w:r w:rsidRPr="001617ED">
        <w:rPr>
          <w:sz w:val="24"/>
          <w:szCs w:val="24"/>
        </w:rPr>
        <w:t>Bentinck, Lord William, ‘Minute on the Suppression of Sati, 8 November 1829’, 1977, Oxford University Press.</w:t>
      </w:r>
    </w:p>
    <w:p w14:paraId="75B74BF4" w14:textId="77777777" w:rsidR="001617ED" w:rsidRPr="001617ED" w:rsidRDefault="001617ED" w:rsidP="001617ED">
      <w:pPr>
        <w:rPr>
          <w:sz w:val="24"/>
          <w:szCs w:val="24"/>
        </w:rPr>
      </w:pPr>
      <w:r w:rsidRPr="001617ED">
        <w:rPr>
          <w:sz w:val="24"/>
          <w:szCs w:val="24"/>
        </w:rPr>
        <w:t xml:space="preserve">Levine, Philippa, </w:t>
      </w:r>
      <w:r w:rsidRPr="001617ED">
        <w:rPr>
          <w:i/>
          <w:iCs/>
          <w:sz w:val="24"/>
          <w:szCs w:val="24"/>
        </w:rPr>
        <w:t>Gender and Empire</w:t>
      </w:r>
      <w:r w:rsidRPr="001617ED">
        <w:rPr>
          <w:sz w:val="24"/>
          <w:szCs w:val="24"/>
        </w:rPr>
        <w:t>, 2007, Oxford University Press.</w:t>
      </w:r>
    </w:p>
    <w:p w14:paraId="13E9D923" w14:textId="77777777" w:rsidR="001617ED" w:rsidRPr="001617ED" w:rsidRDefault="001617ED" w:rsidP="001617ED">
      <w:pPr>
        <w:rPr>
          <w:sz w:val="24"/>
          <w:szCs w:val="24"/>
        </w:rPr>
      </w:pPr>
      <w:r w:rsidRPr="001617ED">
        <w:rPr>
          <w:sz w:val="24"/>
          <w:szCs w:val="24"/>
        </w:rPr>
        <w:t>Loomba, Ania, ‘Dead Women Tell No Tales: Issues of Female Subjectivity, Subaltern Agency and Tradition in Colonial and Post-Colonial Writings on Widow Immolation in India’, 1993, Oxford University Press.</w:t>
      </w:r>
    </w:p>
    <w:p w14:paraId="0D3BD32F" w14:textId="77777777" w:rsidR="001617ED" w:rsidRPr="001617ED" w:rsidRDefault="001617ED" w:rsidP="001617ED">
      <w:pPr>
        <w:rPr>
          <w:sz w:val="24"/>
          <w:szCs w:val="24"/>
        </w:rPr>
      </w:pPr>
      <w:r w:rsidRPr="001617ED">
        <w:rPr>
          <w:sz w:val="24"/>
          <w:szCs w:val="24"/>
        </w:rPr>
        <w:t xml:space="preserve">Major, Andrea, </w:t>
      </w:r>
      <w:r w:rsidRPr="001617ED">
        <w:rPr>
          <w:i/>
          <w:iCs/>
          <w:sz w:val="24"/>
          <w:szCs w:val="24"/>
        </w:rPr>
        <w:t>Pious Flames: European Encounters with Sati, 1500-1830</w:t>
      </w:r>
      <w:r w:rsidRPr="001617ED">
        <w:rPr>
          <w:sz w:val="24"/>
          <w:szCs w:val="24"/>
        </w:rPr>
        <w:t>, 2006, Oxford University Press.</w:t>
      </w:r>
    </w:p>
    <w:p w14:paraId="4B215FC8" w14:textId="77777777" w:rsidR="001617ED" w:rsidRPr="001617ED" w:rsidRDefault="001617ED" w:rsidP="001617ED">
      <w:pPr>
        <w:rPr>
          <w:sz w:val="24"/>
          <w:szCs w:val="24"/>
        </w:rPr>
      </w:pPr>
      <w:r w:rsidRPr="001617ED">
        <w:rPr>
          <w:sz w:val="24"/>
          <w:szCs w:val="24"/>
        </w:rPr>
        <w:t xml:space="preserve">Mani, Lata, </w:t>
      </w:r>
      <w:r w:rsidRPr="001617ED">
        <w:rPr>
          <w:i/>
          <w:iCs/>
          <w:sz w:val="24"/>
          <w:szCs w:val="24"/>
        </w:rPr>
        <w:t>Contentious Traditions: The Debate on Sati in Colonial India</w:t>
      </w:r>
      <w:r w:rsidRPr="001617ED">
        <w:rPr>
          <w:sz w:val="24"/>
          <w:szCs w:val="24"/>
        </w:rPr>
        <w:t>, 1998, University of California Press.</w:t>
      </w:r>
    </w:p>
    <w:p w14:paraId="5A644DDA" w14:textId="77777777" w:rsidR="001617ED" w:rsidRPr="001617ED" w:rsidRDefault="001617ED" w:rsidP="001617ED">
      <w:pPr>
        <w:rPr>
          <w:sz w:val="24"/>
          <w:szCs w:val="24"/>
        </w:rPr>
      </w:pPr>
      <w:r w:rsidRPr="001617ED">
        <w:rPr>
          <w:sz w:val="24"/>
          <w:szCs w:val="24"/>
        </w:rPr>
        <w:t>Sarkar, Tanika, ‘Something like rights? Faith, law and widow immolation debates in colonial Bengal’, 2012, SAGE Publications.</w:t>
      </w:r>
    </w:p>
    <w:p w14:paraId="077AD77F" w14:textId="77777777" w:rsidR="001617ED" w:rsidRPr="001617ED" w:rsidRDefault="001617ED" w:rsidP="00F8657D">
      <w:pPr>
        <w:rPr>
          <w:sz w:val="24"/>
          <w:szCs w:val="24"/>
        </w:rPr>
      </w:pPr>
    </w:p>
    <w:sectPr w:rsidR="001617ED" w:rsidRPr="001617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83C8E" w14:textId="77777777" w:rsidR="009F02DB" w:rsidRDefault="009F02DB" w:rsidP="001617ED">
      <w:pPr>
        <w:spacing w:after="0" w:line="240" w:lineRule="auto"/>
      </w:pPr>
      <w:r>
        <w:separator/>
      </w:r>
    </w:p>
  </w:endnote>
  <w:endnote w:type="continuationSeparator" w:id="0">
    <w:p w14:paraId="4230B03C" w14:textId="77777777" w:rsidR="009F02DB" w:rsidRDefault="009F02DB" w:rsidP="00161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463D5" w14:textId="77777777" w:rsidR="009F02DB" w:rsidRDefault="009F02DB" w:rsidP="001617ED">
      <w:pPr>
        <w:spacing w:after="0" w:line="240" w:lineRule="auto"/>
      </w:pPr>
      <w:r>
        <w:separator/>
      </w:r>
    </w:p>
  </w:footnote>
  <w:footnote w:type="continuationSeparator" w:id="0">
    <w:p w14:paraId="3F2D9D1A" w14:textId="77777777" w:rsidR="009F02DB" w:rsidRDefault="009F02DB" w:rsidP="001617ED">
      <w:pPr>
        <w:spacing w:after="0" w:line="240" w:lineRule="auto"/>
      </w:pPr>
      <w:r>
        <w:continuationSeparator/>
      </w:r>
    </w:p>
  </w:footnote>
  <w:footnote w:id="1">
    <w:p w14:paraId="6821A388" w14:textId="386F9994" w:rsidR="001617ED" w:rsidRDefault="001617ED">
      <w:pPr>
        <w:pStyle w:val="FootnoteText"/>
      </w:pPr>
      <w:r>
        <w:rPr>
          <w:rStyle w:val="FootnoteReference"/>
        </w:rPr>
        <w:footnoteRef/>
      </w:r>
      <w:r>
        <w:t xml:space="preserve"> </w:t>
      </w:r>
      <w:r w:rsidRPr="001617ED">
        <w:t>Bentinck, ‘Minute on the Suppression of Sati’, para. 1.</w:t>
      </w:r>
    </w:p>
  </w:footnote>
  <w:footnote w:id="2">
    <w:p w14:paraId="07683F4B" w14:textId="35C0501F" w:rsidR="001617ED" w:rsidRDefault="001617ED">
      <w:pPr>
        <w:pStyle w:val="FootnoteText"/>
      </w:pPr>
      <w:r>
        <w:rPr>
          <w:rStyle w:val="FootnoteReference"/>
        </w:rPr>
        <w:footnoteRef/>
      </w:r>
      <w:r>
        <w:t xml:space="preserve"> Ibid</w:t>
      </w:r>
    </w:p>
  </w:footnote>
  <w:footnote w:id="3">
    <w:p w14:paraId="3D69F0BA" w14:textId="1DE9FE2F" w:rsidR="001617ED" w:rsidRDefault="001617ED">
      <w:pPr>
        <w:pStyle w:val="FootnoteText"/>
      </w:pPr>
      <w:r>
        <w:rPr>
          <w:rStyle w:val="FootnoteReference"/>
        </w:rPr>
        <w:footnoteRef/>
      </w:r>
      <w:r>
        <w:t xml:space="preserve"> Ibid, </w:t>
      </w:r>
      <w:r w:rsidRPr="001617ED">
        <w:t>para. 2.</w:t>
      </w:r>
    </w:p>
  </w:footnote>
  <w:footnote w:id="4">
    <w:p w14:paraId="2B8F600C" w14:textId="1D8F0DC2" w:rsidR="001617ED" w:rsidRDefault="001617ED">
      <w:pPr>
        <w:pStyle w:val="FootnoteText"/>
      </w:pPr>
      <w:r>
        <w:rPr>
          <w:rStyle w:val="FootnoteReference"/>
        </w:rPr>
        <w:footnoteRef/>
      </w:r>
      <w:r>
        <w:t xml:space="preserve"> Ibid, </w:t>
      </w:r>
      <w:r w:rsidRPr="001617ED">
        <w:t>para. 1.</w:t>
      </w:r>
    </w:p>
  </w:footnote>
  <w:footnote w:id="5">
    <w:p w14:paraId="58559674" w14:textId="127D4337" w:rsidR="001617ED" w:rsidRDefault="001617ED">
      <w:pPr>
        <w:pStyle w:val="FootnoteText"/>
      </w:pPr>
      <w:r>
        <w:rPr>
          <w:rStyle w:val="FootnoteReference"/>
        </w:rPr>
        <w:footnoteRef/>
      </w:r>
      <w:r>
        <w:t xml:space="preserve"> </w:t>
      </w:r>
      <w:r>
        <w:t xml:space="preserve">Ibid, </w:t>
      </w:r>
      <w:r w:rsidRPr="001617ED">
        <w:t>para. 1.</w:t>
      </w:r>
    </w:p>
  </w:footnote>
  <w:footnote w:id="6">
    <w:p w14:paraId="1FFAE44D" w14:textId="0BBBBF10" w:rsidR="001617ED" w:rsidRDefault="001617ED">
      <w:pPr>
        <w:pStyle w:val="FootnoteText"/>
      </w:pPr>
      <w:r>
        <w:rPr>
          <w:rStyle w:val="FootnoteReference"/>
        </w:rPr>
        <w:footnoteRef/>
      </w:r>
      <w:r>
        <w:t xml:space="preserve"> </w:t>
      </w:r>
      <w:r>
        <w:t xml:space="preserve">Ibid, </w:t>
      </w:r>
      <w:r w:rsidRPr="001617ED">
        <w:t>para. 1.</w:t>
      </w:r>
    </w:p>
  </w:footnote>
  <w:footnote w:id="7">
    <w:p w14:paraId="542AFB06" w14:textId="54FF8A09" w:rsidR="001617ED" w:rsidRDefault="001617ED">
      <w:pPr>
        <w:pStyle w:val="FootnoteText"/>
      </w:pPr>
      <w:r>
        <w:rPr>
          <w:rStyle w:val="FootnoteReference"/>
        </w:rPr>
        <w:footnoteRef/>
      </w:r>
      <w:r>
        <w:t xml:space="preserve"> </w:t>
      </w:r>
      <w:r w:rsidRPr="001617ED">
        <w:t xml:space="preserve">Levine, </w:t>
      </w:r>
      <w:r w:rsidRPr="001617ED">
        <w:rPr>
          <w:i/>
          <w:iCs/>
        </w:rPr>
        <w:t>Gender and Empire</w:t>
      </w:r>
      <w:r w:rsidRPr="001617ED">
        <w:t>, pp. 6-7.</w:t>
      </w:r>
    </w:p>
  </w:footnote>
  <w:footnote w:id="8">
    <w:p w14:paraId="66E295AD" w14:textId="7151EB30" w:rsidR="001617ED" w:rsidRDefault="001617ED">
      <w:pPr>
        <w:pStyle w:val="FootnoteText"/>
      </w:pPr>
      <w:r>
        <w:rPr>
          <w:rStyle w:val="FootnoteReference"/>
        </w:rPr>
        <w:footnoteRef/>
      </w:r>
      <w:r>
        <w:t xml:space="preserve"> </w:t>
      </w:r>
      <w:r w:rsidRPr="001617ED">
        <w:t>Bentinck, ‘Minute on the Suppression of Sati’, para. 1.</w:t>
      </w:r>
    </w:p>
  </w:footnote>
  <w:footnote w:id="9">
    <w:p w14:paraId="4A8CE1A8" w14:textId="72DDCBFF" w:rsidR="001617ED" w:rsidRDefault="001617ED">
      <w:pPr>
        <w:pStyle w:val="FootnoteText"/>
      </w:pPr>
      <w:r>
        <w:rPr>
          <w:rStyle w:val="FootnoteReference"/>
        </w:rPr>
        <w:footnoteRef/>
      </w:r>
      <w:r>
        <w:t xml:space="preserve"> </w:t>
      </w:r>
      <w:r w:rsidRPr="001617ED">
        <w:t xml:space="preserve">Mani, </w:t>
      </w:r>
      <w:r w:rsidRPr="001617ED">
        <w:rPr>
          <w:i/>
          <w:iCs/>
        </w:rPr>
        <w:t>Contentious Traditions</w:t>
      </w:r>
      <w:r w:rsidRPr="001617ED">
        <w:t>, p. 1.</w:t>
      </w:r>
    </w:p>
  </w:footnote>
  <w:footnote w:id="10">
    <w:p w14:paraId="736887F0" w14:textId="1FD06E54" w:rsidR="001617ED" w:rsidRDefault="001617ED">
      <w:pPr>
        <w:pStyle w:val="FootnoteText"/>
      </w:pPr>
      <w:r>
        <w:rPr>
          <w:rStyle w:val="FootnoteReference"/>
        </w:rPr>
        <w:footnoteRef/>
      </w:r>
      <w:r>
        <w:t xml:space="preserve"> </w:t>
      </w:r>
      <w:r w:rsidRPr="001617ED">
        <w:t>Loomba, ‘Dead Women Tell No Tales’, pp. 209-211.</w:t>
      </w:r>
    </w:p>
  </w:footnote>
  <w:footnote w:id="11">
    <w:p w14:paraId="01115014" w14:textId="3294777F" w:rsidR="001617ED" w:rsidRDefault="001617ED">
      <w:pPr>
        <w:pStyle w:val="FootnoteText"/>
      </w:pPr>
      <w:r>
        <w:rPr>
          <w:rStyle w:val="FootnoteReference"/>
        </w:rPr>
        <w:footnoteRef/>
      </w:r>
      <w:r>
        <w:t xml:space="preserve"> </w:t>
      </w:r>
      <w:r w:rsidRPr="001617ED">
        <w:t>Bentinck, ‘Minute on the Suppression of Sati’, para. 3.</w:t>
      </w:r>
    </w:p>
  </w:footnote>
  <w:footnote w:id="12">
    <w:p w14:paraId="67A0F820" w14:textId="4A84665B" w:rsidR="001617ED" w:rsidRDefault="001617ED">
      <w:pPr>
        <w:pStyle w:val="FootnoteText"/>
      </w:pPr>
      <w:r>
        <w:rPr>
          <w:rStyle w:val="FootnoteReference"/>
        </w:rPr>
        <w:footnoteRef/>
      </w:r>
      <w:r>
        <w:t xml:space="preserve"> Ibid</w:t>
      </w:r>
    </w:p>
  </w:footnote>
  <w:footnote w:id="13">
    <w:p w14:paraId="1D077AF1" w14:textId="558476E0" w:rsidR="001617ED" w:rsidRDefault="001617ED">
      <w:pPr>
        <w:pStyle w:val="FootnoteText"/>
      </w:pPr>
      <w:r>
        <w:rPr>
          <w:rStyle w:val="FootnoteReference"/>
        </w:rPr>
        <w:footnoteRef/>
      </w:r>
      <w:r>
        <w:t xml:space="preserve"> Ibid, para. 4</w:t>
      </w:r>
    </w:p>
  </w:footnote>
  <w:footnote w:id="14">
    <w:p w14:paraId="4178F6CD" w14:textId="14FD88FA" w:rsidR="001617ED" w:rsidRDefault="001617ED">
      <w:pPr>
        <w:pStyle w:val="FootnoteText"/>
      </w:pPr>
      <w:r>
        <w:rPr>
          <w:rStyle w:val="FootnoteReference"/>
        </w:rPr>
        <w:footnoteRef/>
      </w:r>
      <w:r>
        <w:t xml:space="preserve"> </w:t>
      </w:r>
      <w:r w:rsidRPr="001617ED">
        <w:t>Sarkar, ‘Something like rights?’, pp. 295-296.</w:t>
      </w:r>
    </w:p>
  </w:footnote>
  <w:footnote w:id="15">
    <w:p w14:paraId="07852473" w14:textId="6418416C" w:rsidR="001617ED" w:rsidRDefault="001617ED">
      <w:pPr>
        <w:pStyle w:val="FootnoteText"/>
      </w:pPr>
      <w:r>
        <w:rPr>
          <w:rStyle w:val="FootnoteReference"/>
        </w:rPr>
        <w:footnoteRef/>
      </w:r>
      <w:r>
        <w:t xml:space="preserve"> </w:t>
      </w:r>
      <w:r w:rsidRPr="001617ED">
        <w:t xml:space="preserve">Major, </w:t>
      </w:r>
      <w:r w:rsidRPr="001617ED">
        <w:rPr>
          <w:i/>
          <w:iCs/>
        </w:rPr>
        <w:t>Pious Flames</w:t>
      </w:r>
      <w:r w:rsidRPr="001617ED">
        <w:t>, pp. 4-5.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57D"/>
    <w:rsid w:val="001617ED"/>
    <w:rsid w:val="002A3EA5"/>
    <w:rsid w:val="00577A5B"/>
    <w:rsid w:val="0074018D"/>
    <w:rsid w:val="009725A3"/>
    <w:rsid w:val="009F02DB"/>
    <w:rsid w:val="00E33468"/>
    <w:rsid w:val="00EE4B9C"/>
    <w:rsid w:val="00F640BA"/>
    <w:rsid w:val="00F86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1A681"/>
  <w15:chartTrackingRefBased/>
  <w15:docId w15:val="{CD9ED886-BC9C-40D6-9E73-BC8B3991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5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65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65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65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65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65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65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65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65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5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65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65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65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65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6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6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6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657D"/>
    <w:rPr>
      <w:rFonts w:eastAsiaTheme="majorEastAsia" w:cstheme="majorBidi"/>
      <w:color w:val="272727" w:themeColor="text1" w:themeTint="D8"/>
    </w:rPr>
  </w:style>
  <w:style w:type="paragraph" w:styleId="Title">
    <w:name w:val="Title"/>
    <w:basedOn w:val="Normal"/>
    <w:next w:val="Normal"/>
    <w:link w:val="TitleChar"/>
    <w:uiPriority w:val="10"/>
    <w:qFormat/>
    <w:rsid w:val="00F86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5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657D"/>
    <w:pPr>
      <w:spacing w:before="160"/>
      <w:jc w:val="center"/>
    </w:pPr>
    <w:rPr>
      <w:i/>
      <w:iCs/>
      <w:color w:val="404040" w:themeColor="text1" w:themeTint="BF"/>
    </w:rPr>
  </w:style>
  <w:style w:type="character" w:customStyle="1" w:styleId="QuoteChar">
    <w:name w:val="Quote Char"/>
    <w:basedOn w:val="DefaultParagraphFont"/>
    <w:link w:val="Quote"/>
    <w:uiPriority w:val="29"/>
    <w:rsid w:val="00F8657D"/>
    <w:rPr>
      <w:i/>
      <w:iCs/>
      <w:color w:val="404040" w:themeColor="text1" w:themeTint="BF"/>
    </w:rPr>
  </w:style>
  <w:style w:type="paragraph" w:styleId="ListParagraph">
    <w:name w:val="List Paragraph"/>
    <w:basedOn w:val="Normal"/>
    <w:uiPriority w:val="34"/>
    <w:qFormat/>
    <w:rsid w:val="00F8657D"/>
    <w:pPr>
      <w:ind w:left="720"/>
      <w:contextualSpacing/>
    </w:pPr>
  </w:style>
  <w:style w:type="character" w:styleId="IntenseEmphasis">
    <w:name w:val="Intense Emphasis"/>
    <w:basedOn w:val="DefaultParagraphFont"/>
    <w:uiPriority w:val="21"/>
    <w:qFormat/>
    <w:rsid w:val="00F8657D"/>
    <w:rPr>
      <w:i/>
      <w:iCs/>
      <w:color w:val="0F4761" w:themeColor="accent1" w:themeShade="BF"/>
    </w:rPr>
  </w:style>
  <w:style w:type="paragraph" w:styleId="IntenseQuote">
    <w:name w:val="Intense Quote"/>
    <w:basedOn w:val="Normal"/>
    <w:next w:val="Normal"/>
    <w:link w:val="IntenseQuoteChar"/>
    <w:uiPriority w:val="30"/>
    <w:qFormat/>
    <w:rsid w:val="00F86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657D"/>
    <w:rPr>
      <w:i/>
      <w:iCs/>
      <w:color w:val="0F4761" w:themeColor="accent1" w:themeShade="BF"/>
    </w:rPr>
  </w:style>
  <w:style w:type="character" w:styleId="IntenseReference">
    <w:name w:val="Intense Reference"/>
    <w:basedOn w:val="DefaultParagraphFont"/>
    <w:uiPriority w:val="32"/>
    <w:qFormat/>
    <w:rsid w:val="00F8657D"/>
    <w:rPr>
      <w:b/>
      <w:bCs/>
      <w:smallCaps/>
      <w:color w:val="0F4761" w:themeColor="accent1" w:themeShade="BF"/>
      <w:spacing w:val="5"/>
    </w:rPr>
  </w:style>
  <w:style w:type="paragraph" w:styleId="FootnoteText">
    <w:name w:val="footnote text"/>
    <w:basedOn w:val="Normal"/>
    <w:link w:val="FootnoteTextChar"/>
    <w:uiPriority w:val="99"/>
    <w:semiHidden/>
    <w:unhideWhenUsed/>
    <w:rsid w:val="001617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17ED"/>
    <w:rPr>
      <w:sz w:val="20"/>
      <w:szCs w:val="20"/>
    </w:rPr>
  </w:style>
  <w:style w:type="character" w:styleId="FootnoteReference">
    <w:name w:val="footnote reference"/>
    <w:basedOn w:val="DefaultParagraphFont"/>
    <w:uiPriority w:val="99"/>
    <w:semiHidden/>
    <w:unhideWhenUsed/>
    <w:rsid w:val="001617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786</TotalTime>
  <Pages>4</Pages>
  <Words>1708</Words>
  <Characters>9740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3</cp:revision>
  <dcterms:created xsi:type="dcterms:W3CDTF">2026-05-24T02:05:00Z</dcterms:created>
  <dcterms:modified xsi:type="dcterms:W3CDTF">2026-05-24T15:12:00Z</dcterms:modified>
</cp:coreProperties>
</file>