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0281751"/>
        <w:docPartObj>
          <w:docPartGallery w:val="Cover Pages"/>
          <w:docPartUnique/>
        </w:docPartObj>
      </w:sdtPr>
      <w:sdtEndPr>
        <w:rPr>
          <w:rFonts w:ascii="Arial" w:hAnsi="Arial" w:cs="Arial"/>
          <w:b/>
          <w:bCs/>
          <w:color w:val="000000"/>
          <w:sz w:val="32"/>
          <w:szCs w:val="32"/>
        </w:rPr>
      </w:sdtEndPr>
      <w:sdtContent>
        <w:p w14:paraId="6CC27EDE" w14:textId="16DC1FFE" w:rsidR="00A4425E" w:rsidRDefault="00A4425E">
          <w:r>
            <w:rPr>
              <w:noProof/>
            </w:rPr>
            <mc:AlternateContent>
              <mc:Choice Requires="wpg">
                <w:drawing>
                  <wp:anchor distT="0" distB="0" distL="114300" distR="114300" simplePos="0" relativeHeight="251659264" behindDoc="1" locked="0" layoutInCell="1" allowOverlap="1" wp14:anchorId="7C8A09F3" wp14:editId="10CB7E91">
                    <wp:simplePos x="0" y="0"/>
                    <wp:positionH relativeFrom="page">
                      <wp:align>center</wp:align>
                    </wp:positionH>
                    <wp:positionV relativeFrom="page">
                      <wp:align>center</wp:align>
                    </wp:positionV>
                    <wp:extent cx="686443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436" cy="9123528"/>
                              <a:chOff x="0" y="0"/>
                              <a:chExt cx="686443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72C7BB" w14:textId="77777777" w:rsidR="00A4425E" w:rsidRPr="00A4425E" w:rsidRDefault="00A4425E" w:rsidP="00A4425E">
                                  <w:pPr>
                                    <w:jc w:val="center"/>
                                    <w:rPr>
                                      <w:rStyle w:val="Strong"/>
                                      <w:rFonts w:ascii="Arial" w:hAnsi="Arial" w:cs="Arial"/>
                                      <w:b w:val="0"/>
                                      <w:bCs w:val="0"/>
                                      <w:color w:val="FFFFFF" w:themeColor="background1"/>
                                      <w:sz w:val="32"/>
                                      <w:szCs w:val="32"/>
                                    </w:rPr>
                                  </w:pPr>
                                  <w:r w:rsidRPr="00A4425E">
                                    <w:rPr>
                                      <w:rFonts w:ascii="Arial" w:hAnsi="Arial" w:cs="Arial"/>
                                      <w:b/>
                                      <w:bCs/>
                                      <w:color w:val="FFFFFF" w:themeColor="background1"/>
                                      <w:sz w:val="32"/>
                                      <w:szCs w:val="32"/>
                                    </w:rPr>
                                    <w:t>Component 2: Written Assignment (Report)</w:t>
                                  </w:r>
                                </w:p>
                                <w:p w14:paraId="17653291"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Student name: Honocas Matos</w:t>
                                  </w:r>
                                </w:p>
                                <w:p w14:paraId="2051B227"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Lecturer: Lou Wells</w:t>
                                  </w:r>
                                </w:p>
                                <w:p w14:paraId="792C54F6"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Student number:2224747</w:t>
                                  </w:r>
                                </w:p>
                                <w:p w14:paraId="34C4568E" w14:textId="138D2495"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 xml:space="preserve">Module Code:  </w:t>
                                  </w:r>
                                  <w:r w:rsidRPr="00A4425E">
                                    <w:rPr>
                                      <w:rStyle w:val="Strong"/>
                                      <w:rFonts w:ascii="Arial" w:hAnsi="Arial" w:cs="Arial"/>
                                      <w:color w:val="FFFFFF" w:themeColor="background1"/>
                                      <w:sz w:val="36"/>
                                      <w:szCs w:val="36"/>
                                    </w:rPr>
                                    <w:t>BMHP6029</w:t>
                                  </w:r>
                                </w:p>
                                <w:p w14:paraId="0DB0C35C" w14:textId="4D33F60A" w:rsidR="00A4425E" w:rsidRDefault="00A4425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6" y="1556485"/>
                                <a:ext cx="6858000" cy="255196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ing1Char"/>
                                      <w:rFonts w:ascii="Arial" w:hAnsi="Arial" w:cs="Arial"/>
                                      <w:b/>
                                      <w:bCs/>
                                      <w:color w:val="1D2125"/>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107A93" w14:textId="3F9D5427" w:rsidR="00A4425E" w:rsidRPr="00A4425E" w:rsidRDefault="00E96809" w:rsidP="00A4425E">
                                      <w:pPr>
                                        <w:pStyle w:val="NoSpacing"/>
                                        <w:jc w:val="center"/>
                                        <w:rPr>
                                          <w:rFonts w:asciiTheme="majorHAnsi" w:eastAsiaTheme="majorEastAsia" w:hAnsiTheme="majorHAnsi" w:cstheme="majorBidi"/>
                                          <w:caps/>
                                          <w:color w:val="156082" w:themeColor="accent1"/>
                                          <w:sz w:val="56"/>
                                          <w:szCs w:val="56"/>
                                        </w:rPr>
                                      </w:pPr>
                                      <w:r>
                                        <w:rPr>
                                          <w:rStyle w:val="Heading1Char"/>
                                          <w:rFonts w:ascii="Arial" w:hAnsi="Arial" w:cs="Arial"/>
                                          <w:b/>
                                          <w:bCs/>
                                          <w:color w:val="1D2125"/>
                                          <w:sz w:val="56"/>
                                          <w:szCs w:val="56"/>
                                        </w:rPr>
                                        <w:t>BMHP6029-Psychopathological Classifications and Provisions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8A09F3"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D72C7BB" w14:textId="77777777" w:rsidR="00A4425E" w:rsidRPr="00A4425E" w:rsidRDefault="00A4425E" w:rsidP="00A4425E">
                            <w:pPr>
                              <w:jc w:val="center"/>
                              <w:rPr>
                                <w:rStyle w:val="Strong"/>
                                <w:rFonts w:ascii="Arial" w:hAnsi="Arial" w:cs="Arial"/>
                                <w:b w:val="0"/>
                                <w:bCs w:val="0"/>
                                <w:color w:val="FFFFFF" w:themeColor="background1"/>
                                <w:sz w:val="32"/>
                                <w:szCs w:val="32"/>
                              </w:rPr>
                            </w:pPr>
                            <w:r w:rsidRPr="00A4425E">
                              <w:rPr>
                                <w:rFonts w:ascii="Arial" w:hAnsi="Arial" w:cs="Arial"/>
                                <w:b/>
                                <w:bCs/>
                                <w:color w:val="FFFFFF" w:themeColor="background1"/>
                                <w:sz w:val="32"/>
                                <w:szCs w:val="32"/>
                              </w:rPr>
                              <w:t>Component 2: Written Assignment (Report)</w:t>
                            </w:r>
                          </w:p>
                          <w:p w14:paraId="17653291"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Student name: Honocas Matos</w:t>
                            </w:r>
                          </w:p>
                          <w:p w14:paraId="2051B227"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Lecturer: Lou Wells</w:t>
                            </w:r>
                          </w:p>
                          <w:p w14:paraId="792C54F6" w14:textId="77777777"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Student number:2224747</w:t>
                            </w:r>
                          </w:p>
                          <w:p w14:paraId="34C4568E" w14:textId="138D2495" w:rsidR="00A4425E" w:rsidRPr="00A4425E" w:rsidRDefault="00A4425E" w:rsidP="00A4425E">
                            <w:pPr>
                              <w:jc w:val="center"/>
                              <w:rPr>
                                <w:rStyle w:val="Strong"/>
                                <w:rFonts w:ascii="Arial" w:hAnsi="Arial" w:cs="Arial"/>
                                <w:color w:val="FFFFFF" w:themeColor="background1"/>
                                <w:sz w:val="32"/>
                                <w:szCs w:val="32"/>
                              </w:rPr>
                            </w:pPr>
                            <w:r w:rsidRPr="00A4425E">
                              <w:rPr>
                                <w:rStyle w:val="Strong"/>
                                <w:rFonts w:ascii="Arial" w:hAnsi="Arial" w:cs="Arial"/>
                                <w:color w:val="FFFFFF" w:themeColor="background1"/>
                                <w:sz w:val="32"/>
                                <w:szCs w:val="32"/>
                              </w:rPr>
                              <w:t xml:space="preserve">Module Code:  </w:t>
                            </w:r>
                            <w:r w:rsidRPr="00A4425E">
                              <w:rPr>
                                <w:rStyle w:val="Strong"/>
                                <w:rFonts w:ascii="Arial" w:hAnsi="Arial" w:cs="Arial"/>
                                <w:color w:val="FFFFFF" w:themeColor="background1"/>
                                <w:sz w:val="36"/>
                                <w:szCs w:val="36"/>
                              </w:rPr>
                              <w:t>BMHP6029</w:t>
                            </w:r>
                          </w:p>
                          <w:p w14:paraId="0DB0C35C" w14:textId="4D33F60A" w:rsidR="00A4425E" w:rsidRDefault="00A4425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5564;width:68580;height:2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Heading1Char"/>
                                <w:rFonts w:ascii="Arial" w:hAnsi="Arial" w:cs="Arial"/>
                                <w:b/>
                                <w:bCs/>
                                <w:color w:val="1D2125"/>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107A93" w14:textId="3F9D5427" w:rsidR="00A4425E" w:rsidRPr="00A4425E" w:rsidRDefault="00E96809" w:rsidP="00A4425E">
                                <w:pPr>
                                  <w:pStyle w:val="NoSpacing"/>
                                  <w:jc w:val="center"/>
                                  <w:rPr>
                                    <w:rFonts w:asciiTheme="majorHAnsi" w:eastAsiaTheme="majorEastAsia" w:hAnsiTheme="majorHAnsi" w:cstheme="majorBidi"/>
                                    <w:caps/>
                                    <w:color w:val="156082" w:themeColor="accent1"/>
                                    <w:sz w:val="56"/>
                                    <w:szCs w:val="56"/>
                                  </w:rPr>
                                </w:pPr>
                                <w:r>
                                  <w:rPr>
                                    <w:rStyle w:val="Heading1Char"/>
                                    <w:rFonts w:ascii="Arial" w:hAnsi="Arial" w:cs="Arial"/>
                                    <w:b/>
                                    <w:bCs/>
                                    <w:color w:val="1D2125"/>
                                    <w:sz w:val="56"/>
                                    <w:szCs w:val="56"/>
                                  </w:rPr>
                                  <w:t>BMHP6029-Psychopathological Classifications and Provisions</w:t>
                                </w:r>
                              </w:p>
                            </w:sdtContent>
                          </w:sdt>
                        </w:txbxContent>
                      </v:textbox>
                    </v:shape>
                    <w10:wrap anchorx="page" anchory="page"/>
                  </v:group>
                </w:pict>
              </mc:Fallback>
            </mc:AlternateContent>
          </w:r>
        </w:p>
        <w:p w14:paraId="1CBA5911" w14:textId="31AD8257" w:rsidR="00A4425E" w:rsidRDefault="00A4425E">
          <w:pPr>
            <w:rPr>
              <w:rFonts w:ascii="Arial" w:hAnsi="Arial" w:cs="Arial"/>
              <w:b/>
              <w:bCs/>
              <w:color w:val="000000"/>
              <w:sz w:val="32"/>
              <w:szCs w:val="32"/>
            </w:rPr>
          </w:pPr>
          <w:r>
            <w:rPr>
              <w:rFonts w:ascii="Arial" w:hAnsi="Arial" w:cs="Arial"/>
              <w:b/>
              <w:bCs/>
              <w:color w:val="000000"/>
              <w:sz w:val="32"/>
              <w:szCs w:val="32"/>
            </w:rPr>
            <w:br w:type="page"/>
          </w:r>
        </w:p>
      </w:sdtContent>
    </w:sdt>
    <w:p w14:paraId="7DF2D322" w14:textId="77777777" w:rsidR="00A4425E" w:rsidRDefault="00A4425E" w:rsidP="00A4425E">
      <w:pPr>
        <w:ind w:left="2880"/>
        <w:rPr>
          <w:rFonts w:ascii="Arial" w:hAnsi="Arial" w:cs="Arial"/>
          <w:b/>
          <w:bCs/>
        </w:rPr>
      </w:pPr>
      <w:r w:rsidRPr="00A4425E">
        <w:rPr>
          <w:rFonts w:ascii="Arial" w:hAnsi="Arial" w:cs="Arial"/>
          <w:b/>
          <w:bCs/>
        </w:rPr>
        <w:lastRenderedPageBreak/>
        <w:t>Tablet of Contest</w:t>
      </w:r>
    </w:p>
    <w:p w14:paraId="372C36E7" w14:textId="77777777" w:rsidR="00A4425E" w:rsidRDefault="00A4425E" w:rsidP="00A4425E">
      <w:pPr>
        <w:rPr>
          <w:rFonts w:ascii="Arial" w:hAnsi="Arial" w:cs="Arial"/>
          <w:b/>
          <w:bCs/>
        </w:rPr>
      </w:pPr>
    </w:p>
    <w:p w14:paraId="3FC655C4" w14:textId="62A1D960" w:rsidR="006360E0" w:rsidRDefault="00A4425E" w:rsidP="00A4425E">
      <w:pPr>
        <w:rPr>
          <w:rStyle w:val="Strong"/>
          <w:b w:val="0"/>
          <w:bCs w:val="0"/>
          <w:color w:val="1D2125"/>
          <w:sz w:val="36"/>
          <w:szCs w:val="36"/>
        </w:rPr>
      </w:pPr>
      <w:r w:rsidRPr="00A4425E">
        <w:rPr>
          <w:rFonts w:ascii="Arial" w:hAnsi="Arial" w:cs="Arial"/>
        </w:rPr>
        <w:t>Introduction</w:t>
      </w:r>
      <w:r w:rsidRPr="006360E0">
        <w:rPr>
          <w:rStyle w:val="Strong"/>
          <w:rFonts w:ascii="Arial" w:hAnsi="Arial" w:cs="Arial"/>
          <w:b w:val="0"/>
          <w:bCs w:val="0"/>
          <w:color w:val="1D2125"/>
        </w:rPr>
        <w:t>……………………………………………………………………</w:t>
      </w:r>
      <w:r w:rsidR="006360E0">
        <w:rPr>
          <w:rStyle w:val="Strong"/>
          <w:rFonts w:ascii="Arial" w:hAnsi="Arial" w:cs="Arial"/>
          <w:b w:val="0"/>
          <w:bCs w:val="0"/>
          <w:color w:val="1D2125"/>
        </w:rPr>
        <w:t>…………</w:t>
      </w:r>
      <w:r w:rsidR="00115237">
        <w:rPr>
          <w:rStyle w:val="Strong"/>
          <w:rFonts w:ascii="Arial" w:hAnsi="Arial" w:cs="Arial"/>
          <w:b w:val="0"/>
          <w:bCs w:val="0"/>
          <w:color w:val="1D2125"/>
        </w:rPr>
        <w:t>…..2</w:t>
      </w:r>
    </w:p>
    <w:p w14:paraId="07520691" w14:textId="0CB2F91A" w:rsidR="006360E0" w:rsidRDefault="006360E0" w:rsidP="006360E0">
      <w:pPr>
        <w:rPr>
          <w:rFonts w:ascii="Arial" w:hAnsi="Arial" w:cs="Arial"/>
          <w:color w:val="1D2125"/>
        </w:rPr>
      </w:pPr>
      <w:r w:rsidRPr="006360E0">
        <w:rPr>
          <w:rFonts w:ascii="Arial" w:hAnsi="Arial" w:cs="Arial"/>
          <w:color w:val="1D2125"/>
        </w:rPr>
        <w:t>Classification and Diagnosis</w:t>
      </w:r>
      <w:r>
        <w:rPr>
          <w:rFonts w:ascii="Arial" w:hAnsi="Arial" w:cs="Arial"/>
          <w:color w:val="1D2125"/>
        </w:rPr>
        <w:t>………………………………………………………………</w:t>
      </w:r>
      <w:r w:rsidR="000043DC">
        <w:rPr>
          <w:rFonts w:ascii="Arial" w:hAnsi="Arial" w:cs="Arial"/>
          <w:color w:val="1D2125"/>
        </w:rPr>
        <w:t>.2</w:t>
      </w:r>
    </w:p>
    <w:p w14:paraId="01947F03" w14:textId="259D6208" w:rsidR="006360E0" w:rsidRDefault="006360E0" w:rsidP="006360E0">
      <w:pPr>
        <w:rPr>
          <w:rFonts w:ascii="Arial" w:hAnsi="Arial" w:cs="Arial"/>
          <w:color w:val="1D2125"/>
        </w:rPr>
      </w:pPr>
      <w:r w:rsidRPr="006360E0">
        <w:rPr>
          <w:rFonts w:ascii="Arial" w:hAnsi="Arial" w:cs="Arial"/>
          <w:color w:val="1D2125"/>
        </w:rPr>
        <w:t>Treatment and Rehabilitation</w:t>
      </w:r>
      <w:r>
        <w:rPr>
          <w:rFonts w:ascii="Arial" w:hAnsi="Arial" w:cs="Arial"/>
          <w:color w:val="1D2125"/>
        </w:rPr>
        <w:t>……………………………………………………………</w:t>
      </w:r>
      <w:r w:rsidR="000043DC">
        <w:rPr>
          <w:rFonts w:ascii="Arial" w:hAnsi="Arial" w:cs="Arial"/>
          <w:color w:val="1D2125"/>
        </w:rPr>
        <w:t>…3</w:t>
      </w:r>
    </w:p>
    <w:p w14:paraId="4D88E126" w14:textId="4E7DF206" w:rsidR="006360E0" w:rsidRDefault="006360E0" w:rsidP="006360E0">
      <w:pPr>
        <w:rPr>
          <w:rFonts w:ascii="Arial" w:hAnsi="Arial" w:cs="Arial"/>
          <w:color w:val="1D2125"/>
        </w:rPr>
      </w:pPr>
      <w:r w:rsidRPr="006360E0">
        <w:rPr>
          <w:rFonts w:ascii="Arial" w:hAnsi="Arial" w:cs="Arial"/>
          <w:color w:val="1D2125"/>
        </w:rPr>
        <w:t>Current Debates and Emerging Issues</w:t>
      </w:r>
      <w:r>
        <w:rPr>
          <w:rFonts w:ascii="Arial" w:hAnsi="Arial" w:cs="Arial"/>
          <w:color w:val="1D2125"/>
        </w:rPr>
        <w:t>…………………………………………………</w:t>
      </w:r>
      <w:r w:rsidR="00C80B00">
        <w:rPr>
          <w:rFonts w:ascii="Arial" w:hAnsi="Arial" w:cs="Arial"/>
          <w:color w:val="1D2125"/>
        </w:rPr>
        <w:t>…5</w:t>
      </w:r>
    </w:p>
    <w:p w14:paraId="22E8476B" w14:textId="10C8B4AE" w:rsidR="006360E0" w:rsidRDefault="006360E0" w:rsidP="006360E0">
      <w:pPr>
        <w:rPr>
          <w:rFonts w:ascii="Arial" w:hAnsi="Arial" w:cs="Arial"/>
          <w:color w:val="1D2125"/>
        </w:rPr>
      </w:pPr>
      <w:r w:rsidRPr="006360E0">
        <w:rPr>
          <w:rFonts w:ascii="Arial" w:hAnsi="Arial" w:cs="Arial"/>
          <w:color w:val="1D2125"/>
        </w:rPr>
        <w:t>Recommendations</w:t>
      </w:r>
      <w:r>
        <w:rPr>
          <w:rFonts w:ascii="Arial" w:hAnsi="Arial" w:cs="Arial"/>
          <w:color w:val="1D2125"/>
        </w:rPr>
        <w:t>………………………………………………………………………</w:t>
      </w:r>
      <w:r w:rsidR="00C80B00">
        <w:rPr>
          <w:rFonts w:ascii="Arial" w:hAnsi="Arial" w:cs="Arial"/>
          <w:color w:val="1D2125"/>
        </w:rPr>
        <w:t>…..6</w:t>
      </w:r>
    </w:p>
    <w:p w14:paraId="0E56E849" w14:textId="44B206B6" w:rsidR="006360E0" w:rsidRDefault="006360E0" w:rsidP="006360E0">
      <w:pPr>
        <w:rPr>
          <w:rFonts w:ascii="Arial" w:hAnsi="Arial" w:cs="Arial"/>
          <w:color w:val="1D2125"/>
        </w:rPr>
      </w:pPr>
      <w:r w:rsidRPr="006360E0">
        <w:rPr>
          <w:rFonts w:ascii="Arial" w:hAnsi="Arial" w:cs="Arial"/>
          <w:color w:val="1D2125"/>
        </w:rPr>
        <w:t>Conclusion</w:t>
      </w:r>
      <w:r>
        <w:rPr>
          <w:rFonts w:ascii="Arial" w:hAnsi="Arial" w:cs="Arial"/>
          <w:color w:val="1D2125"/>
        </w:rPr>
        <w:t>……………………………………………………………………………………</w:t>
      </w:r>
      <w:r w:rsidR="009A091F">
        <w:rPr>
          <w:rFonts w:ascii="Arial" w:hAnsi="Arial" w:cs="Arial"/>
          <w:color w:val="1D2125"/>
        </w:rPr>
        <w:t>7</w:t>
      </w:r>
    </w:p>
    <w:p w14:paraId="76DE7497" w14:textId="6CB927F2" w:rsidR="006360E0" w:rsidRPr="006360E0" w:rsidRDefault="006360E0" w:rsidP="006360E0">
      <w:pPr>
        <w:rPr>
          <w:rFonts w:ascii="Arial" w:hAnsi="Arial" w:cs="Arial"/>
          <w:color w:val="1D2125"/>
        </w:rPr>
      </w:pPr>
      <w:r>
        <w:rPr>
          <w:rFonts w:ascii="Arial" w:hAnsi="Arial" w:cs="Arial"/>
          <w:color w:val="1D2125"/>
        </w:rPr>
        <w:t>References…………………………………………………………………………………</w:t>
      </w:r>
      <w:r w:rsidR="009A091F">
        <w:rPr>
          <w:rFonts w:ascii="Arial" w:hAnsi="Arial" w:cs="Arial"/>
          <w:color w:val="1D2125"/>
        </w:rPr>
        <w:t>...</w:t>
      </w:r>
      <w:r w:rsidR="00E313D6">
        <w:rPr>
          <w:rFonts w:ascii="Arial" w:hAnsi="Arial" w:cs="Arial"/>
          <w:color w:val="1D2125"/>
        </w:rPr>
        <w:t>8</w:t>
      </w:r>
    </w:p>
    <w:p w14:paraId="4C82B874" w14:textId="77777777" w:rsidR="006360E0" w:rsidRPr="006360E0" w:rsidRDefault="006360E0" w:rsidP="006360E0">
      <w:pPr>
        <w:rPr>
          <w:rFonts w:ascii="Arial" w:hAnsi="Arial" w:cs="Arial"/>
          <w:color w:val="1D2125"/>
        </w:rPr>
      </w:pPr>
    </w:p>
    <w:p w14:paraId="21482B35" w14:textId="77777777" w:rsidR="006360E0" w:rsidRPr="006360E0" w:rsidRDefault="006360E0" w:rsidP="006360E0">
      <w:pPr>
        <w:rPr>
          <w:rFonts w:ascii="Arial" w:hAnsi="Arial" w:cs="Arial"/>
          <w:color w:val="1D2125"/>
        </w:rPr>
      </w:pPr>
    </w:p>
    <w:p w14:paraId="48C68550" w14:textId="79B06F50" w:rsidR="000264A1" w:rsidRPr="00A4425E" w:rsidRDefault="000264A1" w:rsidP="00A4425E">
      <w:pPr>
        <w:rPr>
          <w:rStyle w:val="Strong"/>
          <w:color w:val="1D2125"/>
          <w:sz w:val="36"/>
          <w:szCs w:val="36"/>
        </w:rPr>
      </w:pPr>
      <w:r w:rsidRPr="00A4425E">
        <w:rPr>
          <w:rStyle w:val="Strong"/>
          <w:color w:val="1D2125"/>
          <w:sz w:val="36"/>
          <w:szCs w:val="36"/>
        </w:rPr>
        <w:fldChar w:fldCharType="begin"/>
      </w:r>
      <w:r w:rsidR="00EC6552">
        <w:rPr>
          <w:rStyle w:val="Strong"/>
          <w:color w:val="1D2125"/>
          <w:sz w:val="36"/>
          <w:szCs w:val="36"/>
        </w:rPr>
        <w:instrText xml:space="preserve"> INCLUDEPICTURE "C:\\Users\\biancasanfilippo\\Library\\Group Containers\\UBF8T346G9.ms\\WebArchiveCopyPasteTempFiles\\com.microsoft.Word\\UWTSD-Logo.jpg" \* MERGEFORMAT </w:instrText>
      </w:r>
      <w:r w:rsidRPr="00A4425E">
        <w:rPr>
          <w:rStyle w:val="Strong"/>
          <w:color w:val="1D2125"/>
          <w:sz w:val="36"/>
          <w:szCs w:val="36"/>
        </w:rPr>
        <w:fldChar w:fldCharType="separate"/>
      </w:r>
      <w:r w:rsidRPr="00A4425E">
        <w:rPr>
          <w:rStyle w:val="Strong"/>
          <w:color w:val="1D2125"/>
          <w:sz w:val="36"/>
          <w:szCs w:val="36"/>
        </w:rPr>
        <w:fldChar w:fldCharType="end"/>
      </w:r>
    </w:p>
    <w:p w14:paraId="2A88E453" w14:textId="77777777" w:rsidR="000264A1" w:rsidRDefault="000264A1" w:rsidP="000264A1">
      <w:pPr>
        <w:jc w:val="center"/>
        <w:rPr>
          <w:rStyle w:val="Strong"/>
          <w:rFonts w:ascii="Arial" w:hAnsi="Arial" w:cs="Arial"/>
          <w:color w:val="1D2125"/>
          <w:sz w:val="36"/>
          <w:szCs w:val="36"/>
        </w:rPr>
      </w:pPr>
    </w:p>
    <w:p w14:paraId="7B9F1F4E" w14:textId="77777777" w:rsidR="00A4425E" w:rsidRDefault="00A4425E" w:rsidP="000264A1">
      <w:pPr>
        <w:jc w:val="center"/>
        <w:rPr>
          <w:rStyle w:val="Strong"/>
          <w:rFonts w:ascii="Arial" w:hAnsi="Arial" w:cs="Arial"/>
          <w:color w:val="1D2125"/>
          <w:sz w:val="36"/>
          <w:szCs w:val="36"/>
        </w:rPr>
      </w:pPr>
    </w:p>
    <w:p w14:paraId="47B2AAD0" w14:textId="77777777" w:rsidR="00A4425E" w:rsidRDefault="00A4425E" w:rsidP="000264A1">
      <w:pPr>
        <w:jc w:val="center"/>
        <w:rPr>
          <w:rStyle w:val="Strong"/>
          <w:rFonts w:ascii="Arial" w:hAnsi="Arial" w:cs="Arial"/>
          <w:color w:val="1D2125"/>
          <w:sz w:val="36"/>
          <w:szCs w:val="36"/>
        </w:rPr>
      </w:pPr>
    </w:p>
    <w:p w14:paraId="0D761703" w14:textId="77777777" w:rsidR="00A4425E" w:rsidRDefault="00A4425E" w:rsidP="000264A1">
      <w:pPr>
        <w:jc w:val="center"/>
        <w:rPr>
          <w:rStyle w:val="Strong"/>
          <w:rFonts w:ascii="Arial" w:hAnsi="Arial" w:cs="Arial"/>
          <w:color w:val="1D2125"/>
          <w:sz w:val="36"/>
          <w:szCs w:val="36"/>
        </w:rPr>
      </w:pPr>
    </w:p>
    <w:p w14:paraId="7DD82387" w14:textId="77777777" w:rsidR="000264A1" w:rsidRDefault="000264A1" w:rsidP="000264A1">
      <w:pPr>
        <w:rPr>
          <w:rStyle w:val="Strong"/>
          <w:rFonts w:ascii="Arial" w:hAnsi="Arial" w:cs="Arial"/>
          <w:color w:val="1D2125"/>
          <w:sz w:val="36"/>
          <w:szCs w:val="36"/>
        </w:rPr>
      </w:pPr>
    </w:p>
    <w:p w14:paraId="1DEC40D5" w14:textId="77777777" w:rsidR="000264A1" w:rsidRDefault="000264A1" w:rsidP="000264A1">
      <w:pPr>
        <w:rPr>
          <w:rStyle w:val="Strong"/>
          <w:rFonts w:ascii="Arial" w:hAnsi="Arial" w:cs="Arial"/>
          <w:color w:val="1D2125"/>
          <w:sz w:val="36"/>
          <w:szCs w:val="36"/>
        </w:rPr>
      </w:pPr>
    </w:p>
    <w:p w14:paraId="753D6549" w14:textId="77777777" w:rsidR="006360E0" w:rsidRDefault="006360E0" w:rsidP="000264A1">
      <w:pPr>
        <w:rPr>
          <w:rStyle w:val="Strong"/>
          <w:rFonts w:ascii="Arial" w:hAnsi="Arial" w:cs="Arial"/>
          <w:color w:val="1D2125"/>
          <w:sz w:val="36"/>
          <w:szCs w:val="36"/>
        </w:rPr>
      </w:pPr>
    </w:p>
    <w:p w14:paraId="3AF856B3" w14:textId="77777777" w:rsidR="006360E0" w:rsidRDefault="006360E0" w:rsidP="000264A1">
      <w:pPr>
        <w:rPr>
          <w:rStyle w:val="Strong"/>
          <w:rFonts w:ascii="Arial" w:hAnsi="Arial" w:cs="Arial"/>
          <w:color w:val="1D2125"/>
          <w:sz w:val="36"/>
          <w:szCs w:val="36"/>
        </w:rPr>
      </w:pPr>
    </w:p>
    <w:p w14:paraId="273D9EFE" w14:textId="77777777" w:rsidR="006360E0" w:rsidRDefault="006360E0" w:rsidP="000264A1">
      <w:pPr>
        <w:rPr>
          <w:rStyle w:val="Strong"/>
          <w:rFonts w:ascii="Arial" w:hAnsi="Arial" w:cs="Arial"/>
          <w:color w:val="1D2125"/>
          <w:sz w:val="36"/>
          <w:szCs w:val="36"/>
        </w:rPr>
      </w:pPr>
    </w:p>
    <w:p w14:paraId="3531954F" w14:textId="77777777" w:rsidR="006360E0" w:rsidRDefault="006360E0" w:rsidP="000264A1">
      <w:pPr>
        <w:rPr>
          <w:rStyle w:val="Strong"/>
          <w:rFonts w:ascii="Arial" w:hAnsi="Arial" w:cs="Arial"/>
          <w:color w:val="1D2125"/>
          <w:sz w:val="36"/>
          <w:szCs w:val="36"/>
        </w:rPr>
      </w:pPr>
    </w:p>
    <w:p w14:paraId="279E5E82" w14:textId="77777777" w:rsidR="006360E0" w:rsidRDefault="006360E0" w:rsidP="000264A1">
      <w:pPr>
        <w:rPr>
          <w:rFonts w:ascii="Arial" w:hAnsi="Arial" w:cs="Arial"/>
          <w:sz w:val="36"/>
          <w:szCs w:val="36"/>
        </w:rPr>
      </w:pPr>
    </w:p>
    <w:p w14:paraId="67590D08" w14:textId="77777777" w:rsidR="006360E0" w:rsidRDefault="006360E0" w:rsidP="000264A1">
      <w:pPr>
        <w:rPr>
          <w:rFonts w:ascii="Arial" w:hAnsi="Arial" w:cs="Arial"/>
          <w:sz w:val="36"/>
          <w:szCs w:val="36"/>
        </w:rPr>
      </w:pPr>
    </w:p>
    <w:p w14:paraId="1FF9AF3C" w14:textId="77777777" w:rsidR="006360E0" w:rsidRDefault="006360E0" w:rsidP="000264A1">
      <w:pPr>
        <w:rPr>
          <w:rFonts w:ascii="Arial" w:hAnsi="Arial" w:cs="Arial"/>
          <w:sz w:val="28"/>
          <w:szCs w:val="28"/>
        </w:rPr>
      </w:pPr>
    </w:p>
    <w:p w14:paraId="51886200" w14:textId="77777777" w:rsidR="00115237" w:rsidRDefault="006360E0" w:rsidP="00115237">
      <w:pPr>
        <w:spacing w:line="360" w:lineRule="auto"/>
        <w:jc w:val="both"/>
        <w:rPr>
          <w:rFonts w:ascii="Arial" w:hAnsi="Arial" w:cs="Arial"/>
          <w:b/>
          <w:bCs/>
          <w:sz w:val="28"/>
          <w:szCs w:val="28"/>
        </w:rPr>
      </w:pPr>
      <w:r w:rsidRPr="00115237">
        <w:rPr>
          <w:rFonts w:ascii="Arial" w:hAnsi="Arial" w:cs="Arial"/>
          <w:b/>
          <w:bCs/>
          <w:sz w:val="28"/>
          <w:szCs w:val="28"/>
        </w:rPr>
        <w:lastRenderedPageBreak/>
        <w:t>Introduction</w:t>
      </w:r>
    </w:p>
    <w:p w14:paraId="02FD278F" w14:textId="500FB670" w:rsidR="00115237" w:rsidRPr="007A0407" w:rsidRDefault="00115237" w:rsidP="00115237">
      <w:pPr>
        <w:spacing w:line="360" w:lineRule="auto"/>
        <w:jc w:val="both"/>
        <w:rPr>
          <w:rFonts w:ascii="Arial" w:hAnsi="Arial" w:cs="Arial"/>
          <w:sz w:val="22"/>
          <w:szCs w:val="22"/>
        </w:rPr>
      </w:pPr>
      <w:r w:rsidRPr="007A0407">
        <w:rPr>
          <w:rFonts w:ascii="Arial" w:hAnsi="Arial" w:cs="Arial"/>
          <w:sz w:val="22"/>
          <w:szCs w:val="22"/>
        </w:rPr>
        <w:t>Bulimia nervosa is classified in the International Classification of Diseases, 11th Revision (ICD-11) as a feeding and eating disorder within the broader category of Mental, Behavioural or Neurodevelopmental Disorders. Bulimia nervosa is characterised by recurrent episodes of binge eating accompanied by a subjective loss of control, followed by inappropriate compensatory behaviours such as self-induced vomiting, laxative misuse, fasting or excessive exercise. Moreover, Individuals typically experience significant distress, preoccupation with weight and shape, and impairment in functioning. Given its substantial medical and psychological burden, Bulimia nervosa represents a primary clinical and public health concern (NHS, 2024). Also, this report critically examines how bulimia nervosa is classified and diagnosed within ICD-11, analyses current treatment and rehabilitation approaches, and engages with contemporary debates including neurodivergence, stigma and the limitations of categorical classification. Furthermore, the report concludes with recommendations for enhancing classification, improving clinical practice, strengthening rehabilitation pathways and informing policy development.</w:t>
      </w:r>
    </w:p>
    <w:p w14:paraId="0BD352AD" w14:textId="77777777" w:rsidR="006360E0" w:rsidRPr="007A0407" w:rsidRDefault="006360E0" w:rsidP="008A6D32">
      <w:pPr>
        <w:pStyle w:val="NormalWeb"/>
        <w:rPr>
          <w:rFonts w:ascii="Arial" w:hAnsi="Arial" w:cs="Arial"/>
          <w:b/>
          <w:bCs/>
          <w:color w:val="000000"/>
          <w:sz w:val="22"/>
          <w:szCs w:val="22"/>
        </w:rPr>
      </w:pPr>
    </w:p>
    <w:p w14:paraId="291627AD" w14:textId="567E2F5E" w:rsidR="005D0195" w:rsidRPr="005D0195" w:rsidRDefault="008A6D32" w:rsidP="005D0195">
      <w:pPr>
        <w:pStyle w:val="NormalWeb"/>
        <w:rPr>
          <w:rFonts w:ascii="Arial" w:hAnsi="Arial" w:cs="Arial"/>
          <w:b/>
          <w:bCs/>
          <w:color w:val="000000"/>
        </w:rPr>
      </w:pPr>
      <w:r w:rsidRPr="008A6D32">
        <w:rPr>
          <w:rFonts w:ascii="Arial" w:hAnsi="Arial" w:cs="Arial"/>
          <w:b/>
          <w:bCs/>
          <w:color w:val="000000"/>
        </w:rPr>
        <w:t>Classification and Diagnosis</w:t>
      </w:r>
    </w:p>
    <w:p w14:paraId="637FEA22" w14:textId="784E7DCB" w:rsidR="00B55298" w:rsidRPr="007A0407" w:rsidRDefault="005D0195" w:rsidP="005D0195">
      <w:pPr>
        <w:pStyle w:val="NormalWeb"/>
        <w:spacing w:line="360" w:lineRule="auto"/>
        <w:jc w:val="both"/>
        <w:rPr>
          <w:rFonts w:ascii="Arial" w:hAnsi="Arial" w:cs="Arial"/>
          <w:b/>
          <w:bCs/>
          <w:color w:val="000000"/>
          <w:sz w:val="22"/>
          <w:szCs w:val="22"/>
        </w:rPr>
      </w:pPr>
      <w:r w:rsidRPr="007D5919">
        <w:rPr>
          <w:rFonts w:ascii="Arial" w:hAnsi="Arial" w:cs="Arial"/>
          <w:sz w:val="22"/>
          <w:szCs w:val="22"/>
        </w:rPr>
        <w:t xml:space="preserve">Bulimia nervosa is </w:t>
      </w:r>
      <w:r w:rsidR="00CB526D" w:rsidRPr="007A0407">
        <w:rPr>
          <w:rFonts w:ascii="Arial" w:hAnsi="Arial" w:cs="Arial"/>
          <w:sz w:val="22"/>
          <w:szCs w:val="22"/>
        </w:rPr>
        <w:t>categorised</w:t>
      </w:r>
      <w:r w:rsidRPr="007D5919">
        <w:rPr>
          <w:rFonts w:ascii="Arial" w:hAnsi="Arial" w:cs="Arial"/>
          <w:sz w:val="22"/>
          <w:szCs w:val="22"/>
        </w:rPr>
        <w:t xml:space="preserve"> in the International Classification of Diseases 11th Revision (ICD-11) under 6B81: Feeding and Eating Disorders, situated within the chapter on Mental, Behavioural and Neurodevelopmental Disorders. The ICD-11 utilises the term </w:t>
      </w:r>
      <w:r w:rsidR="000C5FE5">
        <w:rPr>
          <w:rFonts w:ascii="Arial" w:hAnsi="Arial" w:cs="Arial"/>
          <w:sz w:val="22"/>
          <w:szCs w:val="22"/>
        </w:rPr>
        <w:t>(</w:t>
      </w:r>
      <w:r w:rsidRPr="007D5919">
        <w:rPr>
          <w:rFonts w:ascii="Arial" w:hAnsi="Arial" w:cs="Arial"/>
          <w:sz w:val="22"/>
          <w:szCs w:val="22"/>
        </w:rPr>
        <w:t>disorder</w:t>
      </w:r>
      <w:r w:rsidR="000C5FE5">
        <w:rPr>
          <w:rFonts w:ascii="Arial" w:hAnsi="Arial" w:cs="Arial"/>
          <w:sz w:val="22"/>
          <w:szCs w:val="22"/>
        </w:rPr>
        <w:t>)</w:t>
      </w:r>
      <w:r w:rsidRPr="007D5919">
        <w:rPr>
          <w:rFonts w:ascii="Arial" w:hAnsi="Arial" w:cs="Arial"/>
          <w:sz w:val="22"/>
          <w:szCs w:val="22"/>
        </w:rPr>
        <w:t>, reflecting a biomedical-framed conceptualisation that emphasises dysfunction and clinical significance.</w:t>
      </w:r>
      <w:r w:rsidR="007E1AC8">
        <w:rPr>
          <w:rFonts w:ascii="Arial" w:hAnsi="Arial" w:cs="Arial"/>
          <w:sz w:val="22"/>
          <w:szCs w:val="22"/>
        </w:rPr>
        <w:t xml:space="preserve"> </w:t>
      </w:r>
      <w:r w:rsidRPr="007D5919">
        <w:rPr>
          <w:rFonts w:ascii="Arial" w:hAnsi="Arial" w:cs="Arial"/>
          <w:sz w:val="22"/>
          <w:szCs w:val="22"/>
        </w:rPr>
        <w:t xml:space="preserve">Although this terminology is essential for consistency and service commissioning, critics argue that the language may inadvertently reinforce stigma by framing experiences of distress as pathological rather than </w:t>
      </w:r>
      <w:r w:rsidR="007E1AC8" w:rsidRPr="007E1AC8">
        <w:rPr>
          <w:rFonts w:ascii="Arial" w:hAnsi="Arial" w:cs="Arial"/>
          <w:sz w:val="22"/>
          <w:szCs w:val="22"/>
        </w:rPr>
        <w:t>as embedded in broader sociocultural pressures (Gardini et al., 2025)</w:t>
      </w:r>
      <w:r w:rsidRPr="007E1AC8">
        <w:rPr>
          <w:rFonts w:ascii="Arial" w:hAnsi="Arial" w:cs="Arial"/>
          <w:sz w:val="22"/>
          <w:szCs w:val="22"/>
        </w:rPr>
        <w:t>.</w:t>
      </w:r>
      <w:r w:rsidRPr="007A0407">
        <w:rPr>
          <w:rFonts w:ascii="Arial" w:hAnsi="Arial" w:cs="Arial"/>
          <w:sz w:val="22"/>
          <w:szCs w:val="22"/>
        </w:rPr>
        <w:t xml:space="preserve"> </w:t>
      </w:r>
    </w:p>
    <w:p w14:paraId="1664C30B" w14:textId="494F292C" w:rsidR="00B55298" w:rsidRPr="007A0407" w:rsidRDefault="00B55298" w:rsidP="00B55298">
      <w:pPr>
        <w:pStyle w:val="NormalWeb"/>
        <w:spacing w:line="360" w:lineRule="auto"/>
        <w:jc w:val="both"/>
        <w:rPr>
          <w:rFonts w:ascii="Arial" w:hAnsi="Arial" w:cs="Arial"/>
          <w:sz w:val="22"/>
          <w:szCs w:val="22"/>
        </w:rPr>
      </w:pPr>
      <w:r w:rsidRPr="007A0407">
        <w:rPr>
          <w:rFonts w:ascii="Arial" w:hAnsi="Arial" w:cs="Arial"/>
          <w:sz w:val="22"/>
          <w:szCs w:val="22"/>
        </w:rPr>
        <w:t>In addition, the</w:t>
      </w:r>
      <w:r w:rsidRPr="007D5919">
        <w:rPr>
          <w:rFonts w:ascii="Arial" w:hAnsi="Arial" w:cs="Arial"/>
          <w:sz w:val="22"/>
          <w:szCs w:val="22"/>
        </w:rPr>
        <w:t xml:space="preserve"> ICD-11 criteria outline </w:t>
      </w:r>
      <w:r w:rsidRPr="007A0407">
        <w:rPr>
          <w:rFonts w:ascii="Arial" w:hAnsi="Arial" w:cs="Arial"/>
          <w:sz w:val="22"/>
          <w:szCs w:val="22"/>
        </w:rPr>
        <w:t xml:space="preserve">bulimia nervosa </w:t>
      </w:r>
      <w:r w:rsidRPr="007D5919">
        <w:rPr>
          <w:rFonts w:ascii="Arial" w:hAnsi="Arial" w:cs="Arial"/>
          <w:sz w:val="22"/>
          <w:szCs w:val="22"/>
        </w:rPr>
        <w:t xml:space="preserve">as involving recurrent binge-eating episodes characterised by consumption of </w:t>
      </w:r>
      <w:r w:rsidRPr="007A0407">
        <w:rPr>
          <w:rFonts w:ascii="Arial" w:hAnsi="Arial" w:cs="Arial"/>
          <w:sz w:val="22"/>
          <w:szCs w:val="22"/>
        </w:rPr>
        <w:t>enormous</w:t>
      </w:r>
      <w:r w:rsidRPr="007D5919">
        <w:rPr>
          <w:rFonts w:ascii="Arial" w:hAnsi="Arial" w:cs="Arial"/>
          <w:sz w:val="22"/>
          <w:szCs w:val="22"/>
        </w:rPr>
        <w:t xml:space="preserve"> quantities of food accompanied by a subjective loss of control, followed by inappropriate compensatory behaviours such as</w:t>
      </w:r>
      <w:r w:rsidR="00CB526D" w:rsidRPr="007A0407">
        <w:rPr>
          <w:rFonts w:ascii="Arial" w:hAnsi="Arial" w:cs="Arial"/>
          <w:sz w:val="22"/>
          <w:szCs w:val="22"/>
        </w:rPr>
        <w:t xml:space="preserve"> laxative misuse,</w:t>
      </w:r>
      <w:r w:rsidRPr="007D5919">
        <w:rPr>
          <w:rFonts w:ascii="Arial" w:hAnsi="Arial" w:cs="Arial"/>
          <w:sz w:val="22"/>
          <w:szCs w:val="22"/>
        </w:rPr>
        <w:t xml:space="preserve"> self-induced vomiting, fasting or excessive exercise.</w:t>
      </w:r>
      <w:r w:rsidRPr="007A0407">
        <w:rPr>
          <w:rFonts w:ascii="Arial" w:hAnsi="Arial" w:cs="Arial"/>
          <w:sz w:val="22"/>
          <w:szCs w:val="22"/>
        </w:rPr>
        <w:t xml:space="preserve"> Further, for a diagnosis,</w:t>
      </w:r>
      <w:r w:rsidRPr="007D5919">
        <w:rPr>
          <w:rFonts w:ascii="Arial" w:hAnsi="Arial" w:cs="Arial"/>
          <w:sz w:val="22"/>
          <w:szCs w:val="22"/>
        </w:rPr>
        <w:t xml:space="preserve"> </w:t>
      </w:r>
      <w:r w:rsidRPr="007A0407">
        <w:rPr>
          <w:rFonts w:ascii="Arial" w:hAnsi="Arial" w:cs="Arial"/>
          <w:sz w:val="22"/>
          <w:szCs w:val="22"/>
        </w:rPr>
        <w:t>t</w:t>
      </w:r>
      <w:r w:rsidRPr="007D5919">
        <w:rPr>
          <w:rFonts w:ascii="Arial" w:hAnsi="Arial" w:cs="Arial"/>
          <w:sz w:val="22"/>
          <w:szCs w:val="22"/>
        </w:rPr>
        <w:t>hese behaviours must occur at least once per week for one month and be accompanied by marked distress or impairment</w:t>
      </w:r>
      <w:r w:rsidR="00CB526D" w:rsidRPr="007A0407">
        <w:rPr>
          <w:rFonts w:ascii="Arial" w:hAnsi="Arial" w:cs="Arial"/>
          <w:sz w:val="22"/>
          <w:szCs w:val="22"/>
        </w:rPr>
        <w:t xml:space="preserve"> (</w:t>
      </w:r>
      <w:r w:rsidR="00CB526D" w:rsidRPr="006E3207">
        <w:rPr>
          <w:rFonts w:ascii="Arial" w:hAnsi="Arial" w:cs="Arial"/>
          <w:sz w:val="22"/>
          <w:szCs w:val="22"/>
        </w:rPr>
        <w:t>Gradl-Dietsch</w:t>
      </w:r>
      <w:r w:rsidR="00CB526D" w:rsidRPr="007A0407">
        <w:rPr>
          <w:rFonts w:ascii="Arial" w:hAnsi="Arial" w:cs="Arial"/>
          <w:sz w:val="22"/>
          <w:szCs w:val="22"/>
        </w:rPr>
        <w:t xml:space="preserve"> et al., 2025)</w:t>
      </w:r>
      <w:r w:rsidRPr="007D5919">
        <w:rPr>
          <w:rFonts w:ascii="Arial" w:hAnsi="Arial" w:cs="Arial"/>
          <w:sz w:val="22"/>
          <w:szCs w:val="22"/>
        </w:rPr>
        <w:t>.</w:t>
      </w:r>
      <w:r w:rsidRPr="007A0407">
        <w:rPr>
          <w:rFonts w:ascii="Arial" w:hAnsi="Arial" w:cs="Arial"/>
          <w:sz w:val="22"/>
          <w:szCs w:val="22"/>
        </w:rPr>
        <w:t xml:space="preserve"> Also</w:t>
      </w:r>
      <w:r w:rsidRPr="007D5919">
        <w:rPr>
          <w:rFonts w:ascii="Arial" w:hAnsi="Arial" w:cs="Arial"/>
          <w:sz w:val="22"/>
          <w:szCs w:val="22"/>
        </w:rPr>
        <w:t xml:space="preserve">, individuals with </w:t>
      </w:r>
      <w:r w:rsidRPr="007A0407">
        <w:rPr>
          <w:rFonts w:ascii="Arial" w:hAnsi="Arial" w:cs="Arial"/>
          <w:sz w:val="22"/>
          <w:szCs w:val="22"/>
        </w:rPr>
        <w:t>bulimia nervosa</w:t>
      </w:r>
      <w:r w:rsidRPr="007D5919">
        <w:rPr>
          <w:rFonts w:ascii="Arial" w:hAnsi="Arial" w:cs="Arial"/>
          <w:sz w:val="22"/>
          <w:szCs w:val="22"/>
        </w:rPr>
        <w:t xml:space="preserve"> are not significantly underweight, distinguishing B</w:t>
      </w:r>
      <w:r w:rsidRPr="007A0407">
        <w:rPr>
          <w:rFonts w:ascii="Arial" w:hAnsi="Arial" w:cs="Arial"/>
          <w:sz w:val="22"/>
          <w:szCs w:val="22"/>
        </w:rPr>
        <w:t>ulimia nervosa</w:t>
      </w:r>
      <w:r w:rsidRPr="007D5919">
        <w:rPr>
          <w:rFonts w:ascii="Arial" w:hAnsi="Arial" w:cs="Arial"/>
          <w:sz w:val="22"/>
          <w:szCs w:val="22"/>
        </w:rPr>
        <w:t xml:space="preserve"> from anorexia nervosa (AN).</w:t>
      </w:r>
      <w:r w:rsidRPr="007A0407">
        <w:rPr>
          <w:rFonts w:ascii="Arial" w:hAnsi="Arial" w:cs="Arial"/>
          <w:sz w:val="22"/>
          <w:szCs w:val="22"/>
        </w:rPr>
        <w:t xml:space="preserve"> Moreover</w:t>
      </w:r>
      <w:r w:rsidRPr="007D5919">
        <w:rPr>
          <w:rFonts w:ascii="Arial" w:hAnsi="Arial" w:cs="Arial"/>
          <w:sz w:val="22"/>
          <w:szCs w:val="22"/>
        </w:rPr>
        <w:t xml:space="preserve">, </w:t>
      </w:r>
      <w:r w:rsidRPr="007A0407">
        <w:rPr>
          <w:rFonts w:ascii="Arial" w:hAnsi="Arial" w:cs="Arial"/>
          <w:sz w:val="22"/>
          <w:szCs w:val="22"/>
        </w:rPr>
        <w:t>bulimia nervosa</w:t>
      </w:r>
      <w:r w:rsidRPr="007D5919">
        <w:rPr>
          <w:rFonts w:ascii="Arial" w:hAnsi="Arial" w:cs="Arial"/>
          <w:sz w:val="22"/>
          <w:szCs w:val="22"/>
        </w:rPr>
        <w:t xml:space="preserve"> is distinguished from binge-eating disorder via the presence of compensatory behaviours, which </w:t>
      </w:r>
      <w:r w:rsidRPr="007A0407">
        <w:rPr>
          <w:rFonts w:ascii="Arial" w:hAnsi="Arial" w:cs="Arial"/>
          <w:sz w:val="22"/>
          <w:szCs w:val="22"/>
        </w:rPr>
        <w:t>are absent in binge-eating disorder (Murphy et al., 2025)</w:t>
      </w:r>
      <w:r w:rsidRPr="007D5919">
        <w:rPr>
          <w:rFonts w:ascii="Arial" w:hAnsi="Arial" w:cs="Arial"/>
          <w:sz w:val="22"/>
          <w:szCs w:val="22"/>
        </w:rPr>
        <w:t>.</w:t>
      </w:r>
    </w:p>
    <w:p w14:paraId="0A26D754" w14:textId="3F5075BE" w:rsidR="00CB526D" w:rsidRPr="007A0407" w:rsidRDefault="00CB526D" w:rsidP="00CB526D">
      <w:pPr>
        <w:spacing w:line="360" w:lineRule="auto"/>
        <w:jc w:val="both"/>
        <w:rPr>
          <w:rFonts w:ascii="Arial" w:hAnsi="Arial" w:cs="Arial"/>
          <w:sz w:val="22"/>
          <w:szCs w:val="22"/>
        </w:rPr>
      </w:pPr>
      <w:r w:rsidRPr="007A0407">
        <w:rPr>
          <w:rFonts w:ascii="Arial" w:hAnsi="Arial" w:cs="Arial"/>
          <w:sz w:val="22"/>
          <w:szCs w:val="22"/>
        </w:rPr>
        <w:lastRenderedPageBreak/>
        <w:t xml:space="preserve">The acceptance of subjective binge episodes by ICD-11, where the amount of food consumed may not be objectively excessive, but is perceived as such, marks an advancement from previous diagnostic frameworks. This change enhances diagnostic sensitivity and acknowledges the cognitive and emotional aspects of binge eating. However, critics argue that the frequency thresholds used in diagnosis are essentially arbitrary, grounded in expert consensus rather than in natural boundaries in symptom distributions. This could lead to inconsistent diagnoses across </w:t>
      </w:r>
      <w:r w:rsidR="00296EEA" w:rsidRPr="007A0407">
        <w:rPr>
          <w:rFonts w:ascii="Arial" w:hAnsi="Arial" w:cs="Arial"/>
          <w:sz w:val="22"/>
          <w:szCs w:val="22"/>
        </w:rPr>
        <w:t>practitioners and cultures (Schmidt et al., 2025)</w:t>
      </w:r>
      <w:r w:rsidRPr="007A0407">
        <w:rPr>
          <w:rFonts w:ascii="Arial" w:hAnsi="Arial" w:cs="Arial"/>
          <w:sz w:val="22"/>
          <w:szCs w:val="22"/>
        </w:rPr>
        <w:t>.</w:t>
      </w:r>
    </w:p>
    <w:p w14:paraId="61C82337" w14:textId="37D9C509" w:rsidR="00BA2983" w:rsidRPr="007A0407" w:rsidRDefault="009B3C02" w:rsidP="00BA2983">
      <w:pPr>
        <w:spacing w:line="360" w:lineRule="auto"/>
        <w:jc w:val="both"/>
        <w:rPr>
          <w:rFonts w:ascii="Arial" w:hAnsi="Arial" w:cs="Arial"/>
          <w:sz w:val="22"/>
          <w:szCs w:val="22"/>
        </w:rPr>
      </w:pPr>
      <w:r w:rsidRPr="007A0407">
        <w:rPr>
          <w:rFonts w:ascii="Arial" w:hAnsi="Arial" w:cs="Arial"/>
          <w:sz w:val="22"/>
          <w:szCs w:val="22"/>
        </w:rPr>
        <w:t xml:space="preserve">Diagnosis requires a thorough psychiatric and medical evaluation. The Eating Disorder Examination (EDE) and its self-report questionnaire version are considered the gold-standard tools for assessing the frequency of binge eating, compensatory behaviours, cognitive distortions, and functional impairment. In addition to psychological assessment, a medical evaluation is crucial because purging can lead to complications, including dehydration, electrolyte imbalances, cardiac arrhythmias, and dental erosion (Gideon et al., 2016). </w:t>
      </w:r>
    </w:p>
    <w:p w14:paraId="4BDD7EBB" w14:textId="773DA188" w:rsidR="00C56304" w:rsidRPr="007A0407" w:rsidRDefault="00BA2983" w:rsidP="007A0407">
      <w:pPr>
        <w:spacing w:line="360" w:lineRule="auto"/>
        <w:jc w:val="both"/>
        <w:rPr>
          <w:rFonts w:ascii="Arial" w:hAnsi="Arial" w:cs="Arial"/>
          <w:b/>
          <w:bCs/>
          <w:sz w:val="22"/>
          <w:szCs w:val="22"/>
        </w:rPr>
      </w:pPr>
      <w:r w:rsidRPr="007D5919">
        <w:rPr>
          <w:rFonts w:ascii="Arial" w:hAnsi="Arial" w:cs="Arial"/>
          <w:sz w:val="22"/>
          <w:szCs w:val="22"/>
        </w:rPr>
        <w:t xml:space="preserve">However, classification and diagnostic processes are not without limitations. One key concern is diagnostic crossover, with individuals frequently transitioning between </w:t>
      </w:r>
      <w:r w:rsidRPr="007A0407">
        <w:rPr>
          <w:rFonts w:ascii="Arial" w:hAnsi="Arial" w:cs="Arial"/>
          <w:sz w:val="22"/>
          <w:szCs w:val="22"/>
        </w:rPr>
        <w:t>anorexia nervosa</w:t>
      </w:r>
      <w:r w:rsidRPr="007D5919">
        <w:rPr>
          <w:rFonts w:ascii="Arial" w:hAnsi="Arial" w:cs="Arial"/>
          <w:sz w:val="22"/>
          <w:szCs w:val="22"/>
        </w:rPr>
        <w:t xml:space="preserve">, </w:t>
      </w:r>
      <w:r w:rsidRPr="007A0407">
        <w:rPr>
          <w:rFonts w:ascii="Arial" w:hAnsi="Arial" w:cs="Arial"/>
          <w:sz w:val="22"/>
          <w:szCs w:val="22"/>
        </w:rPr>
        <w:t>bulimia nervosa</w:t>
      </w:r>
      <w:r w:rsidRPr="007D5919">
        <w:rPr>
          <w:rFonts w:ascii="Arial" w:hAnsi="Arial" w:cs="Arial"/>
          <w:sz w:val="22"/>
          <w:szCs w:val="22"/>
        </w:rPr>
        <w:t xml:space="preserve">, </w:t>
      </w:r>
      <w:r w:rsidRPr="007A0407">
        <w:rPr>
          <w:rFonts w:ascii="Arial" w:hAnsi="Arial" w:cs="Arial"/>
          <w:sz w:val="22"/>
          <w:szCs w:val="22"/>
        </w:rPr>
        <w:t>binge eating disorder</w:t>
      </w:r>
      <w:r w:rsidRPr="007D5919">
        <w:rPr>
          <w:rFonts w:ascii="Arial" w:hAnsi="Arial" w:cs="Arial"/>
          <w:sz w:val="22"/>
          <w:szCs w:val="22"/>
        </w:rPr>
        <w:t xml:space="preserve"> and </w:t>
      </w:r>
      <w:r w:rsidRPr="007A0407">
        <w:rPr>
          <w:rFonts w:ascii="Arial" w:hAnsi="Arial" w:cs="Arial"/>
          <w:sz w:val="22"/>
          <w:szCs w:val="22"/>
        </w:rPr>
        <w:t>other specified feeding or eating disorder</w:t>
      </w:r>
      <w:r w:rsidRPr="007D5919">
        <w:rPr>
          <w:rFonts w:ascii="Arial" w:hAnsi="Arial" w:cs="Arial"/>
          <w:sz w:val="22"/>
          <w:szCs w:val="22"/>
        </w:rPr>
        <w:t>. Such fluidity challenges the categorical model underpinning ICD-11</w:t>
      </w:r>
      <w:r w:rsidRPr="007A0407">
        <w:rPr>
          <w:rFonts w:ascii="Arial" w:hAnsi="Arial" w:cs="Arial"/>
          <w:sz w:val="22"/>
          <w:szCs w:val="22"/>
        </w:rPr>
        <w:t>. Additionally, it suggests</w:t>
      </w:r>
      <w:r w:rsidRPr="007D5919">
        <w:rPr>
          <w:rFonts w:ascii="Arial" w:hAnsi="Arial" w:cs="Arial"/>
          <w:sz w:val="22"/>
          <w:szCs w:val="22"/>
        </w:rPr>
        <w:t xml:space="preserve"> a stronger case for transdiagnostic or dimensional classification systems, which conceptualise eating disorders as existing along continua rather than in discrete categories (</w:t>
      </w:r>
      <w:r w:rsidR="00EE6A62" w:rsidRPr="007A0407">
        <w:rPr>
          <w:rFonts w:ascii="Arial" w:hAnsi="Arial" w:cs="Arial"/>
          <w:sz w:val="22"/>
          <w:szCs w:val="22"/>
        </w:rPr>
        <w:t>Church</w:t>
      </w:r>
      <w:r w:rsidRPr="007D5919">
        <w:rPr>
          <w:rFonts w:ascii="Arial" w:hAnsi="Arial" w:cs="Arial"/>
          <w:sz w:val="22"/>
          <w:szCs w:val="22"/>
        </w:rPr>
        <w:t>, 20</w:t>
      </w:r>
      <w:r w:rsidR="00EE6A62" w:rsidRPr="007A0407">
        <w:rPr>
          <w:rFonts w:ascii="Arial" w:hAnsi="Arial" w:cs="Arial"/>
          <w:sz w:val="22"/>
          <w:szCs w:val="22"/>
        </w:rPr>
        <w:t>22</w:t>
      </w:r>
      <w:r w:rsidRPr="007D5919">
        <w:rPr>
          <w:rFonts w:ascii="Arial" w:hAnsi="Arial" w:cs="Arial"/>
          <w:sz w:val="22"/>
          <w:szCs w:val="22"/>
        </w:rPr>
        <w:t>). Additionally, sociocultural biases can influence diagnosis</w:t>
      </w:r>
      <w:r w:rsidRPr="007A0407">
        <w:rPr>
          <w:rFonts w:ascii="Arial" w:hAnsi="Arial" w:cs="Arial"/>
          <w:sz w:val="22"/>
          <w:szCs w:val="22"/>
        </w:rPr>
        <w:t xml:space="preserve">; </w:t>
      </w:r>
      <w:r w:rsidRPr="007D5919">
        <w:rPr>
          <w:rFonts w:ascii="Arial" w:hAnsi="Arial" w:cs="Arial"/>
          <w:sz w:val="22"/>
          <w:szCs w:val="22"/>
        </w:rPr>
        <w:t xml:space="preserve">clinicians may overlook </w:t>
      </w:r>
      <w:r w:rsidRPr="007A0407">
        <w:rPr>
          <w:rFonts w:ascii="Arial" w:hAnsi="Arial" w:cs="Arial"/>
          <w:sz w:val="22"/>
          <w:szCs w:val="22"/>
        </w:rPr>
        <w:t>bulimia nervosa</w:t>
      </w:r>
      <w:r w:rsidRPr="007D5919">
        <w:rPr>
          <w:rFonts w:ascii="Arial" w:hAnsi="Arial" w:cs="Arial"/>
          <w:sz w:val="22"/>
          <w:szCs w:val="22"/>
        </w:rPr>
        <w:t xml:space="preserve"> in men, individuals from minority ethnic backgrounds or those in higher-weight bodies due to stereotypes associating eating disorders primarily with thin, young women (</w:t>
      </w:r>
      <w:r w:rsidRPr="007A0407">
        <w:rPr>
          <w:rFonts w:ascii="Arial" w:hAnsi="Arial" w:cs="Arial"/>
          <w:sz w:val="22"/>
          <w:szCs w:val="22"/>
        </w:rPr>
        <w:t xml:space="preserve">Brown, </w:t>
      </w:r>
      <w:r w:rsidRPr="007D5919">
        <w:rPr>
          <w:rFonts w:ascii="Arial" w:hAnsi="Arial" w:cs="Arial"/>
          <w:sz w:val="22"/>
          <w:szCs w:val="22"/>
        </w:rPr>
        <w:t>202</w:t>
      </w:r>
      <w:r w:rsidRPr="007A0407">
        <w:rPr>
          <w:rFonts w:ascii="Arial" w:hAnsi="Arial" w:cs="Arial"/>
          <w:sz w:val="22"/>
          <w:szCs w:val="22"/>
        </w:rPr>
        <w:t>5</w:t>
      </w:r>
      <w:r w:rsidRPr="007D5919">
        <w:rPr>
          <w:rFonts w:ascii="Arial" w:hAnsi="Arial" w:cs="Arial"/>
          <w:sz w:val="22"/>
          <w:szCs w:val="22"/>
        </w:rPr>
        <w:t>).</w:t>
      </w:r>
    </w:p>
    <w:p w14:paraId="23CCEF70" w14:textId="257572CC" w:rsidR="008A6D32" w:rsidRDefault="008A6D32" w:rsidP="008A6D32">
      <w:pPr>
        <w:pStyle w:val="NormalWeb"/>
        <w:rPr>
          <w:rFonts w:ascii="Arial" w:hAnsi="Arial" w:cs="Arial"/>
          <w:b/>
          <w:bCs/>
          <w:color w:val="000000"/>
        </w:rPr>
      </w:pPr>
      <w:bookmarkStart w:id="0" w:name="_Hlk216904918"/>
      <w:r w:rsidRPr="008A6D32">
        <w:rPr>
          <w:rFonts w:ascii="Arial" w:hAnsi="Arial" w:cs="Arial"/>
          <w:b/>
          <w:bCs/>
          <w:color w:val="000000"/>
        </w:rPr>
        <w:t>Treatment and Rehabilitation</w:t>
      </w:r>
    </w:p>
    <w:bookmarkEnd w:id="0"/>
    <w:p w14:paraId="1F340C6D" w14:textId="36751202" w:rsidR="00792CAE" w:rsidRDefault="00880139" w:rsidP="00880139">
      <w:pPr>
        <w:pStyle w:val="NormalWeb"/>
        <w:spacing w:line="360" w:lineRule="auto"/>
        <w:jc w:val="both"/>
        <w:rPr>
          <w:rFonts w:ascii="Arial" w:hAnsi="Arial" w:cs="Arial"/>
          <w:color w:val="000000"/>
          <w:sz w:val="22"/>
          <w:szCs w:val="22"/>
        </w:rPr>
      </w:pPr>
      <w:r w:rsidRPr="007A0407">
        <w:rPr>
          <w:rFonts w:ascii="Arial" w:hAnsi="Arial" w:cs="Arial"/>
          <w:color w:val="000000"/>
          <w:sz w:val="22"/>
          <w:szCs w:val="22"/>
        </w:rPr>
        <w:t xml:space="preserve">Treatment for bulimia nervosa involves multiple approaches, including psychological therapy, medication, and multidisciplinary rehabilitation. Cognitive </w:t>
      </w:r>
      <w:r w:rsidR="00B07BD8" w:rsidRPr="007A0407">
        <w:rPr>
          <w:rFonts w:ascii="Arial" w:hAnsi="Arial" w:cs="Arial"/>
          <w:color w:val="000000"/>
          <w:sz w:val="22"/>
          <w:szCs w:val="22"/>
        </w:rPr>
        <w:t>Behavioural</w:t>
      </w:r>
      <w:r w:rsidRPr="007A0407">
        <w:rPr>
          <w:rFonts w:ascii="Arial" w:hAnsi="Arial" w:cs="Arial"/>
          <w:color w:val="000000"/>
          <w:sz w:val="22"/>
          <w:szCs w:val="22"/>
        </w:rPr>
        <w:t xml:space="preserve"> Therapy E</w:t>
      </w:r>
      <w:r w:rsidR="00B05C49">
        <w:rPr>
          <w:rFonts w:ascii="Arial" w:hAnsi="Arial" w:cs="Arial"/>
          <w:color w:val="000000"/>
          <w:sz w:val="22"/>
          <w:szCs w:val="22"/>
        </w:rPr>
        <w:t>ating Disorder</w:t>
      </w:r>
      <w:r w:rsidRPr="007A0407">
        <w:rPr>
          <w:rFonts w:ascii="Arial" w:hAnsi="Arial" w:cs="Arial"/>
          <w:color w:val="000000"/>
          <w:sz w:val="22"/>
          <w:szCs w:val="22"/>
        </w:rPr>
        <w:t xml:space="preserve"> (CBT-E</w:t>
      </w:r>
      <w:r w:rsidR="00A2392A">
        <w:rPr>
          <w:rFonts w:ascii="Arial" w:hAnsi="Arial" w:cs="Arial"/>
          <w:color w:val="000000"/>
          <w:sz w:val="22"/>
          <w:szCs w:val="22"/>
        </w:rPr>
        <w:t>D</w:t>
      </w:r>
      <w:r w:rsidRPr="007A0407">
        <w:rPr>
          <w:rFonts w:ascii="Arial" w:hAnsi="Arial" w:cs="Arial"/>
          <w:color w:val="000000"/>
          <w:sz w:val="22"/>
          <w:szCs w:val="22"/>
        </w:rPr>
        <w:t>) is considered the most effective treatment for bulimia. CBT-E</w:t>
      </w:r>
      <w:r w:rsidR="00B05C49">
        <w:rPr>
          <w:rFonts w:ascii="Arial" w:hAnsi="Arial" w:cs="Arial"/>
          <w:color w:val="000000"/>
          <w:sz w:val="22"/>
          <w:szCs w:val="22"/>
        </w:rPr>
        <w:t>D</w:t>
      </w:r>
      <w:r w:rsidRPr="007A0407">
        <w:rPr>
          <w:rFonts w:ascii="Arial" w:hAnsi="Arial" w:cs="Arial"/>
          <w:color w:val="000000"/>
          <w:sz w:val="22"/>
          <w:szCs w:val="22"/>
        </w:rPr>
        <w:t xml:space="preserve"> focuses on the key factors that contribute to the disorder, such as dietary restraint, an excessive focus on weight and shape, and the binge-purge cycle (Oxford Health NHS Foundation Trust, 2019). Evidence consistently </w:t>
      </w:r>
      <w:r w:rsidR="00A13BCA" w:rsidRPr="007A0407">
        <w:rPr>
          <w:rFonts w:ascii="Arial" w:hAnsi="Arial" w:cs="Arial"/>
          <w:color w:val="000000"/>
          <w:sz w:val="22"/>
          <w:szCs w:val="22"/>
        </w:rPr>
        <w:t>demonstrates</w:t>
      </w:r>
      <w:r w:rsidRPr="007A0407">
        <w:rPr>
          <w:rFonts w:ascii="Arial" w:hAnsi="Arial" w:cs="Arial"/>
          <w:color w:val="000000"/>
          <w:sz w:val="22"/>
          <w:szCs w:val="22"/>
        </w:rPr>
        <w:t xml:space="preserve"> its effectiveness, with approximately 40-50% of individuals achieving abstinence from bingeing and purging after treatment (Barakat et al., 2022).</w:t>
      </w:r>
      <w:r w:rsidR="00843489" w:rsidRPr="007A0407">
        <w:rPr>
          <w:rFonts w:ascii="Arial" w:hAnsi="Arial" w:cs="Arial"/>
          <w:color w:val="000000"/>
          <w:sz w:val="22"/>
          <w:szCs w:val="22"/>
        </w:rPr>
        <w:t xml:space="preserve"> Also, </w:t>
      </w:r>
      <w:r w:rsidR="00843489" w:rsidRPr="007A0407">
        <w:rPr>
          <w:rFonts w:ascii="Arial" w:hAnsi="Arial" w:cs="Arial"/>
          <w:sz w:val="22"/>
          <w:szCs w:val="22"/>
        </w:rPr>
        <w:t>a</w:t>
      </w:r>
      <w:r w:rsidR="00402109" w:rsidRPr="007A0407">
        <w:rPr>
          <w:rFonts w:ascii="Arial" w:hAnsi="Arial" w:cs="Arial"/>
          <w:sz w:val="22"/>
          <w:szCs w:val="22"/>
        </w:rPr>
        <w:t>lternative psychological interventions include Interpersonal Psychotherapy (IPT), which conceptualises binge eating as a maladaptive response to interpersonal difficulties. Although Interpersonal Psychotherapy is slower to produce symptomatic change, long-term outcomes can be comparable to</w:t>
      </w:r>
      <w:r w:rsidR="00A6159D">
        <w:rPr>
          <w:rFonts w:ascii="Arial" w:hAnsi="Arial" w:cs="Arial"/>
          <w:sz w:val="22"/>
          <w:szCs w:val="22"/>
        </w:rPr>
        <w:t xml:space="preserve"> </w:t>
      </w:r>
      <w:r w:rsidR="00A6159D" w:rsidRPr="00A6159D">
        <w:rPr>
          <w:rFonts w:ascii="Arial" w:hAnsi="Arial" w:cs="Arial"/>
          <w:sz w:val="22"/>
          <w:szCs w:val="22"/>
        </w:rPr>
        <w:t>cognitive behavioural therapy</w:t>
      </w:r>
      <w:r w:rsidR="00402109" w:rsidRPr="007A0407">
        <w:rPr>
          <w:rFonts w:ascii="Arial" w:hAnsi="Arial" w:cs="Arial"/>
          <w:sz w:val="22"/>
          <w:szCs w:val="22"/>
        </w:rPr>
        <w:t xml:space="preserve"> (</w:t>
      </w:r>
      <w:r w:rsidR="00402109" w:rsidRPr="007A0407">
        <w:rPr>
          <w:rFonts w:ascii="Arial" w:hAnsi="Arial" w:cs="Arial"/>
          <w:noProof/>
          <w:sz w:val="22"/>
          <w:szCs w:val="22"/>
        </w:rPr>
        <w:t>Aires, 2025</w:t>
      </w:r>
      <w:r w:rsidR="00402109" w:rsidRPr="007A0407">
        <w:rPr>
          <w:rFonts w:ascii="Arial" w:hAnsi="Arial" w:cs="Arial"/>
          <w:sz w:val="22"/>
          <w:szCs w:val="22"/>
        </w:rPr>
        <w:t xml:space="preserve">). </w:t>
      </w:r>
      <w:r w:rsidR="00402109" w:rsidRPr="007A0407">
        <w:rPr>
          <w:rFonts w:ascii="Arial" w:hAnsi="Arial" w:cs="Arial"/>
          <w:sz w:val="22"/>
          <w:szCs w:val="22"/>
        </w:rPr>
        <w:lastRenderedPageBreak/>
        <w:t>Moreover, for adolescents, Family-Based Treatment (FBT) has demonstrated promising outcomes by empowering families to support recovery (</w:t>
      </w:r>
      <w:r w:rsidR="00402109" w:rsidRPr="007A0407">
        <w:rPr>
          <w:rFonts w:ascii="Arial" w:hAnsi="Arial" w:cs="Arial"/>
          <w:noProof/>
          <w:sz w:val="22"/>
          <w:szCs w:val="22"/>
        </w:rPr>
        <w:t>Dorset Healthcare University NHS Foundation Trust, no date</w:t>
      </w:r>
      <w:r w:rsidR="00402109" w:rsidRPr="007A0407">
        <w:rPr>
          <w:rFonts w:ascii="Arial" w:hAnsi="Arial" w:cs="Arial"/>
          <w:sz w:val="22"/>
          <w:szCs w:val="22"/>
        </w:rPr>
        <w:t>).</w:t>
      </w:r>
      <w:r w:rsidR="004D6C34">
        <w:rPr>
          <w:rFonts w:ascii="Arial" w:hAnsi="Arial" w:cs="Arial"/>
          <w:color w:val="000000"/>
          <w:sz w:val="22"/>
          <w:szCs w:val="22"/>
        </w:rPr>
        <w:t xml:space="preserve"> </w:t>
      </w:r>
    </w:p>
    <w:p w14:paraId="0B9E9268" w14:textId="7D72264B" w:rsidR="00402109" w:rsidRDefault="00984B77" w:rsidP="00880139">
      <w:pPr>
        <w:pStyle w:val="NormalWeb"/>
        <w:spacing w:line="360" w:lineRule="auto"/>
        <w:jc w:val="both"/>
        <w:rPr>
          <w:rFonts w:ascii="Arial" w:hAnsi="Arial" w:cs="Arial"/>
          <w:sz w:val="22"/>
          <w:szCs w:val="22"/>
        </w:rPr>
      </w:pPr>
      <w:r>
        <w:rPr>
          <w:rFonts w:ascii="Arial" w:hAnsi="Arial" w:cs="Arial"/>
          <w:sz w:val="22"/>
          <w:szCs w:val="22"/>
        </w:rPr>
        <w:t>P</w:t>
      </w:r>
      <w:r w:rsidR="006338E1" w:rsidRPr="006338E1">
        <w:rPr>
          <w:rFonts w:ascii="Arial" w:hAnsi="Arial" w:cs="Arial"/>
          <w:sz w:val="22"/>
          <w:szCs w:val="22"/>
        </w:rPr>
        <w:t>harmacologically, fluoxetine</w:t>
      </w:r>
      <w:r w:rsidR="007A5CE3">
        <w:rPr>
          <w:rFonts w:ascii="Arial" w:hAnsi="Arial" w:cs="Arial"/>
          <w:sz w:val="22"/>
          <w:szCs w:val="22"/>
        </w:rPr>
        <w:t xml:space="preserve"> </w:t>
      </w:r>
      <w:r w:rsidR="006338E1" w:rsidRPr="006338E1">
        <w:rPr>
          <w:rFonts w:ascii="Arial" w:hAnsi="Arial" w:cs="Arial"/>
          <w:sz w:val="22"/>
          <w:szCs w:val="22"/>
        </w:rPr>
        <w:t>remains the only medication with substantial evidence supporting its use specifically for bulimia nervosa. Extensive trials have shown that it reduces binge frequency and compensatory behaviours, particularly when combined with psychotherapy. However, pharmacotherapy alone is rarely sufficient, and some medications, such as bupropion, are contraindicated due to seizure risk</w:t>
      </w:r>
      <w:r w:rsidR="000930DE">
        <w:rPr>
          <w:rFonts w:ascii="Arial" w:hAnsi="Arial" w:cs="Arial"/>
          <w:sz w:val="22"/>
          <w:szCs w:val="22"/>
        </w:rPr>
        <w:t xml:space="preserve"> </w:t>
      </w:r>
      <w:r w:rsidR="000930DE" w:rsidRPr="006338E1">
        <w:rPr>
          <w:rFonts w:ascii="Arial" w:hAnsi="Arial" w:cs="Arial"/>
          <w:sz w:val="22"/>
          <w:szCs w:val="22"/>
        </w:rPr>
        <w:t xml:space="preserve">(Himmerich et al., 2021). </w:t>
      </w:r>
    </w:p>
    <w:p w14:paraId="64D3C7A4" w14:textId="0204C069" w:rsidR="005C1A96" w:rsidRDefault="00B332D9" w:rsidP="00880139">
      <w:pPr>
        <w:pStyle w:val="NormalWeb"/>
        <w:spacing w:line="360" w:lineRule="auto"/>
        <w:jc w:val="both"/>
        <w:rPr>
          <w:rFonts w:ascii="Arial" w:hAnsi="Arial" w:cs="Arial"/>
          <w:sz w:val="22"/>
          <w:szCs w:val="22"/>
        </w:rPr>
      </w:pPr>
      <w:r w:rsidRPr="004618BE">
        <w:rPr>
          <w:rFonts w:ascii="Arial" w:hAnsi="Arial" w:cs="Arial"/>
          <w:sz w:val="22"/>
          <w:szCs w:val="22"/>
        </w:rPr>
        <w:t>Rehabilitation in bulimia encompasses physical, psychological and social recovery. Nutritional rehabilitation is central and requires collaboration with dietitians to normalise eating patterns, reintroduce feared foods, stabilise weight, and address dietary deficiencies (Elder, 2025). Ongoing medical monitoring is essential to address purging-related health risks, including hypokalaemia, arrhythmias, gastrointestinal complications, and dental erosion (Warren, 2024).</w:t>
      </w:r>
      <w:r w:rsidR="00D543DE">
        <w:rPr>
          <w:rFonts w:ascii="Arial" w:hAnsi="Arial" w:cs="Arial"/>
          <w:color w:val="000000"/>
          <w:sz w:val="22"/>
          <w:szCs w:val="22"/>
        </w:rPr>
        <w:t xml:space="preserve"> </w:t>
      </w:r>
      <w:r w:rsidR="000F44FB">
        <w:rPr>
          <w:rFonts w:ascii="Arial" w:hAnsi="Arial" w:cs="Arial"/>
          <w:color w:val="000000"/>
          <w:sz w:val="22"/>
          <w:szCs w:val="22"/>
        </w:rPr>
        <w:t>Further, p</w:t>
      </w:r>
      <w:r w:rsidR="00216534" w:rsidRPr="00216534">
        <w:rPr>
          <w:rFonts w:ascii="Arial" w:hAnsi="Arial" w:cs="Arial"/>
          <w:sz w:val="22"/>
          <w:szCs w:val="22"/>
        </w:rPr>
        <w:t>sychosocial rehabilitation focuses on re-engagement in education, employment and relationships. Long-term support may involve peer support groups, community organisations, social care services, and relapse-prevention planning (NHS England, 2023). Besides, third-sector organisations such as Beat provide essential emotional and practical support, particularly after discharge when formal services may be limited (Beat Eating Disorder, 2025).</w:t>
      </w:r>
    </w:p>
    <w:p w14:paraId="68131228" w14:textId="1B8560B8" w:rsidR="002F22E4" w:rsidRPr="00F17D09" w:rsidRDefault="00687619" w:rsidP="00880139">
      <w:pPr>
        <w:pStyle w:val="NormalWeb"/>
        <w:spacing w:line="360" w:lineRule="auto"/>
        <w:jc w:val="both"/>
        <w:rPr>
          <w:rFonts w:ascii="Arial" w:hAnsi="Arial" w:cs="Arial"/>
          <w:sz w:val="20"/>
          <w:szCs w:val="20"/>
        </w:rPr>
      </w:pPr>
      <w:r w:rsidRPr="00F17D09">
        <w:rPr>
          <w:rFonts w:ascii="Arial" w:hAnsi="Arial" w:cs="Arial"/>
          <w:sz w:val="22"/>
          <w:szCs w:val="22"/>
        </w:rPr>
        <w:t>Despite robust evidence, several limitations exist. Access to evidence-based therapies is uneven, with long waiting times and a scarcity of specialist eating-disorder services, particularly in underserved areas. Many individuals do not achieve complete remission, and relapse rates remain significant. Treatment is often less effective for individuals with comorbidities, trauma histories or neurodevelopmental conditions such as autism and ADHD</w:t>
      </w:r>
      <w:r w:rsidR="00633F6D">
        <w:rPr>
          <w:rFonts w:ascii="Arial" w:hAnsi="Arial" w:cs="Arial"/>
          <w:sz w:val="22"/>
          <w:szCs w:val="22"/>
        </w:rPr>
        <w:t>.</w:t>
      </w:r>
      <w:r w:rsidRPr="00F17D09">
        <w:rPr>
          <w:rFonts w:ascii="Arial" w:hAnsi="Arial" w:cs="Arial"/>
          <w:sz w:val="22"/>
          <w:szCs w:val="22"/>
        </w:rPr>
        <w:t xml:space="preserve"> </w:t>
      </w:r>
      <w:r w:rsidR="00DA4089">
        <w:rPr>
          <w:rFonts w:ascii="Arial" w:hAnsi="Arial" w:cs="Arial"/>
          <w:sz w:val="22"/>
          <w:szCs w:val="22"/>
        </w:rPr>
        <w:t xml:space="preserve">Cognitive behavioural therapy, for example, assumes cognitive flexibility and strong interoceptive awareness, which may not align with neurodivergent cognitive styles (Babb et al., pp. </w:t>
      </w:r>
      <w:r w:rsidR="003B0FA2" w:rsidRPr="00DE006B">
        <w:rPr>
          <w:rFonts w:ascii="Arial" w:hAnsi="Arial" w:cs="Arial"/>
          <w:sz w:val="22"/>
          <w:szCs w:val="22"/>
        </w:rPr>
        <w:t>616–627</w:t>
      </w:r>
      <w:r w:rsidR="00633F6D">
        <w:rPr>
          <w:rFonts w:ascii="Arial" w:hAnsi="Arial" w:cs="Arial"/>
          <w:sz w:val="22"/>
          <w:szCs w:val="22"/>
        </w:rPr>
        <w:t>, 2022)</w:t>
      </w:r>
      <w:r w:rsidRPr="00F17D09">
        <w:rPr>
          <w:rFonts w:ascii="Arial" w:hAnsi="Arial" w:cs="Arial"/>
          <w:sz w:val="22"/>
          <w:szCs w:val="22"/>
        </w:rPr>
        <w:t>.</w:t>
      </w:r>
    </w:p>
    <w:p w14:paraId="668504A0" w14:textId="21FF9C39" w:rsidR="008A6D32" w:rsidRPr="007611B5" w:rsidRDefault="005C1A96" w:rsidP="007611B5">
      <w:pPr>
        <w:pStyle w:val="NormalWeb"/>
        <w:spacing w:line="360" w:lineRule="auto"/>
        <w:jc w:val="both"/>
        <w:rPr>
          <w:rFonts w:ascii="Arial" w:hAnsi="Arial" w:cs="Arial"/>
          <w:sz w:val="18"/>
          <w:szCs w:val="18"/>
        </w:rPr>
      </w:pPr>
      <w:r w:rsidRPr="005C1A96">
        <w:rPr>
          <w:rFonts w:ascii="Arial" w:hAnsi="Arial" w:cs="Arial"/>
          <w:sz w:val="22"/>
          <w:szCs w:val="22"/>
        </w:rPr>
        <w:t>Rehabilitation services often prioritise symptom reduction over broader functional or social recovery, reflecting biomedical rather than holistic models of health. Furthermore, weight-centric assumptions within healthcare can lead to disparities in treatment access and quality, especially for people in higher-weight bodies and men (Foran et al., 2023).</w:t>
      </w:r>
    </w:p>
    <w:p w14:paraId="5BCB5F84" w14:textId="77777777" w:rsidR="00F17D09" w:rsidRDefault="00F17D09" w:rsidP="006512B3">
      <w:pPr>
        <w:pStyle w:val="NormalWeb"/>
        <w:rPr>
          <w:rFonts w:ascii="Arial" w:hAnsi="Arial" w:cs="Arial"/>
          <w:b/>
          <w:bCs/>
          <w:color w:val="000000"/>
        </w:rPr>
      </w:pPr>
    </w:p>
    <w:p w14:paraId="6635CF3A" w14:textId="23F72822" w:rsidR="007611B5" w:rsidRPr="006512B3" w:rsidRDefault="008A6D32" w:rsidP="006512B3">
      <w:pPr>
        <w:pStyle w:val="NormalWeb"/>
        <w:rPr>
          <w:rFonts w:ascii="Arial" w:eastAsiaTheme="majorEastAsia" w:hAnsi="Arial" w:cs="Arial"/>
          <w:b/>
          <w:bCs/>
          <w:color w:val="000000"/>
        </w:rPr>
      </w:pPr>
      <w:r w:rsidRPr="008A6D32">
        <w:rPr>
          <w:rFonts w:ascii="Arial" w:hAnsi="Arial" w:cs="Arial"/>
          <w:b/>
          <w:bCs/>
          <w:color w:val="000000"/>
        </w:rPr>
        <w:lastRenderedPageBreak/>
        <w:t>Current Debates and Emerging Issues:</w:t>
      </w:r>
      <w:r w:rsidRPr="008A6D32">
        <w:rPr>
          <w:rStyle w:val="apple-converted-space"/>
          <w:rFonts w:ascii="Arial" w:eastAsiaTheme="majorEastAsia" w:hAnsi="Arial" w:cs="Arial"/>
          <w:b/>
          <w:bCs/>
          <w:color w:val="000000"/>
        </w:rPr>
        <w:t> </w:t>
      </w:r>
    </w:p>
    <w:p w14:paraId="2D7D07D5" w14:textId="2911EED7" w:rsidR="006512B3" w:rsidRDefault="006512B3" w:rsidP="006512B3">
      <w:pPr>
        <w:pStyle w:val="NormalWeb"/>
        <w:spacing w:line="360" w:lineRule="auto"/>
        <w:jc w:val="both"/>
        <w:rPr>
          <w:rFonts w:ascii="Arial" w:hAnsi="Arial" w:cs="Arial"/>
          <w:sz w:val="22"/>
          <w:szCs w:val="22"/>
        </w:rPr>
      </w:pPr>
      <w:r w:rsidRPr="006512B3">
        <w:rPr>
          <w:rFonts w:ascii="Arial" w:hAnsi="Arial" w:cs="Arial"/>
          <w:sz w:val="22"/>
          <w:szCs w:val="22"/>
        </w:rPr>
        <w:t xml:space="preserve">Significant debates surround the classification, treatment and conceptualisation of bulimia nervosa, reflecting evolving understandings of eating disorders and their biopsychosocial determinants. A central discussion involves the adequacy of categorical diagnostic systems such as ICD-11. Critics argue that bulimia shares underlying mechanisms with other eating disorders, including anorexia nervosa and binge-eating disorder, such as dietary restraint, emotional dysregulation and overvaluation of weight and shape (Treasure, 2020). </w:t>
      </w:r>
    </w:p>
    <w:p w14:paraId="713C6428" w14:textId="79C8E1F1" w:rsidR="005F7253" w:rsidRDefault="005F7253" w:rsidP="00D05C2D">
      <w:pPr>
        <w:spacing w:line="360" w:lineRule="auto"/>
        <w:jc w:val="both"/>
        <w:rPr>
          <w:rFonts w:ascii="Arial" w:hAnsi="Arial" w:cs="Arial"/>
          <w:sz w:val="22"/>
          <w:szCs w:val="22"/>
        </w:rPr>
      </w:pPr>
      <w:r w:rsidRPr="007E5A1E">
        <w:rPr>
          <w:rFonts w:ascii="Arial" w:hAnsi="Arial" w:cs="Arial"/>
          <w:sz w:val="22"/>
          <w:szCs w:val="22"/>
        </w:rPr>
        <w:t>In addition, high rates of diagnostic crossover further challenge the idea that bulimia nervosa is a discrete disorder. A transdiagnostic or dimensional model, which conceptualises eating disorders along a spectrum of shared symptoms, is increasingly supported in contemporary research and may provide a more accurate reflection of clinical reality. However, such models are complex to operationalise within healthcare systems that rely on categorical diagnoses for service allocation and funding (</w:t>
      </w:r>
      <w:proofErr w:type="spellStart"/>
      <w:r w:rsidRPr="009368E8">
        <w:rPr>
          <w:rFonts w:ascii="Arial" w:hAnsi="Arial" w:cs="Arial"/>
          <w:sz w:val="22"/>
          <w:szCs w:val="22"/>
        </w:rPr>
        <w:t>Mitchison</w:t>
      </w:r>
      <w:proofErr w:type="spellEnd"/>
      <w:r w:rsidRPr="007E5A1E">
        <w:rPr>
          <w:rFonts w:ascii="Arial" w:hAnsi="Arial" w:cs="Arial"/>
          <w:sz w:val="22"/>
          <w:szCs w:val="22"/>
        </w:rPr>
        <w:t xml:space="preserve"> et al., 2023).</w:t>
      </w:r>
    </w:p>
    <w:p w14:paraId="27E62510" w14:textId="12B932AD" w:rsidR="009C1D01" w:rsidRPr="009C1D01" w:rsidRDefault="00D05C2D" w:rsidP="00D05C2D">
      <w:pPr>
        <w:spacing w:line="360" w:lineRule="auto"/>
        <w:jc w:val="both"/>
        <w:rPr>
          <w:rFonts w:ascii="Arial" w:hAnsi="Arial" w:cs="Arial"/>
          <w:sz w:val="22"/>
          <w:szCs w:val="22"/>
        </w:rPr>
      </w:pPr>
      <w:r w:rsidRPr="00D05C2D">
        <w:rPr>
          <w:rFonts w:ascii="Arial" w:hAnsi="Arial" w:cs="Arial"/>
          <w:sz w:val="22"/>
          <w:szCs w:val="22"/>
        </w:rPr>
        <w:t>Another prominent debate concerns the intersection between neurodivergence and bulimia nervosa. Emerging research identifies elevated levels of autistic traits and ADHD symptoms among individuals with bulimia. Sensory sensitivities, rigid thinking styles, difficulties with interoceptive awareness, and impulsivity may all contribute to disordered eating patterns (Eating Disorder Clinic, 2024). Yet current diagnostic systems and treatment models rarely account for neurodivergent presentations. Additionally, standard psychological therapies, such as Cognitive Behaviour Therapy, rely on metacognitive reflection and behavioural flexibility, which may not be accessible to neurodivergent individuals without adaptations. Moreover, this has led to calls for neurodiversity-affirming eating-disorder services that incorporate sensory-based interventions, alternative communication approaches, structure and visual supports (Dawes, 2024).</w:t>
      </w:r>
    </w:p>
    <w:p w14:paraId="1B9ECC12" w14:textId="3FB615D6" w:rsidR="00083B47" w:rsidRDefault="00793026" w:rsidP="00083B47">
      <w:pPr>
        <w:spacing w:line="360" w:lineRule="auto"/>
        <w:jc w:val="both"/>
        <w:rPr>
          <w:rFonts w:ascii="Arial" w:hAnsi="Arial" w:cs="Arial"/>
          <w:sz w:val="22"/>
          <w:szCs w:val="22"/>
        </w:rPr>
      </w:pPr>
      <w:r w:rsidRPr="008F532B">
        <w:rPr>
          <w:rFonts w:ascii="Arial" w:hAnsi="Arial" w:cs="Arial"/>
          <w:sz w:val="22"/>
          <w:szCs w:val="22"/>
        </w:rPr>
        <w:t>Besides, w</w:t>
      </w:r>
      <w:r w:rsidR="009C1D01" w:rsidRPr="008F532B">
        <w:rPr>
          <w:rFonts w:ascii="Arial" w:hAnsi="Arial" w:cs="Arial"/>
          <w:sz w:val="22"/>
          <w:szCs w:val="22"/>
        </w:rPr>
        <w:t xml:space="preserve">eight stigma constitutes another central area of concern. Although bulimia nervosa can occur at any body size, research consistently shows that individuals with higher body weight are less likely to be diagnosed or taken seriously by healthcare professionals (Hollett et al., 2021). </w:t>
      </w:r>
      <w:r w:rsidR="00310583" w:rsidRPr="008F532B">
        <w:rPr>
          <w:rFonts w:ascii="Arial" w:hAnsi="Arial" w:cs="Arial"/>
          <w:sz w:val="22"/>
          <w:szCs w:val="22"/>
        </w:rPr>
        <w:t>Furthermore, c</w:t>
      </w:r>
      <w:r w:rsidR="00083B47" w:rsidRPr="008F532B">
        <w:rPr>
          <w:rFonts w:ascii="Arial" w:hAnsi="Arial" w:cs="Arial"/>
          <w:sz w:val="22"/>
          <w:szCs w:val="22"/>
        </w:rPr>
        <w:t>ultural stereotypes and clinician bias can lead to misdiagnosis or delayed diagnosis, exacerbating medical risks and psychological distress. Additionally, the diagnostic emphasis on body weight and shape may inadvertently reinforce societal thin ideals, positioning individuals as disordered for internalising cultural norms around attractiveness and dieting (</w:t>
      </w:r>
      <w:r w:rsidR="00083B47" w:rsidRPr="00024F7B">
        <w:rPr>
          <w:rFonts w:ascii="Arial" w:hAnsi="Arial" w:cs="Arial"/>
          <w:sz w:val="22"/>
          <w:szCs w:val="22"/>
        </w:rPr>
        <w:t>Lubieniecki</w:t>
      </w:r>
      <w:r w:rsidR="00083B47" w:rsidRPr="008F532B">
        <w:rPr>
          <w:rFonts w:ascii="Arial" w:hAnsi="Arial" w:cs="Arial"/>
          <w:sz w:val="22"/>
          <w:szCs w:val="22"/>
        </w:rPr>
        <w:t xml:space="preserve"> et al., 2024).</w:t>
      </w:r>
    </w:p>
    <w:p w14:paraId="5C7C5691" w14:textId="764F8055" w:rsidR="006512B3" w:rsidRDefault="00B96A9A" w:rsidP="00B96A9A">
      <w:pPr>
        <w:spacing w:line="360" w:lineRule="auto"/>
        <w:jc w:val="both"/>
        <w:rPr>
          <w:rFonts w:ascii="Arial" w:hAnsi="Arial" w:cs="Arial"/>
          <w:sz w:val="22"/>
          <w:szCs w:val="22"/>
        </w:rPr>
      </w:pPr>
      <w:r w:rsidRPr="00B96A9A">
        <w:rPr>
          <w:rFonts w:ascii="Arial" w:hAnsi="Arial" w:cs="Arial"/>
          <w:sz w:val="22"/>
          <w:szCs w:val="22"/>
        </w:rPr>
        <w:t xml:space="preserve">Access to treatment is also a major emerging issue. Eating-disorder services globally are under-resourced, with increasing demand and long waiting times. Digital therapies such as </w:t>
      </w:r>
      <w:r w:rsidRPr="00B96A9A">
        <w:rPr>
          <w:rFonts w:ascii="Arial" w:hAnsi="Arial" w:cs="Arial"/>
          <w:sz w:val="22"/>
          <w:szCs w:val="22"/>
        </w:rPr>
        <w:lastRenderedPageBreak/>
        <w:t>guided self-help CBT have been proposed as scalable solutions, but concerns persist around digital exclusion, engagement and suitability for individuals with severe illness. Treatment research predominantly involves young, cisgender women, raising questions about the generalisability of findings (Barakat, 2022).</w:t>
      </w:r>
    </w:p>
    <w:p w14:paraId="3A9311E1" w14:textId="2E4EBFD4" w:rsidR="00130F52" w:rsidRPr="005F16BE" w:rsidRDefault="005F16BE" w:rsidP="00B96A9A">
      <w:pPr>
        <w:spacing w:line="360" w:lineRule="auto"/>
        <w:jc w:val="both"/>
        <w:rPr>
          <w:rFonts w:ascii="Arial" w:hAnsi="Arial" w:cs="Arial"/>
          <w:sz w:val="20"/>
          <w:szCs w:val="20"/>
        </w:rPr>
      </w:pPr>
      <w:r w:rsidRPr="005F16BE">
        <w:rPr>
          <w:rFonts w:ascii="Arial" w:hAnsi="Arial" w:cs="Arial"/>
          <w:sz w:val="22"/>
          <w:szCs w:val="22"/>
        </w:rPr>
        <w:t xml:space="preserve">There is growing recognition of the role of trauma in eating disorders, including </w:t>
      </w:r>
      <w:r>
        <w:rPr>
          <w:rFonts w:ascii="Arial" w:hAnsi="Arial" w:cs="Arial"/>
          <w:sz w:val="22"/>
          <w:szCs w:val="22"/>
        </w:rPr>
        <w:t>bulimia nervosa</w:t>
      </w:r>
      <w:r w:rsidRPr="005F16BE">
        <w:rPr>
          <w:rFonts w:ascii="Arial" w:hAnsi="Arial" w:cs="Arial"/>
          <w:sz w:val="22"/>
          <w:szCs w:val="22"/>
        </w:rPr>
        <w:t>. However, many standard treatments are not explicitly trauma-informed, potentially limiting effectiveness for individuals whose binge-purge cycles function as coping mechanisms for emotional pain.</w:t>
      </w:r>
    </w:p>
    <w:p w14:paraId="663F265C" w14:textId="39950B14" w:rsidR="008A6D32" w:rsidRDefault="008A6D32" w:rsidP="008A6D32">
      <w:pPr>
        <w:pStyle w:val="NormalWeb"/>
        <w:rPr>
          <w:rFonts w:ascii="Arial" w:hAnsi="Arial" w:cs="Arial"/>
          <w:b/>
          <w:bCs/>
          <w:color w:val="000000"/>
        </w:rPr>
      </w:pPr>
      <w:r w:rsidRPr="008A6D32">
        <w:rPr>
          <w:rFonts w:ascii="Arial" w:hAnsi="Arial" w:cs="Arial"/>
          <w:b/>
          <w:bCs/>
          <w:color w:val="000000"/>
        </w:rPr>
        <w:t>Recommendations</w:t>
      </w:r>
    </w:p>
    <w:p w14:paraId="454E66A8" w14:textId="3DCE79C0" w:rsidR="006835CD" w:rsidRPr="00E93CEC" w:rsidRDefault="006835CD" w:rsidP="00E93CEC">
      <w:pPr>
        <w:spacing w:line="360" w:lineRule="auto"/>
        <w:jc w:val="both"/>
        <w:rPr>
          <w:rFonts w:ascii="Arial" w:hAnsi="Arial" w:cs="Arial"/>
          <w:sz w:val="22"/>
          <w:szCs w:val="22"/>
        </w:rPr>
      </w:pPr>
      <w:r w:rsidRPr="00E93CEC">
        <w:rPr>
          <w:rFonts w:ascii="Arial" w:hAnsi="Arial" w:cs="Arial"/>
          <w:sz w:val="22"/>
          <w:szCs w:val="22"/>
        </w:rPr>
        <w:t>A key recommendation is that future revisions of ICD-11 and clinical guidelines incorporate dimensional specifiers alongside categorical diagnoses. Rating the severity of binge eating, compensatory behaviours, overvaluation of weight/shape, functional impairment, and chronicity could improve diagnostic precision and better inform treatment planning.</w:t>
      </w:r>
      <w:r w:rsidRPr="00E93CEC">
        <w:rPr>
          <w:rFonts w:ascii="Arial" w:hAnsi="Arial" w:cs="Arial"/>
          <w:sz w:val="22"/>
          <w:szCs w:val="22"/>
        </w:rPr>
        <w:br/>
      </w:r>
      <w:r w:rsidRPr="00E93CEC">
        <w:rPr>
          <w:rFonts w:ascii="Arial" w:hAnsi="Arial" w:cs="Arial"/>
          <w:sz w:val="22"/>
          <w:szCs w:val="22"/>
        </w:rPr>
        <w:br/>
        <w:t>Additionally, diagnostic criteria and guidelines should explicitly incorporate neurodivergent presentations. This includes recognising sensory-based eating patterns, impulsive binge-eating due to ADHD, and communication differences in autistic individuals. Assessments should be adapted to include visual supports and flexible interview structures (Bamford, 2025).</w:t>
      </w:r>
    </w:p>
    <w:p w14:paraId="2C0AD2A1" w14:textId="77777777" w:rsidR="00591964" w:rsidRDefault="00591964" w:rsidP="00E93CEC">
      <w:pPr>
        <w:spacing w:line="360" w:lineRule="auto"/>
        <w:jc w:val="both"/>
        <w:rPr>
          <w:rFonts w:ascii="Arial" w:hAnsi="Arial" w:cs="Arial"/>
          <w:sz w:val="22"/>
          <w:szCs w:val="22"/>
        </w:rPr>
      </w:pPr>
    </w:p>
    <w:p w14:paraId="48E94F53" w14:textId="520F3255" w:rsidR="00EF0611" w:rsidRDefault="006835CD" w:rsidP="00E93CEC">
      <w:pPr>
        <w:spacing w:line="360" w:lineRule="auto"/>
        <w:jc w:val="both"/>
        <w:rPr>
          <w:rFonts w:ascii="Arial" w:hAnsi="Arial" w:cs="Arial"/>
          <w:sz w:val="22"/>
          <w:szCs w:val="22"/>
        </w:rPr>
      </w:pPr>
      <w:r w:rsidRPr="00E93CEC">
        <w:rPr>
          <w:rFonts w:ascii="Arial" w:hAnsi="Arial" w:cs="Arial"/>
          <w:sz w:val="22"/>
          <w:szCs w:val="22"/>
        </w:rPr>
        <w:t xml:space="preserve">Moreover, clinician training must address weight stigma and cultural bias. Programmes should highlight that bulimia nervosa occurs across body sizes, genders and cultural groups, and that </w:t>
      </w:r>
      <w:r w:rsidR="000F21B3">
        <w:rPr>
          <w:rFonts w:ascii="Arial" w:hAnsi="Arial" w:cs="Arial"/>
          <w:sz w:val="22"/>
          <w:szCs w:val="22"/>
        </w:rPr>
        <w:t xml:space="preserve">current stereotypes reduce diagnostic accuracy </w:t>
      </w:r>
      <w:r w:rsidRPr="00E93CEC">
        <w:rPr>
          <w:rFonts w:ascii="Arial" w:hAnsi="Arial" w:cs="Arial"/>
          <w:sz w:val="22"/>
          <w:szCs w:val="22"/>
        </w:rPr>
        <w:t>(Nice,2020).</w:t>
      </w:r>
      <w:r w:rsidRPr="00E93CEC">
        <w:rPr>
          <w:rFonts w:ascii="Arial" w:hAnsi="Arial" w:cs="Arial"/>
          <w:sz w:val="22"/>
          <w:szCs w:val="22"/>
        </w:rPr>
        <w:br/>
      </w:r>
    </w:p>
    <w:p w14:paraId="528780D8" w14:textId="77777777" w:rsidR="002F22E4" w:rsidRDefault="006835CD" w:rsidP="00EF0611">
      <w:pPr>
        <w:spacing w:line="360" w:lineRule="auto"/>
        <w:jc w:val="both"/>
        <w:rPr>
          <w:rFonts w:ascii="Arial" w:hAnsi="Arial" w:cs="Arial"/>
          <w:sz w:val="22"/>
          <w:szCs w:val="22"/>
        </w:rPr>
      </w:pPr>
      <w:r w:rsidRPr="00E93CEC">
        <w:rPr>
          <w:rFonts w:ascii="Arial" w:hAnsi="Arial" w:cs="Arial"/>
          <w:sz w:val="22"/>
          <w:szCs w:val="22"/>
        </w:rPr>
        <w:t>Further, stepped-care models should be implemented to improve access. Guided self-help, digital CBT and brief interventions can meet growing demand, while complex cases should receive rapid access to specialised, multidisciplinary treatment (The Bulimia Project, 2023).</w:t>
      </w:r>
      <w:r w:rsidRPr="00E93CEC">
        <w:rPr>
          <w:rFonts w:ascii="Arial" w:hAnsi="Arial" w:cs="Arial"/>
          <w:sz w:val="22"/>
          <w:szCs w:val="22"/>
        </w:rPr>
        <w:br/>
      </w:r>
      <w:r w:rsidRPr="00E93CEC">
        <w:rPr>
          <w:rFonts w:ascii="Arial" w:hAnsi="Arial" w:cs="Arial"/>
          <w:sz w:val="22"/>
          <w:szCs w:val="22"/>
        </w:rPr>
        <w:br/>
        <w:t>Also, psychological therapies should be adapted to be inclusive of neurodivergent service users. Adaptations include predictable structures, concrete communication, sensory-aware meal planning and slower pacing. Co-production with neurodivergent individuals is essential (Nice,2020).</w:t>
      </w:r>
    </w:p>
    <w:p w14:paraId="1AECE137" w14:textId="7D3417F1" w:rsidR="008A6D32" w:rsidRPr="002F22E4" w:rsidRDefault="006835CD" w:rsidP="00EF0611">
      <w:pPr>
        <w:spacing w:line="360" w:lineRule="auto"/>
        <w:jc w:val="both"/>
        <w:rPr>
          <w:rFonts w:ascii="Arial" w:hAnsi="Arial" w:cs="Arial"/>
          <w:sz w:val="22"/>
          <w:szCs w:val="22"/>
        </w:rPr>
      </w:pPr>
      <w:r w:rsidRPr="00E93CEC">
        <w:rPr>
          <w:rFonts w:ascii="Arial" w:hAnsi="Arial" w:cs="Arial"/>
          <w:sz w:val="22"/>
          <w:szCs w:val="22"/>
        </w:rPr>
        <w:t xml:space="preserve">Rehabilitation must be understood as a long-term, holistic process. Services should support vocational rehabilitation, education, and social reintegration, and provide ongoing relapse </w:t>
      </w:r>
      <w:r w:rsidRPr="00E93CEC">
        <w:rPr>
          <w:rFonts w:ascii="Arial" w:hAnsi="Arial" w:cs="Arial"/>
          <w:sz w:val="22"/>
          <w:szCs w:val="22"/>
        </w:rPr>
        <w:lastRenderedPageBreak/>
        <w:t>prevention. Long-term follow-up should be standard, given the relapsing nature of bulimia (The Bulimia Project, 2023).</w:t>
      </w:r>
    </w:p>
    <w:p w14:paraId="45A36524" w14:textId="01865D50" w:rsidR="008A6D32" w:rsidRPr="004C63C5" w:rsidRDefault="008A6D32" w:rsidP="008A6D32">
      <w:pPr>
        <w:pStyle w:val="NormalWeb"/>
        <w:rPr>
          <w:rFonts w:ascii="Arial" w:hAnsi="Arial" w:cs="Arial"/>
          <w:b/>
          <w:bCs/>
          <w:color w:val="000000"/>
        </w:rPr>
      </w:pPr>
      <w:r w:rsidRPr="008A6D32">
        <w:rPr>
          <w:rFonts w:ascii="Arial" w:hAnsi="Arial" w:cs="Arial"/>
          <w:b/>
          <w:bCs/>
          <w:color w:val="000000"/>
        </w:rPr>
        <w:t>Conclusion</w:t>
      </w:r>
    </w:p>
    <w:p w14:paraId="4F7597D5" w14:textId="72168000" w:rsidR="008A6D32" w:rsidRPr="00464AAE" w:rsidRDefault="0033146C" w:rsidP="00464AAE">
      <w:pPr>
        <w:pStyle w:val="NormalWeb"/>
        <w:spacing w:line="360" w:lineRule="auto"/>
        <w:jc w:val="both"/>
        <w:rPr>
          <w:rFonts w:ascii="Arial" w:hAnsi="Arial" w:cs="Arial"/>
          <w:color w:val="000000"/>
          <w:sz w:val="22"/>
          <w:szCs w:val="22"/>
        </w:rPr>
      </w:pPr>
      <w:r w:rsidRPr="00464AAE">
        <w:rPr>
          <w:rFonts w:ascii="Arial" w:hAnsi="Arial" w:cs="Arial"/>
          <w:color w:val="000000"/>
          <w:sz w:val="22"/>
          <w:szCs w:val="22"/>
        </w:rPr>
        <w:t>Bulimia nervosa, as classified under ICD-11 6B81, represents a complex eating disorder with significant psychological, medical and social impacts. The ICD-11 framework provides improved diagnostic clarity, yet limitations remain regarding categorical boundaries, cultural sensitivity and recognition of neurodivergent presentations.</w:t>
      </w:r>
      <w:r w:rsidR="00A35FBE">
        <w:rPr>
          <w:rFonts w:ascii="Arial" w:hAnsi="Arial" w:cs="Arial"/>
          <w:color w:val="000000"/>
          <w:sz w:val="22"/>
          <w:szCs w:val="22"/>
        </w:rPr>
        <w:t xml:space="preserve"> Additionally, e</w:t>
      </w:r>
      <w:r w:rsidRPr="00464AAE">
        <w:rPr>
          <w:rFonts w:ascii="Arial" w:hAnsi="Arial" w:cs="Arial"/>
          <w:color w:val="000000"/>
          <w:sz w:val="22"/>
          <w:szCs w:val="22"/>
        </w:rPr>
        <w:t xml:space="preserve">vidence-based treatments such as </w:t>
      </w:r>
      <w:r w:rsidR="002E19FB" w:rsidRPr="002E19FB">
        <w:rPr>
          <w:rFonts w:ascii="Arial" w:eastAsiaTheme="majorEastAsia" w:hAnsi="Arial" w:cs="Arial"/>
          <w:sz w:val="22"/>
          <w:szCs w:val="22"/>
        </w:rPr>
        <w:t xml:space="preserve">Cognitive </w:t>
      </w:r>
      <w:r w:rsidR="002E19FB" w:rsidRPr="002E19FB">
        <w:rPr>
          <w:rFonts w:ascii="Arial" w:hAnsi="Arial" w:cs="Arial"/>
          <w:sz w:val="22"/>
          <w:szCs w:val="22"/>
        </w:rPr>
        <w:t>behavioural</w:t>
      </w:r>
      <w:r w:rsidR="002E19FB" w:rsidRPr="002E19FB">
        <w:rPr>
          <w:rFonts w:ascii="Arial" w:eastAsiaTheme="majorEastAsia" w:hAnsi="Arial" w:cs="Arial"/>
          <w:sz w:val="22"/>
          <w:szCs w:val="22"/>
        </w:rPr>
        <w:t xml:space="preserve"> </w:t>
      </w:r>
      <w:r w:rsidR="002E19FB">
        <w:rPr>
          <w:rFonts w:ascii="Arial" w:eastAsiaTheme="majorEastAsia" w:hAnsi="Arial" w:cs="Arial"/>
          <w:sz w:val="22"/>
          <w:szCs w:val="22"/>
        </w:rPr>
        <w:t>therapy</w:t>
      </w:r>
      <w:r w:rsidRPr="00464AAE">
        <w:rPr>
          <w:rFonts w:ascii="Arial" w:hAnsi="Arial" w:cs="Arial"/>
          <w:color w:val="000000"/>
          <w:sz w:val="22"/>
          <w:szCs w:val="22"/>
        </w:rPr>
        <w:t xml:space="preserve">, </w:t>
      </w:r>
      <w:r w:rsidR="00C84C7E" w:rsidRPr="007A0407">
        <w:rPr>
          <w:rFonts w:ascii="Arial" w:hAnsi="Arial" w:cs="Arial"/>
          <w:sz w:val="22"/>
          <w:szCs w:val="22"/>
        </w:rPr>
        <w:t>Interpersonal Psychotherapy</w:t>
      </w:r>
      <w:r w:rsidRPr="00464AAE">
        <w:rPr>
          <w:rFonts w:ascii="Arial" w:hAnsi="Arial" w:cs="Arial"/>
          <w:color w:val="000000"/>
          <w:sz w:val="22"/>
          <w:szCs w:val="22"/>
        </w:rPr>
        <w:t xml:space="preserve">, </w:t>
      </w:r>
      <w:r w:rsidR="00E9527A" w:rsidRPr="007A0407">
        <w:rPr>
          <w:rFonts w:ascii="Arial" w:hAnsi="Arial" w:cs="Arial"/>
          <w:sz w:val="22"/>
          <w:szCs w:val="22"/>
        </w:rPr>
        <w:t>Family-Based Treatment</w:t>
      </w:r>
      <w:r w:rsidRPr="00464AAE">
        <w:rPr>
          <w:rFonts w:ascii="Arial" w:hAnsi="Arial" w:cs="Arial"/>
          <w:color w:val="000000"/>
          <w:sz w:val="22"/>
          <w:szCs w:val="22"/>
        </w:rPr>
        <w:t>, and adjunctive fluoxetine are effective; however, access disparities and variable outcomes highlight the need for more flexible, inclusive therapeutic approaches. Current debates around dimensional classification, stigma, neurodiversity and trauma-informed care reflect the evolving landscape of eating-disorder understanding.</w:t>
      </w:r>
      <w:r w:rsidR="003344D3">
        <w:rPr>
          <w:rFonts w:ascii="Arial" w:hAnsi="Arial" w:cs="Arial"/>
          <w:color w:val="000000"/>
          <w:sz w:val="22"/>
          <w:szCs w:val="22"/>
        </w:rPr>
        <w:t xml:space="preserve"> Also, t</w:t>
      </w:r>
      <w:r w:rsidRPr="00464AAE">
        <w:rPr>
          <w:rFonts w:ascii="Arial" w:hAnsi="Arial" w:cs="Arial"/>
          <w:color w:val="000000"/>
          <w:sz w:val="22"/>
          <w:szCs w:val="22"/>
        </w:rPr>
        <w:t xml:space="preserve">o enhance outcomes for individuals with </w:t>
      </w:r>
      <w:r w:rsidR="00D2435F">
        <w:rPr>
          <w:rFonts w:ascii="Arial" w:hAnsi="Arial" w:cs="Arial"/>
          <w:color w:val="000000"/>
          <w:sz w:val="22"/>
          <w:szCs w:val="22"/>
        </w:rPr>
        <w:t>bulimia ner</w:t>
      </w:r>
      <w:r w:rsidR="003344D3">
        <w:rPr>
          <w:rFonts w:ascii="Arial" w:hAnsi="Arial" w:cs="Arial"/>
          <w:color w:val="000000"/>
          <w:sz w:val="22"/>
          <w:szCs w:val="22"/>
        </w:rPr>
        <w:t>vosa</w:t>
      </w:r>
      <w:r w:rsidRPr="00464AAE">
        <w:rPr>
          <w:rFonts w:ascii="Arial" w:hAnsi="Arial" w:cs="Arial"/>
          <w:color w:val="000000"/>
          <w:sz w:val="22"/>
          <w:szCs w:val="22"/>
        </w:rPr>
        <w:t>, future developments must integrate dimensional assessment, culturally competent practices, neurodivergent adaptations and strengthened long-term rehabilitation. A coordinated effort across clinical practice, research and policy is essential to ensure that treatment is accessible, equitable and person-centred.</w:t>
      </w:r>
    </w:p>
    <w:p w14:paraId="3995562E" w14:textId="77777777" w:rsidR="00E271E2" w:rsidRDefault="00E271E2" w:rsidP="008A6D32">
      <w:pPr>
        <w:pStyle w:val="NormalWeb"/>
        <w:rPr>
          <w:rFonts w:ascii="Arial" w:hAnsi="Arial" w:cs="Arial"/>
          <w:color w:val="000000"/>
        </w:rPr>
      </w:pPr>
    </w:p>
    <w:p w14:paraId="01BECDB3" w14:textId="77777777" w:rsidR="00E271E2" w:rsidRDefault="00E271E2" w:rsidP="008A6D32">
      <w:pPr>
        <w:pStyle w:val="NormalWeb"/>
        <w:rPr>
          <w:rFonts w:ascii="Arial" w:hAnsi="Arial" w:cs="Arial"/>
          <w:color w:val="000000"/>
        </w:rPr>
      </w:pPr>
    </w:p>
    <w:p w14:paraId="03CFFD54" w14:textId="77777777" w:rsidR="00E271E2" w:rsidRDefault="00E271E2" w:rsidP="008A6D32">
      <w:pPr>
        <w:pStyle w:val="NormalWeb"/>
        <w:rPr>
          <w:rFonts w:ascii="Arial" w:hAnsi="Arial" w:cs="Arial"/>
          <w:color w:val="000000"/>
        </w:rPr>
      </w:pPr>
    </w:p>
    <w:p w14:paraId="03718A66" w14:textId="77777777" w:rsidR="00E271E2" w:rsidRDefault="00E271E2" w:rsidP="008A6D32">
      <w:pPr>
        <w:pStyle w:val="NormalWeb"/>
        <w:rPr>
          <w:rFonts w:ascii="Arial" w:hAnsi="Arial" w:cs="Arial"/>
          <w:color w:val="000000"/>
        </w:rPr>
      </w:pPr>
    </w:p>
    <w:p w14:paraId="17006CFF" w14:textId="77777777" w:rsidR="00E271E2" w:rsidRDefault="00E271E2" w:rsidP="008A6D32">
      <w:pPr>
        <w:pStyle w:val="NormalWeb"/>
        <w:rPr>
          <w:rFonts w:ascii="Arial" w:hAnsi="Arial" w:cs="Arial"/>
          <w:color w:val="000000"/>
        </w:rPr>
      </w:pPr>
    </w:p>
    <w:p w14:paraId="016AD509" w14:textId="77777777" w:rsidR="00E271E2" w:rsidRDefault="00E271E2" w:rsidP="008A6D32">
      <w:pPr>
        <w:pStyle w:val="NormalWeb"/>
        <w:rPr>
          <w:rFonts w:ascii="Arial" w:hAnsi="Arial" w:cs="Arial"/>
          <w:color w:val="000000"/>
        </w:rPr>
      </w:pPr>
    </w:p>
    <w:p w14:paraId="6ADAD951" w14:textId="77777777" w:rsidR="00E271E2" w:rsidRDefault="00E271E2" w:rsidP="008A6D32">
      <w:pPr>
        <w:pStyle w:val="NormalWeb"/>
        <w:rPr>
          <w:rFonts w:ascii="Arial" w:hAnsi="Arial" w:cs="Arial"/>
          <w:color w:val="000000"/>
        </w:rPr>
      </w:pPr>
    </w:p>
    <w:p w14:paraId="0D4E4C91" w14:textId="77777777" w:rsidR="00E271E2" w:rsidRDefault="00E271E2" w:rsidP="008A6D32">
      <w:pPr>
        <w:pStyle w:val="NormalWeb"/>
        <w:rPr>
          <w:rFonts w:ascii="Arial" w:hAnsi="Arial" w:cs="Arial"/>
          <w:color w:val="000000"/>
        </w:rPr>
      </w:pPr>
    </w:p>
    <w:p w14:paraId="0DC8A139" w14:textId="77777777" w:rsidR="00460A86" w:rsidRDefault="00460A86" w:rsidP="008A6D32">
      <w:pPr>
        <w:pStyle w:val="NormalWeb"/>
        <w:rPr>
          <w:rFonts w:ascii="Arial" w:hAnsi="Arial" w:cs="Arial"/>
          <w:color w:val="000000"/>
        </w:rPr>
      </w:pPr>
    </w:p>
    <w:p w14:paraId="4F9F9A10" w14:textId="77777777" w:rsidR="00585AB7" w:rsidRDefault="00585AB7" w:rsidP="008A6D32">
      <w:pPr>
        <w:pStyle w:val="NormalWeb"/>
        <w:rPr>
          <w:rFonts w:ascii="Arial" w:hAnsi="Arial" w:cs="Arial"/>
          <w:color w:val="000000"/>
        </w:rPr>
      </w:pPr>
    </w:p>
    <w:p w14:paraId="7E53318F" w14:textId="77777777" w:rsidR="00E313D6" w:rsidRDefault="00E313D6" w:rsidP="008A6D32">
      <w:pPr>
        <w:pStyle w:val="NormalWeb"/>
        <w:rPr>
          <w:rFonts w:ascii="Arial" w:hAnsi="Arial" w:cs="Arial"/>
          <w:color w:val="000000"/>
        </w:rPr>
      </w:pPr>
    </w:p>
    <w:p w14:paraId="498EBD10" w14:textId="77777777" w:rsidR="009D33F4" w:rsidRDefault="009D33F4" w:rsidP="008A6D32">
      <w:pPr>
        <w:pStyle w:val="NormalWeb"/>
        <w:rPr>
          <w:rFonts w:ascii="Arial" w:hAnsi="Arial" w:cs="Arial"/>
          <w:color w:val="000000"/>
        </w:rPr>
      </w:pPr>
    </w:p>
    <w:p w14:paraId="2893D50F" w14:textId="77777777" w:rsidR="00460A86" w:rsidRPr="00C0798F" w:rsidRDefault="00460A86" w:rsidP="008A6D32">
      <w:pPr>
        <w:pStyle w:val="NormalWeb"/>
        <w:rPr>
          <w:rFonts w:ascii="Arial" w:hAnsi="Arial" w:cs="Arial"/>
          <w:color w:val="000000"/>
          <w:sz w:val="22"/>
          <w:szCs w:val="22"/>
        </w:rPr>
      </w:pPr>
    </w:p>
    <w:p w14:paraId="41393BD6" w14:textId="2AB32F9D" w:rsidR="008A6D32" w:rsidRPr="00C0798F" w:rsidRDefault="008A6D32" w:rsidP="008A6D32">
      <w:pPr>
        <w:pStyle w:val="NormalWeb"/>
        <w:rPr>
          <w:rFonts w:ascii="Arial" w:hAnsi="Arial" w:cs="Arial"/>
          <w:b/>
          <w:bCs/>
          <w:color w:val="000000"/>
          <w:sz w:val="22"/>
          <w:szCs w:val="22"/>
        </w:rPr>
      </w:pPr>
      <w:r w:rsidRPr="00C0798F">
        <w:rPr>
          <w:rFonts w:ascii="Arial" w:hAnsi="Arial" w:cs="Arial"/>
          <w:b/>
          <w:bCs/>
          <w:color w:val="000000"/>
          <w:sz w:val="22"/>
          <w:szCs w:val="22"/>
        </w:rPr>
        <w:lastRenderedPageBreak/>
        <w:t xml:space="preserve">References </w:t>
      </w:r>
    </w:p>
    <w:p w14:paraId="48433224" w14:textId="77777777" w:rsidR="00147DC8" w:rsidRPr="00C0798F" w:rsidRDefault="00147DC8" w:rsidP="008A6D32">
      <w:pPr>
        <w:pStyle w:val="NormalWeb"/>
        <w:rPr>
          <w:rFonts w:ascii="Arial" w:hAnsi="Arial" w:cs="Arial"/>
          <w:b/>
          <w:bCs/>
          <w:color w:val="000000"/>
          <w:sz w:val="22"/>
          <w:szCs w:val="22"/>
        </w:rPr>
      </w:pPr>
    </w:p>
    <w:p w14:paraId="4F6E317D" w14:textId="7CD6BFBE" w:rsidR="00147DC8" w:rsidRPr="00C0798F" w:rsidRDefault="00147DC8" w:rsidP="005F0882">
      <w:pPr>
        <w:pStyle w:val="Bibliography"/>
        <w:rPr>
          <w:rFonts w:ascii="Arial" w:hAnsi="Arial" w:cs="Arial"/>
          <w:noProof/>
        </w:rPr>
      </w:pPr>
      <w:r w:rsidRPr="00C0798F">
        <w:rPr>
          <w:rFonts w:ascii="Arial" w:hAnsi="Arial" w:cs="Arial"/>
          <w:noProof/>
        </w:rPr>
        <w:t xml:space="preserve">Aires, M. L., (2025) </w:t>
      </w:r>
      <w:r w:rsidRPr="00C0798F">
        <w:rPr>
          <w:rFonts w:ascii="Arial" w:hAnsi="Arial" w:cs="Arial"/>
          <w:i/>
          <w:iCs/>
          <w:noProof/>
        </w:rPr>
        <w:t xml:space="preserve">Interpersonal Psychotherapy (IPT) for Eating Disorders. </w:t>
      </w:r>
      <w:r w:rsidRPr="00C0798F">
        <w:rPr>
          <w:rFonts w:ascii="Arial" w:hAnsi="Arial" w:cs="Arial"/>
          <w:noProof/>
        </w:rPr>
        <w:t xml:space="preserve">Available at: </w:t>
      </w:r>
      <w:r w:rsidRPr="00C0798F">
        <w:rPr>
          <w:rFonts w:ascii="Arial" w:hAnsi="Arial" w:cs="Arial"/>
          <w:noProof/>
          <w:color w:val="0070C0"/>
          <w:u w:val="single"/>
        </w:rPr>
        <w:t>https://pmc.ncbi.nlm.nih.gov/articles/PMC12420456/#:~:text=IPT%20focuses%20on%20addressing%20interpersonal%20difficulties%2C%20such,effectiveness%20for%20Anorexia%20Nervosa%20(AN)%20remains%20limited.</w:t>
      </w:r>
      <w:r w:rsidRPr="00C0798F">
        <w:rPr>
          <w:rFonts w:ascii="Arial" w:hAnsi="Arial" w:cs="Arial"/>
          <w:noProof/>
          <w:color w:val="000000" w:themeColor="text1"/>
        </w:rPr>
        <w:t>(</w:t>
      </w:r>
      <w:r w:rsidRPr="00C0798F">
        <w:rPr>
          <w:rFonts w:ascii="Arial" w:hAnsi="Arial" w:cs="Arial"/>
          <w:noProof/>
        </w:rPr>
        <w:t>Accessed 18 November 2025).</w:t>
      </w:r>
    </w:p>
    <w:p w14:paraId="327C063A" w14:textId="77777777" w:rsidR="005F0882" w:rsidRDefault="005F0882" w:rsidP="005F0882">
      <w:pPr>
        <w:rPr>
          <w:rFonts w:ascii="Arial" w:hAnsi="Arial" w:cs="Arial"/>
          <w:sz w:val="22"/>
          <w:szCs w:val="22"/>
        </w:rPr>
      </w:pPr>
    </w:p>
    <w:p w14:paraId="7F1FBA69" w14:textId="768D3B10" w:rsidR="00DE006B" w:rsidRPr="00DE006B" w:rsidRDefault="00DE006B" w:rsidP="00DE006B">
      <w:pPr>
        <w:rPr>
          <w:rFonts w:ascii="Arial" w:hAnsi="Arial" w:cs="Arial"/>
          <w:sz w:val="22"/>
          <w:szCs w:val="22"/>
        </w:rPr>
      </w:pPr>
      <w:r w:rsidRPr="00DE006B">
        <w:rPr>
          <w:rFonts w:ascii="Arial" w:hAnsi="Arial" w:cs="Arial"/>
          <w:sz w:val="22"/>
          <w:szCs w:val="22"/>
        </w:rPr>
        <w:t>Babb, C., Brede, J., Jones, C.R.G., Serpell, L., Mandy, W. and Fox, J. (2022). A comparison of the eating disorder service experiences of autistic and non</w:t>
      </w:r>
      <w:r w:rsidRPr="00DE006B">
        <w:rPr>
          <w:rFonts w:ascii="Cambria Math" w:hAnsi="Cambria Math" w:cs="Cambria Math"/>
          <w:sz w:val="22"/>
          <w:szCs w:val="22"/>
        </w:rPr>
        <w:t>‐</w:t>
      </w:r>
      <w:r w:rsidRPr="00DE006B">
        <w:rPr>
          <w:rFonts w:ascii="Arial" w:hAnsi="Arial" w:cs="Arial"/>
          <w:sz w:val="22"/>
          <w:szCs w:val="22"/>
        </w:rPr>
        <w:t xml:space="preserve">autistic women in the UK. </w:t>
      </w:r>
      <w:r w:rsidRPr="00DE006B">
        <w:rPr>
          <w:rFonts w:ascii="Arial" w:hAnsi="Arial" w:cs="Arial"/>
          <w:i/>
          <w:iCs/>
          <w:sz w:val="22"/>
          <w:szCs w:val="22"/>
        </w:rPr>
        <w:t>European Eating Disorders Review</w:t>
      </w:r>
      <w:r w:rsidRPr="00DE006B">
        <w:rPr>
          <w:rFonts w:ascii="Arial" w:hAnsi="Arial" w:cs="Arial"/>
          <w:sz w:val="22"/>
          <w:szCs w:val="22"/>
        </w:rPr>
        <w:t xml:space="preserve">, 30(5), pp.616–627. </w:t>
      </w:r>
      <w:proofErr w:type="spellStart"/>
      <w:r w:rsidRPr="00DE006B">
        <w:rPr>
          <w:rFonts w:ascii="Arial" w:hAnsi="Arial" w:cs="Arial"/>
          <w:sz w:val="22"/>
          <w:szCs w:val="22"/>
        </w:rPr>
        <w:t>doi:https</w:t>
      </w:r>
      <w:proofErr w:type="spellEnd"/>
      <w:r w:rsidRPr="00DE006B">
        <w:rPr>
          <w:rFonts w:ascii="Arial" w:hAnsi="Arial" w:cs="Arial"/>
          <w:sz w:val="22"/>
          <w:szCs w:val="22"/>
        </w:rPr>
        <w:t>://doi.org/10.1002/erv.2930</w:t>
      </w:r>
    </w:p>
    <w:p w14:paraId="54138917" w14:textId="77777777" w:rsidR="00DE006B" w:rsidRPr="00C0798F" w:rsidRDefault="00DE006B" w:rsidP="005F0882">
      <w:pPr>
        <w:rPr>
          <w:rFonts w:ascii="Arial" w:hAnsi="Arial" w:cs="Arial"/>
          <w:sz w:val="22"/>
          <w:szCs w:val="22"/>
        </w:rPr>
      </w:pPr>
    </w:p>
    <w:p w14:paraId="268CD862" w14:textId="0E830BF9" w:rsidR="00EC6552" w:rsidRPr="00C0798F" w:rsidRDefault="00EC6552" w:rsidP="008A6D32">
      <w:pPr>
        <w:pStyle w:val="NormalWeb"/>
        <w:rPr>
          <w:rFonts w:ascii="Arial" w:hAnsi="Arial" w:cs="Arial"/>
          <w:color w:val="000000"/>
          <w:sz w:val="22"/>
          <w:szCs w:val="22"/>
        </w:rPr>
      </w:pPr>
      <w:r w:rsidRPr="00EC6552">
        <w:rPr>
          <w:rFonts w:ascii="Arial" w:hAnsi="Arial" w:cs="Arial"/>
          <w:color w:val="000000"/>
          <w:sz w:val="22"/>
          <w:szCs w:val="22"/>
        </w:rPr>
        <w:t xml:space="preserve">Barakat, S. and Maguire, S. (2022). Accessibility of Psychological Treatments for Bulimia Nervosa: A Review of Efficacy and Engagement in Online Self-Help Treatments. </w:t>
      </w:r>
      <w:r w:rsidRPr="00EC6552">
        <w:rPr>
          <w:rFonts w:ascii="Arial" w:hAnsi="Arial" w:cs="Arial"/>
          <w:i/>
          <w:iCs/>
          <w:color w:val="000000"/>
          <w:sz w:val="22"/>
          <w:szCs w:val="22"/>
        </w:rPr>
        <w:t>International Journal of Environmental Research and Public Health</w:t>
      </w:r>
      <w:r w:rsidRPr="00EC6552">
        <w:rPr>
          <w:rFonts w:ascii="Arial" w:hAnsi="Arial" w:cs="Arial"/>
          <w:color w:val="000000"/>
          <w:sz w:val="22"/>
          <w:szCs w:val="22"/>
        </w:rPr>
        <w:t xml:space="preserve">, 20(1), p.119. </w:t>
      </w:r>
      <w:proofErr w:type="spellStart"/>
      <w:r w:rsidRPr="00EC6552">
        <w:rPr>
          <w:rFonts w:ascii="Arial" w:hAnsi="Arial" w:cs="Arial"/>
          <w:color w:val="000000"/>
          <w:sz w:val="22"/>
          <w:szCs w:val="22"/>
        </w:rPr>
        <w:t>doi:https</w:t>
      </w:r>
      <w:proofErr w:type="spellEnd"/>
      <w:r w:rsidRPr="00EC6552">
        <w:rPr>
          <w:rFonts w:ascii="Arial" w:hAnsi="Arial" w:cs="Arial"/>
          <w:color w:val="000000"/>
          <w:sz w:val="22"/>
          <w:szCs w:val="22"/>
        </w:rPr>
        <w:t>://doi.org/10.3390/ijerph20010119</w:t>
      </w:r>
    </w:p>
    <w:p w14:paraId="4D27ADEF" w14:textId="77777777" w:rsidR="00850593" w:rsidRPr="00323ADA" w:rsidRDefault="00850593" w:rsidP="008A6D32">
      <w:pPr>
        <w:pStyle w:val="NormalWeb"/>
        <w:rPr>
          <w:rFonts w:ascii="Arial" w:hAnsi="Arial" w:cs="Arial"/>
          <w:color w:val="000000"/>
          <w:sz w:val="22"/>
          <w:szCs w:val="22"/>
        </w:rPr>
      </w:pPr>
    </w:p>
    <w:p w14:paraId="4EBFCD2D" w14:textId="7EF0B698" w:rsidR="00323ADA" w:rsidRDefault="00323ADA" w:rsidP="00323ADA">
      <w:pPr>
        <w:pStyle w:val="Bibliography"/>
        <w:rPr>
          <w:rFonts w:ascii="Arial" w:hAnsi="Arial" w:cs="Arial"/>
          <w:noProof/>
        </w:rPr>
      </w:pPr>
      <w:r w:rsidRPr="00323ADA">
        <w:rPr>
          <w:rFonts w:ascii="Arial" w:hAnsi="Arial" w:cs="Arial"/>
          <w:noProof/>
        </w:rPr>
        <w:t xml:space="preserve">Bamford, B (2025) </w:t>
      </w:r>
      <w:r w:rsidRPr="00323ADA">
        <w:rPr>
          <w:rFonts w:ascii="Arial" w:hAnsi="Arial" w:cs="Arial"/>
          <w:i/>
          <w:iCs/>
          <w:noProof/>
        </w:rPr>
        <w:t xml:space="preserve">Neurodivergence and Eating Disorders: Understanding the Overlap. </w:t>
      </w:r>
      <w:r w:rsidRPr="00323ADA">
        <w:rPr>
          <w:rFonts w:ascii="Arial" w:hAnsi="Arial" w:cs="Arial"/>
          <w:noProof/>
        </w:rPr>
        <w:br/>
        <w:t xml:space="preserve">Available at: </w:t>
      </w:r>
      <w:r w:rsidRPr="00323ADA">
        <w:rPr>
          <w:rFonts w:ascii="Arial" w:hAnsi="Arial" w:cs="Arial"/>
          <w:noProof/>
          <w:color w:val="0070C0"/>
          <w:u w:val="single"/>
        </w:rPr>
        <w:t>https://www.thelondoncentre.co.uk/the-blog/neurodivergence-and-eating-disorders-understanding-the-overlap</w:t>
      </w:r>
      <w:r w:rsidRPr="00323ADA">
        <w:rPr>
          <w:rFonts w:ascii="Arial" w:hAnsi="Arial" w:cs="Arial"/>
          <w:noProof/>
        </w:rPr>
        <w:t>(Accessed 20 November 2025).</w:t>
      </w:r>
    </w:p>
    <w:p w14:paraId="4740D338" w14:textId="77777777" w:rsidR="00DE006B" w:rsidRPr="00DE006B" w:rsidRDefault="00DE006B" w:rsidP="00DE006B"/>
    <w:p w14:paraId="0B581F92" w14:textId="77777777" w:rsidR="00323ADA" w:rsidRPr="00C0798F" w:rsidRDefault="00323ADA" w:rsidP="008A6D32">
      <w:pPr>
        <w:pStyle w:val="NormalWeb"/>
        <w:rPr>
          <w:rFonts w:ascii="Arial" w:hAnsi="Arial" w:cs="Arial"/>
          <w:color w:val="000000"/>
          <w:sz w:val="22"/>
          <w:szCs w:val="22"/>
        </w:rPr>
      </w:pPr>
    </w:p>
    <w:p w14:paraId="269C862F" w14:textId="6E5D408B" w:rsidR="00850593" w:rsidRPr="00C0798F" w:rsidRDefault="00850593" w:rsidP="00850593">
      <w:pPr>
        <w:pStyle w:val="Bibliography"/>
        <w:rPr>
          <w:rFonts w:ascii="Arial" w:hAnsi="Arial" w:cs="Arial"/>
          <w:noProof/>
        </w:rPr>
      </w:pPr>
      <w:r w:rsidRPr="00C0798F">
        <w:rPr>
          <w:rFonts w:ascii="Arial" w:hAnsi="Arial" w:cs="Arial"/>
          <w:noProof/>
        </w:rPr>
        <w:t xml:space="preserve">Beat Eating Disorder (no date) </w:t>
      </w:r>
      <w:r w:rsidRPr="00C0798F">
        <w:rPr>
          <w:rFonts w:ascii="Arial" w:hAnsi="Arial" w:cs="Arial"/>
          <w:i/>
          <w:iCs/>
          <w:noProof/>
        </w:rPr>
        <w:t xml:space="preserve">Beat Eating Disorder. </w:t>
      </w:r>
      <w:r w:rsidRPr="00C0798F">
        <w:rPr>
          <w:rFonts w:ascii="Arial" w:hAnsi="Arial" w:cs="Arial"/>
          <w:noProof/>
        </w:rPr>
        <w:br/>
        <w:t xml:space="preserve">Available at: </w:t>
      </w:r>
      <w:r w:rsidRPr="00C0798F">
        <w:rPr>
          <w:rFonts w:ascii="Arial" w:hAnsi="Arial" w:cs="Arial"/>
          <w:noProof/>
          <w:color w:val="0070C0"/>
          <w:u w:val="single"/>
        </w:rPr>
        <w:t>https://www.beateatingdisorders.org.uk/get-information-and-support/</w:t>
      </w:r>
      <w:r w:rsidRPr="00C0798F">
        <w:rPr>
          <w:rFonts w:ascii="Arial" w:hAnsi="Arial" w:cs="Arial"/>
          <w:noProof/>
        </w:rPr>
        <w:t>(Accessed 18 November 2025).</w:t>
      </w:r>
    </w:p>
    <w:p w14:paraId="68F20D38" w14:textId="77777777" w:rsidR="00EC6552" w:rsidRPr="00C0798F" w:rsidRDefault="00EC6552" w:rsidP="008A6D32">
      <w:pPr>
        <w:pStyle w:val="NormalWeb"/>
        <w:rPr>
          <w:rFonts w:ascii="Arial" w:hAnsi="Arial" w:cs="Arial"/>
          <w:color w:val="000000"/>
          <w:sz w:val="22"/>
          <w:szCs w:val="22"/>
        </w:rPr>
      </w:pPr>
    </w:p>
    <w:p w14:paraId="5CF2AE3D" w14:textId="780F405B" w:rsidR="0001638D" w:rsidRPr="00C0798F" w:rsidRDefault="0001638D" w:rsidP="008A6D32">
      <w:pPr>
        <w:pStyle w:val="NormalWeb"/>
        <w:rPr>
          <w:rFonts w:ascii="Arial" w:hAnsi="Arial" w:cs="Arial"/>
          <w:color w:val="000000"/>
          <w:sz w:val="22"/>
          <w:szCs w:val="22"/>
        </w:rPr>
      </w:pPr>
      <w:r w:rsidRPr="00C0798F">
        <w:rPr>
          <w:rFonts w:ascii="Arial" w:hAnsi="Arial" w:cs="Arial"/>
          <w:color w:val="000000"/>
          <w:sz w:val="22"/>
          <w:szCs w:val="22"/>
        </w:rPr>
        <w:t>BROWN, M. (2025). </w:t>
      </w:r>
      <w:r w:rsidRPr="00C0798F">
        <w:rPr>
          <w:rFonts w:ascii="Arial" w:hAnsi="Arial" w:cs="Arial"/>
          <w:i/>
          <w:iCs/>
          <w:color w:val="000000"/>
          <w:sz w:val="22"/>
          <w:szCs w:val="22"/>
        </w:rPr>
        <w:t>Reconstructing the Stereotype of the “Typical” Eating Disordered Patient: A Deeper Look into BIPOC Populations’ Experience With Eating Disorders</w:t>
      </w:r>
      <w:r w:rsidRPr="00C0798F">
        <w:rPr>
          <w:rFonts w:ascii="Arial" w:hAnsi="Arial" w:cs="Arial"/>
          <w:color w:val="000000"/>
          <w:sz w:val="22"/>
          <w:szCs w:val="22"/>
        </w:rPr>
        <w:t>, Alliant International University.</w:t>
      </w:r>
    </w:p>
    <w:p w14:paraId="7ABA2701" w14:textId="6E5A9A7A" w:rsidR="00CB526D" w:rsidRPr="00C0798F" w:rsidRDefault="00EE6A62" w:rsidP="008A6D32">
      <w:pPr>
        <w:pStyle w:val="NormalWeb"/>
        <w:rPr>
          <w:rFonts w:ascii="Arial" w:hAnsi="Arial" w:cs="Arial"/>
          <w:color w:val="000000"/>
          <w:sz w:val="22"/>
          <w:szCs w:val="22"/>
        </w:rPr>
      </w:pPr>
      <w:r w:rsidRPr="00C0798F">
        <w:rPr>
          <w:rFonts w:ascii="Arial" w:hAnsi="Arial" w:cs="Arial"/>
          <w:color w:val="000000"/>
          <w:sz w:val="22"/>
          <w:szCs w:val="22"/>
        </w:rPr>
        <w:t>CHURCH, M., (2022). </w:t>
      </w:r>
      <w:r w:rsidRPr="00C0798F">
        <w:rPr>
          <w:rFonts w:ascii="Arial" w:hAnsi="Arial" w:cs="Arial"/>
          <w:i/>
          <w:iCs/>
          <w:color w:val="000000"/>
          <w:sz w:val="22"/>
          <w:szCs w:val="22"/>
        </w:rPr>
        <w:t xml:space="preserve">Identifying Disordered Eating </w:t>
      </w:r>
      <w:r w:rsidR="00EB2189" w:rsidRPr="00C0798F">
        <w:rPr>
          <w:rFonts w:ascii="Arial" w:hAnsi="Arial" w:cs="Arial"/>
          <w:i/>
          <w:iCs/>
          <w:color w:val="000000"/>
          <w:sz w:val="22"/>
          <w:szCs w:val="22"/>
        </w:rPr>
        <w:t>Behaviours</w:t>
      </w:r>
      <w:r w:rsidRPr="00C0798F">
        <w:rPr>
          <w:rFonts w:ascii="Arial" w:hAnsi="Arial" w:cs="Arial"/>
          <w:i/>
          <w:iCs/>
          <w:color w:val="000000"/>
          <w:sz w:val="22"/>
          <w:szCs w:val="22"/>
        </w:rPr>
        <w:t xml:space="preserve"> in a General Psychiatric Sample: A Comparison of Diagnostic Vs. Dimensional Assessment Methods</w:t>
      </w:r>
      <w:r w:rsidRPr="00C0798F">
        <w:rPr>
          <w:rFonts w:ascii="Arial" w:hAnsi="Arial" w:cs="Arial"/>
          <w:color w:val="000000"/>
          <w:sz w:val="22"/>
          <w:szCs w:val="22"/>
        </w:rPr>
        <w:t>, William James College.</w:t>
      </w:r>
    </w:p>
    <w:p w14:paraId="2E5219F4" w14:textId="77777777" w:rsidR="00F86834" w:rsidRPr="00C0798F" w:rsidRDefault="00F86834" w:rsidP="008A6D32">
      <w:pPr>
        <w:pStyle w:val="NormalWeb"/>
        <w:rPr>
          <w:rFonts w:ascii="Arial" w:hAnsi="Arial" w:cs="Arial"/>
          <w:color w:val="000000"/>
          <w:sz w:val="22"/>
          <w:szCs w:val="22"/>
        </w:rPr>
      </w:pPr>
    </w:p>
    <w:p w14:paraId="55CFC175" w14:textId="335B7707" w:rsidR="00F86834" w:rsidRPr="00C0798F" w:rsidRDefault="00F86834" w:rsidP="00F86834">
      <w:pPr>
        <w:pStyle w:val="Bibliography"/>
        <w:rPr>
          <w:rFonts w:ascii="Arial" w:hAnsi="Arial" w:cs="Arial"/>
          <w:noProof/>
          <w:kern w:val="0"/>
          <w14:ligatures w14:val="none"/>
        </w:rPr>
      </w:pPr>
      <w:r w:rsidRPr="00C0798F">
        <w:rPr>
          <w:rFonts w:ascii="Arial" w:hAnsi="Arial" w:cs="Arial"/>
          <w:noProof/>
        </w:rPr>
        <w:t>Dorset Healthcare University NHS Foundation Trust</w:t>
      </w:r>
      <w:r w:rsidR="00155589" w:rsidRPr="00C0798F">
        <w:rPr>
          <w:rFonts w:ascii="Arial" w:hAnsi="Arial" w:cs="Arial"/>
          <w:noProof/>
        </w:rPr>
        <w:t xml:space="preserve"> (no date)</w:t>
      </w:r>
      <w:r w:rsidRPr="00C0798F">
        <w:rPr>
          <w:rFonts w:ascii="Arial" w:hAnsi="Arial" w:cs="Arial"/>
          <w:noProof/>
        </w:rPr>
        <w:t xml:space="preserve"> </w:t>
      </w:r>
      <w:r w:rsidRPr="00C0798F">
        <w:rPr>
          <w:rFonts w:ascii="Arial" w:hAnsi="Arial" w:cs="Arial"/>
          <w:i/>
          <w:iCs/>
          <w:noProof/>
        </w:rPr>
        <w:t xml:space="preserve">Family-based treatment for bulimia nervosa. </w:t>
      </w:r>
      <w:r w:rsidRPr="00C0798F">
        <w:rPr>
          <w:rFonts w:ascii="Arial" w:hAnsi="Arial" w:cs="Arial"/>
          <w:noProof/>
        </w:rPr>
        <w:t>Available at:</w:t>
      </w:r>
      <w:r w:rsidRPr="00C0798F">
        <w:rPr>
          <w:rFonts w:ascii="Arial" w:hAnsi="Arial" w:cs="Arial"/>
          <w:noProof/>
          <w:color w:val="0070C0"/>
        </w:rPr>
        <w:t xml:space="preserve"> </w:t>
      </w:r>
      <w:r w:rsidRPr="00C0798F">
        <w:rPr>
          <w:rFonts w:ascii="Arial" w:hAnsi="Arial" w:cs="Arial"/>
          <w:noProof/>
          <w:color w:val="0070C0"/>
          <w:u w:val="single"/>
        </w:rPr>
        <w:t>https://www.dorsethealthcare.nhs.uk/our-services-and-sites/mental-health-and-learning-disabilities/eating-disorders-support/family-based-treatment-anorexia-nervosa</w:t>
      </w:r>
      <w:r w:rsidRPr="00C0798F">
        <w:rPr>
          <w:rFonts w:ascii="Arial" w:hAnsi="Arial" w:cs="Arial"/>
          <w:noProof/>
        </w:rPr>
        <w:t>(Accessed 18 November 2025).</w:t>
      </w:r>
    </w:p>
    <w:p w14:paraId="7B5F11E2" w14:textId="77777777" w:rsidR="006B6392" w:rsidRPr="00C0798F" w:rsidRDefault="006B6392" w:rsidP="006B6392">
      <w:pPr>
        <w:pStyle w:val="Bibliography"/>
        <w:rPr>
          <w:rFonts w:ascii="Arial" w:hAnsi="Arial" w:cs="Arial"/>
          <w:noProof/>
        </w:rPr>
      </w:pPr>
    </w:p>
    <w:p w14:paraId="2DE92644" w14:textId="2FEDE947" w:rsidR="00C56304" w:rsidRPr="00C0798F" w:rsidRDefault="006B6392" w:rsidP="006B6392">
      <w:pPr>
        <w:pStyle w:val="Bibliography"/>
        <w:rPr>
          <w:rFonts w:ascii="Arial" w:hAnsi="Arial" w:cs="Arial"/>
          <w:noProof/>
        </w:rPr>
      </w:pPr>
      <w:r w:rsidRPr="00C0798F">
        <w:rPr>
          <w:rFonts w:ascii="Arial" w:hAnsi="Arial" w:cs="Arial"/>
          <w:noProof/>
        </w:rPr>
        <w:t xml:space="preserve">Dawes, V. (2024) </w:t>
      </w:r>
      <w:r w:rsidRPr="00C0798F">
        <w:rPr>
          <w:rFonts w:ascii="Arial" w:hAnsi="Arial" w:cs="Arial"/>
          <w:i/>
          <w:iCs/>
          <w:noProof/>
        </w:rPr>
        <w:t>Why CBT is often not helpful for an autistic person.</w:t>
      </w:r>
      <w:r w:rsidRPr="00C0798F">
        <w:rPr>
          <w:rFonts w:ascii="Arial" w:hAnsi="Arial" w:cs="Arial"/>
          <w:noProof/>
        </w:rPr>
        <w:br/>
        <w:t xml:space="preserve">Available at: </w:t>
      </w:r>
      <w:r w:rsidRPr="00C0798F">
        <w:rPr>
          <w:rFonts w:ascii="Arial" w:hAnsi="Arial" w:cs="Arial"/>
          <w:noProof/>
          <w:color w:val="0070C0"/>
          <w:u w:val="single"/>
        </w:rPr>
        <w:t>https://www.autisticadvocate.co.uk/post/why-cbt-is-often-not-helpful-for-an-autistic-person</w:t>
      </w:r>
      <w:r w:rsidRPr="00C0798F">
        <w:rPr>
          <w:rFonts w:ascii="Arial" w:hAnsi="Arial" w:cs="Arial"/>
          <w:noProof/>
        </w:rPr>
        <w:t>(Accessed 18 November 2025).</w:t>
      </w:r>
    </w:p>
    <w:p w14:paraId="1D51F704" w14:textId="77777777" w:rsidR="006B6392" w:rsidRPr="00C0798F" w:rsidRDefault="006B6392" w:rsidP="008A6D32">
      <w:pPr>
        <w:pStyle w:val="NormalWeb"/>
        <w:rPr>
          <w:rFonts w:ascii="Arial" w:hAnsi="Arial" w:cs="Arial"/>
          <w:color w:val="000000"/>
          <w:sz w:val="22"/>
          <w:szCs w:val="22"/>
        </w:rPr>
      </w:pPr>
    </w:p>
    <w:p w14:paraId="2BDA9D4C" w14:textId="66FCC978" w:rsidR="00ED70EE" w:rsidRPr="00C0798F" w:rsidRDefault="00ED70EE" w:rsidP="00ED70EE">
      <w:pPr>
        <w:pStyle w:val="Bibliography"/>
        <w:rPr>
          <w:rFonts w:ascii="Arial" w:hAnsi="Arial" w:cs="Arial"/>
          <w:noProof/>
        </w:rPr>
      </w:pPr>
      <w:r w:rsidRPr="00C0798F">
        <w:rPr>
          <w:rFonts w:ascii="Arial" w:hAnsi="Arial" w:cs="Arial"/>
          <w:noProof/>
        </w:rPr>
        <w:t xml:space="preserve">Elder, S. (2025) </w:t>
      </w:r>
      <w:r w:rsidRPr="00C0798F">
        <w:rPr>
          <w:rFonts w:ascii="Arial" w:hAnsi="Arial" w:cs="Arial"/>
          <w:i/>
          <w:iCs/>
          <w:noProof/>
        </w:rPr>
        <w:t>What is the role of nutrition in bulimia nervosa recovery?</w:t>
      </w:r>
      <w:r w:rsidRPr="00C0798F">
        <w:rPr>
          <w:rFonts w:ascii="Arial" w:hAnsi="Arial" w:cs="Arial"/>
          <w:noProof/>
        </w:rPr>
        <w:br/>
        <w:t xml:space="preserve">Available at: </w:t>
      </w:r>
      <w:r w:rsidRPr="00C0798F">
        <w:rPr>
          <w:rFonts w:ascii="Arial" w:hAnsi="Arial" w:cs="Arial"/>
          <w:noProof/>
          <w:u w:val="single"/>
        </w:rPr>
        <w:t>h</w:t>
      </w:r>
      <w:r w:rsidRPr="00C0798F">
        <w:rPr>
          <w:rFonts w:ascii="Arial" w:hAnsi="Arial" w:cs="Arial"/>
          <w:noProof/>
          <w:color w:val="0070C0"/>
          <w:u w:val="single"/>
        </w:rPr>
        <w:t>ttps://mynutriweb.com/what-is-the-role-of-nutrition-in-bulimia-nervosa-recovery/</w:t>
      </w:r>
      <w:r w:rsidRPr="00C0798F">
        <w:rPr>
          <w:rFonts w:ascii="Arial" w:hAnsi="Arial" w:cs="Arial"/>
          <w:noProof/>
        </w:rPr>
        <w:t>(Accessed 18 November 2024).</w:t>
      </w:r>
    </w:p>
    <w:p w14:paraId="6DEDC00B" w14:textId="77777777" w:rsidR="00F86BC3" w:rsidRPr="00C0798F" w:rsidRDefault="00F86BC3" w:rsidP="00F86BC3">
      <w:pPr>
        <w:rPr>
          <w:rFonts w:ascii="Arial" w:hAnsi="Arial" w:cs="Arial"/>
          <w:sz w:val="22"/>
          <w:szCs w:val="22"/>
        </w:rPr>
      </w:pPr>
    </w:p>
    <w:p w14:paraId="31DE130E" w14:textId="1F02362E" w:rsidR="00F86BC3" w:rsidRPr="00C0798F" w:rsidRDefault="00F86BC3" w:rsidP="00F86BC3">
      <w:pPr>
        <w:pStyle w:val="Bibliography"/>
        <w:rPr>
          <w:rFonts w:ascii="Arial" w:hAnsi="Arial" w:cs="Arial"/>
          <w:noProof/>
        </w:rPr>
      </w:pPr>
      <w:r w:rsidRPr="00C0798F">
        <w:rPr>
          <w:rFonts w:ascii="Arial" w:hAnsi="Arial" w:cs="Arial"/>
          <w:noProof/>
        </w:rPr>
        <w:t xml:space="preserve">Eating Disorders Clinic (2024) </w:t>
      </w:r>
      <w:r w:rsidRPr="00C0798F">
        <w:rPr>
          <w:rFonts w:ascii="Arial" w:hAnsi="Arial" w:cs="Arial"/>
          <w:i/>
          <w:iCs/>
          <w:noProof/>
        </w:rPr>
        <w:t xml:space="preserve">Neurodiversity and Eating Disorders: Unveiling the Hidden Connections. </w:t>
      </w:r>
      <w:r w:rsidRPr="00C0798F">
        <w:rPr>
          <w:rFonts w:ascii="Arial" w:hAnsi="Arial" w:cs="Arial"/>
          <w:noProof/>
        </w:rPr>
        <w:t>Available at:</w:t>
      </w:r>
      <w:r w:rsidRPr="00C0798F">
        <w:rPr>
          <w:rFonts w:ascii="Arial" w:hAnsi="Arial" w:cs="Arial"/>
          <w:noProof/>
          <w:color w:val="0070C0"/>
        </w:rPr>
        <w:t xml:space="preserve"> </w:t>
      </w:r>
      <w:r w:rsidRPr="00C0798F">
        <w:rPr>
          <w:rFonts w:ascii="Arial" w:hAnsi="Arial" w:cs="Arial"/>
          <w:noProof/>
          <w:color w:val="0070C0"/>
          <w:u w:val="single"/>
        </w:rPr>
        <w:t>https://eatingdisordersclinic.co.uk/neurodiversity-and-eating-disorders/#:~:text=Summary:,unaddressed%20in%20conventional%20treatment%20approaches.</w:t>
      </w:r>
      <w:r w:rsidRPr="00C0798F">
        <w:rPr>
          <w:rFonts w:ascii="Arial" w:hAnsi="Arial" w:cs="Arial"/>
          <w:noProof/>
        </w:rPr>
        <w:t>(Accessed 20 November 2025).</w:t>
      </w:r>
    </w:p>
    <w:p w14:paraId="4B3E3095" w14:textId="77777777" w:rsidR="00ED70EE" w:rsidRPr="00C0798F" w:rsidRDefault="00ED70EE" w:rsidP="008A6D32">
      <w:pPr>
        <w:pStyle w:val="NormalWeb"/>
        <w:rPr>
          <w:rFonts w:ascii="Arial" w:hAnsi="Arial" w:cs="Arial"/>
          <w:color w:val="000000"/>
          <w:sz w:val="22"/>
          <w:szCs w:val="22"/>
        </w:rPr>
      </w:pPr>
    </w:p>
    <w:p w14:paraId="7A076951" w14:textId="2CC7D994" w:rsidR="001C1377" w:rsidRPr="00C0798F" w:rsidRDefault="001C1377" w:rsidP="001C1377">
      <w:pPr>
        <w:pStyle w:val="Bibliography"/>
        <w:rPr>
          <w:rFonts w:ascii="Arial" w:hAnsi="Arial" w:cs="Arial"/>
          <w:noProof/>
        </w:rPr>
      </w:pPr>
      <w:r w:rsidRPr="00C0798F">
        <w:rPr>
          <w:rFonts w:ascii="Arial" w:hAnsi="Arial" w:cs="Arial"/>
          <w:noProof/>
        </w:rPr>
        <w:t xml:space="preserve">Foran, A.-M. (2023) </w:t>
      </w:r>
      <w:r w:rsidRPr="00C0798F">
        <w:rPr>
          <w:rFonts w:ascii="Arial" w:hAnsi="Arial" w:cs="Arial"/>
          <w:i/>
          <w:iCs/>
          <w:noProof/>
        </w:rPr>
        <w:t xml:space="preserve">Eating disorder recovery requires attention to the social lives of those affected. </w:t>
      </w:r>
      <w:r w:rsidRPr="00C0798F">
        <w:rPr>
          <w:rFonts w:ascii="Arial" w:hAnsi="Arial" w:cs="Arial"/>
          <w:noProof/>
        </w:rPr>
        <w:t xml:space="preserve">Available at: </w:t>
      </w:r>
      <w:r w:rsidRPr="00C0798F">
        <w:rPr>
          <w:rFonts w:ascii="Arial" w:hAnsi="Arial" w:cs="Arial"/>
          <w:noProof/>
          <w:color w:val="0070C0"/>
          <w:u w:val="single"/>
        </w:rPr>
        <w:t>https://pmc.ncbi.nlm.nih.gov/articles/PMC11324316/</w:t>
      </w:r>
      <w:r w:rsidRPr="00C0798F">
        <w:rPr>
          <w:rFonts w:ascii="Arial" w:hAnsi="Arial" w:cs="Arial"/>
          <w:noProof/>
        </w:rPr>
        <w:t>(Accessed 18 November 2025).</w:t>
      </w:r>
    </w:p>
    <w:p w14:paraId="2D787A9B" w14:textId="77777777" w:rsidR="00151482" w:rsidRPr="00C0798F" w:rsidRDefault="00151482" w:rsidP="008A6D32">
      <w:pPr>
        <w:pStyle w:val="NormalWeb"/>
        <w:rPr>
          <w:rFonts w:ascii="Arial" w:hAnsi="Arial" w:cs="Arial"/>
          <w:color w:val="000000"/>
          <w:sz w:val="22"/>
          <w:szCs w:val="22"/>
        </w:rPr>
      </w:pPr>
    </w:p>
    <w:p w14:paraId="633BF3A2" w14:textId="31844A55" w:rsidR="00C56304" w:rsidRPr="00C0798F" w:rsidRDefault="00C56304" w:rsidP="008A6D32">
      <w:pPr>
        <w:pStyle w:val="NormalWeb"/>
        <w:rPr>
          <w:rFonts w:ascii="Arial" w:hAnsi="Arial" w:cs="Arial"/>
          <w:color w:val="000000"/>
          <w:sz w:val="22"/>
          <w:szCs w:val="22"/>
        </w:rPr>
      </w:pPr>
      <w:r w:rsidRPr="00C56304">
        <w:rPr>
          <w:rFonts w:ascii="Arial" w:hAnsi="Arial" w:cs="Arial"/>
          <w:color w:val="000000"/>
          <w:sz w:val="22"/>
          <w:szCs w:val="22"/>
        </w:rPr>
        <w:t xml:space="preserve">Gardini, V., Pagli, F. and </w:t>
      </w:r>
      <w:proofErr w:type="spellStart"/>
      <w:r w:rsidRPr="00C56304">
        <w:rPr>
          <w:rFonts w:ascii="Arial" w:hAnsi="Arial" w:cs="Arial"/>
          <w:color w:val="000000"/>
          <w:sz w:val="22"/>
          <w:szCs w:val="22"/>
        </w:rPr>
        <w:t>Tomba</w:t>
      </w:r>
      <w:proofErr w:type="spellEnd"/>
      <w:r w:rsidRPr="00C56304">
        <w:rPr>
          <w:rFonts w:ascii="Arial" w:hAnsi="Arial" w:cs="Arial"/>
          <w:color w:val="000000"/>
          <w:sz w:val="22"/>
          <w:szCs w:val="22"/>
        </w:rPr>
        <w:t xml:space="preserve">, E. (2025) ‘Defining Recovery and Relapse in Bulimia Nervosa: A Systematic Review of the Literature’, </w:t>
      </w:r>
      <w:r w:rsidRPr="00C56304">
        <w:rPr>
          <w:rFonts w:ascii="Arial" w:hAnsi="Arial" w:cs="Arial"/>
          <w:i/>
          <w:iCs/>
          <w:color w:val="000000"/>
          <w:sz w:val="22"/>
          <w:szCs w:val="22"/>
        </w:rPr>
        <w:t>European eating disorders review</w:t>
      </w:r>
      <w:r w:rsidRPr="00C56304">
        <w:rPr>
          <w:rFonts w:ascii="Arial" w:hAnsi="Arial" w:cs="Arial"/>
          <w:color w:val="000000"/>
          <w:sz w:val="22"/>
          <w:szCs w:val="22"/>
        </w:rPr>
        <w:t xml:space="preserve"> [Preprint]. Available at: </w:t>
      </w:r>
      <w:hyperlink r:id="rId7" w:history="1">
        <w:r w:rsidRPr="00C56304">
          <w:rPr>
            <w:rStyle w:val="Hyperlink"/>
            <w:rFonts w:ascii="Arial" w:hAnsi="Arial" w:cs="Arial"/>
            <w:sz w:val="22"/>
            <w:szCs w:val="22"/>
          </w:rPr>
          <w:t>https://doi.org/10.1002/erv.70033</w:t>
        </w:r>
      </w:hyperlink>
    </w:p>
    <w:p w14:paraId="1EC8DEBC" w14:textId="77777777" w:rsidR="00C56304" w:rsidRPr="00C0798F" w:rsidRDefault="00C56304" w:rsidP="008A6D32">
      <w:pPr>
        <w:pStyle w:val="NormalWeb"/>
        <w:rPr>
          <w:rFonts w:ascii="Arial" w:hAnsi="Arial" w:cs="Arial"/>
          <w:color w:val="000000"/>
          <w:sz w:val="22"/>
          <w:szCs w:val="22"/>
        </w:rPr>
      </w:pPr>
    </w:p>
    <w:p w14:paraId="46B2B355" w14:textId="7F8E8109" w:rsidR="009B3C02" w:rsidRPr="00C0798F" w:rsidRDefault="009B3C02" w:rsidP="008A6D32">
      <w:pPr>
        <w:pStyle w:val="NormalWeb"/>
        <w:rPr>
          <w:rFonts w:ascii="Arial" w:hAnsi="Arial" w:cs="Arial"/>
          <w:color w:val="000000"/>
          <w:sz w:val="22"/>
          <w:szCs w:val="22"/>
        </w:rPr>
      </w:pPr>
      <w:r w:rsidRPr="00C0798F">
        <w:rPr>
          <w:rFonts w:ascii="Arial" w:hAnsi="Arial" w:cs="Arial"/>
          <w:color w:val="000000"/>
          <w:sz w:val="22"/>
          <w:szCs w:val="22"/>
        </w:rPr>
        <w:t>GIDEON, N., HAWKES, N., MOND, J., SAUNDERS, R., TCHANTURIA, K. and SERPELL, L. (2016). Development and Psychometric Validation of the EDE-QS, a 12 Item Short Form of the Eating Disorder Examination Questionnaire (EDE-Q). </w:t>
      </w:r>
      <w:proofErr w:type="spellStart"/>
      <w:r w:rsidRPr="00C0798F">
        <w:rPr>
          <w:rFonts w:ascii="Arial" w:hAnsi="Arial" w:cs="Arial"/>
          <w:i/>
          <w:iCs/>
          <w:color w:val="000000"/>
          <w:sz w:val="22"/>
          <w:szCs w:val="22"/>
        </w:rPr>
        <w:t>PLoS</w:t>
      </w:r>
      <w:proofErr w:type="spellEnd"/>
      <w:r w:rsidRPr="00C0798F">
        <w:rPr>
          <w:rFonts w:ascii="Arial" w:hAnsi="Arial" w:cs="Arial"/>
          <w:i/>
          <w:iCs/>
          <w:color w:val="000000"/>
          <w:sz w:val="22"/>
          <w:szCs w:val="22"/>
        </w:rPr>
        <w:t xml:space="preserve"> One, </w:t>
      </w:r>
      <w:r w:rsidRPr="00C0798F">
        <w:rPr>
          <w:rFonts w:ascii="Arial" w:hAnsi="Arial" w:cs="Arial"/>
          <w:color w:val="000000"/>
          <w:sz w:val="22"/>
          <w:szCs w:val="22"/>
        </w:rPr>
        <w:t>11(5).</w:t>
      </w:r>
    </w:p>
    <w:p w14:paraId="5A7D47BA" w14:textId="77777777" w:rsidR="00E4107C" w:rsidRPr="00C0798F" w:rsidRDefault="00E4107C" w:rsidP="008A6D32">
      <w:pPr>
        <w:pStyle w:val="NormalWeb"/>
        <w:rPr>
          <w:rFonts w:ascii="Arial" w:hAnsi="Arial" w:cs="Arial"/>
          <w:color w:val="000000"/>
          <w:sz w:val="22"/>
          <w:szCs w:val="22"/>
        </w:rPr>
      </w:pPr>
    </w:p>
    <w:p w14:paraId="3FAB78FE" w14:textId="77777777" w:rsidR="00CB526D" w:rsidRPr="00E96809" w:rsidRDefault="00CB526D" w:rsidP="00CB526D">
      <w:pPr>
        <w:spacing w:line="259" w:lineRule="auto"/>
        <w:rPr>
          <w:rFonts w:ascii="Arial" w:hAnsi="Arial" w:cs="Arial"/>
          <w:sz w:val="22"/>
          <w:szCs w:val="22"/>
          <w:lang w:val="nl-NL"/>
        </w:rPr>
      </w:pPr>
      <w:r w:rsidRPr="006E3207">
        <w:rPr>
          <w:rFonts w:ascii="Arial" w:hAnsi="Arial" w:cs="Arial"/>
          <w:sz w:val="22"/>
          <w:szCs w:val="22"/>
        </w:rPr>
        <w:t xml:space="preserve">Gertraud Gradl-Dietsch, </w:t>
      </w:r>
      <w:proofErr w:type="spellStart"/>
      <w:r w:rsidRPr="006E3207">
        <w:rPr>
          <w:rFonts w:ascii="Arial" w:hAnsi="Arial" w:cs="Arial"/>
          <w:sz w:val="22"/>
          <w:szCs w:val="22"/>
        </w:rPr>
        <w:t>Föcker</w:t>
      </w:r>
      <w:proofErr w:type="spellEnd"/>
      <w:r w:rsidRPr="006E3207">
        <w:rPr>
          <w:rFonts w:ascii="Arial" w:hAnsi="Arial" w:cs="Arial"/>
          <w:sz w:val="22"/>
          <w:szCs w:val="22"/>
        </w:rPr>
        <w:t>, M. and Hebebrand, J. (2024). Eating Disorders in the ICD-11 and DSM-5. </w:t>
      </w:r>
      <w:r w:rsidRPr="00E96809">
        <w:rPr>
          <w:rFonts w:ascii="Arial" w:hAnsi="Arial" w:cs="Arial"/>
          <w:i/>
          <w:iCs/>
          <w:sz w:val="22"/>
          <w:szCs w:val="22"/>
          <w:lang w:val="nl-NL"/>
        </w:rPr>
        <w:t>Springer eBooks</w:t>
      </w:r>
      <w:r w:rsidRPr="00E96809">
        <w:rPr>
          <w:rFonts w:ascii="Arial" w:hAnsi="Arial" w:cs="Arial"/>
          <w:sz w:val="22"/>
          <w:szCs w:val="22"/>
          <w:lang w:val="nl-NL"/>
        </w:rPr>
        <w:t>, pp.15–25. doi:https://doi.org/10.1007/978-3-662-67662-2_3.</w:t>
      </w:r>
    </w:p>
    <w:p w14:paraId="6FACACE6" w14:textId="77777777" w:rsidR="00296EEA" w:rsidRPr="00E96809" w:rsidRDefault="00296EEA" w:rsidP="00CB526D">
      <w:pPr>
        <w:spacing w:line="259" w:lineRule="auto"/>
        <w:rPr>
          <w:rFonts w:ascii="Arial" w:hAnsi="Arial" w:cs="Arial"/>
          <w:sz w:val="22"/>
          <w:szCs w:val="22"/>
          <w:lang w:val="nl-NL"/>
        </w:rPr>
      </w:pPr>
    </w:p>
    <w:p w14:paraId="3985E9E2" w14:textId="77777777" w:rsidR="00AC042D" w:rsidRPr="00AC042D" w:rsidRDefault="00AC042D" w:rsidP="00AC042D">
      <w:pPr>
        <w:spacing w:line="259" w:lineRule="auto"/>
        <w:rPr>
          <w:rFonts w:ascii="Arial" w:hAnsi="Arial" w:cs="Arial"/>
          <w:sz w:val="22"/>
          <w:szCs w:val="22"/>
        </w:rPr>
      </w:pPr>
      <w:r w:rsidRPr="00E96809">
        <w:rPr>
          <w:rFonts w:ascii="Arial" w:hAnsi="Arial" w:cs="Arial"/>
          <w:sz w:val="22"/>
          <w:szCs w:val="22"/>
          <w:lang w:val="nl-NL"/>
        </w:rPr>
        <w:t xml:space="preserve">Himmerich, H. </w:t>
      </w:r>
      <w:r w:rsidRPr="00E96809">
        <w:rPr>
          <w:rFonts w:ascii="Arial" w:hAnsi="Arial" w:cs="Arial"/>
          <w:i/>
          <w:iCs/>
          <w:sz w:val="22"/>
          <w:szCs w:val="22"/>
          <w:lang w:val="nl-NL"/>
        </w:rPr>
        <w:t>et al.</w:t>
      </w:r>
      <w:r w:rsidRPr="00E96809">
        <w:rPr>
          <w:rFonts w:ascii="Arial" w:hAnsi="Arial" w:cs="Arial"/>
          <w:sz w:val="22"/>
          <w:szCs w:val="22"/>
          <w:lang w:val="nl-NL"/>
        </w:rPr>
        <w:t xml:space="preserve"> </w:t>
      </w:r>
      <w:r w:rsidRPr="00AC042D">
        <w:rPr>
          <w:rFonts w:ascii="Arial" w:hAnsi="Arial" w:cs="Arial"/>
          <w:sz w:val="22"/>
          <w:szCs w:val="22"/>
        </w:rPr>
        <w:t xml:space="preserve">(2021) ‘Pharmacological treatment of eating disorders, comorbid mental health problems, malnutrition and physical health consequences’, </w:t>
      </w:r>
      <w:r w:rsidRPr="00AC042D">
        <w:rPr>
          <w:rFonts w:ascii="Arial" w:hAnsi="Arial" w:cs="Arial"/>
          <w:i/>
          <w:iCs/>
          <w:sz w:val="22"/>
          <w:szCs w:val="22"/>
        </w:rPr>
        <w:t>Pharmacology &amp; therapeutics (Oxford)</w:t>
      </w:r>
      <w:r w:rsidRPr="00AC042D">
        <w:rPr>
          <w:rFonts w:ascii="Arial" w:hAnsi="Arial" w:cs="Arial"/>
          <w:sz w:val="22"/>
          <w:szCs w:val="22"/>
        </w:rPr>
        <w:t>, 217. Available at: https://doi.org/10.1016/j.pharmthera.2020.107667.</w:t>
      </w:r>
    </w:p>
    <w:p w14:paraId="54A0B9B3" w14:textId="77777777" w:rsidR="00AC042D" w:rsidRPr="00C0798F" w:rsidRDefault="00AC042D" w:rsidP="00296EEA">
      <w:pPr>
        <w:spacing w:line="259" w:lineRule="auto"/>
        <w:rPr>
          <w:rFonts w:ascii="Arial" w:hAnsi="Arial" w:cs="Arial"/>
          <w:sz w:val="22"/>
          <w:szCs w:val="22"/>
        </w:rPr>
      </w:pPr>
    </w:p>
    <w:p w14:paraId="04D5FC68" w14:textId="56FF512A" w:rsidR="000C5D1A" w:rsidRPr="000C5D1A" w:rsidRDefault="000C5D1A" w:rsidP="000C5D1A">
      <w:pPr>
        <w:spacing w:line="259" w:lineRule="auto"/>
        <w:rPr>
          <w:rFonts w:ascii="Arial" w:hAnsi="Arial" w:cs="Arial"/>
          <w:sz w:val="22"/>
          <w:szCs w:val="22"/>
        </w:rPr>
      </w:pPr>
      <w:r w:rsidRPr="000C5D1A">
        <w:rPr>
          <w:rFonts w:ascii="Arial" w:hAnsi="Arial" w:cs="Arial"/>
          <w:sz w:val="22"/>
          <w:szCs w:val="22"/>
        </w:rPr>
        <w:t>Hollett, K.B. and Carter, J.C. (2021). Separating binge</w:t>
      </w:r>
      <w:r w:rsidRPr="000C5D1A">
        <w:rPr>
          <w:rFonts w:ascii="Cambria Math" w:hAnsi="Cambria Math" w:cs="Cambria Math"/>
          <w:sz w:val="22"/>
          <w:szCs w:val="22"/>
        </w:rPr>
        <w:t>‐</w:t>
      </w:r>
      <w:r w:rsidRPr="000C5D1A">
        <w:rPr>
          <w:rFonts w:ascii="Arial" w:hAnsi="Arial" w:cs="Arial"/>
          <w:sz w:val="22"/>
          <w:szCs w:val="22"/>
        </w:rPr>
        <w:t xml:space="preserve">eating disorder stigma and weight stigma: A vignette study. </w:t>
      </w:r>
      <w:r w:rsidRPr="000C5D1A">
        <w:rPr>
          <w:rFonts w:ascii="Arial" w:hAnsi="Arial" w:cs="Arial"/>
          <w:i/>
          <w:iCs/>
          <w:sz w:val="22"/>
          <w:szCs w:val="22"/>
        </w:rPr>
        <w:t>International Journal of Eating Disorders</w:t>
      </w:r>
      <w:r w:rsidRPr="000C5D1A">
        <w:rPr>
          <w:rFonts w:ascii="Arial" w:hAnsi="Arial" w:cs="Arial"/>
          <w:sz w:val="22"/>
          <w:szCs w:val="22"/>
        </w:rPr>
        <w:t xml:space="preserve">, 54(5). </w:t>
      </w:r>
      <w:proofErr w:type="spellStart"/>
      <w:r w:rsidRPr="000C5D1A">
        <w:rPr>
          <w:rFonts w:ascii="Arial" w:hAnsi="Arial" w:cs="Arial"/>
          <w:sz w:val="22"/>
          <w:szCs w:val="22"/>
        </w:rPr>
        <w:t>doi:https</w:t>
      </w:r>
      <w:proofErr w:type="spellEnd"/>
      <w:r w:rsidRPr="000C5D1A">
        <w:rPr>
          <w:rFonts w:ascii="Arial" w:hAnsi="Arial" w:cs="Arial"/>
          <w:sz w:val="22"/>
          <w:szCs w:val="22"/>
        </w:rPr>
        <w:t>://doi.org/10.1002/eat.23473</w:t>
      </w:r>
    </w:p>
    <w:p w14:paraId="375C7DDA" w14:textId="77777777" w:rsidR="000C5D1A" w:rsidRPr="00C0798F" w:rsidRDefault="000C5D1A" w:rsidP="00296EEA">
      <w:pPr>
        <w:spacing w:line="259" w:lineRule="auto"/>
        <w:rPr>
          <w:rFonts w:ascii="Arial" w:hAnsi="Arial" w:cs="Arial"/>
          <w:sz w:val="22"/>
          <w:szCs w:val="22"/>
        </w:rPr>
      </w:pPr>
    </w:p>
    <w:p w14:paraId="682BCD3B" w14:textId="77777777" w:rsidR="00212E77" w:rsidRPr="00C0798F" w:rsidRDefault="00212E77" w:rsidP="00296EEA">
      <w:pPr>
        <w:spacing w:line="259" w:lineRule="auto"/>
        <w:rPr>
          <w:rFonts w:ascii="Arial" w:hAnsi="Arial" w:cs="Arial"/>
          <w:sz w:val="22"/>
          <w:szCs w:val="22"/>
        </w:rPr>
      </w:pPr>
    </w:p>
    <w:p w14:paraId="54C3304A" w14:textId="5366B35A" w:rsidR="00024F7B" w:rsidRPr="00024F7B" w:rsidRDefault="00024F7B" w:rsidP="00024F7B">
      <w:pPr>
        <w:spacing w:line="259" w:lineRule="auto"/>
        <w:rPr>
          <w:rFonts w:ascii="Arial" w:hAnsi="Arial" w:cs="Arial"/>
          <w:sz w:val="22"/>
          <w:szCs w:val="22"/>
        </w:rPr>
      </w:pPr>
      <w:r w:rsidRPr="00024F7B">
        <w:rPr>
          <w:rFonts w:ascii="Arial" w:hAnsi="Arial" w:cs="Arial"/>
          <w:sz w:val="22"/>
          <w:szCs w:val="22"/>
        </w:rPr>
        <w:t xml:space="preserve">Lubieniecki, G., Fernando, A.N., Randhawa, A., Cowlishaw, S. and Sharp, G. (2024). Perceived clinician stigma and its impact on eating disorder treatment experiences: a systematic review of the lived experience literature. </w:t>
      </w:r>
      <w:r w:rsidRPr="00024F7B">
        <w:rPr>
          <w:rFonts w:ascii="Arial" w:hAnsi="Arial" w:cs="Arial"/>
          <w:i/>
          <w:iCs/>
          <w:sz w:val="22"/>
          <w:szCs w:val="22"/>
        </w:rPr>
        <w:t>Journal of Eating Disorders</w:t>
      </w:r>
      <w:r w:rsidRPr="00024F7B">
        <w:rPr>
          <w:rFonts w:ascii="Arial" w:hAnsi="Arial" w:cs="Arial"/>
          <w:sz w:val="22"/>
          <w:szCs w:val="22"/>
        </w:rPr>
        <w:t xml:space="preserve">, 12(1). </w:t>
      </w:r>
      <w:proofErr w:type="spellStart"/>
      <w:r w:rsidRPr="00024F7B">
        <w:rPr>
          <w:rFonts w:ascii="Arial" w:hAnsi="Arial" w:cs="Arial"/>
          <w:sz w:val="22"/>
          <w:szCs w:val="22"/>
        </w:rPr>
        <w:t>doi:https</w:t>
      </w:r>
      <w:proofErr w:type="spellEnd"/>
      <w:r w:rsidRPr="00024F7B">
        <w:rPr>
          <w:rFonts w:ascii="Arial" w:hAnsi="Arial" w:cs="Arial"/>
          <w:sz w:val="22"/>
          <w:szCs w:val="22"/>
        </w:rPr>
        <w:t>://doi.org/10.1186/s40337-024-01128-3</w:t>
      </w:r>
    </w:p>
    <w:p w14:paraId="4F37B859" w14:textId="77777777" w:rsidR="00024F7B" w:rsidRPr="00C0798F" w:rsidRDefault="00024F7B" w:rsidP="00296EEA">
      <w:pPr>
        <w:spacing w:line="259" w:lineRule="auto"/>
        <w:rPr>
          <w:rFonts w:ascii="Arial" w:hAnsi="Arial" w:cs="Arial"/>
          <w:sz w:val="22"/>
          <w:szCs w:val="22"/>
        </w:rPr>
      </w:pPr>
    </w:p>
    <w:p w14:paraId="1B726623" w14:textId="53BDC342" w:rsidR="009368E8" w:rsidRPr="00C0798F" w:rsidRDefault="00296EEA" w:rsidP="00296EEA">
      <w:pPr>
        <w:spacing w:line="259" w:lineRule="auto"/>
        <w:rPr>
          <w:rFonts w:ascii="Arial" w:hAnsi="Arial" w:cs="Arial"/>
          <w:sz w:val="22"/>
          <w:szCs w:val="22"/>
        </w:rPr>
      </w:pPr>
      <w:r w:rsidRPr="00C0798F">
        <w:rPr>
          <w:rFonts w:ascii="Arial" w:hAnsi="Arial" w:cs="Arial"/>
          <w:sz w:val="22"/>
          <w:szCs w:val="22"/>
        </w:rPr>
        <w:t xml:space="preserve">MURPHY, R., KHERA, C. and OSBORNE, E.L., (2025) Breaking the cycle: a pilot study on autonomous Digital </w:t>
      </w:r>
      <w:proofErr w:type="spellStart"/>
      <w:r w:rsidRPr="00C0798F">
        <w:rPr>
          <w:rFonts w:ascii="Arial" w:hAnsi="Arial" w:cs="Arial"/>
          <w:sz w:val="22"/>
          <w:szCs w:val="22"/>
        </w:rPr>
        <w:t>CBTe</w:t>
      </w:r>
      <w:proofErr w:type="spellEnd"/>
      <w:r w:rsidRPr="00C0798F">
        <w:rPr>
          <w:rFonts w:ascii="Arial" w:hAnsi="Arial" w:cs="Arial"/>
          <w:sz w:val="22"/>
          <w:szCs w:val="22"/>
        </w:rPr>
        <w:t xml:space="preserve"> for recurrent binge eating. </w:t>
      </w:r>
      <w:r w:rsidRPr="00C0798F">
        <w:rPr>
          <w:rFonts w:ascii="Arial" w:hAnsi="Arial" w:cs="Arial"/>
          <w:i/>
          <w:iCs/>
          <w:sz w:val="22"/>
          <w:szCs w:val="22"/>
        </w:rPr>
        <w:t>Frontiers in Digital Health, </w:t>
      </w:r>
      <w:r w:rsidRPr="00C0798F">
        <w:rPr>
          <w:rFonts w:ascii="Arial" w:hAnsi="Arial" w:cs="Arial"/>
          <w:b/>
          <w:bCs/>
          <w:sz w:val="22"/>
          <w:szCs w:val="22"/>
        </w:rPr>
        <w:t>6</w:t>
      </w:r>
      <w:r w:rsidRPr="00C0798F">
        <w:rPr>
          <w:rFonts w:ascii="Arial" w:hAnsi="Arial" w:cs="Arial"/>
          <w:sz w:val="22"/>
          <w:szCs w:val="22"/>
        </w:rPr>
        <w:t>, pp. 1499350.</w:t>
      </w:r>
    </w:p>
    <w:p w14:paraId="3917CD48" w14:textId="77777777" w:rsidR="009368E8" w:rsidRPr="00C0798F" w:rsidRDefault="009368E8" w:rsidP="00296EEA">
      <w:pPr>
        <w:spacing w:line="259" w:lineRule="auto"/>
        <w:rPr>
          <w:rFonts w:ascii="Arial" w:hAnsi="Arial" w:cs="Arial"/>
          <w:sz w:val="22"/>
          <w:szCs w:val="22"/>
        </w:rPr>
      </w:pPr>
    </w:p>
    <w:p w14:paraId="2B6C6AEE" w14:textId="78C36FC1" w:rsidR="009368E8" w:rsidRPr="009368E8" w:rsidRDefault="009368E8" w:rsidP="009368E8">
      <w:pPr>
        <w:spacing w:line="259" w:lineRule="auto"/>
        <w:rPr>
          <w:rFonts w:ascii="Arial" w:hAnsi="Arial" w:cs="Arial"/>
          <w:sz w:val="22"/>
          <w:szCs w:val="22"/>
        </w:rPr>
      </w:pPr>
      <w:proofErr w:type="spellStart"/>
      <w:r w:rsidRPr="009368E8">
        <w:rPr>
          <w:rFonts w:ascii="Arial" w:hAnsi="Arial" w:cs="Arial"/>
          <w:sz w:val="22"/>
          <w:szCs w:val="22"/>
        </w:rPr>
        <w:t>Mitchison</w:t>
      </w:r>
      <w:proofErr w:type="spellEnd"/>
      <w:r w:rsidRPr="009368E8">
        <w:rPr>
          <w:rFonts w:ascii="Arial" w:hAnsi="Arial" w:cs="Arial"/>
          <w:sz w:val="22"/>
          <w:szCs w:val="22"/>
        </w:rPr>
        <w:t>, D., Wang, S.B., Wade, T.D., Haynos, A.F., Bussey, K., Trompeter, N., Lonergan, A., Tame, J. and Hay, P. (2023). Development of transdiagnostic clinical risk prediction models for 12</w:t>
      </w:r>
      <w:r w:rsidRPr="009368E8">
        <w:rPr>
          <w:rFonts w:ascii="Cambria Math" w:hAnsi="Cambria Math" w:cs="Cambria Math"/>
          <w:sz w:val="22"/>
          <w:szCs w:val="22"/>
        </w:rPr>
        <w:t>‐</w:t>
      </w:r>
      <w:r w:rsidRPr="009368E8">
        <w:rPr>
          <w:rFonts w:ascii="Arial" w:hAnsi="Arial" w:cs="Arial"/>
          <w:sz w:val="22"/>
          <w:szCs w:val="22"/>
        </w:rPr>
        <w:t xml:space="preserve">month onset and course of eating disorders among adolescents in the community. </w:t>
      </w:r>
      <w:r w:rsidRPr="009368E8">
        <w:rPr>
          <w:rFonts w:ascii="Arial" w:hAnsi="Arial" w:cs="Arial"/>
          <w:i/>
          <w:iCs/>
          <w:sz w:val="22"/>
          <w:szCs w:val="22"/>
        </w:rPr>
        <w:t>International Journal of Eating Disorders</w:t>
      </w:r>
      <w:r w:rsidRPr="009368E8">
        <w:rPr>
          <w:rFonts w:ascii="Arial" w:hAnsi="Arial" w:cs="Arial"/>
          <w:sz w:val="22"/>
          <w:szCs w:val="22"/>
        </w:rPr>
        <w:t xml:space="preserve">, 56(7), pp.1406–1416. </w:t>
      </w:r>
      <w:proofErr w:type="spellStart"/>
      <w:r w:rsidRPr="009368E8">
        <w:rPr>
          <w:rFonts w:ascii="Arial" w:hAnsi="Arial" w:cs="Arial"/>
          <w:sz w:val="22"/>
          <w:szCs w:val="22"/>
        </w:rPr>
        <w:t>doi:https</w:t>
      </w:r>
      <w:proofErr w:type="spellEnd"/>
      <w:r w:rsidRPr="009368E8">
        <w:rPr>
          <w:rFonts w:ascii="Arial" w:hAnsi="Arial" w:cs="Arial"/>
          <w:sz w:val="22"/>
          <w:szCs w:val="22"/>
        </w:rPr>
        <w:t>://doi.org/10.1002/eat.23951</w:t>
      </w:r>
    </w:p>
    <w:p w14:paraId="03DCDE73" w14:textId="77777777" w:rsidR="009368E8" w:rsidRPr="00C0798F" w:rsidRDefault="009368E8" w:rsidP="00296EEA">
      <w:pPr>
        <w:spacing w:line="259" w:lineRule="auto"/>
        <w:rPr>
          <w:rFonts w:ascii="Arial" w:hAnsi="Arial" w:cs="Arial"/>
          <w:sz w:val="22"/>
          <w:szCs w:val="22"/>
        </w:rPr>
      </w:pPr>
    </w:p>
    <w:p w14:paraId="5F839C04" w14:textId="77777777" w:rsidR="00296EEA" w:rsidRPr="00C0798F" w:rsidRDefault="00296EEA" w:rsidP="00296EEA">
      <w:pPr>
        <w:spacing w:line="259" w:lineRule="auto"/>
        <w:rPr>
          <w:rFonts w:ascii="Arial" w:hAnsi="Arial" w:cs="Arial"/>
          <w:sz w:val="22"/>
          <w:szCs w:val="22"/>
        </w:rPr>
      </w:pPr>
    </w:p>
    <w:sdt>
      <w:sdtPr>
        <w:rPr>
          <w:rFonts w:ascii="Arial" w:hAnsi="Arial" w:cs="Arial"/>
          <w:sz w:val="24"/>
          <w:szCs w:val="24"/>
        </w:rPr>
        <w:id w:val="-573587230"/>
        <w:bibliography/>
      </w:sdtPr>
      <w:sdtContent>
        <w:p w14:paraId="4A11EBFF" w14:textId="589D6EDE" w:rsidR="00E271E2" w:rsidRPr="00C0798F" w:rsidRDefault="00E271E2" w:rsidP="00E271E2">
          <w:pPr>
            <w:pStyle w:val="Bibliography"/>
            <w:rPr>
              <w:rFonts w:ascii="Arial" w:hAnsi="Arial" w:cs="Arial"/>
              <w:noProof/>
              <w:kern w:val="0"/>
              <w14:ligatures w14:val="none"/>
            </w:rPr>
          </w:pPr>
          <w:r w:rsidRPr="00C0798F">
            <w:rPr>
              <w:rFonts w:ascii="Arial" w:hAnsi="Arial" w:cs="Arial"/>
            </w:rPr>
            <w:fldChar w:fldCharType="begin"/>
          </w:r>
          <w:r w:rsidRPr="00C0798F">
            <w:rPr>
              <w:rFonts w:ascii="Arial" w:hAnsi="Arial" w:cs="Arial"/>
            </w:rPr>
            <w:instrText xml:space="preserve"> BIBLIOGRAPHY </w:instrText>
          </w:r>
          <w:r w:rsidRPr="00C0798F">
            <w:rPr>
              <w:rFonts w:ascii="Arial" w:hAnsi="Arial" w:cs="Arial"/>
            </w:rPr>
            <w:fldChar w:fldCharType="separate"/>
          </w:r>
          <w:r w:rsidRPr="00C0798F">
            <w:rPr>
              <w:rFonts w:ascii="Arial" w:hAnsi="Arial" w:cs="Arial"/>
              <w:noProof/>
            </w:rPr>
            <w:t xml:space="preserve">NHS (2024) </w:t>
          </w:r>
          <w:r w:rsidRPr="00C0798F">
            <w:rPr>
              <w:rFonts w:ascii="Arial" w:hAnsi="Arial" w:cs="Arial"/>
              <w:i/>
              <w:iCs/>
              <w:noProof/>
            </w:rPr>
            <w:t xml:space="preserve">Bulimia Nervosa. </w:t>
          </w:r>
          <w:r w:rsidRPr="00C0798F">
            <w:rPr>
              <w:rFonts w:ascii="Arial" w:hAnsi="Arial" w:cs="Arial"/>
              <w:noProof/>
            </w:rPr>
            <w:t>Available at:</w:t>
          </w:r>
          <w:r w:rsidRPr="00C0798F">
            <w:rPr>
              <w:rFonts w:ascii="Arial" w:hAnsi="Arial" w:cs="Arial"/>
              <w:noProof/>
              <w:color w:val="0070C0"/>
            </w:rPr>
            <w:t xml:space="preserve"> </w:t>
          </w:r>
          <w:r w:rsidRPr="00C0798F">
            <w:rPr>
              <w:rFonts w:ascii="Arial" w:hAnsi="Arial" w:cs="Arial"/>
              <w:noProof/>
              <w:color w:val="0070C0"/>
              <w:u w:val="single"/>
            </w:rPr>
            <w:t>https://www.nhs.uk/mental-health/conditions/bulimia/</w:t>
          </w:r>
          <w:r w:rsidRPr="00C0798F">
            <w:rPr>
              <w:rFonts w:ascii="Arial" w:hAnsi="Arial" w:cs="Arial"/>
              <w:noProof/>
            </w:rPr>
            <w:t>(Accessed 16 November 2025).</w:t>
          </w:r>
        </w:p>
        <w:p w14:paraId="6F23767B" w14:textId="77777777" w:rsidR="009B4E8A" w:rsidRPr="00C0798F" w:rsidRDefault="00E271E2" w:rsidP="00296EEA">
          <w:pPr>
            <w:spacing w:line="259" w:lineRule="auto"/>
            <w:rPr>
              <w:rFonts w:ascii="Arial" w:hAnsi="Arial" w:cs="Arial"/>
              <w:b/>
              <w:bCs/>
              <w:noProof/>
              <w:sz w:val="22"/>
              <w:szCs w:val="22"/>
            </w:rPr>
          </w:pPr>
          <w:r w:rsidRPr="00C0798F">
            <w:rPr>
              <w:rFonts w:ascii="Arial" w:hAnsi="Arial" w:cs="Arial"/>
              <w:b/>
              <w:bCs/>
              <w:noProof/>
              <w:sz w:val="22"/>
              <w:szCs w:val="22"/>
            </w:rPr>
            <w:fldChar w:fldCharType="end"/>
          </w:r>
        </w:p>
        <w:p w14:paraId="1A42B5D6" w14:textId="2B83CA0B" w:rsidR="00613DCB" w:rsidRPr="00C0798F" w:rsidRDefault="00613DCB" w:rsidP="00613DCB">
          <w:pPr>
            <w:pStyle w:val="Bibliography"/>
            <w:rPr>
              <w:rFonts w:ascii="Arial" w:hAnsi="Arial" w:cs="Arial"/>
              <w:noProof/>
            </w:rPr>
          </w:pPr>
          <w:r w:rsidRPr="00C0798F">
            <w:rPr>
              <w:rFonts w:ascii="Arial" w:hAnsi="Arial" w:cs="Arial"/>
              <w:noProof/>
            </w:rPr>
            <w:t xml:space="preserve">NHS England (2025) </w:t>
          </w:r>
          <w:r w:rsidRPr="00C0798F">
            <w:rPr>
              <w:rFonts w:ascii="Arial" w:hAnsi="Arial" w:cs="Arial"/>
              <w:i/>
              <w:iCs/>
              <w:noProof/>
            </w:rPr>
            <w:t>Supported self-management: peer support guide.</w:t>
          </w:r>
          <w:r w:rsidRPr="00C0798F">
            <w:rPr>
              <w:rFonts w:ascii="Arial" w:hAnsi="Arial" w:cs="Arial"/>
              <w:noProof/>
            </w:rPr>
            <w:t xml:space="preserve">Available at: </w:t>
          </w:r>
          <w:r w:rsidRPr="00C0798F">
            <w:rPr>
              <w:rFonts w:ascii="Arial" w:hAnsi="Arial" w:cs="Arial"/>
              <w:noProof/>
              <w:color w:val="0070C0"/>
              <w:u w:val="single"/>
            </w:rPr>
            <w:t>https://www.england.nhs.uk/long-read/peer-support/</w:t>
          </w:r>
          <w:r w:rsidRPr="00C0798F">
            <w:rPr>
              <w:rFonts w:ascii="Arial" w:hAnsi="Arial" w:cs="Arial"/>
              <w:noProof/>
            </w:rPr>
            <w:t>(Accessed 18 November 2025).</w:t>
          </w:r>
        </w:p>
        <w:p w14:paraId="6FCCAE2C" w14:textId="77777777" w:rsidR="00613DCB" w:rsidRPr="00C0798F" w:rsidRDefault="00613DCB" w:rsidP="00296EEA">
          <w:pPr>
            <w:spacing w:line="259" w:lineRule="auto"/>
            <w:rPr>
              <w:rFonts w:ascii="Arial" w:hAnsi="Arial" w:cs="Arial"/>
              <w:b/>
              <w:bCs/>
              <w:noProof/>
              <w:sz w:val="22"/>
              <w:szCs w:val="22"/>
            </w:rPr>
          </w:pPr>
        </w:p>
        <w:p w14:paraId="58E8718B" w14:textId="54773E3F" w:rsidR="00C0798F" w:rsidRPr="00C0798F" w:rsidRDefault="00C0798F" w:rsidP="00C0798F">
          <w:pPr>
            <w:pStyle w:val="Bibliography"/>
            <w:rPr>
              <w:rFonts w:ascii="Arial" w:hAnsi="Arial" w:cs="Arial"/>
              <w:noProof/>
            </w:rPr>
          </w:pPr>
          <w:r w:rsidRPr="00C0798F">
            <w:rPr>
              <w:rFonts w:ascii="Arial" w:hAnsi="Arial" w:cs="Arial"/>
              <w:noProof/>
            </w:rPr>
            <w:t xml:space="preserve">NICE (2020) </w:t>
          </w:r>
          <w:r w:rsidRPr="00C0798F">
            <w:rPr>
              <w:rFonts w:ascii="Arial" w:hAnsi="Arial" w:cs="Arial"/>
              <w:i/>
              <w:iCs/>
              <w:noProof/>
            </w:rPr>
            <w:t xml:space="preserve">Eating disorders: recognition and treatment. </w:t>
          </w:r>
          <w:r w:rsidRPr="00C0798F">
            <w:rPr>
              <w:rFonts w:ascii="Arial" w:hAnsi="Arial" w:cs="Arial"/>
              <w:noProof/>
            </w:rPr>
            <w:t xml:space="preserve">Available at: </w:t>
          </w:r>
          <w:r w:rsidRPr="00C0798F">
            <w:rPr>
              <w:rFonts w:ascii="Arial" w:hAnsi="Arial" w:cs="Arial"/>
              <w:noProof/>
              <w:color w:val="0070C0"/>
              <w:u w:val="single"/>
            </w:rPr>
            <w:t>https://www.nice.org.uk/guidance/ng69/chapter/Recommendations</w:t>
          </w:r>
          <w:r w:rsidRPr="00C0798F">
            <w:rPr>
              <w:rFonts w:ascii="Arial" w:hAnsi="Arial" w:cs="Arial"/>
              <w:noProof/>
            </w:rPr>
            <w:t>(Accessed 21 November 2025).</w:t>
          </w:r>
        </w:p>
        <w:p w14:paraId="543D90CA" w14:textId="77777777" w:rsidR="00C0798F" w:rsidRPr="00C0798F" w:rsidRDefault="00C0798F" w:rsidP="00296EEA">
          <w:pPr>
            <w:spacing w:line="259" w:lineRule="auto"/>
            <w:rPr>
              <w:rFonts w:ascii="Arial" w:hAnsi="Arial" w:cs="Arial"/>
              <w:b/>
              <w:bCs/>
              <w:noProof/>
              <w:sz w:val="22"/>
              <w:szCs w:val="22"/>
            </w:rPr>
          </w:pPr>
        </w:p>
        <w:p w14:paraId="3E852DA4" w14:textId="077DCA65" w:rsidR="009B4E8A" w:rsidRPr="00C0798F" w:rsidRDefault="009B4E8A" w:rsidP="009B4E8A">
          <w:pPr>
            <w:pStyle w:val="Bibliography"/>
            <w:rPr>
              <w:rFonts w:ascii="Arial" w:hAnsi="Arial" w:cs="Arial"/>
              <w:noProof/>
            </w:rPr>
          </w:pPr>
          <w:bookmarkStart w:id="1" w:name="_Hlk216905750"/>
          <w:r w:rsidRPr="00C0798F">
            <w:rPr>
              <w:rFonts w:ascii="Arial" w:hAnsi="Arial" w:cs="Arial"/>
              <w:noProof/>
            </w:rPr>
            <w:t>Oxford Health NHS Foundation Trust ( 2019</w:t>
          </w:r>
          <w:bookmarkEnd w:id="1"/>
          <w:r w:rsidRPr="00C0798F">
            <w:rPr>
              <w:rFonts w:ascii="Arial" w:hAnsi="Arial" w:cs="Arial"/>
              <w:noProof/>
            </w:rPr>
            <w:t xml:space="preserve">) </w:t>
          </w:r>
          <w:r w:rsidRPr="00C0798F">
            <w:rPr>
              <w:rFonts w:ascii="Arial" w:hAnsi="Arial" w:cs="Arial"/>
              <w:i/>
              <w:iCs/>
              <w:noProof/>
            </w:rPr>
            <w:t xml:space="preserve">Cognitive Behaviour Therapy for Eating Disorders (CBT-E). </w:t>
          </w:r>
          <w:r w:rsidRPr="00C0798F">
            <w:rPr>
              <w:rFonts w:ascii="Arial" w:hAnsi="Arial" w:cs="Arial"/>
              <w:noProof/>
            </w:rPr>
            <w:t xml:space="preserve">Available at: </w:t>
          </w:r>
          <w:r w:rsidRPr="00C0798F">
            <w:rPr>
              <w:rFonts w:ascii="Arial" w:hAnsi="Arial" w:cs="Arial"/>
              <w:noProof/>
              <w:color w:val="0070C0"/>
              <w:u w:val="single"/>
            </w:rPr>
            <w:t>https://oxfordhealth.nhs.uk/camhs/wp-content/uploads/sites/13/2019/05/Eating-Disorders-CBTE-0718.pdf</w:t>
          </w:r>
          <w:r w:rsidRPr="00C0798F">
            <w:rPr>
              <w:rFonts w:ascii="Arial" w:hAnsi="Arial" w:cs="Arial"/>
              <w:noProof/>
            </w:rPr>
            <w:t>(Accessed 18 November 2025).</w:t>
          </w:r>
        </w:p>
        <w:p w14:paraId="6E41165F" w14:textId="5C6D7B63" w:rsidR="000264A1" w:rsidRPr="00C0798F" w:rsidRDefault="00000000" w:rsidP="00296EEA">
          <w:pPr>
            <w:spacing w:line="259" w:lineRule="auto"/>
            <w:rPr>
              <w:rFonts w:ascii="Arial" w:hAnsi="Arial" w:cs="Arial"/>
              <w:b/>
              <w:bCs/>
              <w:noProof/>
              <w:sz w:val="22"/>
              <w:szCs w:val="22"/>
            </w:rPr>
          </w:pPr>
        </w:p>
      </w:sdtContent>
    </w:sdt>
    <w:p w14:paraId="588EEDE3" w14:textId="4C3E0390" w:rsidR="00296EEA" w:rsidRPr="00C0798F" w:rsidRDefault="00296EEA" w:rsidP="00296EEA">
      <w:pPr>
        <w:rPr>
          <w:rFonts w:ascii="Arial" w:hAnsi="Arial" w:cs="Arial"/>
          <w:sz w:val="22"/>
          <w:szCs w:val="22"/>
        </w:rPr>
      </w:pPr>
      <w:r w:rsidRPr="00296EEA">
        <w:rPr>
          <w:rFonts w:ascii="Arial" w:hAnsi="Arial" w:cs="Arial"/>
          <w:sz w:val="22"/>
          <w:szCs w:val="22"/>
        </w:rPr>
        <w:t>Schmidt, U.H., Claudino, A., Fernández</w:t>
      </w:r>
      <w:r w:rsidRPr="00296EEA">
        <w:rPr>
          <w:rFonts w:ascii="Cambria Math" w:hAnsi="Cambria Math" w:cs="Cambria Math"/>
          <w:sz w:val="22"/>
          <w:szCs w:val="22"/>
        </w:rPr>
        <w:t>‐</w:t>
      </w:r>
      <w:r w:rsidRPr="00296EEA">
        <w:rPr>
          <w:rFonts w:ascii="Arial" w:hAnsi="Arial" w:cs="Arial"/>
          <w:sz w:val="22"/>
          <w:szCs w:val="22"/>
        </w:rPr>
        <w:t xml:space="preserve">Aranda, F., Giel, K.E., Griffiths, J., Hay, P.J., Kim, Y., Marshall, J., Micali, N., Monteleone, A.M., Nakazato, M., Steinglass, J., Wade, T.D., Wonderlich, S., Zipfel, S., Allen, K.L. and Sharpe, H. (2025). The current clinical approach to feeding and eating disorders aimed to increase </w:t>
      </w:r>
      <w:r w:rsidR="00E50592">
        <w:rPr>
          <w:rFonts w:ascii="Arial" w:hAnsi="Arial" w:cs="Arial"/>
          <w:sz w:val="22"/>
          <w:szCs w:val="22"/>
        </w:rPr>
        <w:t>personalisation</w:t>
      </w:r>
      <w:r w:rsidRPr="00296EEA">
        <w:rPr>
          <w:rFonts w:ascii="Arial" w:hAnsi="Arial" w:cs="Arial"/>
          <w:sz w:val="22"/>
          <w:szCs w:val="22"/>
        </w:rPr>
        <w:t xml:space="preserve"> of management. </w:t>
      </w:r>
      <w:r w:rsidRPr="00296EEA">
        <w:rPr>
          <w:rFonts w:ascii="Arial" w:hAnsi="Arial" w:cs="Arial"/>
          <w:i/>
          <w:iCs/>
          <w:sz w:val="22"/>
          <w:szCs w:val="22"/>
        </w:rPr>
        <w:t>World Psychiatry</w:t>
      </w:r>
      <w:r w:rsidRPr="00296EEA">
        <w:rPr>
          <w:rFonts w:ascii="Arial" w:hAnsi="Arial" w:cs="Arial"/>
          <w:sz w:val="22"/>
          <w:szCs w:val="22"/>
        </w:rPr>
        <w:t xml:space="preserve">, 24(1), pp.4–31. </w:t>
      </w:r>
      <w:proofErr w:type="spellStart"/>
      <w:r w:rsidRPr="00296EEA">
        <w:rPr>
          <w:rFonts w:ascii="Arial" w:hAnsi="Arial" w:cs="Arial"/>
          <w:sz w:val="22"/>
          <w:szCs w:val="22"/>
        </w:rPr>
        <w:t>doi:https</w:t>
      </w:r>
      <w:proofErr w:type="spellEnd"/>
      <w:r w:rsidRPr="00296EEA">
        <w:rPr>
          <w:rFonts w:ascii="Arial" w:hAnsi="Arial" w:cs="Arial"/>
          <w:sz w:val="22"/>
          <w:szCs w:val="22"/>
        </w:rPr>
        <w:t>://doi.org/10.1002/wps.21263</w:t>
      </w:r>
    </w:p>
    <w:p w14:paraId="0CA93EB0" w14:textId="77777777" w:rsidR="00CC7B71" w:rsidRPr="00C0798F" w:rsidRDefault="00CC7B71" w:rsidP="00CC7B71">
      <w:pPr>
        <w:pStyle w:val="Bibliography"/>
        <w:rPr>
          <w:rFonts w:ascii="Arial" w:hAnsi="Arial" w:cs="Arial"/>
          <w:noProof/>
        </w:rPr>
      </w:pPr>
    </w:p>
    <w:p w14:paraId="4525751E" w14:textId="6B754371" w:rsidR="00296EEA" w:rsidRPr="00296EEA" w:rsidRDefault="00CC7B71" w:rsidP="00CC7B71">
      <w:pPr>
        <w:pStyle w:val="Bibliography"/>
        <w:rPr>
          <w:rFonts w:ascii="Arial" w:hAnsi="Arial" w:cs="Arial"/>
          <w:noProof/>
        </w:rPr>
      </w:pPr>
      <w:r w:rsidRPr="00C0798F">
        <w:rPr>
          <w:rFonts w:ascii="Arial" w:hAnsi="Arial" w:cs="Arial"/>
          <w:noProof/>
        </w:rPr>
        <w:lastRenderedPageBreak/>
        <w:t xml:space="preserve">Treasure, J., (2020). Eating Disorder. </w:t>
      </w:r>
      <w:r w:rsidRPr="00C0798F">
        <w:rPr>
          <w:rFonts w:ascii="Arial" w:hAnsi="Arial" w:cs="Arial"/>
          <w:i/>
          <w:iCs/>
          <w:noProof/>
        </w:rPr>
        <w:t xml:space="preserve">The Lancet, </w:t>
      </w:r>
      <w:r w:rsidRPr="00C0798F">
        <w:rPr>
          <w:rFonts w:ascii="Arial" w:hAnsi="Arial" w:cs="Arial"/>
          <w:noProof/>
        </w:rPr>
        <w:t>305(10227), pp. 899-911.</w:t>
      </w:r>
    </w:p>
    <w:p w14:paraId="4CD3A915" w14:textId="77777777" w:rsidR="00FD0993" w:rsidRPr="00FD0993" w:rsidRDefault="00FD0993" w:rsidP="00CE2BE9">
      <w:pPr>
        <w:pStyle w:val="Bibliography"/>
        <w:rPr>
          <w:rFonts w:ascii="Arial" w:hAnsi="Arial" w:cs="Arial"/>
          <w:noProof/>
        </w:rPr>
      </w:pPr>
    </w:p>
    <w:p w14:paraId="4D94EDB6" w14:textId="7AADF30E" w:rsidR="00CE2BE9" w:rsidRPr="00FD0993" w:rsidRDefault="00CE2BE9" w:rsidP="00CE2BE9">
      <w:pPr>
        <w:pStyle w:val="Bibliography"/>
        <w:rPr>
          <w:rFonts w:ascii="Arial" w:hAnsi="Arial" w:cs="Arial"/>
          <w:noProof/>
        </w:rPr>
      </w:pPr>
      <w:r w:rsidRPr="00FD0993">
        <w:rPr>
          <w:rFonts w:ascii="Arial" w:hAnsi="Arial" w:cs="Arial"/>
          <w:noProof/>
        </w:rPr>
        <w:t>The Bulimia Project (2023)</w:t>
      </w:r>
      <w:r w:rsidR="00E313D6">
        <w:rPr>
          <w:rFonts w:ascii="Arial" w:hAnsi="Arial" w:cs="Arial"/>
          <w:noProof/>
        </w:rPr>
        <w:t>. Cognitive Behavioural</w:t>
      </w:r>
      <w:r w:rsidRPr="00FD0993">
        <w:rPr>
          <w:rFonts w:ascii="Arial" w:hAnsi="Arial" w:cs="Arial"/>
          <w:i/>
          <w:iCs/>
          <w:noProof/>
        </w:rPr>
        <w:t xml:space="preserve"> Therapy for Bulimia.</w:t>
      </w:r>
      <w:r w:rsidRPr="00FD0993">
        <w:rPr>
          <w:rFonts w:ascii="Arial" w:hAnsi="Arial" w:cs="Arial"/>
          <w:noProof/>
        </w:rPr>
        <w:t xml:space="preserve">Available at: </w:t>
      </w:r>
      <w:r w:rsidRPr="00FD0993">
        <w:rPr>
          <w:rFonts w:ascii="Arial" w:hAnsi="Arial" w:cs="Arial"/>
          <w:noProof/>
          <w:color w:val="0070C0"/>
          <w:u w:val="single"/>
        </w:rPr>
        <w:t>https://bulimia.com/bulimia-therapy-techniques/cbt/</w:t>
      </w:r>
      <w:r w:rsidRPr="00FD0993">
        <w:rPr>
          <w:rFonts w:ascii="Arial" w:hAnsi="Arial" w:cs="Arial"/>
          <w:noProof/>
        </w:rPr>
        <w:t>(Accessed 20 November 2025).</w:t>
      </w:r>
    </w:p>
    <w:p w14:paraId="6D57ABB1" w14:textId="77777777" w:rsidR="00CC7B71" w:rsidRPr="00C0798F" w:rsidRDefault="00CC7B71" w:rsidP="00DF5008">
      <w:pPr>
        <w:pStyle w:val="Bibliography"/>
        <w:rPr>
          <w:rFonts w:ascii="Arial" w:hAnsi="Arial" w:cs="Arial"/>
          <w:noProof/>
        </w:rPr>
      </w:pPr>
    </w:p>
    <w:p w14:paraId="459D7B34" w14:textId="53D6AA7F" w:rsidR="00DF5008" w:rsidRPr="00C0798F" w:rsidRDefault="00DF5008" w:rsidP="00DF5008">
      <w:pPr>
        <w:pStyle w:val="Bibliography"/>
        <w:rPr>
          <w:rFonts w:ascii="Arial" w:hAnsi="Arial" w:cs="Arial"/>
          <w:noProof/>
        </w:rPr>
      </w:pPr>
      <w:r w:rsidRPr="00C0798F">
        <w:rPr>
          <w:rFonts w:ascii="Arial" w:hAnsi="Arial" w:cs="Arial"/>
          <w:noProof/>
        </w:rPr>
        <w:t xml:space="preserve">Warren, M. (2024) </w:t>
      </w:r>
      <w:r w:rsidRPr="00C0798F">
        <w:rPr>
          <w:rFonts w:ascii="Arial" w:hAnsi="Arial" w:cs="Arial"/>
          <w:i/>
          <w:iCs/>
          <w:noProof/>
        </w:rPr>
        <w:t>What Purging Is &amp; How Does It Affect the Body?</w:t>
      </w:r>
      <w:r w:rsidRPr="00C0798F">
        <w:rPr>
          <w:rFonts w:ascii="Arial" w:hAnsi="Arial" w:cs="Arial"/>
          <w:noProof/>
        </w:rPr>
        <w:br/>
        <w:t>Available at:</w:t>
      </w:r>
      <w:r w:rsidRPr="00C0798F">
        <w:rPr>
          <w:rFonts w:ascii="Arial" w:hAnsi="Arial" w:cs="Arial"/>
          <w:noProof/>
          <w:color w:val="0070C0"/>
        </w:rPr>
        <w:t xml:space="preserve"> </w:t>
      </w:r>
      <w:r w:rsidRPr="00C0798F">
        <w:rPr>
          <w:rFonts w:ascii="Arial" w:hAnsi="Arial" w:cs="Arial"/>
          <w:noProof/>
          <w:color w:val="0070C0"/>
          <w:u w:val="single"/>
        </w:rPr>
        <w:t>https://emilyprogram.com/blog/what-is-purging-how-affect-body/#:~:text=Medical%20Care%20and%20Monitoring:%20Medical%20supervision%20is,of%20purging%20and%20to%20monitor%20overall%20health.</w:t>
      </w:r>
      <w:r w:rsidRPr="00C0798F">
        <w:rPr>
          <w:rFonts w:ascii="Arial" w:hAnsi="Arial" w:cs="Arial"/>
          <w:noProof/>
        </w:rPr>
        <w:t>(Accessed 18 November 2025).</w:t>
      </w:r>
    </w:p>
    <w:p w14:paraId="36B11155" w14:textId="41AD3C2E" w:rsidR="00296EEA" w:rsidRPr="00C0798F" w:rsidRDefault="00296EEA" w:rsidP="000264A1">
      <w:pPr>
        <w:rPr>
          <w:rFonts w:ascii="Arial" w:hAnsi="Arial" w:cs="Arial"/>
          <w:sz w:val="22"/>
          <w:szCs w:val="22"/>
        </w:rPr>
      </w:pPr>
    </w:p>
    <w:p w14:paraId="07786E37" w14:textId="77777777" w:rsidR="000264A1" w:rsidRPr="00C0798F" w:rsidRDefault="000264A1" w:rsidP="000264A1">
      <w:pPr>
        <w:rPr>
          <w:rFonts w:ascii="Arial" w:hAnsi="Arial" w:cs="Arial"/>
          <w:sz w:val="22"/>
          <w:szCs w:val="22"/>
        </w:rPr>
      </w:pPr>
    </w:p>
    <w:sectPr w:rsidR="000264A1" w:rsidRPr="00C0798F" w:rsidSect="00A4425E">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4D786" w14:textId="77777777" w:rsidR="00C75B33" w:rsidRDefault="00C75B33" w:rsidP="000264A1">
      <w:pPr>
        <w:spacing w:after="0" w:line="240" w:lineRule="auto"/>
      </w:pPr>
      <w:r>
        <w:separator/>
      </w:r>
    </w:p>
  </w:endnote>
  <w:endnote w:type="continuationSeparator" w:id="0">
    <w:p w14:paraId="609F11B3" w14:textId="77777777" w:rsidR="00C75B33" w:rsidRDefault="00C75B33"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5556387"/>
      <w:docPartObj>
        <w:docPartGallery w:val="Page Numbers (Bottom of Page)"/>
        <w:docPartUnique/>
      </w:docPartObj>
    </w:sdtPr>
    <w:sdtEndPr>
      <w:rPr>
        <w:noProof/>
      </w:rPr>
    </w:sdtEndPr>
    <w:sdtContent>
      <w:p w14:paraId="743D5897" w14:textId="77A3DF36" w:rsidR="006360E0" w:rsidRDefault="006360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120F0" w14:textId="77777777" w:rsidR="00C75B33" w:rsidRDefault="00C75B33" w:rsidP="000264A1">
      <w:pPr>
        <w:spacing w:after="0" w:line="240" w:lineRule="auto"/>
      </w:pPr>
      <w:r>
        <w:separator/>
      </w:r>
    </w:p>
  </w:footnote>
  <w:footnote w:type="continuationSeparator" w:id="0">
    <w:p w14:paraId="7D9CC735" w14:textId="77777777" w:rsidR="00C75B33" w:rsidRDefault="00C75B33"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43DC"/>
    <w:rsid w:val="0001638D"/>
    <w:rsid w:val="00022CE4"/>
    <w:rsid w:val="00024F7B"/>
    <w:rsid w:val="000264A1"/>
    <w:rsid w:val="000573E8"/>
    <w:rsid w:val="00060FB4"/>
    <w:rsid w:val="000725B1"/>
    <w:rsid w:val="00083B47"/>
    <w:rsid w:val="000930DE"/>
    <w:rsid w:val="000964BF"/>
    <w:rsid w:val="000C5D1A"/>
    <w:rsid w:val="000C5FE5"/>
    <w:rsid w:val="000F21B3"/>
    <w:rsid w:val="000F44FB"/>
    <w:rsid w:val="00115237"/>
    <w:rsid w:val="00130F52"/>
    <w:rsid w:val="00147DC8"/>
    <w:rsid w:val="00151482"/>
    <w:rsid w:val="00155589"/>
    <w:rsid w:val="001B1E4B"/>
    <w:rsid w:val="001C1377"/>
    <w:rsid w:val="001C5F39"/>
    <w:rsid w:val="00212E77"/>
    <w:rsid w:val="00216534"/>
    <w:rsid w:val="00296EEA"/>
    <w:rsid w:val="002E19FB"/>
    <w:rsid w:val="002F22E4"/>
    <w:rsid w:val="002F2C5B"/>
    <w:rsid w:val="00310583"/>
    <w:rsid w:val="00323ADA"/>
    <w:rsid w:val="003248CD"/>
    <w:rsid w:val="0033146C"/>
    <w:rsid w:val="0033439E"/>
    <w:rsid w:val="003344D3"/>
    <w:rsid w:val="003B0FA2"/>
    <w:rsid w:val="003B6058"/>
    <w:rsid w:val="003B7EBF"/>
    <w:rsid w:val="003F7007"/>
    <w:rsid w:val="00402109"/>
    <w:rsid w:val="00460A86"/>
    <w:rsid w:val="00464AAE"/>
    <w:rsid w:val="004B73CD"/>
    <w:rsid w:val="004C63C5"/>
    <w:rsid w:val="004D6C34"/>
    <w:rsid w:val="005132CA"/>
    <w:rsid w:val="00551C57"/>
    <w:rsid w:val="00556503"/>
    <w:rsid w:val="00557EF6"/>
    <w:rsid w:val="00585AB7"/>
    <w:rsid w:val="00591964"/>
    <w:rsid w:val="00593EB1"/>
    <w:rsid w:val="005C1A96"/>
    <w:rsid w:val="005D0195"/>
    <w:rsid w:val="005F0882"/>
    <w:rsid w:val="005F0EB7"/>
    <w:rsid w:val="005F16BE"/>
    <w:rsid w:val="005F7253"/>
    <w:rsid w:val="00613DCB"/>
    <w:rsid w:val="006338E1"/>
    <w:rsid w:val="00633F6D"/>
    <w:rsid w:val="006360E0"/>
    <w:rsid w:val="00637171"/>
    <w:rsid w:val="006512B3"/>
    <w:rsid w:val="006835CD"/>
    <w:rsid w:val="00687619"/>
    <w:rsid w:val="00690545"/>
    <w:rsid w:val="006B6392"/>
    <w:rsid w:val="006F0385"/>
    <w:rsid w:val="007133FE"/>
    <w:rsid w:val="00722ABC"/>
    <w:rsid w:val="00742EF0"/>
    <w:rsid w:val="007611B5"/>
    <w:rsid w:val="00792CAE"/>
    <w:rsid w:val="00793026"/>
    <w:rsid w:val="007A0407"/>
    <w:rsid w:val="007A0F4C"/>
    <w:rsid w:val="007A5CE3"/>
    <w:rsid w:val="007E1AC8"/>
    <w:rsid w:val="00843325"/>
    <w:rsid w:val="00843489"/>
    <w:rsid w:val="00850593"/>
    <w:rsid w:val="0086788E"/>
    <w:rsid w:val="00880139"/>
    <w:rsid w:val="008A6D32"/>
    <w:rsid w:val="008F532B"/>
    <w:rsid w:val="009202C8"/>
    <w:rsid w:val="009368E8"/>
    <w:rsid w:val="009400ED"/>
    <w:rsid w:val="00984B77"/>
    <w:rsid w:val="009A091F"/>
    <w:rsid w:val="009A19CB"/>
    <w:rsid w:val="009B3C02"/>
    <w:rsid w:val="009B4E8A"/>
    <w:rsid w:val="009C161C"/>
    <w:rsid w:val="009C1D01"/>
    <w:rsid w:val="009C5FB3"/>
    <w:rsid w:val="009D33F4"/>
    <w:rsid w:val="009F499B"/>
    <w:rsid w:val="00A13BCA"/>
    <w:rsid w:val="00A2392A"/>
    <w:rsid w:val="00A35FBE"/>
    <w:rsid w:val="00A4425E"/>
    <w:rsid w:val="00A6159D"/>
    <w:rsid w:val="00AA090A"/>
    <w:rsid w:val="00AB5BA6"/>
    <w:rsid w:val="00AC042D"/>
    <w:rsid w:val="00B03599"/>
    <w:rsid w:val="00B05C49"/>
    <w:rsid w:val="00B07BD8"/>
    <w:rsid w:val="00B271EF"/>
    <w:rsid w:val="00B332D9"/>
    <w:rsid w:val="00B55298"/>
    <w:rsid w:val="00B82E90"/>
    <w:rsid w:val="00B96A9A"/>
    <w:rsid w:val="00BA2983"/>
    <w:rsid w:val="00C071CD"/>
    <w:rsid w:val="00C0798F"/>
    <w:rsid w:val="00C45CB2"/>
    <w:rsid w:val="00C56304"/>
    <w:rsid w:val="00C75B33"/>
    <w:rsid w:val="00C80B00"/>
    <w:rsid w:val="00C84C7E"/>
    <w:rsid w:val="00CB526D"/>
    <w:rsid w:val="00CC7B71"/>
    <w:rsid w:val="00CE2BE9"/>
    <w:rsid w:val="00D01BA3"/>
    <w:rsid w:val="00D05C2D"/>
    <w:rsid w:val="00D2435F"/>
    <w:rsid w:val="00D543DE"/>
    <w:rsid w:val="00DA4089"/>
    <w:rsid w:val="00DD04D7"/>
    <w:rsid w:val="00DE006B"/>
    <w:rsid w:val="00DF5008"/>
    <w:rsid w:val="00E01D96"/>
    <w:rsid w:val="00E271E2"/>
    <w:rsid w:val="00E313D6"/>
    <w:rsid w:val="00E4107C"/>
    <w:rsid w:val="00E43E19"/>
    <w:rsid w:val="00E50592"/>
    <w:rsid w:val="00E93CEC"/>
    <w:rsid w:val="00E9527A"/>
    <w:rsid w:val="00E9588B"/>
    <w:rsid w:val="00E96809"/>
    <w:rsid w:val="00EB2189"/>
    <w:rsid w:val="00EC6552"/>
    <w:rsid w:val="00ED70EE"/>
    <w:rsid w:val="00EE6A62"/>
    <w:rsid w:val="00EF0611"/>
    <w:rsid w:val="00F17D09"/>
    <w:rsid w:val="00F25D85"/>
    <w:rsid w:val="00F86834"/>
    <w:rsid w:val="00F86BC3"/>
    <w:rsid w:val="00FD0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NoSpacing">
    <w:name w:val="No Spacing"/>
    <w:link w:val="NoSpacingChar"/>
    <w:uiPriority w:val="1"/>
    <w:qFormat/>
    <w:rsid w:val="00A4425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4425E"/>
    <w:rPr>
      <w:rFonts w:eastAsiaTheme="minorEastAsia"/>
      <w:kern w:val="0"/>
      <w:sz w:val="22"/>
      <w:szCs w:val="22"/>
      <w:lang w:val="en-US"/>
      <w14:ligatures w14:val="none"/>
    </w:rPr>
  </w:style>
  <w:style w:type="paragraph" w:styleId="Header">
    <w:name w:val="header"/>
    <w:basedOn w:val="Normal"/>
    <w:link w:val="HeaderChar"/>
    <w:uiPriority w:val="99"/>
    <w:unhideWhenUsed/>
    <w:rsid w:val="006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0E0"/>
  </w:style>
  <w:style w:type="paragraph" w:styleId="Bibliography">
    <w:name w:val="Bibliography"/>
    <w:basedOn w:val="Normal"/>
    <w:next w:val="Normal"/>
    <w:uiPriority w:val="37"/>
    <w:unhideWhenUsed/>
    <w:rsid w:val="00E271E2"/>
    <w:pPr>
      <w:spacing w:line="259" w:lineRule="auto"/>
    </w:pPr>
    <w:rPr>
      <w:sz w:val="22"/>
      <w:szCs w:val="22"/>
    </w:rPr>
  </w:style>
  <w:style w:type="character" w:styleId="Hyperlink">
    <w:name w:val="Hyperlink"/>
    <w:basedOn w:val="DefaultParagraphFont"/>
    <w:uiPriority w:val="99"/>
    <w:unhideWhenUsed/>
    <w:rsid w:val="00C56304"/>
    <w:rPr>
      <w:color w:val="467886" w:themeColor="hyperlink"/>
      <w:u w:val="single"/>
    </w:rPr>
  </w:style>
  <w:style w:type="character" w:styleId="UnresolvedMention">
    <w:name w:val="Unresolved Mention"/>
    <w:basedOn w:val="DefaultParagraphFont"/>
    <w:uiPriority w:val="99"/>
    <w:semiHidden/>
    <w:unhideWhenUsed/>
    <w:rsid w:val="00C563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2/erv.700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NHS248</b:Tag>
    <b:SourceType>InternetSite</b:SourceType>
    <b:Guid>{74A15188-30B4-4F6F-B39F-1F6D3E7F3099}</b:Guid>
    <b:Author>
      <b:Author>
        <b:NameList>
          <b:Person>
            <b:Last>NHS</b:Last>
          </b:Person>
        </b:NameList>
      </b:Author>
    </b:Author>
    <b:Title>Bulimia Nervosa</b:Title>
    <b:Year>2024</b:Year>
    <b:YearAccessed>2025</b:YearAccessed>
    <b:MonthAccessed>November</b:MonthAccessed>
    <b:DayAccessed>16</b:DayAccessed>
    <b:URL>https://www.nhs.uk/mental-health/conditions/bulimia/</b:URL>
    <b:RefOrder>1</b:RefOrder>
  </b:Source>
</b:Sources>
</file>

<file path=customXml/itemProps1.xml><?xml version="1.0" encoding="utf-8"?>
<ds:datastoreItem xmlns:ds="http://schemas.openxmlformats.org/officeDocument/2006/customXml" ds:itemID="{C9E044D6-84BF-4C49-9305-35B368B8C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3282</Words>
  <Characters>18709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BMHP6029-Psychopathological Classifications and Provisions</dc:title>
  <dc:subject/>
  <dc:creator>Bianca Sanfilippo</dc:creator>
  <cp:keywords/>
  <dc:description/>
  <cp:lastModifiedBy>Honocas azevedo</cp:lastModifiedBy>
  <cp:revision>5</cp:revision>
  <dcterms:created xsi:type="dcterms:W3CDTF">2025-12-19T01:23:00Z</dcterms:created>
  <dcterms:modified xsi:type="dcterms:W3CDTF">2025-12-19T01:32:00Z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7e3dee7f-94b5-4af8-b18f-57af9c08c3d1</vt:lpwstr>
  </property>
</Properties>
</file>