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7A0C6B" w14:textId="0202BD95" w:rsidR="00B4427F" w:rsidRPr="0018665E" w:rsidRDefault="00B4427F" w:rsidP="00B4427F">
      <w:pPr>
        <w:spacing w:after="100" w:afterAutospacing="1" w:line="360" w:lineRule="auto"/>
        <w:jc w:val="center"/>
        <w:rPr>
          <w:rFonts w:ascii="Arial" w:hAnsi="Arial" w:cs="Arial"/>
          <w:b/>
          <w:bCs/>
          <w:sz w:val="32"/>
          <w:szCs w:val="32"/>
        </w:rPr>
      </w:pPr>
      <w:r w:rsidRPr="0018665E">
        <w:rPr>
          <w:rFonts w:ascii="Arial" w:hAnsi="Arial" w:cs="Arial"/>
          <w:b/>
          <w:bCs/>
          <w:noProof/>
          <w:sz w:val="32"/>
          <w:szCs w:val="32"/>
          <w:lang w:val="en-GB"/>
        </w:rPr>
        <w:drawing>
          <wp:inline distT="0" distB="0" distL="0" distR="0" wp14:anchorId="36411972" wp14:editId="3E2F9D46">
            <wp:extent cx="3879850" cy="1555750"/>
            <wp:effectExtent l="0" t="0" r="6350" b="6350"/>
            <wp:docPr id="18488200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79850" cy="1555750"/>
                    </a:xfrm>
                    <a:prstGeom prst="rect">
                      <a:avLst/>
                    </a:prstGeom>
                    <a:noFill/>
                    <a:ln>
                      <a:noFill/>
                    </a:ln>
                  </pic:spPr>
                </pic:pic>
              </a:graphicData>
            </a:graphic>
          </wp:inline>
        </w:drawing>
      </w:r>
    </w:p>
    <w:p w14:paraId="373B5531" w14:textId="77777777" w:rsidR="00B4427F" w:rsidRPr="0018665E" w:rsidRDefault="00B4427F" w:rsidP="00B4427F">
      <w:pPr>
        <w:spacing w:after="100" w:afterAutospacing="1" w:line="360" w:lineRule="auto"/>
        <w:jc w:val="center"/>
        <w:rPr>
          <w:rFonts w:ascii="Arial" w:hAnsi="Arial" w:cs="Arial"/>
          <w:b/>
          <w:bCs/>
          <w:sz w:val="28"/>
          <w:szCs w:val="28"/>
          <w:lang w:val="en-IN"/>
        </w:rPr>
      </w:pPr>
      <w:r w:rsidRPr="0018665E">
        <w:rPr>
          <w:rFonts w:ascii="Arial" w:hAnsi="Arial" w:cs="Arial"/>
          <w:b/>
          <w:bCs/>
          <w:sz w:val="28"/>
          <w:szCs w:val="28"/>
          <w:lang w:val="en-IN"/>
        </w:rPr>
        <w:t>Master of Business Administration (MBA)</w:t>
      </w:r>
    </w:p>
    <w:p w14:paraId="7A3FF710" w14:textId="77777777" w:rsidR="00B4427F" w:rsidRPr="0018665E" w:rsidRDefault="00B4427F" w:rsidP="00B4427F">
      <w:pPr>
        <w:spacing w:after="100" w:afterAutospacing="1" w:line="360" w:lineRule="auto"/>
        <w:jc w:val="center"/>
        <w:rPr>
          <w:rFonts w:ascii="Arial" w:hAnsi="Arial" w:cs="Arial"/>
          <w:b/>
          <w:bCs/>
          <w:sz w:val="28"/>
          <w:szCs w:val="28"/>
          <w:lang w:val="en-IN"/>
        </w:rPr>
      </w:pPr>
      <w:r w:rsidRPr="0018665E">
        <w:rPr>
          <w:rFonts w:ascii="Arial" w:hAnsi="Arial" w:cs="Arial"/>
          <w:b/>
          <w:bCs/>
          <w:sz w:val="28"/>
          <w:szCs w:val="28"/>
          <w:lang w:val="en-IN"/>
        </w:rPr>
        <w:t xml:space="preserve">Module Title: International Marketing: Principles and Practices </w:t>
      </w:r>
    </w:p>
    <w:p w14:paraId="02F61ED9" w14:textId="77777777" w:rsidR="00B4427F" w:rsidRPr="0018665E" w:rsidRDefault="00B4427F" w:rsidP="00B4427F">
      <w:pPr>
        <w:spacing w:after="100" w:afterAutospacing="1" w:line="360" w:lineRule="auto"/>
        <w:jc w:val="center"/>
        <w:rPr>
          <w:rFonts w:ascii="Arial" w:hAnsi="Arial" w:cs="Arial"/>
          <w:b/>
          <w:bCs/>
          <w:sz w:val="28"/>
          <w:szCs w:val="28"/>
          <w:lang w:val="en-IN"/>
        </w:rPr>
      </w:pPr>
      <w:r w:rsidRPr="0018665E">
        <w:rPr>
          <w:rFonts w:ascii="Arial" w:hAnsi="Arial" w:cs="Arial"/>
          <w:b/>
          <w:bCs/>
          <w:sz w:val="28"/>
          <w:szCs w:val="28"/>
          <w:lang w:val="en-IN"/>
        </w:rPr>
        <w:t xml:space="preserve">Module Code: </w:t>
      </w:r>
      <w:r w:rsidRPr="0018665E">
        <w:rPr>
          <w:rFonts w:ascii="Arial" w:hAnsi="Arial" w:cs="Arial"/>
          <w:b/>
          <w:bCs/>
          <w:sz w:val="28"/>
          <w:szCs w:val="28"/>
          <w:lang w:val="en-GB"/>
        </w:rPr>
        <w:t>LCMB7026</w:t>
      </w:r>
    </w:p>
    <w:p w14:paraId="370A0C07" w14:textId="77777777" w:rsidR="00B4427F" w:rsidRPr="0018665E" w:rsidRDefault="00B4427F" w:rsidP="00B4427F">
      <w:pPr>
        <w:spacing w:after="100" w:afterAutospacing="1" w:line="360" w:lineRule="auto"/>
        <w:jc w:val="center"/>
        <w:rPr>
          <w:rFonts w:ascii="Arial" w:hAnsi="Arial" w:cs="Arial"/>
          <w:b/>
          <w:bCs/>
          <w:sz w:val="28"/>
          <w:szCs w:val="28"/>
          <w:lang w:val="en-IN"/>
        </w:rPr>
      </w:pPr>
    </w:p>
    <w:p w14:paraId="177C2DEF" w14:textId="77777777" w:rsidR="00B4427F" w:rsidRPr="0018665E" w:rsidRDefault="00B4427F" w:rsidP="00B4427F">
      <w:pPr>
        <w:spacing w:after="100" w:afterAutospacing="1" w:line="360" w:lineRule="auto"/>
        <w:jc w:val="center"/>
        <w:rPr>
          <w:rFonts w:ascii="Arial" w:hAnsi="Arial" w:cs="Arial"/>
          <w:b/>
          <w:bCs/>
          <w:sz w:val="28"/>
          <w:szCs w:val="28"/>
          <w:lang w:val="en-IN"/>
        </w:rPr>
      </w:pPr>
      <w:r w:rsidRPr="0018665E">
        <w:rPr>
          <w:rFonts w:ascii="Arial" w:hAnsi="Arial" w:cs="Arial"/>
          <w:b/>
          <w:bCs/>
          <w:sz w:val="28"/>
          <w:szCs w:val="28"/>
          <w:lang w:val="en-IN"/>
        </w:rPr>
        <w:t xml:space="preserve">Assessment Title: </w:t>
      </w:r>
      <w:r w:rsidRPr="0018665E">
        <w:rPr>
          <w:rFonts w:ascii="Arial" w:hAnsi="Arial" w:cs="Arial"/>
          <w:b/>
          <w:bCs/>
          <w:sz w:val="28"/>
          <w:szCs w:val="28"/>
          <w:lang w:val="en-GB"/>
        </w:rPr>
        <w:t>International Market Entry Strategy and Marketing Mix</w:t>
      </w:r>
    </w:p>
    <w:p w14:paraId="11FAD596" w14:textId="77777777" w:rsidR="00B4427F" w:rsidRPr="0018665E" w:rsidRDefault="00B4427F" w:rsidP="00B4427F">
      <w:pPr>
        <w:spacing w:after="100" w:afterAutospacing="1" w:line="360" w:lineRule="auto"/>
        <w:jc w:val="center"/>
        <w:rPr>
          <w:rFonts w:ascii="Arial" w:hAnsi="Arial" w:cs="Arial"/>
          <w:b/>
          <w:bCs/>
          <w:sz w:val="28"/>
          <w:szCs w:val="28"/>
          <w:lang w:val="en-IN"/>
        </w:rPr>
      </w:pPr>
      <w:r w:rsidRPr="0018665E">
        <w:rPr>
          <w:rFonts w:ascii="Arial" w:hAnsi="Arial" w:cs="Arial"/>
          <w:b/>
          <w:bCs/>
          <w:sz w:val="28"/>
          <w:szCs w:val="28"/>
          <w:lang w:val="en-IN"/>
        </w:rPr>
        <w:t>Company Selected: Adidas</w:t>
      </w:r>
    </w:p>
    <w:p w14:paraId="5EE091F7" w14:textId="77777777" w:rsidR="00B4427F" w:rsidRPr="0018665E" w:rsidRDefault="00B4427F" w:rsidP="00B4427F">
      <w:pPr>
        <w:spacing w:after="100" w:afterAutospacing="1" w:line="360" w:lineRule="auto"/>
        <w:jc w:val="center"/>
        <w:rPr>
          <w:rFonts w:ascii="Arial" w:hAnsi="Arial" w:cs="Arial"/>
          <w:b/>
          <w:bCs/>
          <w:sz w:val="28"/>
          <w:szCs w:val="28"/>
          <w:lang w:val="en-IN"/>
        </w:rPr>
      </w:pPr>
      <w:r w:rsidRPr="0018665E">
        <w:rPr>
          <w:rFonts w:ascii="Arial" w:hAnsi="Arial" w:cs="Arial"/>
          <w:b/>
          <w:bCs/>
          <w:sz w:val="28"/>
          <w:szCs w:val="28"/>
          <w:lang w:val="en-GB"/>
        </w:rPr>
        <w:t>Home Country: Germany</w:t>
      </w:r>
      <w:r w:rsidRPr="0018665E">
        <w:rPr>
          <w:rFonts w:ascii="Arial" w:hAnsi="Arial" w:cs="Arial"/>
          <w:b/>
          <w:bCs/>
          <w:sz w:val="28"/>
          <w:szCs w:val="28"/>
          <w:lang w:val="en-GB"/>
        </w:rPr>
        <w:br/>
        <w:t>Host Country: India</w:t>
      </w:r>
    </w:p>
    <w:p w14:paraId="684C8C97" w14:textId="77777777" w:rsidR="00B4427F" w:rsidRPr="0018665E" w:rsidRDefault="00B4427F" w:rsidP="00B4427F">
      <w:pPr>
        <w:spacing w:after="100" w:afterAutospacing="1" w:line="360" w:lineRule="auto"/>
        <w:jc w:val="center"/>
        <w:rPr>
          <w:rFonts w:ascii="Arial" w:hAnsi="Arial" w:cs="Arial"/>
          <w:b/>
          <w:bCs/>
          <w:sz w:val="28"/>
          <w:szCs w:val="28"/>
          <w:lang w:val="en-IN"/>
        </w:rPr>
      </w:pPr>
    </w:p>
    <w:p w14:paraId="5BBA7138" w14:textId="1624EDE2" w:rsidR="00B4427F" w:rsidRPr="0018665E" w:rsidRDefault="00B4427F" w:rsidP="00B4427F">
      <w:pPr>
        <w:spacing w:after="100" w:afterAutospacing="1" w:line="360" w:lineRule="auto"/>
        <w:jc w:val="center"/>
        <w:rPr>
          <w:rFonts w:ascii="Arial" w:hAnsi="Arial" w:cs="Arial"/>
          <w:b/>
          <w:bCs/>
          <w:sz w:val="28"/>
          <w:szCs w:val="28"/>
          <w:lang w:val="en-IN"/>
        </w:rPr>
      </w:pPr>
      <w:r w:rsidRPr="0018665E">
        <w:rPr>
          <w:rFonts w:ascii="Arial" w:hAnsi="Arial" w:cs="Arial"/>
          <w:b/>
          <w:bCs/>
          <w:sz w:val="28"/>
          <w:szCs w:val="28"/>
          <w:lang w:val="en-IN"/>
        </w:rPr>
        <w:t>Student Name: Jasmini Patel</w:t>
      </w:r>
    </w:p>
    <w:p w14:paraId="135075EE" w14:textId="7FF279D3" w:rsidR="00B4427F" w:rsidRDefault="00B4427F" w:rsidP="0018665E">
      <w:pPr>
        <w:spacing w:after="100" w:afterAutospacing="1" w:line="360" w:lineRule="auto"/>
        <w:jc w:val="center"/>
        <w:rPr>
          <w:rFonts w:ascii="Arial" w:hAnsi="Arial" w:cs="Arial"/>
          <w:b/>
          <w:bCs/>
          <w:sz w:val="28"/>
          <w:szCs w:val="28"/>
          <w:lang w:val="en-IN"/>
        </w:rPr>
      </w:pPr>
      <w:r w:rsidRPr="0018665E">
        <w:rPr>
          <w:rFonts w:ascii="Arial" w:hAnsi="Arial" w:cs="Arial"/>
          <w:b/>
          <w:bCs/>
          <w:sz w:val="28"/>
          <w:szCs w:val="28"/>
          <w:lang w:val="en-IN"/>
        </w:rPr>
        <w:t>Student ID: 2530735</w:t>
      </w:r>
    </w:p>
    <w:p w14:paraId="28BFB190" w14:textId="77777777" w:rsidR="0018665E" w:rsidRPr="0018665E" w:rsidRDefault="0018665E" w:rsidP="0018665E">
      <w:pPr>
        <w:spacing w:after="100" w:afterAutospacing="1" w:line="360" w:lineRule="auto"/>
        <w:jc w:val="center"/>
        <w:rPr>
          <w:rFonts w:ascii="Arial" w:hAnsi="Arial" w:cs="Arial"/>
          <w:b/>
          <w:bCs/>
          <w:sz w:val="28"/>
          <w:szCs w:val="28"/>
          <w:lang w:val="en-IN"/>
        </w:rPr>
      </w:pPr>
    </w:p>
    <w:p w14:paraId="6B2E2C36" w14:textId="100EF505" w:rsidR="009B01BA" w:rsidRPr="0018665E" w:rsidRDefault="00B4427F" w:rsidP="00B4427F">
      <w:pPr>
        <w:spacing w:after="100" w:afterAutospacing="1" w:line="360" w:lineRule="auto"/>
        <w:jc w:val="center"/>
        <w:rPr>
          <w:rFonts w:ascii="Arial" w:hAnsi="Arial" w:cs="Arial"/>
          <w:b/>
          <w:bCs/>
          <w:sz w:val="32"/>
          <w:szCs w:val="32"/>
          <w:lang w:val="en-IN"/>
        </w:rPr>
      </w:pPr>
      <w:r w:rsidRPr="0018665E">
        <w:rPr>
          <w:rFonts w:ascii="Arial" w:hAnsi="Arial" w:cs="Arial"/>
          <w:b/>
          <w:bCs/>
          <w:sz w:val="28"/>
          <w:szCs w:val="28"/>
          <w:lang w:val="en-IN"/>
        </w:rPr>
        <w:t xml:space="preserve">Lecturer Name: </w:t>
      </w:r>
      <w:proofErr w:type="spellStart"/>
      <w:proofErr w:type="gramStart"/>
      <w:r w:rsidRPr="0018665E">
        <w:rPr>
          <w:rFonts w:ascii="Arial" w:hAnsi="Arial" w:cs="Arial"/>
          <w:b/>
          <w:bCs/>
          <w:sz w:val="28"/>
          <w:szCs w:val="28"/>
          <w:lang w:val="en-IN"/>
        </w:rPr>
        <w:t>Dr.Piyumika</w:t>
      </w:r>
      <w:proofErr w:type="spellEnd"/>
      <w:proofErr w:type="gramEnd"/>
      <w:r w:rsidRPr="0018665E">
        <w:rPr>
          <w:rFonts w:ascii="Arial" w:hAnsi="Arial" w:cs="Arial"/>
          <w:b/>
          <w:bCs/>
          <w:sz w:val="28"/>
          <w:szCs w:val="28"/>
          <w:lang w:val="en-IN"/>
        </w:rPr>
        <w:t xml:space="preserve"> Gamage</w:t>
      </w:r>
      <w:r w:rsidR="009B01BA" w:rsidRPr="0018665E">
        <w:rPr>
          <w:rFonts w:ascii="Arial" w:hAnsi="Arial" w:cs="Arial"/>
          <w:sz w:val="24"/>
          <w:szCs w:val="24"/>
        </w:rPr>
        <w:br w:type="page"/>
      </w:r>
    </w:p>
    <w:p w14:paraId="10E211F7" w14:textId="77777777" w:rsidR="009B01BA" w:rsidRPr="0018665E" w:rsidRDefault="009B01BA" w:rsidP="009B01BA">
      <w:pPr>
        <w:spacing w:after="100" w:afterAutospacing="1" w:line="360" w:lineRule="auto"/>
        <w:jc w:val="center"/>
        <w:rPr>
          <w:rFonts w:ascii="Arial" w:hAnsi="Arial" w:cs="Arial"/>
          <w:b/>
          <w:bCs/>
          <w:sz w:val="24"/>
          <w:szCs w:val="24"/>
          <w:u w:val="single"/>
        </w:rPr>
      </w:pPr>
      <w:r w:rsidRPr="0018665E">
        <w:rPr>
          <w:rFonts w:ascii="Arial" w:hAnsi="Arial" w:cs="Arial"/>
          <w:b/>
          <w:bCs/>
          <w:sz w:val="24"/>
          <w:szCs w:val="24"/>
          <w:u w:val="single"/>
        </w:rPr>
        <w:lastRenderedPageBreak/>
        <w:t>Executive Summary</w:t>
      </w:r>
    </w:p>
    <w:p w14:paraId="2224F1D5" w14:textId="5CC8A847" w:rsidR="009B01BA" w:rsidRPr="0018665E" w:rsidRDefault="009B01BA" w:rsidP="009B01BA">
      <w:pPr>
        <w:spacing w:after="100" w:afterAutospacing="1" w:line="360" w:lineRule="auto"/>
        <w:jc w:val="both"/>
        <w:rPr>
          <w:rFonts w:ascii="Arial" w:hAnsi="Arial" w:cs="Arial"/>
          <w:b/>
          <w:bCs/>
          <w:sz w:val="24"/>
          <w:szCs w:val="24"/>
        </w:rPr>
      </w:pPr>
      <w:r w:rsidRPr="0018665E">
        <w:rPr>
          <w:rFonts w:ascii="Arial" w:hAnsi="Arial" w:cs="Arial"/>
          <w:sz w:val="24"/>
          <w:szCs w:val="24"/>
        </w:rPr>
        <w:t xml:space="preserve">The current report analyses the international marketing strategy of Adidas AG in a comparison between its home market and host country of Germany and India. Through the analysis, employing the PESTEL, cultural dimensions offered by Hofstede, STP, and the 7ps marketing mix, a body of significant divergences between the political, economy, cultural and institutional environmental was discovered to influence the marketing and market entry decision-making. The findings also indicate that Adidas has been able to balance the global similarities of its brands against local differences of their products and markets in a manner varied on the pricing, promotion, distribution and product strategies. It has pegged franchising as the ideal mode of entry in India because it would assist it to expand rapidly making use of local market experiences. Some of the other ethical questions raised by the report are those surrounding </w:t>
      </w:r>
      <w:proofErr w:type="spellStart"/>
      <w:r w:rsidRPr="0018665E">
        <w:rPr>
          <w:rFonts w:ascii="Arial" w:hAnsi="Arial" w:cs="Arial"/>
          <w:sz w:val="24"/>
          <w:szCs w:val="24"/>
        </w:rPr>
        <w:t>labour</w:t>
      </w:r>
      <w:proofErr w:type="spellEnd"/>
      <w:r w:rsidRPr="0018665E">
        <w:rPr>
          <w:rFonts w:ascii="Arial" w:hAnsi="Arial" w:cs="Arial"/>
          <w:sz w:val="24"/>
          <w:szCs w:val="24"/>
        </w:rPr>
        <w:t xml:space="preserve"> standards and greenwashing, although with more emphasis on effective governance and transparency. Finally, plausible suggestions are put forward on how to enhance the cultural fit, ethics supply chain management best practices to enhance the competitiveness of Adidas in the two markets in the long term.</w:t>
      </w:r>
      <w:r w:rsidRPr="0018665E">
        <w:rPr>
          <w:rFonts w:ascii="Arial" w:hAnsi="Arial" w:cs="Arial"/>
        </w:rPr>
        <w:br w:type="page"/>
      </w:r>
    </w:p>
    <w:sdt>
      <w:sdtPr>
        <w:rPr>
          <w:rFonts w:ascii="Arial" w:eastAsia="Calibri" w:hAnsi="Arial" w:cs="Arial"/>
          <w:color w:val="auto"/>
          <w:sz w:val="22"/>
          <w:szCs w:val="22"/>
        </w:rPr>
        <w:id w:val="-41755226"/>
        <w:docPartObj>
          <w:docPartGallery w:val="Table of Contents"/>
          <w:docPartUnique/>
        </w:docPartObj>
      </w:sdtPr>
      <w:sdtEndPr>
        <w:rPr>
          <w:b/>
          <w:bCs/>
          <w:noProof/>
        </w:rPr>
      </w:sdtEndPr>
      <w:sdtContent>
        <w:p w14:paraId="63EF77AC" w14:textId="3391E318" w:rsidR="009B01BA" w:rsidRPr="0018665E" w:rsidRDefault="009B01BA" w:rsidP="009B01BA">
          <w:pPr>
            <w:pStyle w:val="TOCHeading"/>
            <w:spacing w:after="100" w:afterAutospacing="1" w:line="360" w:lineRule="auto"/>
            <w:jc w:val="center"/>
            <w:rPr>
              <w:rFonts w:ascii="Arial" w:hAnsi="Arial" w:cs="Arial"/>
              <w:b/>
              <w:bCs/>
              <w:color w:val="auto"/>
              <w:sz w:val="24"/>
              <w:szCs w:val="24"/>
              <w:u w:val="single"/>
            </w:rPr>
          </w:pPr>
          <w:r w:rsidRPr="0018665E">
            <w:rPr>
              <w:rFonts w:ascii="Arial" w:hAnsi="Arial" w:cs="Arial"/>
              <w:b/>
              <w:bCs/>
              <w:color w:val="auto"/>
              <w:sz w:val="24"/>
              <w:szCs w:val="24"/>
              <w:u w:val="single"/>
            </w:rPr>
            <w:t>Table of Contents</w:t>
          </w:r>
        </w:p>
        <w:p w14:paraId="2465706F" w14:textId="68CA3CAF" w:rsidR="004638BE" w:rsidRDefault="009B01BA">
          <w:pPr>
            <w:pStyle w:val="TOC1"/>
            <w:tabs>
              <w:tab w:val="right" w:leader="dot" w:pos="9016"/>
            </w:tabs>
            <w:rPr>
              <w:rFonts w:asciiTheme="minorHAnsi" w:eastAsiaTheme="minorEastAsia" w:hAnsiTheme="minorHAnsi" w:cstheme="minorBidi"/>
              <w:noProof/>
              <w:kern w:val="2"/>
              <w:sz w:val="24"/>
              <w:szCs w:val="24"/>
              <w14:ligatures w14:val="standardContextual"/>
            </w:rPr>
          </w:pPr>
          <w:r w:rsidRPr="0018665E">
            <w:rPr>
              <w:rFonts w:ascii="Arial" w:hAnsi="Arial" w:cs="Arial"/>
              <w:sz w:val="24"/>
              <w:szCs w:val="24"/>
            </w:rPr>
            <w:fldChar w:fldCharType="begin"/>
          </w:r>
          <w:r w:rsidRPr="0018665E">
            <w:rPr>
              <w:rFonts w:ascii="Arial" w:hAnsi="Arial" w:cs="Arial"/>
              <w:sz w:val="24"/>
              <w:szCs w:val="24"/>
            </w:rPr>
            <w:instrText xml:space="preserve"> TOC \o "1-3" \h \z \u </w:instrText>
          </w:r>
          <w:r w:rsidRPr="0018665E">
            <w:rPr>
              <w:rFonts w:ascii="Arial" w:hAnsi="Arial" w:cs="Arial"/>
              <w:sz w:val="24"/>
              <w:szCs w:val="24"/>
            </w:rPr>
            <w:fldChar w:fldCharType="separate"/>
          </w:r>
          <w:hyperlink w:anchor="_Toc237509167" w:history="1">
            <w:r w:rsidR="004638BE" w:rsidRPr="000943F1">
              <w:rPr>
                <w:rStyle w:val="Hyperlink"/>
                <w:rFonts w:ascii="Arial" w:hAnsi="Arial" w:cs="Arial"/>
                <w:noProof/>
              </w:rPr>
              <w:t>Section 1: International Market Entry Strategy and Marketing Mix Report</w:t>
            </w:r>
            <w:r w:rsidR="004638BE">
              <w:rPr>
                <w:noProof/>
                <w:webHidden/>
              </w:rPr>
              <w:tab/>
            </w:r>
            <w:r w:rsidR="004638BE">
              <w:rPr>
                <w:noProof/>
                <w:webHidden/>
              </w:rPr>
              <w:fldChar w:fldCharType="begin"/>
            </w:r>
            <w:r w:rsidR="004638BE">
              <w:rPr>
                <w:noProof/>
                <w:webHidden/>
              </w:rPr>
              <w:instrText xml:space="preserve"> PAGEREF _Toc237509167 \h </w:instrText>
            </w:r>
            <w:r w:rsidR="004638BE">
              <w:rPr>
                <w:noProof/>
                <w:webHidden/>
              </w:rPr>
            </w:r>
            <w:r w:rsidR="004638BE">
              <w:rPr>
                <w:noProof/>
                <w:webHidden/>
              </w:rPr>
              <w:fldChar w:fldCharType="separate"/>
            </w:r>
            <w:r w:rsidR="004638BE">
              <w:rPr>
                <w:noProof/>
                <w:webHidden/>
              </w:rPr>
              <w:t>5</w:t>
            </w:r>
            <w:r w:rsidR="004638BE">
              <w:rPr>
                <w:noProof/>
                <w:webHidden/>
              </w:rPr>
              <w:fldChar w:fldCharType="end"/>
            </w:r>
          </w:hyperlink>
        </w:p>
        <w:p w14:paraId="629718D4" w14:textId="210CF676" w:rsidR="004638BE" w:rsidRDefault="004638B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509168" w:history="1">
            <w:r w:rsidRPr="000943F1">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_Toc237509168 \h </w:instrText>
            </w:r>
            <w:r>
              <w:rPr>
                <w:noProof/>
                <w:webHidden/>
              </w:rPr>
            </w:r>
            <w:r>
              <w:rPr>
                <w:noProof/>
                <w:webHidden/>
              </w:rPr>
              <w:fldChar w:fldCharType="separate"/>
            </w:r>
            <w:r>
              <w:rPr>
                <w:noProof/>
                <w:webHidden/>
              </w:rPr>
              <w:t>5</w:t>
            </w:r>
            <w:r>
              <w:rPr>
                <w:noProof/>
                <w:webHidden/>
              </w:rPr>
              <w:fldChar w:fldCharType="end"/>
            </w:r>
          </w:hyperlink>
        </w:p>
        <w:p w14:paraId="59A07A4B" w14:textId="0B23ABF9" w:rsidR="004638BE" w:rsidRDefault="004638B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509169" w:history="1">
            <w:r w:rsidRPr="000943F1">
              <w:rPr>
                <w:rStyle w:val="Hyperlink"/>
                <w:rFonts w:ascii="Arial" w:hAnsi="Arial" w:cs="Arial"/>
                <w:noProof/>
              </w:rPr>
              <w:t>2. Comparative Macro-Environmental Analysis (PESTEL)</w:t>
            </w:r>
            <w:r>
              <w:rPr>
                <w:noProof/>
                <w:webHidden/>
              </w:rPr>
              <w:tab/>
            </w:r>
            <w:r>
              <w:rPr>
                <w:noProof/>
                <w:webHidden/>
              </w:rPr>
              <w:fldChar w:fldCharType="begin"/>
            </w:r>
            <w:r>
              <w:rPr>
                <w:noProof/>
                <w:webHidden/>
              </w:rPr>
              <w:instrText xml:space="preserve"> PAGEREF _Toc237509169 \h </w:instrText>
            </w:r>
            <w:r>
              <w:rPr>
                <w:noProof/>
                <w:webHidden/>
              </w:rPr>
            </w:r>
            <w:r>
              <w:rPr>
                <w:noProof/>
                <w:webHidden/>
              </w:rPr>
              <w:fldChar w:fldCharType="separate"/>
            </w:r>
            <w:r>
              <w:rPr>
                <w:noProof/>
                <w:webHidden/>
              </w:rPr>
              <w:t>5</w:t>
            </w:r>
            <w:r>
              <w:rPr>
                <w:noProof/>
                <w:webHidden/>
              </w:rPr>
              <w:fldChar w:fldCharType="end"/>
            </w:r>
          </w:hyperlink>
        </w:p>
        <w:p w14:paraId="7C80840E" w14:textId="1466C178" w:rsidR="004638BE" w:rsidRDefault="004638BE">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509170" w:history="1">
            <w:r w:rsidRPr="000943F1">
              <w:rPr>
                <w:rStyle w:val="Hyperlink"/>
                <w:rFonts w:ascii="Arial" w:hAnsi="Arial" w:cs="Arial"/>
                <w:noProof/>
              </w:rPr>
              <w:t>2.1 Political Factors</w:t>
            </w:r>
            <w:r>
              <w:rPr>
                <w:noProof/>
                <w:webHidden/>
              </w:rPr>
              <w:tab/>
            </w:r>
            <w:r>
              <w:rPr>
                <w:noProof/>
                <w:webHidden/>
              </w:rPr>
              <w:fldChar w:fldCharType="begin"/>
            </w:r>
            <w:r>
              <w:rPr>
                <w:noProof/>
                <w:webHidden/>
              </w:rPr>
              <w:instrText xml:space="preserve"> PAGEREF _Toc237509170 \h </w:instrText>
            </w:r>
            <w:r>
              <w:rPr>
                <w:noProof/>
                <w:webHidden/>
              </w:rPr>
            </w:r>
            <w:r>
              <w:rPr>
                <w:noProof/>
                <w:webHidden/>
              </w:rPr>
              <w:fldChar w:fldCharType="separate"/>
            </w:r>
            <w:r>
              <w:rPr>
                <w:noProof/>
                <w:webHidden/>
              </w:rPr>
              <w:t>6</w:t>
            </w:r>
            <w:r>
              <w:rPr>
                <w:noProof/>
                <w:webHidden/>
              </w:rPr>
              <w:fldChar w:fldCharType="end"/>
            </w:r>
          </w:hyperlink>
        </w:p>
        <w:p w14:paraId="6957141B" w14:textId="6672FC84" w:rsidR="004638BE" w:rsidRDefault="004638BE">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509171" w:history="1">
            <w:r w:rsidRPr="000943F1">
              <w:rPr>
                <w:rStyle w:val="Hyperlink"/>
                <w:rFonts w:ascii="Arial" w:hAnsi="Arial" w:cs="Arial"/>
                <w:noProof/>
              </w:rPr>
              <w:t>2.2 Economic Factors</w:t>
            </w:r>
            <w:r>
              <w:rPr>
                <w:noProof/>
                <w:webHidden/>
              </w:rPr>
              <w:tab/>
            </w:r>
            <w:r>
              <w:rPr>
                <w:noProof/>
                <w:webHidden/>
              </w:rPr>
              <w:fldChar w:fldCharType="begin"/>
            </w:r>
            <w:r>
              <w:rPr>
                <w:noProof/>
                <w:webHidden/>
              </w:rPr>
              <w:instrText xml:space="preserve"> PAGEREF _Toc237509171 \h </w:instrText>
            </w:r>
            <w:r>
              <w:rPr>
                <w:noProof/>
                <w:webHidden/>
              </w:rPr>
            </w:r>
            <w:r>
              <w:rPr>
                <w:noProof/>
                <w:webHidden/>
              </w:rPr>
              <w:fldChar w:fldCharType="separate"/>
            </w:r>
            <w:r>
              <w:rPr>
                <w:noProof/>
                <w:webHidden/>
              </w:rPr>
              <w:t>7</w:t>
            </w:r>
            <w:r>
              <w:rPr>
                <w:noProof/>
                <w:webHidden/>
              </w:rPr>
              <w:fldChar w:fldCharType="end"/>
            </w:r>
          </w:hyperlink>
        </w:p>
        <w:p w14:paraId="4CAB35EF" w14:textId="2833BFEB" w:rsidR="004638BE" w:rsidRDefault="004638BE">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509172" w:history="1">
            <w:r w:rsidRPr="000943F1">
              <w:rPr>
                <w:rStyle w:val="Hyperlink"/>
                <w:rFonts w:ascii="Arial" w:hAnsi="Arial" w:cs="Arial"/>
                <w:noProof/>
              </w:rPr>
              <w:t>2.3 Social Factors</w:t>
            </w:r>
            <w:r>
              <w:rPr>
                <w:noProof/>
                <w:webHidden/>
              </w:rPr>
              <w:tab/>
            </w:r>
            <w:r>
              <w:rPr>
                <w:noProof/>
                <w:webHidden/>
              </w:rPr>
              <w:fldChar w:fldCharType="begin"/>
            </w:r>
            <w:r>
              <w:rPr>
                <w:noProof/>
                <w:webHidden/>
              </w:rPr>
              <w:instrText xml:space="preserve"> PAGEREF _Toc237509172 \h </w:instrText>
            </w:r>
            <w:r>
              <w:rPr>
                <w:noProof/>
                <w:webHidden/>
              </w:rPr>
            </w:r>
            <w:r>
              <w:rPr>
                <w:noProof/>
                <w:webHidden/>
              </w:rPr>
              <w:fldChar w:fldCharType="separate"/>
            </w:r>
            <w:r>
              <w:rPr>
                <w:noProof/>
                <w:webHidden/>
              </w:rPr>
              <w:t>7</w:t>
            </w:r>
            <w:r>
              <w:rPr>
                <w:noProof/>
                <w:webHidden/>
              </w:rPr>
              <w:fldChar w:fldCharType="end"/>
            </w:r>
          </w:hyperlink>
        </w:p>
        <w:p w14:paraId="5F4101C4" w14:textId="5FAA3BD8" w:rsidR="004638BE" w:rsidRDefault="004638BE">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509173" w:history="1">
            <w:r w:rsidRPr="000943F1">
              <w:rPr>
                <w:rStyle w:val="Hyperlink"/>
                <w:rFonts w:ascii="Arial" w:hAnsi="Arial" w:cs="Arial"/>
                <w:noProof/>
              </w:rPr>
              <w:t>2.4 Technological Factors</w:t>
            </w:r>
            <w:r>
              <w:rPr>
                <w:noProof/>
                <w:webHidden/>
              </w:rPr>
              <w:tab/>
            </w:r>
            <w:r>
              <w:rPr>
                <w:noProof/>
                <w:webHidden/>
              </w:rPr>
              <w:fldChar w:fldCharType="begin"/>
            </w:r>
            <w:r>
              <w:rPr>
                <w:noProof/>
                <w:webHidden/>
              </w:rPr>
              <w:instrText xml:space="preserve"> PAGEREF _Toc237509173 \h </w:instrText>
            </w:r>
            <w:r>
              <w:rPr>
                <w:noProof/>
                <w:webHidden/>
              </w:rPr>
            </w:r>
            <w:r>
              <w:rPr>
                <w:noProof/>
                <w:webHidden/>
              </w:rPr>
              <w:fldChar w:fldCharType="separate"/>
            </w:r>
            <w:r>
              <w:rPr>
                <w:noProof/>
                <w:webHidden/>
              </w:rPr>
              <w:t>8</w:t>
            </w:r>
            <w:r>
              <w:rPr>
                <w:noProof/>
                <w:webHidden/>
              </w:rPr>
              <w:fldChar w:fldCharType="end"/>
            </w:r>
          </w:hyperlink>
        </w:p>
        <w:p w14:paraId="5BEDA447" w14:textId="03D8E7AA" w:rsidR="004638BE" w:rsidRDefault="004638BE">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509174" w:history="1">
            <w:r w:rsidRPr="000943F1">
              <w:rPr>
                <w:rStyle w:val="Hyperlink"/>
                <w:rFonts w:ascii="Arial" w:hAnsi="Arial" w:cs="Arial"/>
                <w:noProof/>
              </w:rPr>
              <w:t>2.5 Environmental Factors</w:t>
            </w:r>
            <w:r>
              <w:rPr>
                <w:noProof/>
                <w:webHidden/>
              </w:rPr>
              <w:tab/>
            </w:r>
            <w:r>
              <w:rPr>
                <w:noProof/>
                <w:webHidden/>
              </w:rPr>
              <w:fldChar w:fldCharType="begin"/>
            </w:r>
            <w:r>
              <w:rPr>
                <w:noProof/>
                <w:webHidden/>
              </w:rPr>
              <w:instrText xml:space="preserve"> PAGEREF _Toc237509174 \h </w:instrText>
            </w:r>
            <w:r>
              <w:rPr>
                <w:noProof/>
                <w:webHidden/>
              </w:rPr>
            </w:r>
            <w:r>
              <w:rPr>
                <w:noProof/>
                <w:webHidden/>
              </w:rPr>
              <w:fldChar w:fldCharType="separate"/>
            </w:r>
            <w:r>
              <w:rPr>
                <w:noProof/>
                <w:webHidden/>
              </w:rPr>
              <w:t>8</w:t>
            </w:r>
            <w:r>
              <w:rPr>
                <w:noProof/>
                <w:webHidden/>
              </w:rPr>
              <w:fldChar w:fldCharType="end"/>
            </w:r>
          </w:hyperlink>
        </w:p>
        <w:p w14:paraId="46C41D19" w14:textId="21A31CAE" w:rsidR="004638BE" w:rsidRDefault="004638BE">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509175" w:history="1">
            <w:r w:rsidRPr="000943F1">
              <w:rPr>
                <w:rStyle w:val="Hyperlink"/>
                <w:rFonts w:ascii="Arial" w:hAnsi="Arial" w:cs="Arial"/>
                <w:noProof/>
              </w:rPr>
              <w:t>2.6 Legal Factors</w:t>
            </w:r>
            <w:r>
              <w:rPr>
                <w:noProof/>
                <w:webHidden/>
              </w:rPr>
              <w:tab/>
            </w:r>
            <w:r>
              <w:rPr>
                <w:noProof/>
                <w:webHidden/>
              </w:rPr>
              <w:fldChar w:fldCharType="begin"/>
            </w:r>
            <w:r>
              <w:rPr>
                <w:noProof/>
                <w:webHidden/>
              </w:rPr>
              <w:instrText xml:space="preserve"> PAGEREF _Toc237509175 \h </w:instrText>
            </w:r>
            <w:r>
              <w:rPr>
                <w:noProof/>
                <w:webHidden/>
              </w:rPr>
            </w:r>
            <w:r>
              <w:rPr>
                <w:noProof/>
                <w:webHidden/>
              </w:rPr>
              <w:fldChar w:fldCharType="separate"/>
            </w:r>
            <w:r>
              <w:rPr>
                <w:noProof/>
                <w:webHidden/>
              </w:rPr>
              <w:t>8</w:t>
            </w:r>
            <w:r>
              <w:rPr>
                <w:noProof/>
                <w:webHidden/>
              </w:rPr>
              <w:fldChar w:fldCharType="end"/>
            </w:r>
          </w:hyperlink>
        </w:p>
        <w:p w14:paraId="6C9D11BC" w14:textId="75D93384" w:rsidR="004638BE" w:rsidRDefault="004638B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509176" w:history="1">
            <w:r w:rsidRPr="000943F1">
              <w:rPr>
                <w:rStyle w:val="Hyperlink"/>
                <w:rFonts w:ascii="Arial" w:hAnsi="Arial" w:cs="Arial"/>
                <w:noProof/>
              </w:rPr>
              <w:t>3. Comparative Cultural Analysis (Hofstede)</w:t>
            </w:r>
            <w:r>
              <w:rPr>
                <w:noProof/>
                <w:webHidden/>
              </w:rPr>
              <w:tab/>
            </w:r>
            <w:r>
              <w:rPr>
                <w:noProof/>
                <w:webHidden/>
              </w:rPr>
              <w:fldChar w:fldCharType="begin"/>
            </w:r>
            <w:r>
              <w:rPr>
                <w:noProof/>
                <w:webHidden/>
              </w:rPr>
              <w:instrText xml:space="preserve"> PAGEREF _Toc237509176 \h </w:instrText>
            </w:r>
            <w:r>
              <w:rPr>
                <w:noProof/>
                <w:webHidden/>
              </w:rPr>
            </w:r>
            <w:r>
              <w:rPr>
                <w:noProof/>
                <w:webHidden/>
              </w:rPr>
              <w:fldChar w:fldCharType="separate"/>
            </w:r>
            <w:r>
              <w:rPr>
                <w:noProof/>
                <w:webHidden/>
              </w:rPr>
              <w:t>9</w:t>
            </w:r>
            <w:r>
              <w:rPr>
                <w:noProof/>
                <w:webHidden/>
              </w:rPr>
              <w:fldChar w:fldCharType="end"/>
            </w:r>
          </w:hyperlink>
        </w:p>
        <w:p w14:paraId="60BE4857" w14:textId="410F97F8" w:rsidR="004638BE" w:rsidRDefault="004638BE">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509177" w:history="1">
            <w:r w:rsidRPr="000943F1">
              <w:rPr>
                <w:rStyle w:val="Hyperlink"/>
                <w:rFonts w:ascii="Arial" w:hAnsi="Arial" w:cs="Arial"/>
                <w:noProof/>
              </w:rPr>
              <w:t>3.1 Power Distance and Individualism</w:t>
            </w:r>
            <w:r>
              <w:rPr>
                <w:noProof/>
                <w:webHidden/>
              </w:rPr>
              <w:tab/>
            </w:r>
            <w:r>
              <w:rPr>
                <w:noProof/>
                <w:webHidden/>
              </w:rPr>
              <w:fldChar w:fldCharType="begin"/>
            </w:r>
            <w:r>
              <w:rPr>
                <w:noProof/>
                <w:webHidden/>
              </w:rPr>
              <w:instrText xml:space="preserve"> PAGEREF _Toc237509177 \h </w:instrText>
            </w:r>
            <w:r>
              <w:rPr>
                <w:noProof/>
                <w:webHidden/>
              </w:rPr>
            </w:r>
            <w:r>
              <w:rPr>
                <w:noProof/>
                <w:webHidden/>
              </w:rPr>
              <w:fldChar w:fldCharType="separate"/>
            </w:r>
            <w:r>
              <w:rPr>
                <w:noProof/>
                <w:webHidden/>
              </w:rPr>
              <w:t>9</w:t>
            </w:r>
            <w:r>
              <w:rPr>
                <w:noProof/>
                <w:webHidden/>
              </w:rPr>
              <w:fldChar w:fldCharType="end"/>
            </w:r>
          </w:hyperlink>
        </w:p>
        <w:p w14:paraId="7EEA12EF" w14:textId="2B9450D5" w:rsidR="004638BE" w:rsidRDefault="004638BE">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509178" w:history="1">
            <w:r w:rsidRPr="000943F1">
              <w:rPr>
                <w:rStyle w:val="Hyperlink"/>
                <w:rFonts w:ascii="Arial" w:hAnsi="Arial" w:cs="Arial"/>
                <w:noProof/>
              </w:rPr>
              <w:t>3.2 Uncertainty Avoidance, Long-Term Orientation and Indulgence</w:t>
            </w:r>
            <w:r>
              <w:rPr>
                <w:noProof/>
                <w:webHidden/>
              </w:rPr>
              <w:tab/>
            </w:r>
            <w:r>
              <w:rPr>
                <w:noProof/>
                <w:webHidden/>
              </w:rPr>
              <w:fldChar w:fldCharType="begin"/>
            </w:r>
            <w:r>
              <w:rPr>
                <w:noProof/>
                <w:webHidden/>
              </w:rPr>
              <w:instrText xml:space="preserve"> PAGEREF _Toc237509178 \h </w:instrText>
            </w:r>
            <w:r>
              <w:rPr>
                <w:noProof/>
                <w:webHidden/>
              </w:rPr>
            </w:r>
            <w:r>
              <w:rPr>
                <w:noProof/>
                <w:webHidden/>
              </w:rPr>
              <w:fldChar w:fldCharType="separate"/>
            </w:r>
            <w:r>
              <w:rPr>
                <w:noProof/>
                <w:webHidden/>
              </w:rPr>
              <w:t>10</w:t>
            </w:r>
            <w:r>
              <w:rPr>
                <w:noProof/>
                <w:webHidden/>
              </w:rPr>
              <w:fldChar w:fldCharType="end"/>
            </w:r>
          </w:hyperlink>
        </w:p>
        <w:p w14:paraId="74E55927" w14:textId="023FA361" w:rsidR="004638BE" w:rsidRDefault="004638BE">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509179" w:history="1">
            <w:r w:rsidRPr="000943F1">
              <w:rPr>
                <w:rStyle w:val="Hyperlink"/>
                <w:rFonts w:ascii="Arial" w:hAnsi="Arial" w:cs="Arial"/>
                <w:noProof/>
              </w:rPr>
              <w:t>3.3 Managerial Implications for Adidas</w:t>
            </w:r>
            <w:r>
              <w:rPr>
                <w:noProof/>
                <w:webHidden/>
              </w:rPr>
              <w:tab/>
            </w:r>
            <w:r>
              <w:rPr>
                <w:noProof/>
                <w:webHidden/>
              </w:rPr>
              <w:fldChar w:fldCharType="begin"/>
            </w:r>
            <w:r>
              <w:rPr>
                <w:noProof/>
                <w:webHidden/>
              </w:rPr>
              <w:instrText xml:space="preserve"> PAGEREF _Toc237509179 \h </w:instrText>
            </w:r>
            <w:r>
              <w:rPr>
                <w:noProof/>
                <w:webHidden/>
              </w:rPr>
            </w:r>
            <w:r>
              <w:rPr>
                <w:noProof/>
                <w:webHidden/>
              </w:rPr>
              <w:fldChar w:fldCharType="separate"/>
            </w:r>
            <w:r>
              <w:rPr>
                <w:noProof/>
                <w:webHidden/>
              </w:rPr>
              <w:t>10</w:t>
            </w:r>
            <w:r>
              <w:rPr>
                <w:noProof/>
                <w:webHidden/>
              </w:rPr>
              <w:fldChar w:fldCharType="end"/>
            </w:r>
          </w:hyperlink>
        </w:p>
        <w:p w14:paraId="1D9A109A" w14:textId="5A519004" w:rsidR="004638BE" w:rsidRDefault="004638B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509180" w:history="1">
            <w:r w:rsidRPr="000943F1">
              <w:rPr>
                <w:rStyle w:val="Hyperlink"/>
                <w:rFonts w:ascii="Arial" w:hAnsi="Arial" w:cs="Arial"/>
                <w:noProof/>
              </w:rPr>
              <w:t>4. Comparative STP Strategy</w:t>
            </w:r>
            <w:r>
              <w:rPr>
                <w:noProof/>
                <w:webHidden/>
              </w:rPr>
              <w:tab/>
            </w:r>
            <w:r>
              <w:rPr>
                <w:noProof/>
                <w:webHidden/>
              </w:rPr>
              <w:fldChar w:fldCharType="begin"/>
            </w:r>
            <w:r>
              <w:rPr>
                <w:noProof/>
                <w:webHidden/>
              </w:rPr>
              <w:instrText xml:space="preserve"> PAGEREF _Toc237509180 \h </w:instrText>
            </w:r>
            <w:r>
              <w:rPr>
                <w:noProof/>
                <w:webHidden/>
              </w:rPr>
            </w:r>
            <w:r>
              <w:rPr>
                <w:noProof/>
                <w:webHidden/>
              </w:rPr>
              <w:fldChar w:fldCharType="separate"/>
            </w:r>
            <w:r>
              <w:rPr>
                <w:noProof/>
                <w:webHidden/>
              </w:rPr>
              <w:t>11</w:t>
            </w:r>
            <w:r>
              <w:rPr>
                <w:noProof/>
                <w:webHidden/>
              </w:rPr>
              <w:fldChar w:fldCharType="end"/>
            </w:r>
          </w:hyperlink>
        </w:p>
        <w:p w14:paraId="3A7B98EC" w14:textId="02EA9D71" w:rsidR="004638BE" w:rsidRDefault="004638BE">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509181" w:history="1">
            <w:r w:rsidRPr="000943F1">
              <w:rPr>
                <w:rStyle w:val="Hyperlink"/>
                <w:rFonts w:ascii="Arial" w:hAnsi="Arial" w:cs="Arial"/>
                <w:noProof/>
              </w:rPr>
              <w:t>4.1 Market Segmentation</w:t>
            </w:r>
            <w:r>
              <w:rPr>
                <w:noProof/>
                <w:webHidden/>
              </w:rPr>
              <w:tab/>
            </w:r>
            <w:r>
              <w:rPr>
                <w:noProof/>
                <w:webHidden/>
              </w:rPr>
              <w:fldChar w:fldCharType="begin"/>
            </w:r>
            <w:r>
              <w:rPr>
                <w:noProof/>
                <w:webHidden/>
              </w:rPr>
              <w:instrText xml:space="preserve"> PAGEREF _Toc237509181 \h </w:instrText>
            </w:r>
            <w:r>
              <w:rPr>
                <w:noProof/>
                <w:webHidden/>
              </w:rPr>
            </w:r>
            <w:r>
              <w:rPr>
                <w:noProof/>
                <w:webHidden/>
              </w:rPr>
              <w:fldChar w:fldCharType="separate"/>
            </w:r>
            <w:r>
              <w:rPr>
                <w:noProof/>
                <w:webHidden/>
              </w:rPr>
              <w:t>11</w:t>
            </w:r>
            <w:r>
              <w:rPr>
                <w:noProof/>
                <w:webHidden/>
              </w:rPr>
              <w:fldChar w:fldCharType="end"/>
            </w:r>
          </w:hyperlink>
        </w:p>
        <w:p w14:paraId="32A65952" w14:textId="0028B38A" w:rsidR="004638BE" w:rsidRDefault="004638BE">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509182" w:history="1">
            <w:r w:rsidRPr="000943F1">
              <w:rPr>
                <w:rStyle w:val="Hyperlink"/>
                <w:rFonts w:ascii="Arial" w:hAnsi="Arial" w:cs="Arial"/>
                <w:noProof/>
              </w:rPr>
              <w:t>4.2 Targeting</w:t>
            </w:r>
            <w:r>
              <w:rPr>
                <w:noProof/>
                <w:webHidden/>
              </w:rPr>
              <w:tab/>
            </w:r>
            <w:r>
              <w:rPr>
                <w:noProof/>
                <w:webHidden/>
              </w:rPr>
              <w:fldChar w:fldCharType="begin"/>
            </w:r>
            <w:r>
              <w:rPr>
                <w:noProof/>
                <w:webHidden/>
              </w:rPr>
              <w:instrText xml:space="preserve"> PAGEREF _Toc237509182 \h </w:instrText>
            </w:r>
            <w:r>
              <w:rPr>
                <w:noProof/>
                <w:webHidden/>
              </w:rPr>
            </w:r>
            <w:r>
              <w:rPr>
                <w:noProof/>
                <w:webHidden/>
              </w:rPr>
              <w:fldChar w:fldCharType="separate"/>
            </w:r>
            <w:r>
              <w:rPr>
                <w:noProof/>
                <w:webHidden/>
              </w:rPr>
              <w:t>11</w:t>
            </w:r>
            <w:r>
              <w:rPr>
                <w:noProof/>
                <w:webHidden/>
              </w:rPr>
              <w:fldChar w:fldCharType="end"/>
            </w:r>
          </w:hyperlink>
        </w:p>
        <w:p w14:paraId="32BD727C" w14:textId="20E61B74" w:rsidR="004638BE" w:rsidRDefault="004638BE">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509183" w:history="1">
            <w:r w:rsidRPr="000943F1">
              <w:rPr>
                <w:rStyle w:val="Hyperlink"/>
                <w:rFonts w:ascii="Arial" w:hAnsi="Arial" w:cs="Arial"/>
                <w:noProof/>
              </w:rPr>
              <w:t>4.3 Positioning</w:t>
            </w:r>
            <w:r>
              <w:rPr>
                <w:noProof/>
                <w:webHidden/>
              </w:rPr>
              <w:tab/>
            </w:r>
            <w:r>
              <w:rPr>
                <w:noProof/>
                <w:webHidden/>
              </w:rPr>
              <w:fldChar w:fldCharType="begin"/>
            </w:r>
            <w:r>
              <w:rPr>
                <w:noProof/>
                <w:webHidden/>
              </w:rPr>
              <w:instrText xml:space="preserve"> PAGEREF _Toc237509183 \h </w:instrText>
            </w:r>
            <w:r>
              <w:rPr>
                <w:noProof/>
                <w:webHidden/>
              </w:rPr>
            </w:r>
            <w:r>
              <w:rPr>
                <w:noProof/>
                <w:webHidden/>
              </w:rPr>
              <w:fldChar w:fldCharType="separate"/>
            </w:r>
            <w:r>
              <w:rPr>
                <w:noProof/>
                <w:webHidden/>
              </w:rPr>
              <w:t>11</w:t>
            </w:r>
            <w:r>
              <w:rPr>
                <w:noProof/>
                <w:webHidden/>
              </w:rPr>
              <w:fldChar w:fldCharType="end"/>
            </w:r>
          </w:hyperlink>
        </w:p>
        <w:p w14:paraId="28DDD4C4" w14:textId="4CC0D9E8" w:rsidR="004638BE" w:rsidRDefault="004638B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509184" w:history="1">
            <w:r w:rsidRPr="000943F1">
              <w:rPr>
                <w:rStyle w:val="Hyperlink"/>
                <w:rFonts w:ascii="Arial" w:hAnsi="Arial" w:cs="Arial"/>
                <w:noProof/>
              </w:rPr>
              <w:t>5. Comparative International Marketing Mix (7Ps)</w:t>
            </w:r>
            <w:r>
              <w:rPr>
                <w:noProof/>
                <w:webHidden/>
              </w:rPr>
              <w:tab/>
            </w:r>
            <w:r>
              <w:rPr>
                <w:noProof/>
                <w:webHidden/>
              </w:rPr>
              <w:fldChar w:fldCharType="begin"/>
            </w:r>
            <w:r>
              <w:rPr>
                <w:noProof/>
                <w:webHidden/>
              </w:rPr>
              <w:instrText xml:space="preserve"> PAGEREF _Toc237509184 \h </w:instrText>
            </w:r>
            <w:r>
              <w:rPr>
                <w:noProof/>
                <w:webHidden/>
              </w:rPr>
            </w:r>
            <w:r>
              <w:rPr>
                <w:noProof/>
                <w:webHidden/>
              </w:rPr>
              <w:fldChar w:fldCharType="separate"/>
            </w:r>
            <w:r>
              <w:rPr>
                <w:noProof/>
                <w:webHidden/>
              </w:rPr>
              <w:t>12</w:t>
            </w:r>
            <w:r>
              <w:rPr>
                <w:noProof/>
                <w:webHidden/>
              </w:rPr>
              <w:fldChar w:fldCharType="end"/>
            </w:r>
          </w:hyperlink>
        </w:p>
        <w:p w14:paraId="6138353F" w14:textId="1A5C9C50" w:rsidR="004638BE" w:rsidRDefault="004638BE">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509185" w:history="1">
            <w:r w:rsidRPr="000943F1">
              <w:rPr>
                <w:rStyle w:val="Hyperlink"/>
                <w:rFonts w:ascii="Arial" w:hAnsi="Arial" w:cs="Arial"/>
                <w:noProof/>
              </w:rPr>
              <w:t>5.1 Product</w:t>
            </w:r>
            <w:r>
              <w:rPr>
                <w:noProof/>
                <w:webHidden/>
              </w:rPr>
              <w:tab/>
            </w:r>
            <w:r>
              <w:rPr>
                <w:noProof/>
                <w:webHidden/>
              </w:rPr>
              <w:fldChar w:fldCharType="begin"/>
            </w:r>
            <w:r>
              <w:rPr>
                <w:noProof/>
                <w:webHidden/>
              </w:rPr>
              <w:instrText xml:space="preserve"> PAGEREF _Toc237509185 \h </w:instrText>
            </w:r>
            <w:r>
              <w:rPr>
                <w:noProof/>
                <w:webHidden/>
              </w:rPr>
            </w:r>
            <w:r>
              <w:rPr>
                <w:noProof/>
                <w:webHidden/>
              </w:rPr>
              <w:fldChar w:fldCharType="separate"/>
            </w:r>
            <w:r>
              <w:rPr>
                <w:noProof/>
                <w:webHidden/>
              </w:rPr>
              <w:t>14</w:t>
            </w:r>
            <w:r>
              <w:rPr>
                <w:noProof/>
                <w:webHidden/>
              </w:rPr>
              <w:fldChar w:fldCharType="end"/>
            </w:r>
          </w:hyperlink>
        </w:p>
        <w:p w14:paraId="445FAE1E" w14:textId="137227EE" w:rsidR="004638BE" w:rsidRDefault="004638BE">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509186" w:history="1">
            <w:r w:rsidRPr="000943F1">
              <w:rPr>
                <w:rStyle w:val="Hyperlink"/>
                <w:rFonts w:ascii="Arial" w:hAnsi="Arial" w:cs="Arial"/>
                <w:noProof/>
              </w:rPr>
              <w:t>5.2 Price</w:t>
            </w:r>
            <w:r>
              <w:rPr>
                <w:noProof/>
                <w:webHidden/>
              </w:rPr>
              <w:tab/>
            </w:r>
            <w:r>
              <w:rPr>
                <w:noProof/>
                <w:webHidden/>
              </w:rPr>
              <w:fldChar w:fldCharType="begin"/>
            </w:r>
            <w:r>
              <w:rPr>
                <w:noProof/>
                <w:webHidden/>
              </w:rPr>
              <w:instrText xml:space="preserve"> PAGEREF _Toc237509186 \h </w:instrText>
            </w:r>
            <w:r>
              <w:rPr>
                <w:noProof/>
                <w:webHidden/>
              </w:rPr>
            </w:r>
            <w:r>
              <w:rPr>
                <w:noProof/>
                <w:webHidden/>
              </w:rPr>
              <w:fldChar w:fldCharType="separate"/>
            </w:r>
            <w:r>
              <w:rPr>
                <w:noProof/>
                <w:webHidden/>
              </w:rPr>
              <w:t>14</w:t>
            </w:r>
            <w:r>
              <w:rPr>
                <w:noProof/>
                <w:webHidden/>
              </w:rPr>
              <w:fldChar w:fldCharType="end"/>
            </w:r>
          </w:hyperlink>
        </w:p>
        <w:p w14:paraId="25A794E2" w14:textId="4CA34061" w:rsidR="004638BE" w:rsidRDefault="004638BE">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509187" w:history="1">
            <w:r w:rsidRPr="000943F1">
              <w:rPr>
                <w:rStyle w:val="Hyperlink"/>
                <w:rFonts w:ascii="Arial" w:hAnsi="Arial" w:cs="Arial"/>
                <w:noProof/>
              </w:rPr>
              <w:t>5.3 Place</w:t>
            </w:r>
            <w:r>
              <w:rPr>
                <w:noProof/>
                <w:webHidden/>
              </w:rPr>
              <w:tab/>
            </w:r>
            <w:r>
              <w:rPr>
                <w:noProof/>
                <w:webHidden/>
              </w:rPr>
              <w:fldChar w:fldCharType="begin"/>
            </w:r>
            <w:r>
              <w:rPr>
                <w:noProof/>
                <w:webHidden/>
              </w:rPr>
              <w:instrText xml:space="preserve"> PAGEREF _Toc237509187 \h </w:instrText>
            </w:r>
            <w:r>
              <w:rPr>
                <w:noProof/>
                <w:webHidden/>
              </w:rPr>
            </w:r>
            <w:r>
              <w:rPr>
                <w:noProof/>
                <w:webHidden/>
              </w:rPr>
              <w:fldChar w:fldCharType="separate"/>
            </w:r>
            <w:r>
              <w:rPr>
                <w:noProof/>
                <w:webHidden/>
              </w:rPr>
              <w:t>15</w:t>
            </w:r>
            <w:r>
              <w:rPr>
                <w:noProof/>
                <w:webHidden/>
              </w:rPr>
              <w:fldChar w:fldCharType="end"/>
            </w:r>
          </w:hyperlink>
        </w:p>
        <w:p w14:paraId="29076FBB" w14:textId="766FCFF4" w:rsidR="004638BE" w:rsidRDefault="004638BE">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509188" w:history="1">
            <w:r w:rsidRPr="000943F1">
              <w:rPr>
                <w:rStyle w:val="Hyperlink"/>
                <w:rFonts w:ascii="Arial" w:hAnsi="Arial" w:cs="Arial"/>
                <w:noProof/>
              </w:rPr>
              <w:t>5.4 Promotion</w:t>
            </w:r>
            <w:r>
              <w:rPr>
                <w:noProof/>
                <w:webHidden/>
              </w:rPr>
              <w:tab/>
            </w:r>
            <w:r>
              <w:rPr>
                <w:noProof/>
                <w:webHidden/>
              </w:rPr>
              <w:fldChar w:fldCharType="begin"/>
            </w:r>
            <w:r>
              <w:rPr>
                <w:noProof/>
                <w:webHidden/>
              </w:rPr>
              <w:instrText xml:space="preserve"> PAGEREF _Toc237509188 \h </w:instrText>
            </w:r>
            <w:r>
              <w:rPr>
                <w:noProof/>
                <w:webHidden/>
              </w:rPr>
            </w:r>
            <w:r>
              <w:rPr>
                <w:noProof/>
                <w:webHidden/>
              </w:rPr>
              <w:fldChar w:fldCharType="separate"/>
            </w:r>
            <w:r>
              <w:rPr>
                <w:noProof/>
                <w:webHidden/>
              </w:rPr>
              <w:t>15</w:t>
            </w:r>
            <w:r>
              <w:rPr>
                <w:noProof/>
                <w:webHidden/>
              </w:rPr>
              <w:fldChar w:fldCharType="end"/>
            </w:r>
          </w:hyperlink>
        </w:p>
        <w:p w14:paraId="1D56134E" w14:textId="50259E7E" w:rsidR="004638BE" w:rsidRDefault="004638BE">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509189" w:history="1">
            <w:r w:rsidRPr="000943F1">
              <w:rPr>
                <w:rStyle w:val="Hyperlink"/>
                <w:rFonts w:ascii="Arial" w:hAnsi="Arial" w:cs="Arial"/>
                <w:noProof/>
              </w:rPr>
              <w:t>5.5 People</w:t>
            </w:r>
            <w:r>
              <w:rPr>
                <w:noProof/>
                <w:webHidden/>
              </w:rPr>
              <w:tab/>
            </w:r>
            <w:r>
              <w:rPr>
                <w:noProof/>
                <w:webHidden/>
              </w:rPr>
              <w:fldChar w:fldCharType="begin"/>
            </w:r>
            <w:r>
              <w:rPr>
                <w:noProof/>
                <w:webHidden/>
              </w:rPr>
              <w:instrText xml:space="preserve"> PAGEREF _Toc237509189 \h </w:instrText>
            </w:r>
            <w:r>
              <w:rPr>
                <w:noProof/>
                <w:webHidden/>
              </w:rPr>
            </w:r>
            <w:r>
              <w:rPr>
                <w:noProof/>
                <w:webHidden/>
              </w:rPr>
              <w:fldChar w:fldCharType="separate"/>
            </w:r>
            <w:r>
              <w:rPr>
                <w:noProof/>
                <w:webHidden/>
              </w:rPr>
              <w:t>15</w:t>
            </w:r>
            <w:r>
              <w:rPr>
                <w:noProof/>
                <w:webHidden/>
              </w:rPr>
              <w:fldChar w:fldCharType="end"/>
            </w:r>
          </w:hyperlink>
        </w:p>
        <w:p w14:paraId="0A2F5DEC" w14:textId="4384D436" w:rsidR="004638BE" w:rsidRDefault="004638BE">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509190" w:history="1">
            <w:r w:rsidRPr="000943F1">
              <w:rPr>
                <w:rStyle w:val="Hyperlink"/>
                <w:rFonts w:ascii="Arial" w:hAnsi="Arial" w:cs="Arial"/>
                <w:noProof/>
              </w:rPr>
              <w:t>5.6 Process</w:t>
            </w:r>
            <w:r>
              <w:rPr>
                <w:noProof/>
                <w:webHidden/>
              </w:rPr>
              <w:tab/>
            </w:r>
            <w:r>
              <w:rPr>
                <w:noProof/>
                <w:webHidden/>
              </w:rPr>
              <w:fldChar w:fldCharType="begin"/>
            </w:r>
            <w:r>
              <w:rPr>
                <w:noProof/>
                <w:webHidden/>
              </w:rPr>
              <w:instrText xml:space="preserve"> PAGEREF _Toc237509190 \h </w:instrText>
            </w:r>
            <w:r>
              <w:rPr>
                <w:noProof/>
                <w:webHidden/>
              </w:rPr>
            </w:r>
            <w:r>
              <w:rPr>
                <w:noProof/>
                <w:webHidden/>
              </w:rPr>
              <w:fldChar w:fldCharType="separate"/>
            </w:r>
            <w:r>
              <w:rPr>
                <w:noProof/>
                <w:webHidden/>
              </w:rPr>
              <w:t>16</w:t>
            </w:r>
            <w:r>
              <w:rPr>
                <w:noProof/>
                <w:webHidden/>
              </w:rPr>
              <w:fldChar w:fldCharType="end"/>
            </w:r>
          </w:hyperlink>
        </w:p>
        <w:p w14:paraId="5632DE41" w14:textId="4E42B02F" w:rsidR="004638BE" w:rsidRDefault="004638BE">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509191" w:history="1">
            <w:r w:rsidRPr="000943F1">
              <w:rPr>
                <w:rStyle w:val="Hyperlink"/>
                <w:rFonts w:ascii="Arial" w:hAnsi="Arial" w:cs="Arial"/>
                <w:noProof/>
              </w:rPr>
              <w:t>5.7 Physical Evidence</w:t>
            </w:r>
            <w:r>
              <w:rPr>
                <w:noProof/>
                <w:webHidden/>
              </w:rPr>
              <w:tab/>
            </w:r>
            <w:r>
              <w:rPr>
                <w:noProof/>
                <w:webHidden/>
              </w:rPr>
              <w:fldChar w:fldCharType="begin"/>
            </w:r>
            <w:r>
              <w:rPr>
                <w:noProof/>
                <w:webHidden/>
              </w:rPr>
              <w:instrText xml:space="preserve"> PAGEREF _Toc237509191 \h </w:instrText>
            </w:r>
            <w:r>
              <w:rPr>
                <w:noProof/>
                <w:webHidden/>
              </w:rPr>
            </w:r>
            <w:r>
              <w:rPr>
                <w:noProof/>
                <w:webHidden/>
              </w:rPr>
              <w:fldChar w:fldCharType="separate"/>
            </w:r>
            <w:r>
              <w:rPr>
                <w:noProof/>
                <w:webHidden/>
              </w:rPr>
              <w:t>16</w:t>
            </w:r>
            <w:r>
              <w:rPr>
                <w:noProof/>
                <w:webHidden/>
              </w:rPr>
              <w:fldChar w:fldCharType="end"/>
            </w:r>
          </w:hyperlink>
        </w:p>
        <w:p w14:paraId="7885544D" w14:textId="62BC101E" w:rsidR="004638BE" w:rsidRDefault="004638B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509192" w:history="1">
            <w:r w:rsidRPr="000943F1">
              <w:rPr>
                <w:rStyle w:val="Hyperlink"/>
                <w:rFonts w:ascii="Arial" w:hAnsi="Arial" w:cs="Arial"/>
                <w:noProof/>
              </w:rPr>
              <w:t>6. Market Entry Strategy Analysis: India</w:t>
            </w:r>
            <w:r>
              <w:rPr>
                <w:noProof/>
                <w:webHidden/>
              </w:rPr>
              <w:tab/>
            </w:r>
            <w:r>
              <w:rPr>
                <w:noProof/>
                <w:webHidden/>
              </w:rPr>
              <w:fldChar w:fldCharType="begin"/>
            </w:r>
            <w:r>
              <w:rPr>
                <w:noProof/>
                <w:webHidden/>
              </w:rPr>
              <w:instrText xml:space="preserve"> PAGEREF _Toc237509192 \h </w:instrText>
            </w:r>
            <w:r>
              <w:rPr>
                <w:noProof/>
                <w:webHidden/>
              </w:rPr>
            </w:r>
            <w:r>
              <w:rPr>
                <w:noProof/>
                <w:webHidden/>
              </w:rPr>
              <w:fldChar w:fldCharType="separate"/>
            </w:r>
            <w:r>
              <w:rPr>
                <w:noProof/>
                <w:webHidden/>
              </w:rPr>
              <w:t>17</w:t>
            </w:r>
            <w:r>
              <w:rPr>
                <w:noProof/>
                <w:webHidden/>
              </w:rPr>
              <w:fldChar w:fldCharType="end"/>
            </w:r>
          </w:hyperlink>
        </w:p>
        <w:p w14:paraId="2E00155F" w14:textId="55C7353D" w:rsidR="004638BE" w:rsidRDefault="004638BE">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509193" w:history="1">
            <w:r w:rsidRPr="000943F1">
              <w:rPr>
                <w:rStyle w:val="Hyperlink"/>
                <w:rFonts w:ascii="Arial" w:hAnsi="Arial" w:cs="Arial"/>
                <w:noProof/>
              </w:rPr>
              <w:t>6.1 Entry Mode Options</w:t>
            </w:r>
            <w:r>
              <w:rPr>
                <w:noProof/>
                <w:webHidden/>
              </w:rPr>
              <w:tab/>
            </w:r>
            <w:r>
              <w:rPr>
                <w:noProof/>
                <w:webHidden/>
              </w:rPr>
              <w:fldChar w:fldCharType="begin"/>
            </w:r>
            <w:r>
              <w:rPr>
                <w:noProof/>
                <w:webHidden/>
              </w:rPr>
              <w:instrText xml:space="preserve"> PAGEREF _Toc237509193 \h </w:instrText>
            </w:r>
            <w:r>
              <w:rPr>
                <w:noProof/>
                <w:webHidden/>
              </w:rPr>
            </w:r>
            <w:r>
              <w:rPr>
                <w:noProof/>
                <w:webHidden/>
              </w:rPr>
              <w:fldChar w:fldCharType="separate"/>
            </w:r>
            <w:r>
              <w:rPr>
                <w:noProof/>
                <w:webHidden/>
              </w:rPr>
              <w:t>17</w:t>
            </w:r>
            <w:r>
              <w:rPr>
                <w:noProof/>
                <w:webHidden/>
              </w:rPr>
              <w:fldChar w:fldCharType="end"/>
            </w:r>
          </w:hyperlink>
        </w:p>
        <w:p w14:paraId="544099AE" w14:textId="2D9525AC" w:rsidR="004638BE" w:rsidRDefault="004638BE">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509194" w:history="1">
            <w:r w:rsidRPr="000943F1">
              <w:rPr>
                <w:rStyle w:val="Hyperlink"/>
                <w:rFonts w:ascii="Arial" w:hAnsi="Arial" w:cs="Arial"/>
                <w:noProof/>
              </w:rPr>
              <w:t>6.2 Adidas's Chosen Approach: Franchising</w:t>
            </w:r>
            <w:r>
              <w:rPr>
                <w:noProof/>
                <w:webHidden/>
              </w:rPr>
              <w:tab/>
            </w:r>
            <w:r>
              <w:rPr>
                <w:noProof/>
                <w:webHidden/>
              </w:rPr>
              <w:fldChar w:fldCharType="begin"/>
            </w:r>
            <w:r>
              <w:rPr>
                <w:noProof/>
                <w:webHidden/>
              </w:rPr>
              <w:instrText xml:space="preserve"> PAGEREF _Toc237509194 \h </w:instrText>
            </w:r>
            <w:r>
              <w:rPr>
                <w:noProof/>
                <w:webHidden/>
              </w:rPr>
            </w:r>
            <w:r>
              <w:rPr>
                <w:noProof/>
                <w:webHidden/>
              </w:rPr>
              <w:fldChar w:fldCharType="separate"/>
            </w:r>
            <w:r>
              <w:rPr>
                <w:noProof/>
                <w:webHidden/>
              </w:rPr>
              <w:t>17</w:t>
            </w:r>
            <w:r>
              <w:rPr>
                <w:noProof/>
                <w:webHidden/>
              </w:rPr>
              <w:fldChar w:fldCharType="end"/>
            </w:r>
          </w:hyperlink>
        </w:p>
        <w:p w14:paraId="4D547C94" w14:textId="3294CE1F" w:rsidR="004638BE" w:rsidRDefault="004638BE">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509195" w:history="1">
            <w:r w:rsidRPr="000943F1">
              <w:rPr>
                <w:rStyle w:val="Hyperlink"/>
                <w:rFonts w:ascii="Arial" w:hAnsi="Arial" w:cs="Arial"/>
                <w:noProof/>
              </w:rPr>
              <w:t>6.3 Evaluation</w:t>
            </w:r>
            <w:r>
              <w:rPr>
                <w:noProof/>
                <w:webHidden/>
              </w:rPr>
              <w:tab/>
            </w:r>
            <w:r>
              <w:rPr>
                <w:noProof/>
                <w:webHidden/>
              </w:rPr>
              <w:fldChar w:fldCharType="begin"/>
            </w:r>
            <w:r>
              <w:rPr>
                <w:noProof/>
                <w:webHidden/>
              </w:rPr>
              <w:instrText xml:space="preserve"> PAGEREF _Toc237509195 \h </w:instrText>
            </w:r>
            <w:r>
              <w:rPr>
                <w:noProof/>
                <w:webHidden/>
              </w:rPr>
            </w:r>
            <w:r>
              <w:rPr>
                <w:noProof/>
                <w:webHidden/>
              </w:rPr>
              <w:fldChar w:fldCharType="separate"/>
            </w:r>
            <w:r>
              <w:rPr>
                <w:noProof/>
                <w:webHidden/>
              </w:rPr>
              <w:t>17</w:t>
            </w:r>
            <w:r>
              <w:rPr>
                <w:noProof/>
                <w:webHidden/>
              </w:rPr>
              <w:fldChar w:fldCharType="end"/>
            </w:r>
          </w:hyperlink>
        </w:p>
        <w:p w14:paraId="3D3C27D6" w14:textId="4E1A9927" w:rsidR="004638BE" w:rsidRDefault="004638B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509196" w:history="1">
            <w:r w:rsidRPr="000943F1">
              <w:rPr>
                <w:rStyle w:val="Hyperlink"/>
                <w:rFonts w:ascii="Arial" w:hAnsi="Arial" w:cs="Arial"/>
                <w:noProof/>
              </w:rPr>
              <w:t>7. Ethical Evaluation</w:t>
            </w:r>
            <w:r>
              <w:rPr>
                <w:noProof/>
                <w:webHidden/>
              </w:rPr>
              <w:tab/>
            </w:r>
            <w:r>
              <w:rPr>
                <w:noProof/>
                <w:webHidden/>
              </w:rPr>
              <w:fldChar w:fldCharType="begin"/>
            </w:r>
            <w:r>
              <w:rPr>
                <w:noProof/>
                <w:webHidden/>
              </w:rPr>
              <w:instrText xml:space="preserve"> PAGEREF _Toc237509196 \h </w:instrText>
            </w:r>
            <w:r>
              <w:rPr>
                <w:noProof/>
                <w:webHidden/>
              </w:rPr>
            </w:r>
            <w:r>
              <w:rPr>
                <w:noProof/>
                <w:webHidden/>
              </w:rPr>
              <w:fldChar w:fldCharType="separate"/>
            </w:r>
            <w:r>
              <w:rPr>
                <w:noProof/>
                <w:webHidden/>
              </w:rPr>
              <w:t>18</w:t>
            </w:r>
            <w:r>
              <w:rPr>
                <w:noProof/>
                <w:webHidden/>
              </w:rPr>
              <w:fldChar w:fldCharType="end"/>
            </w:r>
          </w:hyperlink>
        </w:p>
        <w:p w14:paraId="47D11010" w14:textId="533AB37C" w:rsidR="004638BE" w:rsidRDefault="004638BE">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509197" w:history="1">
            <w:r w:rsidRPr="000943F1">
              <w:rPr>
                <w:rStyle w:val="Hyperlink"/>
                <w:rFonts w:ascii="Arial" w:hAnsi="Arial" w:cs="Arial"/>
                <w:noProof/>
              </w:rPr>
              <w:t>7.1 Labour Standards in the Supply Chain</w:t>
            </w:r>
            <w:r>
              <w:rPr>
                <w:noProof/>
                <w:webHidden/>
              </w:rPr>
              <w:tab/>
            </w:r>
            <w:r>
              <w:rPr>
                <w:noProof/>
                <w:webHidden/>
              </w:rPr>
              <w:fldChar w:fldCharType="begin"/>
            </w:r>
            <w:r>
              <w:rPr>
                <w:noProof/>
                <w:webHidden/>
              </w:rPr>
              <w:instrText xml:space="preserve"> PAGEREF _Toc237509197 \h </w:instrText>
            </w:r>
            <w:r>
              <w:rPr>
                <w:noProof/>
                <w:webHidden/>
              </w:rPr>
            </w:r>
            <w:r>
              <w:rPr>
                <w:noProof/>
                <w:webHidden/>
              </w:rPr>
              <w:fldChar w:fldCharType="separate"/>
            </w:r>
            <w:r>
              <w:rPr>
                <w:noProof/>
                <w:webHidden/>
              </w:rPr>
              <w:t>18</w:t>
            </w:r>
            <w:r>
              <w:rPr>
                <w:noProof/>
                <w:webHidden/>
              </w:rPr>
              <w:fldChar w:fldCharType="end"/>
            </w:r>
          </w:hyperlink>
        </w:p>
        <w:p w14:paraId="3A620F0E" w14:textId="5E47BED2" w:rsidR="004638BE" w:rsidRDefault="004638BE">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509198" w:history="1">
            <w:r w:rsidRPr="000943F1">
              <w:rPr>
                <w:rStyle w:val="Hyperlink"/>
                <w:rFonts w:ascii="Arial" w:hAnsi="Arial" w:cs="Arial"/>
                <w:noProof/>
              </w:rPr>
              <w:t>7.2 Greenwashing Risk</w:t>
            </w:r>
            <w:r>
              <w:rPr>
                <w:noProof/>
                <w:webHidden/>
              </w:rPr>
              <w:tab/>
            </w:r>
            <w:r>
              <w:rPr>
                <w:noProof/>
                <w:webHidden/>
              </w:rPr>
              <w:fldChar w:fldCharType="begin"/>
            </w:r>
            <w:r>
              <w:rPr>
                <w:noProof/>
                <w:webHidden/>
              </w:rPr>
              <w:instrText xml:space="preserve"> PAGEREF _Toc237509198 \h </w:instrText>
            </w:r>
            <w:r>
              <w:rPr>
                <w:noProof/>
                <w:webHidden/>
              </w:rPr>
            </w:r>
            <w:r>
              <w:rPr>
                <w:noProof/>
                <w:webHidden/>
              </w:rPr>
              <w:fldChar w:fldCharType="separate"/>
            </w:r>
            <w:r>
              <w:rPr>
                <w:noProof/>
                <w:webHidden/>
              </w:rPr>
              <w:t>19</w:t>
            </w:r>
            <w:r>
              <w:rPr>
                <w:noProof/>
                <w:webHidden/>
              </w:rPr>
              <w:fldChar w:fldCharType="end"/>
            </w:r>
          </w:hyperlink>
        </w:p>
        <w:p w14:paraId="5EE84C5F" w14:textId="5280C727" w:rsidR="004638BE" w:rsidRDefault="004638B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509199" w:history="1">
            <w:r w:rsidRPr="000943F1">
              <w:rPr>
                <w:rStyle w:val="Hyperlink"/>
                <w:rFonts w:ascii="Arial" w:hAnsi="Arial" w:cs="Arial"/>
                <w:noProof/>
              </w:rPr>
              <w:t>8. Recommendations</w:t>
            </w:r>
            <w:r>
              <w:rPr>
                <w:noProof/>
                <w:webHidden/>
              </w:rPr>
              <w:tab/>
            </w:r>
            <w:r>
              <w:rPr>
                <w:noProof/>
                <w:webHidden/>
              </w:rPr>
              <w:fldChar w:fldCharType="begin"/>
            </w:r>
            <w:r>
              <w:rPr>
                <w:noProof/>
                <w:webHidden/>
              </w:rPr>
              <w:instrText xml:space="preserve"> PAGEREF _Toc237509199 \h </w:instrText>
            </w:r>
            <w:r>
              <w:rPr>
                <w:noProof/>
                <w:webHidden/>
              </w:rPr>
            </w:r>
            <w:r>
              <w:rPr>
                <w:noProof/>
                <w:webHidden/>
              </w:rPr>
              <w:fldChar w:fldCharType="separate"/>
            </w:r>
            <w:r>
              <w:rPr>
                <w:noProof/>
                <w:webHidden/>
              </w:rPr>
              <w:t>19</w:t>
            </w:r>
            <w:r>
              <w:rPr>
                <w:noProof/>
                <w:webHidden/>
              </w:rPr>
              <w:fldChar w:fldCharType="end"/>
            </w:r>
          </w:hyperlink>
        </w:p>
        <w:p w14:paraId="10C6D2DF" w14:textId="0C72FA09" w:rsidR="004638BE" w:rsidRDefault="004638BE">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509200" w:history="1">
            <w:r w:rsidRPr="000943F1">
              <w:rPr>
                <w:rStyle w:val="Hyperlink"/>
                <w:rFonts w:ascii="Arial" w:hAnsi="Arial" w:cs="Arial"/>
                <w:noProof/>
              </w:rPr>
              <w:t>8.1 Cultural and STP Recalibration</w:t>
            </w:r>
            <w:r>
              <w:rPr>
                <w:noProof/>
                <w:webHidden/>
              </w:rPr>
              <w:tab/>
            </w:r>
            <w:r>
              <w:rPr>
                <w:noProof/>
                <w:webHidden/>
              </w:rPr>
              <w:fldChar w:fldCharType="begin"/>
            </w:r>
            <w:r>
              <w:rPr>
                <w:noProof/>
                <w:webHidden/>
              </w:rPr>
              <w:instrText xml:space="preserve"> PAGEREF _Toc237509200 \h </w:instrText>
            </w:r>
            <w:r>
              <w:rPr>
                <w:noProof/>
                <w:webHidden/>
              </w:rPr>
            </w:r>
            <w:r>
              <w:rPr>
                <w:noProof/>
                <w:webHidden/>
              </w:rPr>
              <w:fldChar w:fldCharType="separate"/>
            </w:r>
            <w:r>
              <w:rPr>
                <w:noProof/>
                <w:webHidden/>
              </w:rPr>
              <w:t>19</w:t>
            </w:r>
            <w:r>
              <w:rPr>
                <w:noProof/>
                <w:webHidden/>
              </w:rPr>
              <w:fldChar w:fldCharType="end"/>
            </w:r>
          </w:hyperlink>
        </w:p>
        <w:p w14:paraId="3694803E" w14:textId="34C72CD8" w:rsidR="004638BE" w:rsidRDefault="004638BE">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509201" w:history="1">
            <w:r w:rsidRPr="000943F1">
              <w:rPr>
                <w:rStyle w:val="Hyperlink"/>
                <w:rFonts w:ascii="Arial" w:hAnsi="Arial" w:cs="Arial"/>
                <w:noProof/>
              </w:rPr>
              <w:t>8.2 Marketing Mix Adjustments</w:t>
            </w:r>
            <w:r>
              <w:rPr>
                <w:noProof/>
                <w:webHidden/>
              </w:rPr>
              <w:tab/>
            </w:r>
            <w:r>
              <w:rPr>
                <w:noProof/>
                <w:webHidden/>
              </w:rPr>
              <w:fldChar w:fldCharType="begin"/>
            </w:r>
            <w:r>
              <w:rPr>
                <w:noProof/>
                <w:webHidden/>
              </w:rPr>
              <w:instrText xml:space="preserve"> PAGEREF _Toc237509201 \h </w:instrText>
            </w:r>
            <w:r>
              <w:rPr>
                <w:noProof/>
                <w:webHidden/>
              </w:rPr>
            </w:r>
            <w:r>
              <w:rPr>
                <w:noProof/>
                <w:webHidden/>
              </w:rPr>
              <w:fldChar w:fldCharType="separate"/>
            </w:r>
            <w:r>
              <w:rPr>
                <w:noProof/>
                <w:webHidden/>
              </w:rPr>
              <w:t>20</w:t>
            </w:r>
            <w:r>
              <w:rPr>
                <w:noProof/>
                <w:webHidden/>
              </w:rPr>
              <w:fldChar w:fldCharType="end"/>
            </w:r>
          </w:hyperlink>
        </w:p>
        <w:p w14:paraId="7A088C15" w14:textId="7DD68D59" w:rsidR="004638BE" w:rsidRDefault="004638BE">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7509202" w:history="1">
            <w:r w:rsidRPr="000943F1">
              <w:rPr>
                <w:rStyle w:val="Hyperlink"/>
                <w:rFonts w:ascii="Arial" w:hAnsi="Arial" w:cs="Arial"/>
                <w:noProof/>
              </w:rPr>
              <w:t>8.3 Ethical Governance</w:t>
            </w:r>
            <w:r>
              <w:rPr>
                <w:noProof/>
                <w:webHidden/>
              </w:rPr>
              <w:tab/>
            </w:r>
            <w:r>
              <w:rPr>
                <w:noProof/>
                <w:webHidden/>
              </w:rPr>
              <w:fldChar w:fldCharType="begin"/>
            </w:r>
            <w:r>
              <w:rPr>
                <w:noProof/>
                <w:webHidden/>
              </w:rPr>
              <w:instrText xml:space="preserve"> PAGEREF _Toc237509202 \h </w:instrText>
            </w:r>
            <w:r>
              <w:rPr>
                <w:noProof/>
                <w:webHidden/>
              </w:rPr>
            </w:r>
            <w:r>
              <w:rPr>
                <w:noProof/>
                <w:webHidden/>
              </w:rPr>
              <w:fldChar w:fldCharType="separate"/>
            </w:r>
            <w:r>
              <w:rPr>
                <w:noProof/>
                <w:webHidden/>
              </w:rPr>
              <w:t>20</w:t>
            </w:r>
            <w:r>
              <w:rPr>
                <w:noProof/>
                <w:webHidden/>
              </w:rPr>
              <w:fldChar w:fldCharType="end"/>
            </w:r>
          </w:hyperlink>
        </w:p>
        <w:p w14:paraId="34F2FF5C" w14:textId="3F751596" w:rsidR="004638BE" w:rsidRDefault="004638B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509203" w:history="1">
            <w:r w:rsidRPr="000943F1">
              <w:rPr>
                <w:rStyle w:val="Hyperlink"/>
                <w:rFonts w:ascii="Arial" w:hAnsi="Arial" w:cs="Arial"/>
                <w:noProof/>
              </w:rPr>
              <w:t>9. Conclusion</w:t>
            </w:r>
            <w:r>
              <w:rPr>
                <w:noProof/>
                <w:webHidden/>
              </w:rPr>
              <w:tab/>
            </w:r>
            <w:r>
              <w:rPr>
                <w:noProof/>
                <w:webHidden/>
              </w:rPr>
              <w:fldChar w:fldCharType="begin"/>
            </w:r>
            <w:r>
              <w:rPr>
                <w:noProof/>
                <w:webHidden/>
              </w:rPr>
              <w:instrText xml:space="preserve"> PAGEREF _Toc237509203 \h </w:instrText>
            </w:r>
            <w:r>
              <w:rPr>
                <w:noProof/>
                <w:webHidden/>
              </w:rPr>
            </w:r>
            <w:r>
              <w:rPr>
                <w:noProof/>
                <w:webHidden/>
              </w:rPr>
              <w:fldChar w:fldCharType="separate"/>
            </w:r>
            <w:r>
              <w:rPr>
                <w:noProof/>
                <w:webHidden/>
              </w:rPr>
              <w:t>20</w:t>
            </w:r>
            <w:r>
              <w:rPr>
                <w:noProof/>
                <w:webHidden/>
              </w:rPr>
              <w:fldChar w:fldCharType="end"/>
            </w:r>
          </w:hyperlink>
        </w:p>
        <w:p w14:paraId="693B3E77" w14:textId="262894C8" w:rsidR="004638BE" w:rsidRDefault="004638B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7509204" w:history="1">
            <w:r w:rsidRPr="000943F1">
              <w:rPr>
                <w:rStyle w:val="Hyperlink"/>
                <w:rFonts w:ascii="Arial" w:hAnsi="Arial" w:cs="Arial"/>
                <w:noProof/>
              </w:rPr>
              <w:t>Section 2: Reflective Account</w:t>
            </w:r>
            <w:r>
              <w:rPr>
                <w:noProof/>
                <w:webHidden/>
              </w:rPr>
              <w:tab/>
            </w:r>
            <w:r>
              <w:rPr>
                <w:noProof/>
                <w:webHidden/>
              </w:rPr>
              <w:fldChar w:fldCharType="begin"/>
            </w:r>
            <w:r>
              <w:rPr>
                <w:noProof/>
                <w:webHidden/>
              </w:rPr>
              <w:instrText xml:space="preserve"> PAGEREF _Toc237509204 \h </w:instrText>
            </w:r>
            <w:r>
              <w:rPr>
                <w:noProof/>
                <w:webHidden/>
              </w:rPr>
            </w:r>
            <w:r>
              <w:rPr>
                <w:noProof/>
                <w:webHidden/>
              </w:rPr>
              <w:fldChar w:fldCharType="separate"/>
            </w:r>
            <w:r>
              <w:rPr>
                <w:noProof/>
                <w:webHidden/>
              </w:rPr>
              <w:t>21</w:t>
            </w:r>
            <w:r>
              <w:rPr>
                <w:noProof/>
                <w:webHidden/>
              </w:rPr>
              <w:fldChar w:fldCharType="end"/>
            </w:r>
          </w:hyperlink>
        </w:p>
        <w:p w14:paraId="20D85777" w14:textId="2A8D483C" w:rsidR="004638BE" w:rsidRDefault="004638B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509205" w:history="1">
            <w:r w:rsidRPr="000943F1">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_Toc237509205 \h </w:instrText>
            </w:r>
            <w:r>
              <w:rPr>
                <w:noProof/>
                <w:webHidden/>
              </w:rPr>
            </w:r>
            <w:r>
              <w:rPr>
                <w:noProof/>
                <w:webHidden/>
              </w:rPr>
              <w:fldChar w:fldCharType="separate"/>
            </w:r>
            <w:r>
              <w:rPr>
                <w:noProof/>
                <w:webHidden/>
              </w:rPr>
              <w:t>21</w:t>
            </w:r>
            <w:r>
              <w:rPr>
                <w:noProof/>
                <w:webHidden/>
              </w:rPr>
              <w:fldChar w:fldCharType="end"/>
            </w:r>
          </w:hyperlink>
        </w:p>
        <w:p w14:paraId="26A029DA" w14:textId="1CF77A34" w:rsidR="004638BE" w:rsidRDefault="004638B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509206" w:history="1">
            <w:r w:rsidRPr="000943F1">
              <w:rPr>
                <w:rStyle w:val="Hyperlink"/>
                <w:rFonts w:ascii="Arial" w:hAnsi="Arial" w:cs="Arial"/>
                <w:noProof/>
              </w:rPr>
              <w:t>2. Description</w:t>
            </w:r>
            <w:r>
              <w:rPr>
                <w:noProof/>
                <w:webHidden/>
              </w:rPr>
              <w:tab/>
            </w:r>
            <w:r>
              <w:rPr>
                <w:noProof/>
                <w:webHidden/>
              </w:rPr>
              <w:fldChar w:fldCharType="begin"/>
            </w:r>
            <w:r>
              <w:rPr>
                <w:noProof/>
                <w:webHidden/>
              </w:rPr>
              <w:instrText xml:space="preserve"> PAGEREF _Toc237509206 \h </w:instrText>
            </w:r>
            <w:r>
              <w:rPr>
                <w:noProof/>
                <w:webHidden/>
              </w:rPr>
            </w:r>
            <w:r>
              <w:rPr>
                <w:noProof/>
                <w:webHidden/>
              </w:rPr>
              <w:fldChar w:fldCharType="separate"/>
            </w:r>
            <w:r>
              <w:rPr>
                <w:noProof/>
                <w:webHidden/>
              </w:rPr>
              <w:t>22</w:t>
            </w:r>
            <w:r>
              <w:rPr>
                <w:noProof/>
                <w:webHidden/>
              </w:rPr>
              <w:fldChar w:fldCharType="end"/>
            </w:r>
          </w:hyperlink>
        </w:p>
        <w:p w14:paraId="69725DD2" w14:textId="76AFABA9" w:rsidR="004638BE" w:rsidRDefault="004638B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509207" w:history="1">
            <w:r w:rsidRPr="000943F1">
              <w:rPr>
                <w:rStyle w:val="Hyperlink"/>
                <w:rFonts w:ascii="Arial" w:hAnsi="Arial" w:cs="Arial"/>
                <w:noProof/>
              </w:rPr>
              <w:t>3. Feelings</w:t>
            </w:r>
            <w:r>
              <w:rPr>
                <w:noProof/>
                <w:webHidden/>
              </w:rPr>
              <w:tab/>
            </w:r>
            <w:r>
              <w:rPr>
                <w:noProof/>
                <w:webHidden/>
              </w:rPr>
              <w:fldChar w:fldCharType="begin"/>
            </w:r>
            <w:r>
              <w:rPr>
                <w:noProof/>
                <w:webHidden/>
              </w:rPr>
              <w:instrText xml:space="preserve"> PAGEREF _Toc237509207 \h </w:instrText>
            </w:r>
            <w:r>
              <w:rPr>
                <w:noProof/>
                <w:webHidden/>
              </w:rPr>
            </w:r>
            <w:r>
              <w:rPr>
                <w:noProof/>
                <w:webHidden/>
              </w:rPr>
              <w:fldChar w:fldCharType="separate"/>
            </w:r>
            <w:r>
              <w:rPr>
                <w:noProof/>
                <w:webHidden/>
              </w:rPr>
              <w:t>23</w:t>
            </w:r>
            <w:r>
              <w:rPr>
                <w:noProof/>
                <w:webHidden/>
              </w:rPr>
              <w:fldChar w:fldCharType="end"/>
            </w:r>
          </w:hyperlink>
        </w:p>
        <w:p w14:paraId="63862205" w14:textId="1DED3093" w:rsidR="004638BE" w:rsidRDefault="004638B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509208" w:history="1">
            <w:r w:rsidRPr="000943F1">
              <w:rPr>
                <w:rStyle w:val="Hyperlink"/>
                <w:rFonts w:ascii="Arial" w:hAnsi="Arial" w:cs="Arial"/>
                <w:noProof/>
              </w:rPr>
              <w:t>4. Evaluation</w:t>
            </w:r>
            <w:r>
              <w:rPr>
                <w:noProof/>
                <w:webHidden/>
              </w:rPr>
              <w:tab/>
            </w:r>
            <w:r>
              <w:rPr>
                <w:noProof/>
                <w:webHidden/>
              </w:rPr>
              <w:fldChar w:fldCharType="begin"/>
            </w:r>
            <w:r>
              <w:rPr>
                <w:noProof/>
                <w:webHidden/>
              </w:rPr>
              <w:instrText xml:space="preserve"> PAGEREF _Toc237509208 \h </w:instrText>
            </w:r>
            <w:r>
              <w:rPr>
                <w:noProof/>
                <w:webHidden/>
              </w:rPr>
            </w:r>
            <w:r>
              <w:rPr>
                <w:noProof/>
                <w:webHidden/>
              </w:rPr>
              <w:fldChar w:fldCharType="separate"/>
            </w:r>
            <w:r>
              <w:rPr>
                <w:noProof/>
                <w:webHidden/>
              </w:rPr>
              <w:t>23</w:t>
            </w:r>
            <w:r>
              <w:rPr>
                <w:noProof/>
                <w:webHidden/>
              </w:rPr>
              <w:fldChar w:fldCharType="end"/>
            </w:r>
          </w:hyperlink>
        </w:p>
        <w:p w14:paraId="2BD406C4" w14:textId="0B23DF21" w:rsidR="004638BE" w:rsidRDefault="004638B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509209" w:history="1">
            <w:r w:rsidRPr="000943F1">
              <w:rPr>
                <w:rStyle w:val="Hyperlink"/>
                <w:rFonts w:ascii="Arial" w:hAnsi="Arial" w:cs="Arial"/>
                <w:noProof/>
              </w:rPr>
              <w:t>5. Analysis</w:t>
            </w:r>
            <w:r>
              <w:rPr>
                <w:noProof/>
                <w:webHidden/>
              </w:rPr>
              <w:tab/>
            </w:r>
            <w:r>
              <w:rPr>
                <w:noProof/>
                <w:webHidden/>
              </w:rPr>
              <w:fldChar w:fldCharType="begin"/>
            </w:r>
            <w:r>
              <w:rPr>
                <w:noProof/>
                <w:webHidden/>
              </w:rPr>
              <w:instrText xml:space="preserve"> PAGEREF _Toc237509209 \h </w:instrText>
            </w:r>
            <w:r>
              <w:rPr>
                <w:noProof/>
                <w:webHidden/>
              </w:rPr>
            </w:r>
            <w:r>
              <w:rPr>
                <w:noProof/>
                <w:webHidden/>
              </w:rPr>
              <w:fldChar w:fldCharType="separate"/>
            </w:r>
            <w:r>
              <w:rPr>
                <w:noProof/>
                <w:webHidden/>
              </w:rPr>
              <w:t>23</w:t>
            </w:r>
            <w:r>
              <w:rPr>
                <w:noProof/>
                <w:webHidden/>
              </w:rPr>
              <w:fldChar w:fldCharType="end"/>
            </w:r>
          </w:hyperlink>
        </w:p>
        <w:p w14:paraId="001444BB" w14:textId="29939D42" w:rsidR="004638BE" w:rsidRDefault="004638B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509210" w:history="1">
            <w:r w:rsidRPr="000943F1">
              <w:rPr>
                <w:rStyle w:val="Hyperlink"/>
                <w:rFonts w:ascii="Arial" w:hAnsi="Arial" w:cs="Arial"/>
                <w:noProof/>
              </w:rPr>
              <w:t>6. Conclusion</w:t>
            </w:r>
            <w:r>
              <w:rPr>
                <w:noProof/>
                <w:webHidden/>
              </w:rPr>
              <w:tab/>
            </w:r>
            <w:r>
              <w:rPr>
                <w:noProof/>
                <w:webHidden/>
              </w:rPr>
              <w:fldChar w:fldCharType="begin"/>
            </w:r>
            <w:r>
              <w:rPr>
                <w:noProof/>
                <w:webHidden/>
              </w:rPr>
              <w:instrText xml:space="preserve"> PAGEREF _Toc237509210 \h </w:instrText>
            </w:r>
            <w:r>
              <w:rPr>
                <w:noProof/>
                <w:webHidden/>
              </w:rPr>
            </w:r>
            <w:r>
              <w:rPr>
                <w:noProof/>
                <w:webHidden/>
              </w:rPr>
              <w:fldChar w:fldCharType="separate"/>
            </w:r>
            <w:r>
              <w:rPr>
                <w:noProof/>
                <w:webHidden/>
              </w:rPr>
              <w:t>24</w:t>
            </w:r>
            <w:r>
              <w:rPr>
                <w:noProof/>
                <w:webHidden/>
              </w:rPr>
              <w:fldChar w:fldCharType="end"/>
            </w:r>
          </w:hyperlink>
        </w:p>
        <w:p w14:paraId="249D5DE7" w14:textId="14CD974A" w:rsidR="004638BE" w:rsidRDefault="004638B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509211" w:history="1">
            <w:r w:rsidRPr="000943F1">
              <w:rPr>
                <w:rStyle w:val="Hyperlink"/>
                <w:rFonts w:ascii="Arial" w:hAnsi="Arial" w:cs="Arial"/>
                <w:noProof/>
              </w:rPr>
              <w:t>7. Action Plan</w:t>
            </w:r>
            <w:r>
              <w:rPr>
                <w:noProof/>
                <w:webHidden/>
              </w:rPr>
              <w:tab/>
            </w:r>
            <w:r>
              <w:rPr>
                <w:noProof/>
                <w:webHidden/>
              </w:rPr>
              <w:fldChar w:fldCharType="begin"/>
            </w:r>
            <w:r>
              <w:rPr>
                <w:noProof/>
                <w:webHidden/>
              </w:rPr>
              <w:instrText xml:space="preserve"> PAGEREF _Toc237509211 \h </w:instrText>
            </w:r>
            <w:r>
              <w:rPr>
                <w:noProof/>
                <w:webHidden/>
              </w:rPr>
            </w:r>
            <w:r>
              <w:rPr>
                <w:noProof/>
                <w:webHidden/>
              </w:rPr>
              <w:fldChar w:fldCharType="separate"/>
            </w:r>
            <w:r>
              <w:rPr>
                <w:noProof/>
                <w:webHidden/>
              </w:rPr>
              <w:t>24</w:t>
            </w:r>
            <w:r>
              <w:rPr>
                <w:noProof/>
                <w:webHidden/>
              </w:rPr>
              <w:fldChar w:fldCharType="end"/>
            </w:r>
          </w:hyperlink>
        </w:p>
        <w:p w14:paraId="44282197" w14:textId="45BD9CC3" w:rsidR="004638BE" w:rsidRDefault="004638B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7509212" w:history="1">
            <w:r w:rsidRPr="000943F1">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_Toc237509212 \h </w:instrText>
            </w:r>
            <w:r>
              <w:rPr>
                <w:noProof/>
                <w:webHidden/>
              </w:rPr>
            </w:r>
            <w:r>
              <w:rPr>
                <w:noProof/>
                <w:webHidden/>
              </w:rPr>
              <w:fldChar w:fldCharType="separate"/>
            </w:r>
            <w:r>
              <w:rPr>
                <w:noProof/>
                <w:webHidden/>
              </w:rPr>
              <w:t>26</w:t>
            </w:r>
            <w:r>
              <w:rPr>
                <w:noProof/>
                <w:webHidden/>
              </w:rPr>
              <w:fldChar w:fldCharType="end"/>
            </w:r>
          </w:hyperlink>
        </w:p>
        <w:p w14:paraId="529D6796" w14:textId="5844009C" w:rsidR="004638BE" w:rsidRDefault="004638B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7509213" w:history="1">
            <w:r w:rsidRPr="000943F1">
              <w:rPr>
                <w:rStyle w:val="Hyperlink"/>
                <w:rFonts w:ascii="Arial" w:hAnsi="Arial" w:cs="Arial"/>
                <w:noProof/>
              </w:rPr>
              <w:t>Appendices</w:t>
            </w:r>
            <w:r>
              <w:rPr>
                <w:noProof/>
                <w:webHidden/>
              </w:rPr>
              <w:tab/>
            </w:r>
            <w:r>
              <w:rPr>
                <w:noProof/>
                <w:webHidden/>
              </w:rPr>
              <w:fldChar w:fldCharType="begin"/>
            </w:r>
            <w:r>
              <w:rPr>
                <w:noProof/>
                <w:webHidden/>
              </w:rPr>
              <w:instrText xml:space="preserve"> PAGEREF _Toc237509213 \h </w:instrText>
            </w:r>
            <w:r>
              <w:rPr>
                <w:noProof/>
                <w:webHidden/>
              </w:rPr>
            </w:r>
            <w:r>
              <w:rPr>
                <w:noProof/>
                <w:webHidden/>
              </w:rPr>
              <w:fldChar w:fldCharType="separate"/>
            </w:r>
            <w:r>
              <w:rPr>
                <w:noProof/>
                <w:webHidden/>
              </w:rPr>
              <w:t>30</w:t>
            </w:r>
            <w:r>
              <w:rPr>
                <w:noProof/>
                <w:webHidden/>
              </w:rPr>
              <w:fldChar w:fldCharType="end"/>
            </w:r>
          </w:hyperlink>
        </w:p>
        <w:p w14:paraId="7B9BB523" w14:textId="597D42EF" w:rsidR="004638BE" w:rsidRDefault="004638B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509214" w:history="1">
            <w:r w:rsidRPr="000943F1">
              <w:rPr>
                <w:rStyle w:val="Hyperlink"/>
                <w:rFonts w:ascii="Arial" w:hAnsi="Arial" w:cs="Arial"/>
                <w:noProof/>
              </w:rPr>
              <w:t>Appendix A: Hofstede Cultural Dimension Scores — Germany and India</w:t>
            </w:r>
            <w:r>
              <w:rPr>
                <w:noProof/>
                <w:webHidden/>
              </w:rPr>
              <w:tab/>
            </w:r>
            <w:r>
              <w:rPr>
                <w:noProof/>
                <w:webHidden/>
              </w:rPr>
              <w:fldChar w:fldCharType="begin"/>
            </w:r>
            <w:r>
              <w:rPr>
                <w:noProof/>
                <w:webHidden/>
              </w:rPr>
              <w:instrText xml:space="preserve"> PAGEREF _Toc237509214 \h </w:instrText>
            </w:r>
            <w:r>
              <w:rPr>
                <w:noProof/>
                <w:webHidden/>
              </w:rPr>
            </w:r>
            <w:r>
              <w:rPr>
                <w:noProof/>
                <w:webHidden/>
              </w:rPr>
              <w:fldChar w:fldCharType="separate"/>
            </w:r>
            <w:r>
              <w:rPr>
                <w:noProof/>
                <w:webHidden/>
              </w:rPr>
              <w:t>30</w:t>
            </w:r>
            <w:r>
              <w:rPr>
                <w:noProof/>
                <w:webHidden/>
              </w:rPr>
              <w:fldChar w:fldCharType="end"/>
            </w:r>
          </w:hyperlink>
        </w:p>
        <w:p w14:paraId="1F810324" w14:textId="30735BCF" w:rsidR="004638BE" w:rsidRDefault="004638B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509215" w:history="1">
            <w:r w:rsidRPr="000943F1">
              <w:rPr>
                <w:rStyle w:val="Hyperlink"/>
                <w:rFonts w:ascii="Arial" w:hAnsi="Arial" w:cs="Arial"/>
                <w:noProof/>
              </w:rPr>
              <w:t>Appendix B: International Entry Mode Comparison</w:t>
            </w:r>
            <w:r>
              <w:rPr>
                <w:noProof/>
                <w:webHidden/>
              </w:rPr>
              <w:tab/>
            </w:r>
            <w:r>
              <w:rPr>
                <w:noProof/>
                <w:webHidden/>
              </w:rPr>
              <w:fldChar w:fldCharType="begin"/>
            </w:r>
            <w:r>
              <w:rPr>
                <w:noProof/>
                <w:webHidden/>
              </w:rPr>
              <w:instrText xml:space="preserve"> PAGEREF _Toc237509215 \h </w:instrText>
            </w:r>
            <w:r>
              <w:rPr>
                <w:noProof/>
                <w:webHidden/>
              </w:rPr>
            </w:r>
            <w:r>
              <w:rPr>
                <w:noProof/>
                <w:webHidden/>
              </w:rPr>
              <w:fldChar w:fldCharType="separate"/>
            </w:r>
            <w:r>
              <w:rPr>
                <w:noProof/>
                <w:webHidden/>
              </w:rPr>
              <w:t>31</w:t>
            </w:r>
            <w:r>
              <w:rPr>
                <w:noProof/>
                <w:webHidden/>
              </w:rPr>
              <w:fldChar w:fldCharType="end"/>
            </w:r>
          </w:hyperlink>
        </w:p>
        <w:p w14:paraId="336246A2" w14:textId="16BD089A" w:rsidR="004638BE" w:rsidRDefault="004638B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509216" w:history="1">
            <w:r w:rsidRPr="000943F1">
              <w:rPr>
                <w:rStyle w:val="Hyperlink"/>
                <w:rFonts w:ascii="Arial" w:hAnsi="Arial" w:cs="Arial"/>
                <w:noProof/>
              </w:rPr>
              <w:t>Appendix C: Segmentation, Targeting and Positioning (STP)</w:t>
            </w:r>
            <w:r>
              <w:rPr>
                <w:noProof/>
                <w:webHidden/>
              </w:rPr>
              <w:tab/>
            </w:r>
            <w:r>
              <w:rPr>
                <w:noProof/>
                <w:webHidden/>
              </w:rPr>
              <w:fldChar w:fldCharType="begin"/>
            </w:r>
            <w:r>
              <w:rPr>
                <w:noProof/>
                <w:webHidden/>
              </w:rPr>
              <w:instrText xml:space="preserve"> PAGEREF _Toc237509216 \h </w:instrText>
            </w:r>
            <w:r>
              <w:rPr>
                <w:noProof/>
                <w:webHidden/>
              </w:rPr>
            </w:r>
            <w:r>
              <w:rPr>
                <w:noProof/>
                <w:webHidden/>
              </w:rPr>
              <w:fldChar w:fldCharType="separate"/>
            </w:r>
            <w:r>
              <w:rPr>
                <w:noProof/>
                <w:webHidden/>
              </w:rPr>
              <w:t>32</w:t>
            </w:r>
            <w:r>
              <w:rPr>
                <w:noProof/>
                <w:webHidden/>
              </w:rPr>
              <w:fldChar w:fldCharType="end"/>
            </w:r>
          </w:hyperlink>
        </w:p>
        <w:p w14:paraId="5C3C846D" w14:textId="28558FC5" w:rsidR="004638BE" w:rsidRDefault="004638BE">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7509217" w:history="1">
            <w:r w:rsidRPr="000943F1">
              <w:rPr>
                <w:rStyle w:val="Hyperlink"/>
                <w:rFonts w:ascii="Arial" w:hAnsi="Arial" w:cs="Arial"/>
                <w:noProof/>
              </w:rPr>
              <w:t>Appendix D: 7Ps Standardization–Adaptation Rationale</w:t>
            </w:r>
            <w:r>
              <w:rPr>
                <w:noProof/>
                <w:webHidden/>
              </w:rPr>
              <w:tab/>
            </w:r>
            <w:r>
              <w:rPr>
                <w:noProof/>
                <w:webHidden/>
              </w:rPr>
              <w:fldChar w:fldCharType="begin"/>
            </w:r>
            <w:r>
              <w:rPr>
                <w:noProof/>
                <w:webHidden/>
              </w:rPr>
              <w:instrText xml:space="preserve"> PAGEREF _Toc237509217 \h </w:instrText>
            </w:r>
            <w:r>
              <w:rPr>
                <w:noProof/>
                <w:webHidden/>
              </w:rPr>
            </w:r>
            <w:r>
              <w:rPr>
                <w:noProof/>
                <w:webHidden/>
              </w:rPr>
              <w:fldChar w:fldCharType="separate"/>
            </w:r>
            <w:r>
              <w:rPr>
                <w:noProof/>
                <w:webHidden/>
              </w:rPr>
              <w:t>33</w:t>
            </w:r>
            <w:r>
              <w:rPr>
                <w:noProof/>
                <w:webHidden/>
              </w:rPr>
              <w:fldChar w:fldCharType="end"/>
            </w:r>
          </w:hyperlink>
        </w:p>
        <w:p w14:paraId="74CEF565" w14:textId="18B11FB1" w:rsidR="009B01BA" w:rsidRPr="0018665E" w:rsidRDefault="009B01BA" w:rsidP="009B01BA">
          <w:pPr>
            <w:spacing w:after="100" w:afterAutospacing="1" w:line="360" w:lineRule="auto"/>
            <w:jc w:val="both"/>
            <w:rPr>
              <w:rFonts w:ascii="Arial" w:hAnsi="Arial" w:cs="Arial"/>
            </w:rPr>
          </w:pPr>
          <w:r w:rsidRPr="0018665E">
            <w:rPr>
              <w:rFonts w:ascii="Arial" w:hAnsi="Arial" w:cs="Arial"/>
              <w:b/>
              <w:bCs/>
              <w:noProof/>
              <w:sz w:val="24"/>
              <w:szCs w:val="24"/>
            </w:rPr>
            <w:fldChar w:fldCharType="end"/>
          </w:r>
        </w:p>
      </w:sdtContent>
    </w:sdt>
    <w:p w14:paraId="00D03F30" w14:textId="77777777" w:rsidR="009B01BA" w:rsidRPr="0018665E" w:rsidRDefault="009B01BA" w:rsidP="009B01BA">
      <w:pPr>
        <w:spacing w:after="100" w:afterAutospacing="1"/>
        <w:rPr>
          <w:rFonts w:ascii="Arial" w:hAnsi="Arial" w:cs="Arial"/>
          <w:b/>
          <w:bCs/>
          <w:sz w:val="24"/>
          <w:szCs w:val="24"/>
        </w:rPr>
      </w:pPr>
      <w:r w:rsidRPr="0018665E">
        <w:rPr>
          <w:rFonts w:ascii="Arial" w:hAnsi="Arial" w:cs="Arial"/>
        </w:rPr>
        <w:br w:type="page"/>
      </w:r>
    </w:p>
    <w:p w14:paraId="0C8FAF09" w14:textId="7E5E4028" w:rsidR="00CA788D" w:rsidRPr="0018665E" w:rsidRDefault="00CA788D" w:rsidP="009B01BA">
      <w:pPr>
        <w:pStyle w:val="Heading1"/>
        <w:spacing w:after="100" w:afterAutospacing="1"/>
        <w:rPr>
          <w:rFonts w:ascii="Arial" w:hAnsi="Arial" w:cs="Arial"/>
          <w:color w:val="auto"/>
        </w:rPr>
      </w:pPr>
      <w:bookmarkStart w:id="0" w:name="_Toc237509167"/>
      <w:r w:rsidRPr="0018665E">
        <w:rPr>
          <w:rFonts w:ascii="Arial" w:hAnsi="Arial" w:cs="Arial"/>
          <w:color w:val="auto"/>
        </w:rPr>
        <w:lastRenderedPageBreak/>
        <w:t>Section 1: International Market Entry Strategy and Marketing Mix Report</w:t>
      </w:r>
      <w:bookmarkEnd w:id="0"/>
    </w:p>
    <w:p w14:paraId="2540D177" w14:textId="7D49A018" w:rsidR="00D51F63" w:rsidRPr="0018665E" w:rsidRDefault="00000000" w:rsidP="009B01BA">
      <w:pPr>
        <w:pStyle w:val="Heading2"/>
        <w:spacing w:after="100" w:afterAutospacing="1"/>
        <w:rPr>
          <w:rFonts w:ascii="Arial" w:hAnsi="Arial" w:cs="Arial"/>
          <w:color w:val="auto"/>
        </w:rPr>
      </w:pPr>
      <w:bookmarkStart w:id="1" w:name="_Toc237509168"/>
      <w:r w:rsidRPr="0018665E">
        <w:rPr>
          <w:rFonts w:ascii="Arial" w:hAnsi="Arial" w:cs="Arial"/>
          <w:color w:val="auto"/>
        </w:rPr>
        <w:t>1. Introduction</w:t>
      </w:r>
      <w:bookmarkEnd w:id="1"/>
    </w:p>
    <w:p w14:paraId="6BDA254E" w14:textId="3288BEEE"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Adidas AG has been chosen as the center of focus in this report and Germany as the mother country and India as the target country. Adidas headquartered in Herzogenaurach, Bavaria, continues to host the hostage Germany offers to the process of corporate rule, product design and brand heritage. Its choice as the host market is </w:t>
      </w:r>
      <w:r w:rsidR="00470A49" w:rsidRPr="0018665E">
        <w:rPr>
          <w:rFonts w:ascii="Arial" w:hAnsi="Arial" w:cs="Arial"/>
          <w:sz w:val="24"/>
          <w:szCs w:val="24"/>
        </w:rPr>
        <w:t>since</w:t>
      </w:r>
      <w:r w:rsidRPr="0018665E">
        <w:rPr>
          <w:rFonts w:ascii="Arial" w:hAnsi="Arial" w:cs="Arial"/>
          <w:sz w:val="24"/>
          <w:szCs w:val="24"/>
        </w:rPr>
        <w:t xml:space="preserve"> India is a country with both high consumer market growth and high cultural and institutional distance between India and Germany which will pose a challenging test of the international marketing mix of Adidas. To generate profits, global clothing companies are increasingly adopting institutionalized processes to enable them to manage such distance.</w:t>
      </w:r>
    </w:p>
    <w:p w14:paraId="06A6322C" w14:textId="431188BA" w:rsidR="00D51F63"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This report has compared the two markets with the PESTEL and Hofstede systems and then compared them with segmentation, targeting and positioning (STP) and the evaluation using the international marketing mix (7Ps). It subsequently analyzes the market entry approach of Adidas in India, ethical concerns relating to the strategy, and concludes with research </w:t>
      </w:r>
      <w:r w:rsidR="00470A49" w:rsidRPr="0018665E">
        <w:rPr>
          <w:rFonts w:ascii="Arial" w:hAnsi="Arial" w:cs="Arial"/>
          <w:sz w:val="24"/>
          <w:szCs w:val="24"/>
        </w:rPr>
        <w:t>findings-based</w:t>
      </w:r>
      <w:r w:rsidRPr="0018665E">
        <w:rPr>
          <w:rFonts w:ascii="Arial" w:hAnsi="Arial" w:cs="Arial"/>
          <w:sz w:val="24"/>
          <w:szCs w:val="24"/>
        </w:rPr>
        <w:t xml:space="preserve"> proposals. Comparative method illustrates the prevailing approach of </w:t>
      </w:r>
      <w:r w:rsidR="00470A49" w:rsidRPr="0018665E">
        <w:rPr>
          <w:rFonts w:ascii="Arial" w:hAnsi="Arial" w:cs="Arial"/>
          <w:sz w:val="24"/>
          <w:szCs w:val="24"/>
        </w:rPr>
        <w:t>international</w:t>
      </w:r>
      <w:r w:rsidRPr="0018665E">
        <w:rPr>
          <w:rFonts w:ascii="Arial" w:hAnsi="Arial" w:cs="Arial"/>
          <w:sz w:val="24"/>
          <w:szCs w:val="24"/>
        </w:rPr>
        <w:t xml:space="preserve"> business studies; it takes the host-home dissimilarities to the core of the entry-mode and marketing-mix decision within the newly established markets (</w:t>
      </w:r>
      <w:proofErr w:type="spellStart"/>
      <w:r w:rsidRPr="0018665E">
        <w:rPr>
          <w:rFonts w:ascii="Arial" w:hAnsi="Arial" w:cs="Arial"/>
          <w:sz w:val="24"/>
          <w:szCs w:val="24"/>
        </w:rPr>
        <w:t>Fregidou</w:t>
      </w:r>
      <w:proofErr w:type="spellEnd"/>
      <w:r w:rsidRPr="0018665E">
        <w:rPr>
          <w:rFonts w:ascii="Arial" w:hAnsi="Arial" w:cs="Arial"/>
          <w:sz w:val="24"/>
          <w:szCs w:val="24"/>
        </w:rPr>
        <w:t xml:space="preserve">-Malama et al., 2023). </w:t>
      </w:r>
      <w:r w:rsidR="00470A49" w:rsidRPr="0018665E">
        <w:rPr>
          <w:rFonts w:ascii="Arial" w:hAnsi="Arial" w:cs="Arial"/>
          <w:sz w:val="24"/>
          <w:szCs w:val="24"/>
        </w:rPr>
        <w:t>All</w:t>
      </w:r>
      <w:r w:rsidRPr="0018665E">
        <w:rPr>
          <w:rFonts w:ascii="Arial" w:hAnsi="Arial" w:cs="Arial"/>
          <w:sz w:val="24"/>
          <w:szCs w:val="24"/>
        </w:rPr>
        <w:t xml:space="preserve"> the analytical claims are based on peer-reviewed references released since 2020, which reflect the present-day academic knowledge of cross-cultural marketing.</w:t>
      </w:r>
    </w:p>
    <w:p w14:paraId="30DF6CC5" w14:textId="77777777" w:rsidR="00D51F63" w:rsidRPr="0018665E" w:rsidRDefault="00000000" w:rsidP="009B01BA">
      <w:pPr>
        <w:pStyle w:val="Heading2"/>
        <w:spacing w:after="100" w:afterAutospacing="1"/>
        <w:rPr>
          <w:rFonts w:ascii="Arial" w:hAnsi="Arial" w:cs="Arial"/>
          <w:color w:val="auto"/>
        </w:rPr>
      </w:pPr>
      <w:bookmarkStart w:id="2" w:name="_Toc237509169"/>
      <w:r w:rsidRPr="0018665E">
        <w:rPr>
          <w:rFonts w:ascii="Arial" w:hAnsi="Arial" w:cs="Arial"/>
          <w:color w:val="auto"/>
        </w:rPr>
        <w:t>2. Comparative Macro-Environmental Analysis (PESTEL)</w:t>
      </w:r>
      <w:bookmarkEnd w:id="2"/>
    </w:p>
    <w:p w14:paraId="16260FCC" w14:textId="12B7205D"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The comparative analysis of Germany and India is presented in a PESTEL framework relating the two countries in six dimensions of macro-environment. </w:t>
      </w:r>
    </w:p>
    <w:tbl>
      <w:tblPr>
        <w:tblStyle w:val="TableGrid"/>
        <w:tblW w:w="9400" w:type="dxa"/>
        <w:tblLook w:val="04A0" w:firstRow="1" w:lastRow="0" w:firstColumn="1" w:lastColumn="0" w:noHBand="0" w:noVBand="1"/>
      </w:tblPr>
      <w:tblGrid>
        <w:gridCol w:w="2000"/>
        <w:gridCol w:w="3700"/>
        <w:gridCol w:w="3700"/>
      </w:tblGrid>
      <w:tr w:rsidR="0098233A" w:rsidRPr="0018665E" w14:paraId="11D35127" w14:textId="77777777" w:rsidTr="00356866">
        <w:tc>
          <w:tcPr>
            <w:tcW w:w="2000" w:type="dxa"/>
          </w:tcPr>
          <w:p w14:paraId="4D38D429"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b/>
                <w:bCs/>
                <w:sz w:val="24"/>
                <w:szCs w:val="24"/>
              </w:rPr>
              <w:t>Factor</w:t>
            </w:r>
          </w:p>
        </w:tc>
        <w:tc>
          <w:tcPr>
            <w:tcW w:w="3700" w:type="dxa"/>
          </w:tcPr>
          <w:p w14:paraId="182FF493"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b/>
                <w:bCs/>
                <w:sz w:val="24"/>
                <w:szCs w:val="24"/>
              </w:rPr>
              <w:t>Germany (Home)</w:t>
            </w:r>
          </w:p>
        </w:tc>
        <w:tc>
          <w:tcPr>
            <w:tcW w:w="3700" w:type="dxa"/>
          </w:tcPr>
          <w:p w14:paraId="02C6706A"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b/>
                <w:bCs/>
                <w:sz w:val="24"/>
                <w:szCs w:val="24"/>
              </w:rPr>
              <w:t>India (Host)</w:t>
            </w:r>
          </w:p>
        </w:tc>
      </w:tr>
      <w:tr w:rsidR="0098233A" w:rsidRPr="0018665E" w14:paraId="268A0BB8" w14:textId="77777777" w:rsidTr="00356866">
        <w:tc>
          <w:tcPr>
            <w:tcW w:w="2000" w:type="dxa"/>
          </w:tcPr>
          <w:p w14:paraId="72DCF2F3"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Political</w:t>
            </w:r>
          </w:p>
        </w:tc>
        <w:tc>
          <w:tcPr>
            <w:tcW w:w="3700" w:type="dxa"/>
          </w:tcPr>
          <w:p w14:paraId="21614472"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EU-level due diligence regulation; stable, </w:t>
            </w:r>
            <w:proofErr w:type="spellStart"/>
            <w:r w:rsidRPr="0018665E">
              <w:rPr>
                <w:rFonts w:ascii="Arial" w:hAnsi="Arial" w:cs="Arial"/>
                <w:sz w:val="24"/>
                <w:szCs w:val="24"/>
              </w:rPr>
              <w:t>centralised</w:t>
            </w:r>
            <w:proofErr w:type="spellEnd"/>
            <w:r w:rsidRPr="0018665E">
              <w:rPr>
                <w:rFonts w:ascii="Arial" w:hAnsi="Arial" w:cs="Arial"/>
                <w:sz w:val="24"/>
                <w:szCs w:val="24"/>
              </w:rPr>
              <w:t xml:space="preserve"> policy</w:t>
            </w:r>
          </w:p>
        </w:tc>
        <w:tc>
          <w:tcPr>
            <w:tcW w:w="3700" w:type="dxa"/>
          </w:tcPr>
          <w:p w14:paraId="2B8BA01C" w14:textId="0071D4B2"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State-level policy variation; </w:t>
            </w:r>
            <w:r w:rsidR="00470A49" w:rsidRPr="0018665E">
              <w:rPr>
                <w:rFonts w:ascii="Arial" w:hAnsi="Arial" w:cs="Arial"/>
                <w:sz w:val="24"/>
                <w:szCs w:val="24"/>
              </w:rPr>
              <w:t>liberalizing</w:t>
            </w:r>
            <w:r w:rsidRPr="0018665E">
              <w:rPr>
                <w:rFonts w:ascii="Arial" w:hAnsi="Arial" w:cs="Arial"/>
                <w:sz w:val="24"/>
                <w:szCs w:val="24"/>
              </w:rPr>
              <w:t xml:space="preserve"> FDI regime</w:t>
            </w:r>
          </w:p>
        </w:tc>
      </w:tr>
      <w:tr w:rsidR="0098233A" w:rsidRPr="0018665E" w14:paraId="4FECDA1C" w14:textId="77777777" w:rsidTr="00356866">
        <w:tc>
          <w:tcPr>
            <w:tcW w:w="2000" w:type="dxa"/>
          </w:tcPr>
          <w:p w14:paraId="18F05881"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lastRenderedPageBreak/>
              <w:t>Economic</w:t>
            </w:r>
          </w:p>
        </w:tc>
        <w:tc>
          <w:tcPr>
            <w:tcW w:w="3700" w:type="dxa"/>
          </w:tcPr>
          <w:p w14:paraId="57800B5A"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Mature, export-led, cost-competitive manufacturing</w:t>
            </w:r>
          </w:p>
        </w:tc>
        <w:tc>
          <w:tcPr>
            <w:tcW w:w="3700" w:type="dxa"/>
          </w:tcPr>
          <w:p w14:paraId="66406844"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Fast-growing consumption, expanding urban middle class</w:t>
            </w:r>
          </w:p>
        </w:tc>
      </w:tr>
      <w:tr w:rsidR="0098233A" w:rsidRPr="0018665E" w14:paraId="65B71772" w14:textId="77777777" w:rsidTr="00356866">
        <w:tc>
          <w:tcPr>
            <w:tcW w:w="2000" w:type="dxa"/>
          </w:tcPr>
          <w:p w14:paraId="4C78431B"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Social</w:t>
            </w:r>
          </w:p>
        </w:tc>
        <w:tc>
          <w:tcPr>
            <w:tcW w:w="3700" w:type="dxa"/>
          </w:tcPr>
          <w:p w14:paraId="3CB341F8"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Individualistic, quality- and sustainability-conscious</w:t>
            </w:r>
          </w:p>
        </w:tc>
        <w:tc>
          <w:tcPr>
            <w:tcW w:w="3700" w:type="dxa"/>
          </w:tcPr>
          <w:p w14:paraId="43F694CB"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Collectivist, aspirational, family-influenced purchasing</w:t>
            </w:r>
          </w:p>
        </w:tc>
      </w:tr>
      <w:tr w:rsidR="0098233A" w:rsidRPr="0018665E" w14:paraId="279A1F6D" w14:textId="77777777" w:rsidTr="00356866">
        <w:tc>
          <w:tcPr>
            <w:tcW w:w="2000" w:type="dxa"/>
          </w:tcPr>
          <w:p w14:paraId="3C0B593D"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Technological</w:t>
            </w:r>
          </w:p>
        </w:tc>
        <w:tc>
          <w:tcPr>
            <w:tcW w:w="3700" w:type="dxa"/>
          </w:tcPr>
          <w:p w14:paraId="1A6B576C"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Mature omnichannel e-commerce infrastructure</w:t>
            </w:r>
          </w:p>
        </w:tc>
        <w:tc>
          <w:tcPr>
            <w:tcW w:w="3700" w:type="dxa"/>
          </w:tcPr>
          <w:p w14:paraId="2305910B"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Mobile-first, social-media-driven digital adoption</w:t>
            </w:r>
          </w:p>
        </w:tc>
      </w:tr>
      <w:tr w:rsidR="0098233A" w:rsidRPr="0018665E" w14:paraId="70866C5B" w14:textId="77777777" w:rsidTr="00356866">
        <w:tc>
          <w:tcPr>
            <w:tcW w:w="2000" w:type="dxa"/>
          </w:tcPr>
          <w:p w14:paraId="5EB45690"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Environmental</w:t>
            </w:r>
          </w:p>
        </w:tc>
        <w:tc>
          <w:tcPr>
            <w:tcW w:w="3700" w:type="dxa"/>
          </w:tcPr>
          <w:p w14:paraId="4769B478" w14:textId="5DE87D3E"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High disclosure requirements; greenwashing </w:t>
            </w:r>
            <w:r w:rsidR="00470A49" w:rsidRPr="0018665E">
              <w:rPr>
                <w:rFonts w:ascii="Arial" w:hAnsi="Arial" w:cs="Arial"/>
                <w:sz w:val="24"/>
                <w:szCs w:val="24"/>
              </w:rPr>
              <w:t>skepticism</w:t>
            </w:r>
          </w:p>
        </w:tc>
        <w:tc>
          <w:tcPr>
            <w:tcW w:w="3700" w:type="dxa"/>
          </w:tcPr>
          <w:p w14:paraId="3D3D377C"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Emerging urban environmental awareness</w:t>
            </w:r>
          </w:p>
        </w:tc>
      </w:tr>
      <w:tr w:rsidR="0098233A" w:rsidRPr="0018665E" w14:paraId="519022F6" w14:textId="77777777" w:rsidTr="00356866">
        <w:tc>
          <w:tcPr>
            <w:tcW w:w="2000" w:type="dxa"/>
          </w:tcPr>
          <w:p w14:paraId="6FF7D6DE"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Legal</w:t>
            </w:r>
          </w:p>
        </w:tc>
        <w:tc>
          <w:tcPr>
            <w:tcW w:w="3700" w:type="dxa"/>
          </w:tcPr>
          <w:p w14:paraId="11FAED93"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Mandatory supply chain due diligence liability</w:t>
            </w:r>
          </w:p>
        </w:tc>
        <w:tc>
          <w:tcPr>
            <w:tcW w:w="3700" w:type="dxa"/>
          </w:tcPr>
          <w:p w14:paraId="6278DBAB" w14:textId="620CBF6B" w:rsidR="0098233A" w:rsidRPr="0018665E" w:rsidRDefault="00470A49" w:rsidP="009B01BA">
            <w:pPr>
              <w:spacing w:after="100" w:afterAutospacing="1" w:line="360" w:lineRule="auto"/>
              <w:jc w:val="both"/>
              <w:rPr>
                <w:rFonts w:ascii="Arial" w:hAnsi="Arial" w:cs="Arial"/>
                <w:sz w:val="24"/>
                <w:szCs w:val="24"/>
              </w:rPr>
            </w:pPr>
            <w:r w:rsidRPr="0018665E">
              <w:rPr>
                <w:rFonts w:ascii="Arial" w:hAnsi="Arial" w:cs="Arial"/>
                <w:sz w:val="24"/>
                <w:szCs w:val="24"/>
              </w:rPr>
              <w:t>Liberalized</w:t>
            </w:r>
            <w:r w:rsidR="0098233A" w:rsidRPr="0018665E">
              <w:rPr>
                <w:rFonts w:ascii="Arial" w:hAnsi="Arial" w:cs="Arial"/>
                <w:sz w:val="24"/>
                <w:szCs w:val="24"/>
              </w:rPr>
              <w:t xml:space="preserve"> investment rules; uneven </w:t>
            </w:r>
            <w:proofErr w:type="spellStart"/>
            <w:r w:rsidR="0098233A" w:rsidRPr="0018665E">
              <w:rPr>
                <w:rFonts w:ascii="Arial" w:hAnsi="Arial" w:cs="Arial"/>
                <w:sz w:val="24"/>
                <w:szCs w:val="24"/>
              </w:rPr>
              <w:t>labour</w:t>
            </w:r>
            <w:proofErr w:type="spellEnd"/>
            <w:r w:rsidR="0098233A" w:rsidRPr="0018665E">
              <w:rPr>
                <w:rFonts w:ascii="Arial" w:hAnsi="Arial" w:cs="Arial"/>
                <w:sz w:val="24"/>
                <w:szCs w:val="24"/>
              </w:rPr>
              <w:t xml:space="preserve"> enforcement</w:t>
            </w:r>
          </w:p>
        </w:tc>
      </w:tr>
    </w:tbl>
    <w:p w14:paraId="1F4E33CD" w14:textId="05405233" w:rsidR="0098233A" w:rsidRPr="0018665E" w:rsidRDefault="0098233A" w:rsidP="009B01BA">
      <w:pPr>
        <w:spacing w:after="100" w:afterAutospacing="1" w:line="360" w:lineRule="auto"/>
        <w:jc w:val="center"/>
        <w:rPr>
          <w:rFonts w:ascii="Arial" w:hAnsi="Arial" w:cs="Arial"/>
          <w:b/>
          <w:bCs/>
          <w:sz w:val="24"/>
          <w:szCs w:val="24"/>
        </w:rPr>
      </w:pPr>
      <w:r w:rsidRPr="0018665E">
        <w:rPr>
          <w:rFonts w:ascii="Arial" w:hAnsi="Arial" w:cs="Arial"/>
          <w:b/>
          <w:bCs/>
          <w:sz w:val="24"/>
          <w:szCs w:val="24"/>
        </w:rPr>
        <w:t>Table 1: Comparative PESTEL Summary — Germany and India</w:t>
      </w:r>
    </w:p>
    <w:p w14:paraId="7B2BE296" w14:textId="28BB1446" w:rsidR="00470A49" w:rsidRPr="0018665E" w:rsidRDefault="00277FA8" w:rsidP="009B01BA">
      <w:pPr>
        <w:spacing w:before="200" w:after="100" w:afterAutospacing="1" w:line="360" w:lineRule="auto"/>
        <w:jc w:val="both"/>
        <w:rPr>
          <w:rFonts w:ascii="Arial" w:hAnsi="Arial" w:cs="Arial"/>
          <w:sz w:val="24"/>
          <w:szCs w:val="24"/>
        </w:rPr>
      </w:pPr>
      <w:r w:rsidRPr="0018665E">
        <w:rPr>
          <w:rFonts w:ascii="Arial" w:hAnsi="Arial" w:cs="Arial"/>
          <w:noProof/>
        </w:rPr>
        <w:drawing>
          <wp:inline distT="0" distB="0" distL="0" distR="0" wp14:anchorId="2C059713" wp14:editId="78C17373">
            <wp:extent cx="5731510" cy="3606800"/>
            <wp:effectExtent l="0" t="0" r="2540" b="12700"/>
            <wp:docPr id="1905531557"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605E4EC" w14:textId="306C21E9" w:rsidR="00470A49" w:rsidRPr="0018665E" w:rsidRDefault="00470A49" w:rsidP="009B01BA">
      <w:pPr>
        <w:spacing w:before="80" w:after="100" w:afterAutospacing="1" w:line="360" w:lineRule="auto"/>
        <w:jc w:val="center"/>
        <w:rPr>
          <w:rFonts w:ascii="Arial" w:hAnsi="Arial" w:cs="Arial"/>
          <w:b/>
          <w:bCs/>
          <w:sz w:val="24"/>
          <w:szCs w:val="24"/>
        </w:rPr>
      </w:pPr>
      <w:r w:rsidRPr="0018665E">
        <w:rPr>
          <w:rFonts w:ascii="Arial" w:hAnsi="Arial" w:cs="Arial"/>
          <w:b/>
          <w:bCs/>
          <w:sz w:val="24"/>
          <w:szCs w:val="24"/>
        </w:rPr>
        <w:t>Figure 1: Comparison of PESTEL Pressure Intensity Across Germany and India</w:t>
      </w:r>
    </w:p>
    <w:p w14:paraId="2821E935" w14:textId="77777777" w:rsidR="00D51F63" w:rsidRPr="0018665E" w:rsidRDefault="00000000" w:rsidP="009B01BA">
      <w:pPr>
        <w:pStyle w:val="Heading3"/>
        <w:rPr>
          <w:rFonts w:ascii="Arial" w:hAnsi="Arial" w:cs="Arial"/>
          <w:color w:val="auto"/>
        </w:rPr>
      </w:pPr>
      <w:bookmarkStart w:id="3" w:name="_Toc237509170"/>
      <w:r w:rsidRPr="0018665E">
        <w:rPr>
          <w:rFonts w:ascii="Arial" w:hAnsi="Arial" w:cs="Arial"/>
          <w:color w:val="auto"/>
        </w:rPr>
        <w:t>2.1 Political Factors</w:t>
      </w:r>
      <w:bookmarkEnd w:id="3"/>
    </w:p>
    <w:p w14:paraId="37FC5F62" w14:textId="16614CA1" w:rsidR="00D51F63"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Germany functions under a regulatory framework of the European Union yet, the latter is growing to force the apparel firms to formulate supply chain responsibility by binding due diligence responsibility (LeBaron et al., 2021). Such a regulation increases </w:t>
      </w:r>
      <w:r w:rsidRPr="0018665E">
        <w:rPr>
          <w:rFonts w:ascii="Arial" w:hAnsi="Arial" w:cs="Arial"/>
          <w:sz w:val="24"/>
          <w:szCs w:val="24"/>
        </w:rPr>
        <w:lastRenderedPageBreak/>
        <w:t xml:space="preserve">compliance-related costs but also protects reputational capital of companies that </w:t>
      </w:r>
      <w:r w:rsidR="00470A49" w:rsidRPr="0018665E">
        <w:rPr>
          <w:rFonts w:ascii="Arial" w:hAnsi="Arial" w:cs="Arial"/>
          <w:sz w:val="24"/>
          <w:szCs w:val="24"/>
        </w:rPr>
        <w:t>are in</w:t>
      </w:r>
      <w:r w:rsidRPr="0018665E">
        <w:rPr>
          <w:rFonts w:ascii="Arial" w:hAnsi="Arial" w:cs="Arial"/>
          <w:sz w:val="24"/>
          <w:szCs w:val="24"/>
        </w:rPr>
        <w:t xml:space="preserve"> such firms. Political climate in India is rather disaggregated and the </w:t>
      </w:r>
      <w:proofErr w:type="spellStart"/>
      <w:r w:rsidRPr="0018665E">
        <w:rPr>
          <w:rFonts w:ascii="Arial" w:hAnsi="Arial" w:cs="Arial"/>
          <w:sz w:val="24"/>
          <w:szCs w:val="24"/>
        </w:rPr>
        <w:t>labour</w:t>
      </w:r>
      <w:proofErr w:type="spellEnd"/>
      <w:r w:rsidRPr="0018665E">
        <w:rPr>
          <w:rFonts w:ascii="Arial" w:hAnsi="Arial" w:cs="Arial"/>
          <w:sz w:val="24"/>
          <w:szCs w:val="24"/>
        </w:rPr>
        <w:t xml:space="preserve"> and the industrial policy of one state to another remains to be contrasting in nature despite the overall </w:t>
      </w:r>
      <w:r w:rsidR="00470A49" w:rsidRPr="0018665E">
        <w:rPr>
          <w:rFonts w:ascii="Arial" w:hAnsi="Arial" w:cs="Arial"/>
          <w:sz w:val="24"/>
          <w:szCs w:val="24"/>
        </w:rPr>
        <w:t>liberalization</w:t>
      </w:r>
      <w:r w:rsidRPr="0018665E">
        <w:rPr>
          <w:rFonts w:ascii="Arial" w:hAnsi="Arial" w:cs="Arial"/>
          <w:sz w:val="24"/>
          <w:szCs w:val="24"/>
        </w:rPr>
        <w:t xml:space="preserve"> of the state </w:t>
      </w:r>
      <w:r w:rsidR="00470A49" w:rsidRPr="0018665E">
        <w:rPr>
          <w:rFonts w:ascii="Arial" w:hAnsi="Arial" w:cs="Arial"/>
          <w:sz w:val="24"/>
          <w:szCs w:val="24"/>
        </w:rPr>
        <w:t>opening</w:t>
      </w:r>
      <w:r w:rsidRPr="0018665E">
        <w:rPr>
          <w:rFonts w:ascii="Arial" w:hAnsi="Arial" w:cs="Arial"/>
          <w:sz w:val="24"/>
          <w:szCs w:val="24"/>
        </w:rPr>
        <w:t xml:space="preserve"> the country to foreign retail and manufacturing investment. The German political environment in the case of Adidas leans more towards regulated and predictable planning (rule-based) whereas the Indian environment requires sub-national regulatory variability to be monitored. </w:t>
      </w:r>
    </w:p>
    <w:p w14:paraId="67E4173A" w14:textId="77777777" w:rsidR="00D51F63" w:rsidRPr="0018665E" w:rsidRDefault="00000000" w:rsidP="009B01BA">
      <w:pPr>
        <w:pStyle w:val="Heading3"/>
        <w:rPr>
          <w:rFonts w:ascii="Arial" w:hAnsi="Arial" w:cs="Arial"/>
          <w:color w:val="auto"/>
        </w:rPr>
      </w:pPr>
      <w:bookmarkStart w:id="4" w:name="_Toc237509171"/>
      <w:r w:rsidRPr="0018665E">
        <w:rPr>
          <w:rFonts w:ascii="Arial" w:hAnsi="Arial" w:cs="Arial"/>
          <w:color w:val="auto"/>
        </w:rPr>
        <w:t>2.2 Economic Factors</w:t>
      </w:r>
      <w:bookmarkEnd w:id="4"/>
    </w:p>
    <w:p w14:paraId="345C0A1A" w14:textId="1850DB0C" w:rsidR="00D51F63"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The Germany economy is much dependent on exporting and the manufacturing sectors in the country depend on the competitiveness, both in terms of cost and non-price, to sustain the international trading performance (Albu, </w:t>
      </w:r>
      <w:proofErr w:type="spellStart"/>
      <w:r w:rsidRPr="0018665E">
        <w:rPr>
          <w:rFonts w:ascii="Arial" w:hAnsi="Arial" w:cs="Arial"/>
          <w:sz w:val="24"/>
          <w:szCs w:val="24"/>
        </w:rPr>
        <w:t>Joebges</w:t>
      </w:r>
      <w:proofErr w:type="spellEnd"/>
      <w:r w:rsidRPr="0018665E">
        <w:rPr>
          <w:rFonts w:ascii="Arial" w:hAnsi="Arial" w:cs="Arial"/>
          <w:sz w:val="24"/>
          <w:szCs w:val="24"/>
        </w:rPr>
        <w:t xml:space="preserve"> and Zwiener, 2022). The margin of its manufacturing has been diminished due to the increased cost of inputs since the beginning of 2020s, which has a direct relation to the considerations of sourcing by the apparel multinationals with their headquarters base on Germany. India, however, has been characterized by increasing household consumption, and an urban middle-income population that is increasingly urban and is the basis of demand of branded discretionary goods. The Adidas per se has a price-sensitive production condition in their native land, with a rising price-elastic consumption setting in the foreign continent. These implications are on the first pricing and sourcing strategy as defined in Section 5.2.</w:t>
      </w:r>
    </w:p>
    <w:p w14:paraId="49FC4EDA" w14:textId="77777777" w:rsidR="00D51F63" w:rsidRPr="0018665E" w:rsidRDefault="00000000" w:rsidP="009B01BA">
      <w:pPr>
        <w:pStyle w:val="Heading3"/>
        <w:rPr>
          <w:rFonts w:ascii="Arial" w:hAnsi="Arial" w:cs="Arial"/>
          <w:color w:val="auto"/>
        </w:rPr>
      </w:pPr>
      <w:bookmarkStart w:id="5" w:name="_Toc237509172"/>
      <w:r w:rsidRPr="0018665E">
        <w:rPr>
          <w:rFonts w:ascii="Arial" w:hAnsi="Arial" w:cs="Arial"/>
          <w:color w:val="auto"/>
        </w:rPr>
        <w:t>2.3 Social Factors</w:t>
      </w:r>
      <w:bookmarkEnd w:id="5"/>
    </w:p>
    <w:p w14:paraId="6F69DF01" w14:textId="121BEB9F" w:rsidR="00D51F63"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Buying </w:t>
      </w:r>
      <w:proofErr w:type="spellStart"/>
      <w:r w:rsidRPr="0018665E">
        <w:rPr>
          <w:rFonts w:ascii="Arial" w:hAnsi="Arial" w:cs="Arial"/>
          <w:sz w:val="24"/>
          <w:szCs w:val="24"/>
        </w:rPr>
        <w:t>behaviour</w:t>
      </w:r>
      <w:proofErr w:type="spellEnd"/>
      <w:r w:rsidRPr="0018665E">
        <w:rPr>
          <w:rFonts w:ascii="Arial" w:hAnsi="Arial" w:cs="Arial"/>
          <w:sz w:val="24"/>
          <w:szCs w:val="24"/>
        </w:rPr>
        <w:t xml:space="preserve"> in Germany is </w:t>
      </w:r>
      <w:r w:rsidR="00470A49" w:rsidRPr="0018665E">
        <w:rPr>
          <w:rFonts w:ascii="Arial" w:hAnsi="Arial" w:cs="Arial"/>
          <w:sz w:val="24"/>
          <w:szCs w:val="24"/>
        </w:rPr>
        <w:t>individualistic</w:t>
      </w:r>
      <w:r w:rsidRPr="0018665E">
        <w:rPr>
          <w:rFonts w:ascii="Arial" w:hAnsi="Arial" w:cs="Arial"/>
          <w:sz w:val="24"/>
          <w:szCs w:val="24"/>
        </w:rPr>
        <w:t xml:space="preserve"> with its emphasis on functionality quality, eco-friendliness and brand loyalty (Connell, Marciniak and Drylie Carey, 2023). The German social norms are also changing, to tie the purchase decision with such visible sustainability promises, and to demand corporate transparency. Indian consumers are more influenced by such tendencies as collectivist social referencing, aspirational status </w:t>
      </w:r>
      <w:r w:rsidR="00470A49" w:rsidRPr="0018665E">
        <w:rPr>
          <w:rFonts w:ascii="Arial" w:hAnsi="Arial" w:cs="Arial"/>
          <w:sz w:val="24"/>
          <w:szCs w:val="24"/>
        </w:rPr>
        <w:t>signaling</w:t>
      </w:r>
      <w:r w:rsidRPr="0018665E">
        <w:rPr>
          <w:rFonts w:ascii="Arial" w:hAnsi="Arial" w:cs="Arial"/>
          <w:sz w:val="24"/>
          <w:szCs w:val="24"/>
        </w:rPr>
        <w:t xml:space="preserve"> and family purchasing dynamics, and specifically, the growing number of young consumers (Rehman, 2022). What is being bought is what is in fact dictated by the cultural values; it is also what is being purchased that the purchasing process is factually condoned. Such differences necessitate different </w:t>
      </w:r>
      <w:r w:rsidRPr="0018665E">
        <w:rPr>
          <w:rFonts w:ascii="Arial" w:hAnsi="Arial" w:cs="Arial"/>
          <w:sz w:val="24"/>
          <w:szCs w:val="24"/>
        </w:rPr>
        <w:lastRenderedPageBreak/>
        <w:t>promotional/positioning strategies in the two markets which are addressed in Section 4 and 5.4.</w:t>
      </w:r>
    </w:p>
    <w:p w14:paraId="4B9D1316" w14:textId="77777777" w:rsidR="00D51F63" w:rsidRPr="0018665E" w:rsidRDefault="00000000" w:rsidP="009B01BA">
      <w:pPr>
        <w:pStyle w:val="Heading3"/>
        <w:rPr>
          <w:rFonts w:ascii="Arial" w:hAnsi="Arial" w:cs="Arial"/>
          <w:color w:val="auto"/>
        </w:rPr>
      </w:pPr>
      <w:bookmarkStart w:id="6" w:name="_Toc237509173"/>
      <w:r w:rsidRPr="0018665E">
        <w:rPr>
          <w:rFonts w:ascii="Arial" w:hAnsi="Arial" w:cs="Arial"/>
          <w:color w:val="auto"/>
        </w:rPr>
        <w:t>2.4 Technological Factors</w:t>
      </w:r>
      <w:bookmarkEnd w:id="6"/>
    </w:p>
    <w:p w14:paraId="63F21838" w14:textId="761C3279" w:rsidR="00D51F63"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In both markets, digital penetration is great and growing with the difference in the infrastructure underlying it. Germany has a mature logistics of e-commerce, and the situation of payment occurs online is also stable, which will help to integrate a retail chain in an omnichannel. India has undergone a rapid mobile-first digital shift with social media being the most important tools that younger consumers turn to find out about sportswear brands (Connell, Marciniak and Drylie Carey, 2023). Retailers have started to integrate </w:t>
      </w:r>
      <w:r w:rsidR="00470A49" w:rsidRPr="0018665E">
        <w:rPr>
          <w:rFonts w:ascii="Arial" w:hAnsi="Arial" w:cs="Arial"/>
          <w:sz w:val="24"/>
          <w:szCs w:val="24"/>
        </w:rPr>
        <w:t>digital</w:t>
      </w:r>
      <w:r w:rsidRPr="0018665E">
        <w:rPr>
          <w:rFonts w:ascii="Arial" w:hAnsi="Arial" w:cs="Arial"/>
          <w:sz w:val="24"/>
          <w:szCs w:val="24"/>
        </w:rPr>
        <w:t xml:space="preserve"> and physical touchpoints </w:t>
      </w:r>
      <w:r w:rsidR="00470A49" w:rsidRPr="0018665E">
        <w:rPr>
          <w:rFonts w:ascii="Arial" w:hAnsi="Arial" w:cs="Arial"/>
          <w:sz w:val="24"/>
          <w:szCs w:val="24"/>
        </w:rPr>
        <w:t>to</w:t>
      </w:r>
      <w:r w:rsidRPr="0018665E">
        <w:rPr>
          <w:rFonts w:ascii="Arial" w:hAnsi="Arial" w:cs="Arial"/>
          <w:sz w:val="24"/>
          <w:szCs w:val="24"/>
        </w:rPr>
        <w:t xml:space="preserve"> shape both contexts of in-store customer experiences (Bonfanti and </w:t>
      </w:r>
      <w:proofErr w:type="spellStart"/>
      <w:r w:rsidRPr="0018665E">
        <w:rPr>
          <w:rFonts w:ascii="Arial" w:hAnsi="Arial" w:cs="Arial"/>
          <w:sz w:val="24"/>
          <w:szCs w:val="24"/>
        </w:rPr>
        <w:t>Yfantidou</w:t>
      </w:r>
      <w:proofErr w:type="spellEnd"/>
      <w:r w:rsidRPr="0018665E">
        <w:rPr>
          <w:rFonts w:ascii="Arial" w:hAnsi="Arial" w:cs="Arial"/>
          <w:sz w:val="24"/>
          <w:szCs w:val="24"/>
        </w:rPr>
        <w:t>, 2021). In the case of Adidas, it would imply that the technological investment ought to be split in another manner: to concentrate omnichannel efficiency in Germany and the content based on mobile first and an influencer-led discovery in India.</w:t>
      </w:r>
    </w:p>
    <w:p w14:paraId="59980564" w14:textId="77777777" w:rsidR="00D51F63" w:rsidRPr="0018665E" w:rsidRDefault="00000000" w:rsidP="009B01BA">
      <w:pPr>
        <w:pStyle w:val="Heading3"/>
        <w:rPr>
          <w:rFonts w:ascii="Arial" w:hAnsi="Arial" w:cs="Arial"/>
          <w:color w:val="auto"/>
        </w:rPr>
      </w:pPr>
      <w:bookmarkStart w:id="7" w:name="_Toc237509174"/>
      <w:r w:rsidRPr="0018665E">
        <w:rPr>
          <w:rFonts w:ascii="Arial" w:hAnsi="Arial" w:cs="Arial"/>
          <w:color w:val="auto"/>
        </w:rPr>
        <w:t>2.5 Environmental Factors</w:t>
      </w:r>
      <w:bookmarkEnd w:id="7"/>
    </w:p>
    <w:p w14:paraId="3813C07E" w14:textId="2DC582D9" w:rsidR="00D51F63"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In Germany, the environmental demand can be characterized by the extremely restrictive European prerequisite of sustainability disclosures and a more antagonistic stance towards customers to sustainability unsupported by facts (Szabo and Webster, 2021). Perceived greenwashing is measurably reduced by consumers in terms of trust of environmental affirmations made by the apparel company, a risk which is particularly pertinent to a manufacturer with its headquarters in Germany (Policarpo et al., 2023). The environmental laws that the apparel supply chains have in relation to India are comparatively less formal, but as urban populations increasingly become environmentally conscious, customers with higher incomes are also beginning to express themselves in the buying (</w:t>
      </w:r>
      <w:proofErr w:type="spellStart"/>
      <w:r w:rsidRPr="0018665E">
        <w:rPr>
          <w:rFonts w:ascii="Arial" w:hAnsi="Arial" w:cs="Arial"/>
          <w:sz w:val="24"/>
          <w:szCs w:val="24"/>
        </w:rPr>
        <w:t>Apaolaza</w:t>
      </w:r>
      <w:proofErr w:type="spellEnd"/>
      <w:r w:rsidRPr="0018665E">
        <w:rPr>
          <w:rFonts w:ascii="Arial" w:hAnsi="Arial" w:cs="Arial"/>
          <w:sz w:val="24"/>
          <w:szCs w:val="24"/>
        </w:rPr>
        <w:t xml:space="preserve"> et al., 2023). </w:t>
      </w:r>
    </w:p>
    <w:p w14:paraId="68CC8294" w14:textId="77777777" w:rsidR="00D51F63" w:rsidRPr="0018665E" w:rsidRDefault="00000000" w:rsidP="009B01BA">
      <w:pPr>
        <w:pStyle w:val="Heading3"/>
        <w:rPr>
          <w:rFonts w:ascii="Arial" w:hAnsi="Arial" w:cs="Arial"/>
          <w:color w:val="auto"/>
        </w:rPr>
      </w:pPr>
      <w:bookmarkStart w:id="8" w:name="_Toc237509175"/>
      <w:r w:rsidRPr="0018665E">
        <w:rPr>
          <w:rFonts w:ascii="Arial" w:hAnsi="Arial" w:cs="Arial"/>
          <w:color w:val="auto"/>
        </w:rPr>
        <w:t>2.6 Legal Factors</w:t>
      </w:r>
      <w:bookmarkEnd w:id="8"/>
    </w:p>
    <w:p w14:paraId="08BA5BAF" w14:textId="0D3987D1" w:rsidR="00D51F63"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The legal landscape in Germany is starting to subject large business with supply chain activities worldwide to enforced human rights and environmental due diligence, and further escalates its liability (LeBaron et al., 2021). Indians foreign retail investment </w:t>
      </w:r>
      <w:r w:rsidRPr="0018665E">
        <w:rPr>
          <w:rFonts w:ascii="Arial" w:hAnsi="Arial" w:cs="Arial"/>
          <w:sz w:val="24"/>
          <w:szCs w:val="24"/>
        </w:rPr>
        <w:lastRenderedPageBreak/>
        <w:t xml:space="preserve">environment has been </w:t>
      </w:r>
      <w:r w:rsidR="00470A49" w:rsidRPr="0018665E">
        <w:rPr>
          <w:rFonts w:ascii="Arial" w:hAnsi="Arial" w:cs="Arial"/>
          <w:sz w:val="24"/>
          <w:szCs w:val="24"/>
        </w:rPr>
        <w:t>liberalized</w:t>
      </w:r>
      <w:r w:rsidRPr="0018665E">
        <w:rPr>
          <w:rFonts w:ascii="Arial" w:hAnsi="Arial" w:cs="Arial"/>
          <w:sz w:val="24"/>
          <w:szCs w:val="24"/>
        </w:rPr>
        <w:t xml:space="preserve"> in many </w:t>
      </w:r>
      <w:r w:rsidR="00470A49" w:rsidRPr="0018665E">
        <w:rPr>
          <w:rFonts w:ascii="Arial" w:hAnsi="Arial" w:cs="Arial"/>
          <w:sz w:val="24"/>
          <w:szCs w:val="24"/>
        </w:rPr>
        <w:t>aspects,</w:t>
      </w:r>
      <w:r w:rsidRPr="0018665E">
        <w:rPr>
          <w:rFonts w:ascii="Arial" w:hAnsi="Arial" w:cs="Arial"/>
          <w:sz w:val="24"/>
          <w:szCs w:val="24"/>
        </w:rPr>
        <w:t xml:space="preserve"> and the application of the </w:t>
      </w:r>
      <w:proofErr w:type="spellStart"/>
      <w:r w:rsidRPr="0018665E">
        <w:rPr>
          <w:rFonts w:ascii="Arial" w:hAnsi="Arial" w:cs="Arial"/>
          <w:sz w:val="24"/>
          <w:szCs w:val="24"/>
        </w:rPr>
        <w:t>labour</w:t>
      </w:r>
      <w:proofErr w:type="spellEnd"/>
      <w:r w:rsidRPr="0018665E">
        <w:rPr>
          <w:rFonts w:ascii="Arial" w:hAnsi="Arial" w:cs="Arial"/>
          <w:sz w:val="24"/>
          <w:szCs w:val="24"/>
        </w:rPr>
        <w:t xml:space="preserve"> law has been variable and different among all states, the enlargement capacity of all states varies. Corporate codes of conduct are often adopted by apparel multinationals </w:t>
      </w:r>
      <w:r w:rsidR="00470A49" w:rsidRPr="0018665E">
        <w:rPr>
          <w:rFonts w:ascii="Arial" w:hAnsi="Arial" w:cs="Arial"/>
          <w:sz w:val="24"/>
          <w:szCs w:val="24"/>
        </w:rPr>
        <w:t>to</w:t>
      </w:r>
      <w:r w:rsidRPr="0018665E">
        <w:rPr>
          <w:rFonts w:ascii="Arial" w:hAnsi="Arial" w:cs="Arial"/>
          <w:sz w:val="24"/>
          <w:szCs w:val="24"/>
        </w:rPr>
        <w:t xml:space="preserve"> demonstrate their compliant actions, whereas these are subjected to empirical analysis of whether they are effective in alleviating </w:t>
      </w:r>
      <w:proofErr w:type="spellStart"/>
      <w:r w:rsidRPr="0018665E">
        <w:rPr>
          <w:rFonts w:ascii="Arial" w:hAnsi="Arial" w:cs="Arial"/>
          <w:sz w:val="24"/>
          <w:szCs w:val="24"/>
        </w:rPr>
        <w:t>labour</w:t>
      </w:r>
      <w:proofErr w:type="spellEnd"/>
      <w:r w:rsidRPr="0018665E">
        <w:rPr>
          <w:rFonts w:ascii="Arial" w:hAnsi="Arial" w:cs="Arial"/>
          <w:sz w:val="24"/>
          <w:szCs w:val="24"/>
        </w:rPr>
        <w:t xml:space="preserve"> outcomes at the supplier level (Bae, 2025). This legal asymmetry means that there are more formal accountability mechanisms at Adidas in Germany than there are in India, which has a direct implication.</w:t>
      </w:r>
    </w:p>
    <w:p w14:paraId="2EF70C46" w14:textId="77777777" w:rsidR="00D51F63" w:rsidRPr="0018665E" w:rsidRDefault="00000000" w:rsidP="009B01BA">
      <w:pPr>
        <w:pStyle w:val="Heading2"/>
        <w:spacing w:after="100" w:afterAutospacing="1"/>
        <w:rPr>
          <w:rFonts w:ascii="Arial" w:hAnsi="Arial" w:cs="Arial"/>
          <w:color w:val="auto"/>
        </w:rPr>
      </w:pPr>
      <w:bookmarkStart w:id="9" w:name="_Toc237509176"/>
      <w:r w:rsidRPr="0018665E">
        <w:rPr>
          <w:rFonts w:ascii="Arial" w:hAnsi="Arial" w:cs="Arial"/>
          <w:color w:val="auto"/>
        </w:rPr>
        <w:t>3. Comparative Cultural Analysis (Hofstede)</w:t>
      </w:r>
      <w:bookmarkEnd w:id="9"/>
    </w:p>
    <w:p w14:paraId="569E9C44" w14:textId="444F3478" w:rsidR="00D51F63"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One of the most popular theories of cross-national consumer decision-making and </w:t>
      </w:r>
      <w:proofErr w:type="spellStart"/>
      <w:r w:rsidRPr="0018665E">
        <w:rPr>
          <w:rFonts w:ascii="Arial" w:hAnsi="Arial" w:cs="Arial"/>
          <w:sz w:val="24"/>
          <w:szCs w:val="24"/>
        </w:rPr>
        <w:t>organisational</w:t>
      </w:r>
      <w:proofErr w:type="spellEnd"/>
      <w:r w:rsidRPr="0018665E">
        <w:rPr>
          <w:rFonts w:ascii="Arial" w:hAnsi="Arial" w:cs="Arial"/>
          <w:sz w:val="24"/>
          <w:szCs w:val="24"/>
        </w:rPr>
        <w:t xml:space="preserve"> </w:t>
      </w:r>
      <w:proofErr w:type="spellStart"/>
      <w:r w:rsidRPr="0018665E">
        <w:rPr>
          <w:rFonts w:ascii="Arial" w:hAnsi="Arial" w:cs="Arial"/>
          <w:sz w:val="24"/>
          <w:szCs w:val="24"/>
        </w:rPr>
        <w:t>behaviour</w:t>
      </w:r>
      <w:proofErr w:type="spellEnd"/>
      <w:r w:rsidRPr="0018665E">
        <w:rPr>
          <w:rFonts w:ascii="Arial" w:hAnsi="Arial" w:cs="Arial"/>
          <w:sz w:val="24"/>
          <w:szCs w:val="24"/>
        </w:rPr>
        <w:t xml:space="preserve"> is the cultural dimensions theory by Hofstede (Rehman, 2022). A graphical comparison between Germany and India on six dimensions based on the framework as </w:t>
      </w:r>
      <w:proofErr w:type="spellStart"/>
      <w:r w:rsidRPr="0018665E">
        <w:rPr>
          <w:rFonts w:ascii="Arial" w:hAnsi="Arial" w:cs="Arial"/>
          <w:sz w:val="24"/>
          <w:szCs w:val="24"/>
        </w:rPr>
        <w:t>operationalised</w:t>
      </w:r>
      <w:proofErr w:type="spellEnd"/>
      <w:r w:rsidRPr="0018665E">
        <w:rPr>
          <w:rFonts w:ascii="Arial" w:hAnsi="Arial" w:cs="Arial"/>
          <w:sz w:val="24"/>
          <w:szCs w:val="24"/>
        </w:rPr>
        <w:t xml:space="preserve"> on the mentioned literature on cross cultural marketing is given in Figure </w:t>
      </w:r>
      <w:proofErr w:type="gramStart"/>
      <w:r w:rsidRPr="0018665E">
        <w:rPr>
          <w:rFonts w:ascii="Arial" w:hAnsi="Arial" w:cs="Arial"/>
          <w:sz w:val="24"/>
          <w:szCs w:val="24"/>
        </w:rPr>
        <w:t>2  below</w:t>
      </w:r>
      <w:proofErr w:type="gramEnd"/>
      <w:r w:rsidRPr="0018665E">
        <w:rPr>
          <w:rFonts w:ascii="Arial" w:hAnsi="Arial" w:cs="Arial"/>
          <w:sz w:val="24"/>
          <w:szCs w:val="24"/>
        </w:rPr>
        <w:t>.</w:t>
      </w:r>
    </w:p>
    <w:p w14:paraId="5B825EDA" w14:textId="509C4E9A" w:rsidR="0098233A" w:rsidRPr="0018665E" w:rsidRDefault="00277FA8" w:rsidP="009B01BA">
      <w:pPr>
        <w:spacing w:before="200" w:after="100" w:afterAutospacing="1" w:line="360" w:lineRule="auto"/>
        <w:jc w:val="center"/>
        <w:rPr>
          <w:rFonts w:ascii="Arial" w:hAnsi="Arial" w:cs="Arial"/>
          <w:sz w:val="24"/>
          <w:szCs w:val="24"/>
        </w:rPr>
      </w:pPr>
      <w:r w:rsidRPr="0018665E">
        <w:rPr>
          <w:rFonts w:ascii="Arial" w:hAnsi="Arial" w:cs="Arial"/>
          <w:noProof/>
        </w:rPr>
        <w:drawing>
          <wp:inline distT="0" distB="0" distL="0" distR="0" wp14:anchorId="17803819" wp14:editId="26E6B13C">
            <wp:extent cx="5731510" cy="3277235"/>
            <wp:effectExtent l="0" t="0" r="2540" b="18415"/>
            <wp:docPr id="1439762735" name="Chart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DC9A317" w14:textId="4B167BB9" w:rsidR="0098233A" w:rsidRPr="0018665E" w:rsidRDefault="0098233A" w:rsidP="009B01BA">
      <w:pPr>
        <w:spacing w:before="80" w:after="100" w:afterAutospacing="1" w:line="360" w:lineRule="auto"/>
        <w:jc w:val="center"/>
        <w:rPr>
          <w:rFonts w:ascii="Arial" w:hAnsi="Arial" w:cs="Arial"/>
          <w:b/>
          <w:bCs/>
          <w:sz w:val="24"/>
          <w:szCs w:val="24"/>
        </w:rPr>
      </w:pPr>
      <w:r w:rsidRPr="0018665E">
        <w:rPr>
          <w:rFonts w:ascii="Arial" w:hAnsi="Arial" w:cs="Arial"/>
          <w:b/>
          <w:bCs/>
          <w:sz w:val="24"/>
          <w:szCs w:val="24"/>
        </w:rPr>
        <w:t xml:space="preserve">Figure </w:t>
      </w:r>
      <w:r w:rsidR="00470A49" w:rsidRPr="0018665E">
        <w:rPr>
          <w:rFonts w:ascii="Arial" w:hAnsi="Arial" w:cs="Arial"/>
          <w:b/>
          <w:bCs/>
          <w:sz w:val="24"/>
          <w:szCs w:val="24"/>
        </w:rPr>
        <w:t>2</w:t>
      </w:r>
      <w:r w:rsidRPr="0018665E">
        <w:rPr>
          <w:rFonts w:ascii="Arial" w:hAnsi="Arial" w:cs="Arial"/>
          <w:b/>
          <w:bCs/>
          <w:sz w:val="24"/>
          <w:szCs w:val="24"/>
        </w:rPr>
        <w:t>: Comparative Hofstede cultural dimension scores, Germany and India</w:t>
      </w:r>
    </w:p>
    <w:p w14:paraId="1DDDB772" w14:textId="77777777" w:rsidR="00D51F63" w:rsidRPr="0018665E" w:rsidRDefault="00000000" w:rsidP="009B01BA">
      <w:pPr>
        <w:pStyle w:val="Heading3"/>
        <w:rPr>
          <w:rFonts w:ascii="Arial" w:hAnsi="Arial" w:cs="Arial"/>
          <w:color w:val="auto"/>
        </w:rPr>
      </w:pPr>
      <w:bookmarkStart w:id="10" w:name="_Toc237509177"/>
      <w:r w:rsidRPr="0018665E">
        <w:rPr>
          <w:rFonts w:ascii="Arial" w:hAnsi="Arial" w:cs="Arial"/>
          <w:color w:val="auto"/>
        </w:rPr>
        <w:t>3.1 Power Distance and Individualism</w:t>
      </w:r>
      <w:bookmarkEnd w:id="10"/>
    </w:p>
    <w:p w14:paraId="5DD3429D" w14:textId="56BAF084" w:rsidR="00D51F63"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lastRenderedPageBreak/>
        <w:t xml:space="preserve">India has a much greater degree of power distance in comparison to </w:t>
      </w:r>
      <w:r w:rsidR="00470A49" w:rsidRPr="0018665E">
        <w:rPr>
          <w:rFonts w:ascii="Arial" w:hAnsi="Arial" w:cs="Arial"/>
          <w:sz w:val="24"/>
          <w:szCs w:val="24"/>
        </w:rPr>
        <w:t>Germany,</w:t>
      </w:r>
      <w:r w:rsidRPr="0018665E">
        <w:rPr>
          <w:rFonts w:ascii="Arial" w:hAnsi="Arial" w:cs="Arial"/>
          <w:sz w:val="24"/>
          <w:szCs w:val="24"/>
        </w:rPr>
        <w:t xml:space="preserve"> and this can be attributed to the fact that Indian people practice more </w:t>
      </w:r>
      <w:r w:rsidR="00470A49" w:rsidRPr="0018665E">
        <w:rPr>
          <w:rFonts w:ascii="Arial" w:hAnsi="Arial" w:cs="Arial"/>
          <w:sz w:val="24"/>
          <w:szCs w:val="24"/>
        </w:rPr>
        <w:t>hierarchy’s</w:t>
      </w:r>
      <w:r w:rsidRPr="0018665E">
        <w:rPr>
          <w:rFonts w:ascii="Arial" w:hAnsi="Arial" w:cs="Arial"/>
          <w:sz w:val="24"/>
          <w:szCs w:val="24"/>
        </w:rPr>
        <w:t xml:space="preserve"> nature of institutions and family. It also has practical implications with the retail service delivery where the practical </w:t>
      </w:r>
      <w:proofErr w:type="spellStart"/>
      <w:r w:rsidRPr="0018665E">
        <w:rPr>
          <w:rFonts w:ascii="Arial" w:hAnsi="Arial" w:cs="Arial"/>
          <w:sz w:val="24"/>
          <w:szCs w:val="24"/>
        </w:rPr>
        <w:t>behaviour</w:t>
      </w:r>
      <w:proofErr w:type="spellEnd"/>
      <w:r w:rsidRPr="0018665E">
        <w:rPr>
          <w:rFonts w:ascii="Arial" w:hAnsi="Arial" w:cs="Arial"/>
          <w:sz w:val="24"/>
          <w:szCs w:val="24"/>
        </w:rPr>
        <w:t xml:space="preserve"> situation contexts of customer engagement conditions are systematically varied in accordance with power distance and individualism (Connell, Marciniak and Drylie Carey, 2023). The higher individualism index in Germany means that the Germans focus their buying decision making on the personal utility, rather than social and family validation of buying decisions, as is the case with the Indian. The luxury and high-end sportswear consumption in India is, therefore, not as individual-level </w:t>
      </w:r>
      <w:r w:rsidR="00470A49" w:rsidRPr="0018665E">
        <w:rPr>
          <w:rFonts w:ascii="Arial" w:hAnsi="Arial" w:cs="Arial"/>
          <w:sz w:val="24"/>
          <w:szCs w:val="24"/>
        </w:rPr>
        <w:t>signaling</w:t>
      </w:r>
      <w:r w:rsidRPr="0018665E">
        <w:rPr>
          <w:rFonts w:ascii="Arial" w:hAnsi="Arial" w:cs="Arial"/>
          <w:sz w:val="24"/>
          <w:szCs w:val="24"/>
        </w:rPr>
        <w:t xml:space="preserve"> of social status as more individualist Western markets and it is challenging to implement a one-size-fits-all approach of premium positioning (Rehman, 2022).</w:t>
      </w:r>
    </w:p>
    <w:p w14:paraId="0CAF75B4" w14:textId="77777777" w:rsidR="00D51F63" w:rsidRPr="0018665E" w:rsidRDefault="00000000" w:rsidP="009B01BA">
      <w:pPr>
        <w:pStyle w:val="Heading3"/>
        <w:rPr>
          <w:rFonts w:ascii="Arial" w:hAnsi="Arial" w:cs="Arial"/>
          <w:color w:val="auto"/>
        </w:rPr>
      </w:pPr>
      <w:bookmarkStart w:id="11" w:name="_Toc237509178"/>
      <w:r w:rsidRPr="0018665E">
        <w:rPr>
          <w:rFonts w:ascii="Arial" w:hAnsi="Arial" w:cs="Arial"/>
          <w:color w:val="auto"/>
        </w:rPr>
        <w:t>3.2 Uncertainty Avoidance, Long-Term Orientation and Indulgence</w:t>
      </w:r>
      <w:bookmarkEnd w:id="11"/>
    </w:p>
    <w:p w14:paraId="424326C0" w14:textId="57B6E491" w:rsidR="00D51F63"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Germany is far more uncertain and long-term oriented than India, which is reasonable considering that the German customers like old-tested and proven brands and delay gratification. The low uncertainty avoidance and indulgence scores in India imply more so openness to new types of products and the ability to buy impulsively, more so in young generations in urban cohorts. Cultural orientation like uncertainty avoidance and long-term orientation are set to mediate the purchase intention and actual purchase </w:t>
      </w:r>
      <w:proofErr w:type="spellStart"/>
      <w:r w:rsidRPr="0018665E">
        <w:rPr>
          <w:rFonts w:ascii="Arial" w:hAnsi="Arial" w:cs="Arial"/>
          <w:sz w:val="24"/>
          <w:szCs w:val="24"/>
        </w:rPr>
        <w:t>behaviour</w:t>
      </w:r>
      <w:proofErr w:type="spellEnd"/>
      <w:r w:rsidRPr="0018665E">
        <w:rPr>
          <w:rFonts w:ascii="Arial" w:hAnsi="Arial" w:cs="Arial"/>
          <w:sz w:val="24"/>
          <w:szCs w:val="24"/>
        </w:rPr>
        <w:t xml:space="preserve"> when it comes to the Indian consumer </w:t>
      </w:r>
      <w:proofErr w:type="spellStart"/>
      <w:r w:rsidRPr="0018665E">
        <w:rPr>
          <w:rFonts w:ascii="Arial" w:hAnsi="Arial" w:cs="Arial"/>
          <w:sz w:val="24"/>
          <w:szCs w:val="24"/>
        </w:rPr>
        <w:t>behaviour</w:t>
      </w:r>
      <w:proofErr w:type="spellEnd"/>
      <w:r w:rsidRPr="0018665E">
        <w:rPr>
          <w:rFonts w:ascii="Arial" w:hAnsi="Arial" w:cs="Arial"/>
          <w:sz w:val="24"/>
          <w:szCs w:val="24"/>
        </w:rPr>
        <w:t xml:space="preserve"> (Matharu et al., 2023). This moderating effect suggests that positive brand attitudes in India do not necessarily result into purchase </w:t>
      </w:r>
      <w:proofErr w:type="spellStart"/>
      <w:r w:rsidRPr="0018665E">
        <w:rPr>
          <w:rFonts w:ascii="Arial" w:hAnsi="Arial" w:cs="Arial"/>
          <w:sz w:val="24"/>
          <w:szCs w:val="24"/>
        </w:rPr>
        <w:t>behaviour</w:t>
      </w:r>
      <w:proofErr w:type="spellEnd"/>
      <w:r w:rsidRPr="0018665E">
        <w:rPr>
          <w:rFonts w:ascii="Arial" w:hAnsi="Arial" w:cs="Arial"/>
          <w:sz w:val="24"/>
          <w:szCs w:val="24"/>
        </w:rPr>
        <w:t xml:space="preserve"> unless accompanied by trust- building marketing action.</w:t>
      </w:r>
    </w:p>
    <w:p w14:paraId="25325B9C" w14:textId="77777777" w:rsidR="00D51F63" w:rsidRPr="0018665E" w:rsidRDefault="00000000" w:rsidP="009B01BA">
      <w:pPr>
        <w:pStyle w:val="Heading3"/>
        <w:rPr>
          <w:rFonts w:ascii="Arial" w:hAnsi="Arial" w:cs="Arial"/>
          <w:color w:val="auto"/>
        </w:rPr>
      </w:pPr>
      <w:bookmarkStart w:id="12" w:name="_Toc237509179"/>
      <w:r w:rsidRPr="0018665E">
        <w:rPr>
          <w:rFonts w:ascii="Arial" w:hAnsi="Arial" w:cs="Arial"/>
          <w:color w:val="auto"/>
        </w:rPr>
        <w:t>3.3 Managerial Implications for Adidas</w:t>
      </w:r>
      <w:bookmarkEnd w:id="12"/>
    </w:p>
    <w:p w14:paraId="17F12A91" w14:textId="7C632D93" w:rsidR="00D51F63"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The difference in culture implies that Adidas </w:t>
      </w:r>
      <w:r w:rsidR="00470A49" w:rsidRPr="0018665E">
        <w:rPr>
          <w:rFonts w:ascii="Arial" w:hAnsi="Arial" w:cs="Arial"/>
          <w:sz w:val="24"/>
          <w:szCs w:val="24"/>
        </w:rPr>
        <w:t>cannot</w:t>
      </w:r>
      <w:r w:rsidRPr="0018665E">
        <w:rPr>
          <w:rFonts w:ascii="Arial" w:hAnsi="Arial" w:cs="Arial"/>
          <w:sz w:val="24"/>
          <w:szCs w:val="24"/>
        </w:rPr>
        <w:t xml:space="preserve"> afford to share the same marketing story across the markets. The high uncertainty avoidance, and long-term orientation go hand in hand with messaging in Germany which deals with the engineering credibility, and long-term durability of their products. Lower uncertainty avoidance and high collectivism in India is captured by messaging which focuses on social belonging and aspiration with short-term emotional payoff. A country-of-origin signal (precision of engineering) associated with Germany remains indicative of brand-consideration </w:t>
      </w:r>
      <w:r w:rsidRPr="0018665E">
        <w:rPr>
          <w:rFonts w:ascii="Arial" w:hAnsi="Arial" w:cs="Arial"/>
          <w:sz w:val="24"/>
          <w:szCs w:val="24"/>
        </w:rPr>
        <w:lastRenderedPageBreak/>
        <w:t>among culturally distant consumers of the firm and offers Adidas a moving positioning asset (Wang et al., 2022). Any triumph in leveraging on this asset nevertheless will entail delicate cultural adaptation around the promotional story in India.</w:t>
      </w:r>
    </w:p>
    <w:p w14:paraId="382D9F6B" w14:textId="77777777" w:rsidR="00D51F63" w:rsidRPr="0018665E" w:rsidRDefault="00000000" w:rsidP="009B01BA">
      <w:pPr>
        <w:pStyle w:val="Heading2"/>
        <w:spacing w:after="100" w:afterAutospacing="1"/>
        <w:rPr>
          <w:rFonts w:ascii="Arial" w:hAnsi="Arial" w:cs="Arial"/>
          <w:color w:val="auto"/>
        </w:rPr>
      </w:pPr>
      <w:bookmarkStart w:id="13" w:name="_Toc237509180"/>
      <w:r w:rsidRPr="0018665E">
        <w:rPr>
          <w:rFonts w:ascii="Arial" w:hAnsi="Arial" w:cs="Arial"/>
          <w:color w:val="auto"/>
        </w:rPr>
        <w:t>4. Comparative STP Strategy</w:t>
      </w:r>
      <w:bookmarkEnd w:id="13"/>
    </w:p>
    <w:p w14:paraId="49499440" w14:textId="77777777" w:rsidR="00D51F63" w:rsidRPr="0018665E" w:rsidRDefault="00000000" w:rsidP="009B01BA">
      <w:pPr>
        <w:pStyle w:val="Heading3"/>
        <w:rPr>
          <w:rFonts w:ascii="Arial" w:hAnsi="Arial" w:cs="Arial"/>
          <w:color w:val="auto"/>
        </w:rPr>
      </w:pPr>
      <w:bookmarkStart w:id="14" w:name="_Toc237509181"/>
      <w:r w:rsidRPr="0018665E">
        <w:rPr>
          <w:rFonts w:ascii="Arial" w:hAnsi="Arial" w:cs="Arial"/>
          <w:color w:val="auto"/>
        </w:rPr>
        <w:t>4.1 Market Segmentation</w:t>
      </w:r>
      <w:bookmarkEnd w:id="14"/>
    </w:p>
    <w:p w14:paraId="26C946EC" w14:textId="39B8B406" w:rsidR="00D51F63"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Adidas in Germany has been primarily segmenting </w:t>
      </w:r>
      <w:r w:rsidR="00470A49" w:rsidRPr="0018665E">
        <w:rPr>
          <w:rFonts w:ascii="Arial" w:hAnsi="Arial" w:cs="Arial"/>
          <w:sz w:val="24"/>
          <w:szCs w:val="24"/>
        </w:rPr>
        <w:t>based on</w:t>
      </w:r>
      <w:r w:rsidRPr="0018665E">
        <w:rPr>
          <w:rFonts w:ascii="Arial" w:hAnsi="Arial" w:cs="Arial"/>
          <w:sz w:val="24"/>
          <w:szCs w:val="24"/>
        </w:rPr>
        <w:t xml:space="preserve"> performance, and lifestyle identification among the serious, casual and </w:t>
      </w:r>
      <w:r w:rsidR="00470A49" w:rsidRPr="0018665E">
        <w:rPr>
          <w:rFonts w:ascii="Arial" w:hAnsi="Arial" w:cs="Arial"/>
          <w:sz w:val="24"/>
          <w:szCs w:val="24"/>
        </w:rPr>
        <w:t>fashion-conscious</w:t>
      </w:r>
      <w:r w:rsidRPr="0018665E">
        <w:rPr>
          <w:rFonts w:ascii="Arial" w:hAnsi="Arial" w:cs="Arial"/>
          <w:sz w:val="24"/>
          <w:szCs w:val="24"/>
        </w:rPr>
        <w:t xml:space="preserve"> users among the serious athletes, casual and </w:t>
      </w:r>
      <w:r w:rsidR="00470A49" w:rsidRPr="0018665E">
        <w:rPr>
          <w:rFonts w:ascii="Arial" w:hAnsi="Arial" w:cs="Arial"/>
          <w:sz w:val="24"/>
          <w:szCs w:val="24"/>
        </w:rPr>
        <w:t>fashion-conscious</w:t>
      </w:r>
      <w:r w:rsidRPr="0018665E">
        <w:rPr>
          <w:rFonts w:ascii="Arial" w:hAnsi="Arial" w:cs="Arial"/>
          <w:sz w:val="24"/>
          <w:szCs w:val="24"/>
        </w:rPr>
        <w:t xml:space="preserve"> athleisure users. This segmentation demonstrates how there is a mature market where functional and lifestyle segmentation are established and are not very sensitive to demography. In India, large geographical, linguistic and income disparities need to be </w:t>
      </w:r>
      <w:r w:rsidR="00470A49" w:rsidRPr="0018665E">
        <w:rPr>
          <w:rFonts w:ascii="Arial" w:hAnsi="Arial" w:cs="Arial"/>
          <w:sz w:val="24"/>
          <w:szCs w:val="24"/>
        </w:rPr>
        <w:t>considered</w:t>
      </w:r>
      <w:r w:rsidRPr="0018665E">
        <w:rPr>
          <w:rFonts w:ascii="Arial" w:hAnsi="Arial" w:cs="Arial"/>
          <w:sz w:val="24"/>
          <w:szCs w:val="24"/>
        </w:rPr>
        <w:t xml:space="preserve"> in a widely dispersed population. Indian sub-population groups lack comparative set of cultural and organic and premiere consumption studies demonstrate that in each segment of the national market the disparities are immense (Matharu et al., 2023). Tier-2/Tier-3 urban metropolitan consumers, that is, Adidas India would require a more </w:t>
      </w:r>
      <w:r w:rsidR="00470A49" w:rsidRPr="0018665E">
        <w:rPr>
          <w:rFonts w:ascii="Arial" w:hAnsi="Arial" w:cs="Arial"/>
          <w:sz w:val="24"/>
          <w:szCs w:val="24"/>
        </w:rPr>
        <w:t>region-based</w:t>
      </w:r>
      <w:r w:rsidRPr="0018665E">
        <w:rPr>
          <w:rFonts w:ascii="Arial" w:hAnsi="Arial" w:cs="Arial"/>
          <w:sz w:val="24"/>
          <w:szCs w:val="24"/>
        </w:rPr>
        <w:t xml:space="preserve"> segmentation as compared to Adidas in Germany.</w:t>
      </w:r>
    </w:p>
    <w:p w14:paraId="12B2A640" w14:textId="77777777" w:rsidR="00D51F63" w:rsidRPr="0018665E" w:rsidRDefault="00000000" w:rsidP="009B01BA">
      <w:pPr>
        <w:pStyle w:val="Heading3"/>
        <w:rPr>
          <w:rFonts w:ascii="Arial" w:hAnsi="Arial" w:cs="Arial"/>
          <w:color w:val="auto"/>
        </w:rPr>
      </w:pPr>
      <w:bookmarkStart w:id="15" w:name="_Toc237509182"/>
      <w:r w:rsidRPr="0018665E">
        <w:rPr>
          <w:rFonts w:ascii="Arial" w:hAnsi="Arial" w:cs="Arial"/>
          <w:color w:val="auto"/>
        </w:rPr>
        <w:t>4.2 Targeting</w:t>
      </w:r>
      <w:bookmarkEnd w:id="15"/>
    </w:p>
    <w:p w14:paraId="6AA0A8E8" w14:textId="09735CE5" w:rsidR="00D51F63"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The German target of Adidas focuses on the well-established participants in the performance-sport segment and the </w:t>
      </w:r>
      <w:r w:rsidR="00470A49" w:rsidRPr="0018665E">
        <w:rPr>
          <w:rFonts w:ascii="Arial" w:hAnsi="Arial" w:cs="Arial"/>
          <w:sz w:val="24"/>
          <w:szCs w:val="24"/>
        </w:rPr>
        <w:t>fashion-conscious</w:t>
      </w:r>
      <w:r w:rsidRPr="0018665E">
        <w:rPr>
          <w:rFonts w:ascii="Arial" w:hAnsi="Arial" w:cs="Arial"/>
          <w:sz w:val="24"/>
          <w:szCs w:val="24"/>
        </w:rPr>
        <w:t xml:space="preserve"> </w:t>
      </w:r>
      <w:r w:rsidR="00470A49" w:rsidRPr="0018665E">
        <w:rPr>
          <w:rFonts w:ascii="Arial" w:hAnsi="Arial" w:cs="Arial"/>
          <w:sz w:val="24"/>
          <w:szCs w:val="24"/>
        </w:rPr>
        <w:t>businesspeople</w:t>
      </w:r>
      <w:r w:rsidRPr="0018665E">
        <w:rPr>
          <w:rFonts w:ascii="Arial" w:hAnsi="Arial" w:cs="Arial"/>
          <w:sz w:val="24"/>
          <w:szCs w:val="24"/>
        </w:rPr>
        <w:t xml:space="preserve"> in urban Germany, a predictable and medium size target market. The campaigns aiming at Indians are targeted at the urban millennial and generation Z customer segment that grows fast, given their high engagement rates in the culture of fitness, the digital content and fashion of athleisure. India has such a demographic dividend which constitutes a much larger addressable population than Germany but of lower purchasing power per capita. Organizations in new markets that experience a cultural distance often need differentiated targeting reasons that can differentiate between a diaspora-bordering or premium urban population (</w:t>
      </w:r>
      <w:proofErr w:type="spellStart"/>
      <w:r w:rsidRPr="0018665E">
        <w:rPr>
          <w:rFonts w:ascii="Arial" w:hAnsi="Arial" w:cs="Arial"/>
          <w:sz w:val="24"/>
          <w:szCs w:val="24"/>
        </w:rPr>
        <w:t>Fregidou</w:t>
      </w:r>
      <w:proofErr w:type="spellEnd"/>
      <w:r w:rsidRPr="0018665E">
        <w:rPr>
          <w:rFonts w:ascii="Arial" w:hAnsi="Arial" w:cs="Arial"/>
          <w:sz w:val="24"/>
          <w:szCs w:val="24"/>
        </w:rPr>
        <w:t xml:space="preserve">-Malama et al., 2023). </w:t>
      </w:r>
    </w:p>
    <w:p w14:paraId="307CCD4F" w14:textId="77777777" w:rsidR="00D51F63" w:rsidRPr="0018665E" w:rsidRDefault="00000000" w:rsidP="009B01BA">
      <w:pPr>
        <w:pStyle w:val="Heading3"/>
        <w:rPr>
          <w:rFonts w:ascii="Arial" w:hAnsi="Arial" w:cs="Arial"/>
          <w:color w:val="auto"/>
        </w:rPr>
      </w:pPr>
      <w:bookmarkStart w:id="16" w:name="_Toc237509183"/>
      <w:r w:rsidRPr="0018665E">
        <w:rPr>
          <w:rFonts w:ascii="Arial" w:hAnsi="Arial" w:cs="Arial"/>
          <w:color w:val="auto"/>
        </w:rPr>
        <w:t>4.3 Positioning</w:t>
      </w:r>
      <w:bookmarkEnd w:id="16"/>
    </w:p>
    <w:p w14:paraId="3EDD214C" w14:textId="29BF8007" w:rsidR="00D51F63"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lastRenderedPageBreak/>
        <w:t>Located in Germany, Adidas is also a locally based engineering and designing powerhouse to exploit decades of mutual country-of-origin reputation of precision and reliability. The influences of country-of-origin image on brand recognition by consumers in markets are never negative and unusual that justify the functions of this German heritage positioning in different markets (Wang et al., 2022). Adidas promotes itself as a dream brand in India as something that is connoted with sporting culture and lifestyle relevance of the youth generation in the world, as opposed to German origin. The country-of-origin stereotypes reinforce the consumer response, i.e., at a point that Adidas will benefit when the cues of German engineering and positioning under the performance brand image are endorsed, rather than undermined by brand positioning (Wang et al., 2022).</w:t>
      </w:r>
    </w:p>
    <w:p w14:paraId="69A298C3" w14:textId="7B454F31" w:rsidR="00CA788D" w:rsidRPr="0018665E" w:rsidRDefault="00FD257C" w:rsidP="009B01BA">
      <w:pPr>
        <w:spacing w:after="100" w:afterAutospacing="1" w:line="360" w:lineRule="auto"/>
        <w:jc w:val="both"/>
        <w:rPr>
          <w:rFonts w:ascii="Arial" w:hAnsi="Arial" w:cs="Arial"/>
          <w:sz w:val="24"/>
          <w:szCs w:val="24"/>
        </w:rPr>
      </w:pPr>
      <w:r w:rsidRPr="0018665E">
        <w:rPr>
          <w:rFonts w:ascii="Arial" w:hAnsi="Arial" w:cs="Arial"/>
          <w:noProof/>
          <w:sz w:val="24"/>
          <w:szCs w:val="24"/>
        </w:rPr>
        <w:drawing>
          <wp:inline distT="0" distB="0" distL="0" distR="0" wp14:anchorId="2CFBFD38" wp14:editId="5395A183">
            <wp:extent cx="5731510" cy="4776470"/>
            <wp:effectExtent l="0" t="0" r="0" b="0"/>
            <wp:docPr id="1115262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262047" name=""/>
                    <pic:cNvPicPr/>
                  </pic:nvPicPr>
                  <pic:blipFill>
                    <a:blip r:embed="rId11"/>
                    <a:stretch>
                      <a:fillRect/>
                    </a:stretch>
                  </pic:blipFill>
                  <pic:spPr>
                    <a:xfrm>
                      <a:off x="0" y="0"/>
                      <a:ext cx="5731510" cy="4776470"/>
                    </a:xfrm>
                    <a:prstGeom prst="rect">
                      <a:avLst/>
                    </a:prstGeom>
                  </pic:spPr>
                </pic:pic>
              </a:graphicData>
            </a:graphic>
          </wp:inline>
        </w:drawing>
      </w:r>
    </w:p>
    <w:p w14:paraId="42559E31" w14:textId="5301B61F" w:rsidR="00CA788D" w:rsidRPr="0018665E" w:rsidRDefault="00CA788D" w:rsidP="009B01BA">
      <w:pPr>
        <w:spacing w:after="100" w:afterAutospacing="1" w:line="360" w:lineRule="auto"/>
        <w:jc w:val="center"/>
        <w:rPr>
          <w:rFonts w:ascii="Arial" w:hAnsi="Arial" w:cs="Arial"/>
          <w:b/>
          <w:bCs/>
          <w:sz w:val="24"/>
          <w:szCs w:val="24"/>
        </w:rPr>
      </w:pPr>
      <w:r w:rsidRPr="0018665E">
        <w:rPr>
          <w:rFonts w:ascii="Arial" w:hAnsi="Arial" w:cs="Arial"/>
          <w:b/>
          <w:bCs/>
          <w:sz w:val="24"/>
          <w:szCs w:val="24"/>
        </w:rPr>
        <w:t>Figure 3: Positioning Map</w:t>
      </w:r>
    </w:p>
    <w:p w14:paraId="44533308" w14:textId="77777777" w:rsidR="00D51F63" w:rsidRPr="0018665E" w:rsidRDefault="00000000" w:rsidP="009B01BA">
      <w:pPr>
        <w:pStyle w:val="Heading2"/>
        <w:spacing w:after="100" w:afterAutospacing="1"/>
        <w:rPr>
          <w:rFonts w:ascii="Arial" w:hAnsi="Arial" w:cs="Arial"/>
          <w:color w:val="auto"/>
        </w:rPr>
      </w:pPr>
      <w:bookmarkStart w:id="17" w:name="_Toc237509184"/>
      <w:r w:rsidRPr="0018665E">
        <w:rPr>
          <w:rFonts w:ascii="Arial" w:hAnsi="Arial" w:cs="Arial"/>
          <w:color w:val="auto"/>
        </w:rPr>
        <w:t>5. Comparative International Marketing Mix (7Ps)</w:t>
      </w:r>
      <w:bookmarkEnd w:id="17"/>
    </w:p>
    <w:p w14:paraId="46D98C41" w14:textId="329F6748" w:rsidR="00D51F63"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lastRenderedPageBreak/>
        <w:t xml:space="preserve">The global firms are going through the cycle of balancing between the standardization and </w:t>
      </w:r>
      <w:r w:rsidR="00470A49" w:rsidRPr="0018665E">
        <w:rPr>
          <w:rFonts w:ascii="Arial" w:hAnsi="Arial" w:cs="Arial"/>
          <w:sz w:val="24"/>
          <w:szCs w:val="24"/>
        </w:rPr>
        <w:t>localization</w:t>
      </w:r>
      <w:r w:rsidRPr="0018665E">
        <w:rPr>
          <w:rFonts w:ascii="Arial" w:hAnsi="Arial" w:cs="Arial"/>
          <w:sz w:val="24"/>
          <w:szCs w:val="24"/>
        </w:rPr>
        <w:t xml:space="preserve"> in each component of the marketing business mix of products; where the appropriate degree of ratio between the two depends on the nature of the product, cultural distance and rivalry (James, Inyang and Eze, 2024). </w:t>
      </w:r>
    </w:p>
    <w:tbl>
      <w:tblPr>
        <w:tblStyle w:val="TableGrid"/>
        <w:tblW w:w="5000" w:type="pct"/>
        <w:tblLook w:val="04A0" w:firstRow="1" w:lastRow="0" w:firstColumn="1" w:lastColumn="0" w:noHBand="0" w:noVBand="1"/>
      </w:tblPr>
      <w:tblGrid>
        <w:gridCol w:w="2110"/>
        <w:gridCol w:w="3453"/>
        <w:gridCol w:w="3453"/>
      </w:tblGrid>
      <w:tr w:rsidR="0098233A" w:rsidRPr="0018665E" w14:paraId="58EF61A2" w14:textId="77777777" w:rsidTr="00470A49">
        <w:tc>
          <w:tcPr>
            <w:tcW w:w="1170" w:type="pct"/>
          </w:tcPr>
          <w:p w14:paraId="0671990A"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b/>
                <w:bCs/>
                <w:sz w:val="24"/>
                <w:szCs w:val="24"/>
              </w:rPr>
              <w:t>Element</w:t>
            </w:r>
          </w:p>
        </w:tc>
        <w:tc>
          <w:tcPr>
            <w:tcW w:w="1915" w:type="pct"/>
          </w:tcPr>
          <w:p w14:paraId="4F08D838"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b/>
                <w:bCs/>
                <w:sz w:val="24"/>
                <w:szCs w:val="24"/>
              </w:rPr>
              <w:t>Germany (Home)</w:t>
            </w:r>
          </w:p>
        </w:tc>
        <w:tc>
          <w:tcPr>
            <w:tcW w:w="1915" w:type="pct"/>
          </w:tcPr>
          <w:p w14:paraId="215BC709"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b/>
                <w:bCs/>
                <w:sz w:val="24"/>
                <w:szCs w:val="24"/>
              </w:rPr>
              <w:t>India (Host)</w:t>
            </w:r>
          </w:p>
        </w:tc>
      </w:tr>
      <w:tr w:rsidR="0098233A" w:rsidRPr="0018665E" w14:paraId="325AB749" w14:textId="77777777" w:rsidTr="00470A49">
        <w:tc>
          <w:tcPr>
            <w:tcW w:w="1170" w:type="pct"/>
          </w:tcPr>
          <w:p w14:paraId="72817AFC"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Product</w:t>
            </w:r>
          </w:p>
        </w:tc>
        <w:tc>
          <w:tcPr>
            <w:tcW w:w="1915" w:type="pct"/>
          </w:tcPr>
          <w:p w14:paraId="6C580E67"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Technical performance range; design collaborations</w:t>
            </w:r>
          </w:p>
        </w:tc>
        <w:tc>
          <w:tcPr>
            <w:tcW w:w="1915" w:type="pct"/>
          </w:tcPr>
          <w:p w14:paraId="092D852D"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Extended value tiers; cricket-linked product lines</w:t>
            </w:r>
          </w:p>
        </w:tc>
      </w:tr>
      <w:tr w:rsidR="0098233A" w:rsidRPr="0018665E" w14:paraId="4FEEB322" w14:textId="77777777" w:rsidTr="00470A49">
        <w:tc>
          <w:tcPr>
            <w:tcW w:w="1170" w:type="pct"/>
          </w:tcPr>
          <w:p w14:paraId="5D363E3D"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Price</w:t>
            </w:r>
          </w:p>
        </w:tc>
        <w:tc>
          <w:tcPr>
            <w:tcW w:w="1915" w:type="pct"/>
          </w:tcPr>
          <w:p w14:paraId="04FE9862"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Premium, income-supported pricing</w:t>
            </w:r>
          </w:p>
        </w:tc>
        <w:tc>
          <w:tcPr>
            <w:tcW w:w="1915" w:type="pct"/>
          </w:tcPr>
          <w:p w14:paraId="3628A27F"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Broad tiered pricing across income segments</w:t>
            </w:r>
          </w:p>
        </w:tc>
      </w:tr>
      <w:tr w:rsidR="0098233A" w:rsidRPr="0018665E" w14:paraId="4DFA1642" w14:textId="77777777" w:rsidTr="00470A49">
        <w:tc>
          <w:tcPr>
            <w:tcW w:w="1170" w:type="pct"/>
          </w:tcPr>
          <w:p w14:paraId="135B06C1"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Place</w:t>
            </w:r>
          </w:p>
        </w:tc>
        <w:tc>
          <w:tcPr>
            <w:tcW w:w="1915" w:type="pct"/>
          </w:tcPr>
          <w:p w14:paraId="261EE711"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Owned stores, wholesale, mature e-commerce</w:t>
            </w:r>
          </w:p>
        </w:tc>
        <w:tc>
          <w:tcPr>
            <w:tcW w:w="1915" w:type="pct"/>
          </w:tcPr>
          <w:p w14:paraId="0A933F8F"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Franchise-led expansion into Tier-2/3 cities</w:t>
            </w:r>
          </w:p>
        </w:tc>
      </w:tr>
      <w:tr w:rsidR="0098233A" w:rsidRPr="0018665E" w14:paraId="06E20083" w14:textId="77777777" w:rsidTr="00470A49">
        <w:tc>
          <w:tcPr>
            <w:tcW w:w="1170" w:type="pct"/>
          </w:tcPr>
          <w:p w14:paraId="0E34BC7E"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Promotion</w:t>
            </w:r>
          </w:p>
        </w:tc>
        <w:tc>
          <w:tcPr>
            <w:tcW w:w="1915" w:type="pct"/>
          </w:tcPr>
          <w:p w14:paraId="182FF170"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Engineering-led, understated brand storytelling</w:t>
            </w:r>
          </w:p>
        </w:tc>
        <w:tc>
          <w:tcPr>
            <w:tcW w:w="1915" w:type="pct"/>
          </w:tcPr>
          <w:p w14:paraId="024E09FE"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Influencer- and athlete-led social media campaigns</w:t>
            </w:r>
          </w:p>
        </w:tc>
      </w:tr>
      <w:tr w:rsidR="0098233A" w:rsidRPr="0018665E" w14:paraId="7FEEB40A" w14:textId="77777777" w:rsidTr="00470A49">
        <w:tc>
          <w:tcPr>
            <w:tcW w:w="1170" w:type="pct"/>
          </w:tcPr>
          <w:p w14:paraId="273A4DA7"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People</w:t>
            </w:r>
          </w:p>
        </w:tc>
        <w:tc>
          <w:tcPr>
            <w:tcW w:w="1915" w:type="pct"/>
          </w:tcPr>
          <w:p w14:paraId="02C1C2A6" w14:textId="01DDFCB0" w:rsidR="0098233A" w:rsidRPr="0018665E" w:rsidRDefault="00470A49" w:rsidP="009B01BA">
            <w:pPr>
              <w:spacing w:after="100" w:afterAutospacing="1" w:line="360" w:lineRule="auto"/>
              <w:jc w:val="both"/>
              <w:rPr>
                <w:rFonts w:ascii="Arial" w:hAnsi="Arial" w:cs="Arial"/>
                <w:sz w:val="24"/>
                <w:szCs w:val="24"/>
              </w:rPr>
            </w:pPr>
            <w:r w:rsidRPr="0018665E">
              <w:rPr>
                <w:rFonts w:ascii="Arial" w:hAnsi="Arial" w:cs="Arial"/>
                <w:sz w:val="24"/>
                <w:szCs w:val="24"/>
              </w:rPr>
              <w:t>Professionalized</w:t>
            </w:r>
            <w:r w:rsidR="0098233A" w:rsidRPr="0018665E">
              <w:rPr>
                <w:rFonts w:ascii="Arial" w:hAnsi="Arial" w:cs="Arial"/>
                <w:sz w:val="24"/>
                <w:szCs w:val="24"/>
              </w:rPr>
              <w:t xml:space="preserve">, </w:t>
            </w:r>
            <w:proofErr w:type="spellStart"/>
            <w:r w:rsidR="0098233A" w:rsidRPr="0018665E">
              <w:rPr>
                <w:rFonts w:ascii="Arial" w:hAnsi="Arial" w:cs="Arial"/>
                <w:sz w:val="24"/>
                <w:szCs w:val="24"/>
              </w:rPr>
              <w:t>standardised</w:t>
            </w:r>
            <w:proofErr w:type="spellEnd"/>
            <w:r w:rsidR="0098233A" w:rsidRPr="0018665E">
              <w:rPr>
                <w:rFonts w:ascii="Arial" w:hAnsi="Arial" w:cs="Arial"/>
                <w:sz w:val="24"/>
                <w:szCs w:val="24"/>
              </w:rPr>
              <w:t xml:space="preserve"> service norms</w:t>
            </w:r>
          </w:p>
        </w:tc>
        <w:tc>
          <w:tcPr>
            <w:tcW w:w="1915" w:type="pct"/>
          </w:tcPr>
          <w:p w14:paraId="5E550D5E"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Diverse, franchise-trained regional workforce</w:t>
            </w:r>
          </w:p>
        </w:tc>
      </w:tr>
      <w:tr w:rsidR="0098233A" w:rsidRPr="0018665E" w14:paraId="4F61011B" w14:textId="77777777" w:rsidTr="00470A49">
        <w:tc>
          <w:tcPr>
            <w:tcW w:w="1170" w:type="pct"/>
          </w:tcPr>
          <w:p w14:paraId="037DD77A"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Process</w:t>
            </w:r>
          </w:p>
        </w:tc>
        <w:tc>
          <w:tcPr>
            <w:tcW w:w="1915" w:type="pct"/>
          </w:tcPr>
          <w:p w14:paraId="0DC00FE8"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Mature, consistent logistics and fulfilment</w:t>
            </w:r>
          </w:p>
        </w:tc>
        <w:tc>
          <w:tcPr>
            <w:tcW w:w="1915" w:type="pct"/>
          </w:tcPr>
          <w:p w14:paraId="1C2EEDAF"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Flexible, experientially differentiated store processes</w:t>
            </w:r>
          </w:p>
        </w:tc>
      </w:tr>
      <w:tr w:rsidR="0098233A" w:rsidRPr="0018665E" w14:paraId="42A1F3F5" w14:textId="77777777" w:rsidTr="00470A49">
        <w:tc>
          <w:tcPr>
            <w:tcW w:w="1170" w:type="pct"/>
          </w:tcPr>
          <w:p w14:paraId="57743AEE"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Physical Evidence</w:t>
            </w:r>
          </w:p>
        </w:tc>
        <w:tc>
          <w:tcPr>
            <w:tcW w:w="1915" w:type="pct"/>
          </w:tcPr>
          <w:p w14:paraId="2105994D"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Minimalist, design-forward retail environments</w:t>
            </w:r>
          </w:p>
        </w:tc>
        <w:tc>
          <w:tcPr>
            <w:tcW w:w="1915" w:type="pct"/>
          </w:tcPr>
          <w:p w14:paraId="6ED6D478" w14:textId="77777777"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Technology-integrated, vibrant store environments</w:t>
            </w:r>
          </w:p>
        </w:tc>
      </w:tr>
    </w:tbl>
    <w:p w14:paraId="02801350" w14:textId="06A18532" w:rsidR="0098233A" w:rsidRPr="0018665E" w:rsidRDefault="0098233A" w:rsidP="009B01BA">
      <w:pPr>
        <w:spacing w:before="80" w:after="100" w:afterAutospacing="1" w:line="360" w:lineRule="auto"/>
        <w:jc w:val="center"/>
        <w:rPr>
          <w:rFonts w:ascii="Arial" w:hAnsi="Arial" w:cs="Arial"/>
          <w:b/>
          <w:bCs/>
          <w:sz w:val="24"/>
          <w:szCs w:val="24"/>
        </w:rPr>
      </w:pPr>
      <w:r w:rsidRPr="0018665E">
        <w:rPr>
          <w:rFonts w:ascii="Arial" w:hAnsi="Arial" w:cs="Arial"/>
          <w:b/>
          <w:bCs/>
          <w:sz w:val="24"/>
          <w:szCs w:val="24"/>
        </w:rPr>
        <w:t>Table 2: Comparative International Marketing Mix Summary</w:t>
      </w:r>
    </w:p>
    <w:p w14:paraId="7B668F19" w14:textId="24861203" w:rsidR="00470A49" w:rsidRPr="0018665E" w:rsidRDefault="00277FA8" w:rsidP="009B01BA">
      <w:pPr>
        <w:spacing w:before="200" w:after="100" w:afterAutospacing="1" w:line="360" w:lineRule="auto"/>
        <w:jc w:val="both"/>
        <w:rPr>
          <w:rFonts w:ascii="Arial" w:hAnsi="Arial" w:cs="Arial"/>
          <w:sz w:val="24"/>
          <w:szCs w:val="24"/>
        </w:rPr>
      </w:pPr>
      <w:r w:rsidRPr="0018665E">
        <w:rPr>
          <w:rFonts w:ascii="Arial" w:hAnsi="Arial" w:cs="Arial"/>
          <w:noProof/>
        </w:rPr>
        <w:lastRenderedPageBreak/>
        <w:drawing>
          <wp:inline distT="0" distB="0" distL="0" distR="0" wp14:anchorId="466DB091" wp14:editId="30359A8E">
            <wp:extent cx="5731510" cy="3606800"/>
            <wp:effectExtent l="0" t="0" r="2540" b="12700"/>
            <wp:docPr id="1272862468" name="Chart 1">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88CA014" w14:textId="543A10F9" w:rsidR="00470A49" w:rsidRPr="0018665E" w:rsidRDefault="00470A49" w:rsidP="009B01BA">
      <w:pPr>
        <w:spacing w:before="80" w:after="100" w:afterAutospacing="1" w:line="360" w:lineRule="auto"/>
        <w:jc w:val="center"/>
        <w:rPr>
          <w:rFonts w:ascii="Arial" w:hAnsi="Arial" w:cs="Arial"/>
          <w:b/>
          <w:bCs/>
          <w:sz w:val="24"/>
          <w:szCs w:val="24"/>
        </w:rPr>
      </w:pPr>
      <w:r w:rsidRPr="0018665E">
        <w:rPr>
          <w:rFonts w:ascii="Arial" w:hAnsi="Arial" w:cs="Arial"/>
          <w:b/>
          <w:bCs/>
          <w:sz w:val="24"/>
          <w:szCs w:val="24"/>
        </w:rPr>
        <w:t>Figure 4: Degree Of Standardization–Adaptation Required Across The 7Ps For the Indian Market</w:t>
      </w:r>
    </w:p>
    <w:p w14:paraId="48443308" w14:textId="51E0CCA1" w:rsidR="00470A49" w:rsidRPr="0018665E" w:rsidRDefault="00470A49" w:rsidP="009B01BA">
      <w:pPr>
        <w:spacing w:before="80" w:after="100" w:afterAutospacing="1" w:line="360" w:lineRule="auto"/>
        <w:jc w:val="center"/>
        <w:rPr>
          <w:rFonts w:ascii="Arial" w:hAnsi="Arial" w:cs="Arial"/>
          <w:sz w:val="24"/>
          <w:szCs w:val="24"/>
        </w:rPr>
      </w:pPr>
      <w:r w:rsidRPr="0018665E">
        <w:rPr>
          <w:rFonts w:ascii="Arial" w:hAnsi="Arial" w:cs="Arial"/>
          <w:sz w:val="24"/>
          <w:szCs w:val="24"/>
        </w:rPr>
        <w:t>(Source: Refer to Appendix D)</w:t>
      </w:r>
    </w:p>
    <w:p w14:paraId="0A0165D3" w14:textId="77777777" w:rsidR="0098233A" w:rsidRPr="0018665E" w:rsidRDefault="0098233A" w:rsidP="009B01BA">
      <w:pPr>
        <w:pStyle w:val="Heading3"/>
        <w:rPr>
          <w:rFonts w:ascii="Arial" w:hAnsi="Arial" w:cs="Arial"/>
          <w:color w:val="auto"/>
        </w:rPr>
      </w:pPr>
      <w:bookmarkStart w:id="18" w:name="_Toc237509185"/>
      <w:r w:rsidRPr="0018665E">
        <w:rPr>
          <w:rFonts w:ascii="Arial" w:hAnsi="Arial" w:cs="Arial"/>
          <w:color w:val="auto"/>
        </w:rPr>
        <w:t>5.1 Product</w:t>
      </w:r>
      <w:bookmarkEnd w:id="18"/>
    </w:p>
    <w:p w14:paraId="72AC1269" w14:textId="23D932C9"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Adidas German product lines are oriented on the technical performance footwear and design relationships which is attributable to the presence of the developed and quality-conscious domestic demand. In India, besides the value-based footwear and climate-sensitive apparel, there is a product escalation towards the culture of sports and climate sensitivity of the cricketing climate. The need to have standard lines in core technical products and </w:t>
      </w:r>
      <w:proofErr w:type="spellStart"/>
      <w:r w:rsidRPr="0018665E">
        <w:rPr>
          <w:rFonts w:ascii="Arial" w:hAnsi="Arial" w:cs="Arial"/>
          <w:sz w:val="24"/>
          <w:szCs w:val="24"/>
        </w:rPr>
        <w:t>customisation</w:t>
      </w:r>
      <w:proofErr w:type="spellEnd"/>
      <w:r w:rsidRPr="0018665E">
        <w:rPr>
          <w:rFonts w:ascii="Arial" w:hAnsi="Arial" w:cs="Arial"/>
          <w:sz w:val="24"/>
          <w:szCs w:val="24"/>
        </w:rPr>
        <w:t xml:space="preserve"> of peripheral product attributes helps in maintaining brand consistency with a lack of local focus, a practice that has been supported by the concept of hybrid strategy of </w:t>
      </w:r>
      <w:r w:rsidR="00470A49" w:rsidRPr="0018665E">
        <w:rPr>
          <w:rFonts w:ascii="Arial" w:hAnsi="Arial" w:cs="Arial"/>
          <w:sz w:val="24"/>
          <w:szCs w:val="24"/>
        </w:rPr>
        <w:t>standardization</w:t>
      </w:r>
      <w:r w:rsidRPr="0018665E">
        <w:rPr>
          <w:rFonts w:ascii="Arial" w:hAnsi="Arial" w:cs="Arial"/>
          <w:sz w:val="24"/>
          <w:szCs w:val="24"/>
        </w:rPr>
        <w:t>-adaptation in literature accuracy of international marketing mix (James, Inyang and Eze, 2024).</w:t>
      </w:r>
    </w:p>
    <w:p w14:paraId="4E4B4047" w14:textId="77777777" w:rsidR="0098233A" w:rsidRPr="0018665E" w:rsidRDefault="0098233A" w:rsidP="009B01BA">
      <w:pPr>
        <w:pStyle w:val="Heading3"/>
        <w:rPr>
          <w:rFonts w:ascii="Arial" w:hAnsi="Arial" w:cs="Arial"/>
          <w:color w:val="auto"/>
        </w:rPr>
      </w:pPr>
      <w:bookmarkStart w:id="19" w:name="_Toc237509186"/>
      <w:r w:rsidRPr="0018665E">
        <w:rPr>
          <w:rFonts w:ascii="Arial" w:hAnsi="Arial" w:cs="Arial"/>
          <w:color w:val="auto"/>
        </w:rPr>
        <w:t>5.2 Price</w:t>
      </w:r>
      <w:bookmarkEnd w:id="19"/>
    </w:p>
    <w:p w14:paraId="37EDC0A1" w14:textId="7453166F"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lastRenderedPageBreak/>
        <w:t xml:space="preserve">The positioning of German prices in the high-income, quality-sensitive market with stable purchasing power is indicated. The India pricing should be further tiered with more entry level products available in the market that would be priced lower and appeals to price sensitive Tier-2 /Tier-3 customers and the higher priced metropolis products. Global pricing can vary significantly in disadvantaging mass market segments of price-sensitive emerging-market </w:t>
      </w:r>
      <w:r w:rsidR="00470A49" w:rsidRPr="0018665E">
        <w:rPr>
          <w:rFonts w:ascii="Arial" w:hAnsi="Arial" w:cs="Arial"/>
          <w:sz w:val="24"/>
          <w:szCs w:val="24"/>
        </w:rPr>
        <w:t>buyers,</w:t>
      </w:r>
      <w:r w:rsidRPr="0018665E">
        <w:rPr>
          <w:rFonts w:ascii="Arial" w:hAnsi="Arial" w:cs="Arial"/>
          <w:sz w:val="24"/>
          <w:szCs w:val="24"/>
        </w:rPr>
        <w:t xml:space="preserve"> and it is now seen as a further act of encouragement to international marketers to adjust pricing frameworks to local income dispersion (James, Inyang and Eze, 2024). This reasoning of adaptation can be seen in the tiered pricing structure of Indian pricing by Adidas.</w:t>
      </w:r>
    </w:p>
    <w:p w14:paraId="3703BC5A" w14:textId="77777777" w:rsidR="0098233A" w:rsidRPr="0018665E" w:rsidRDefault="0098233A" w:rsidP="009B01BA">
      <w:pPr>
        <w:pStyle w:val="Heading3"/>
        <w:rPr>
          <w:rFonts w:ascii="Arial" w:hAnsi="Arial" w:cs="Arial"/>
          <w:color w:val="auto"/>
        </w:rPr>
      </w:pPr>
      <w:bookmarkStart w:id="20" w:name="_Toc237509187"/>
      <w:r w:rsidRPr="0018665E">
        <w:rPr>
          <w:rFonts w:ascii="Arial" w:hAnsi="Arial" w:cs="Arial"/>
          <w:color w:val="auto"/>
        </w:rPr>
        <w:t>5.3 Place</w:t>
      </w:r>
      <w:bookmarkEnd w:id="20"/>
    </w:p>
    <w:p w14:paraId="255D96B3" w14:textId="2B68A2D4"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The distribution in Germany is oriented on the developed combination of intimately working stocks, wholesale connections and combined e-commerce logistic. Distribution in India has increased vastly with franchise arrangements of such physical stores in smaller cities besides the major </w:t>
      </w:r>
      <w:r w:rsidR="00470A49" w:rsidRPr="0018665E">
        <w:rPr>
          <w:rFonts w:ascii="Arial" w:hAnsi="Arial" w:cs="Arial"/>
          <w:sz w:val="24"/>
          <w:szCs w:val="24"/>
        </w:rPr>
        <w:t>metropolitan</w:t>
      </w:r>
      <w:r w:rsidRPr="0018665E">
        <w:rPr>
          <w:rFonts w:ascii="Arial" w:hAnsi="Arial" w:cs="Arial"/>
          <w:sz w:val="24"/>
          <w:szCs w:val="24"/>
        </w:rPr>
        <w:t xml:space="preserve"> </w:t>
      </w:r>
      <w:r w:rsidR="00470A49" w:rsidRPr="0018665E">
        <w:rPr>
          <w:rFonts w:ascii="Arial" w:hAnsi="Arial" w:cs="Arial"/>
          <w:sz w:val="24"/>
          <w:szCs w:val="24"/>
        </w:rPr>
        <w:t>centers</w:t>
      </w:r>
      <w:r w:rsidRPr="0018665E">
        <w:rPr>
          <w:rFonts w:ascii="Arial" w:hAnsi="Arial" w:cs="Arial"/>
          <w:sz w:val="24"/>
          <w:szCs w:val="24"/>
        </w:rPr>
        <w:t xml:space="preserve">. Franchising helps businesses to tap into local market knowledge of partners and </w:t>
      </w:r>
      <w:proofErr w:type="spellStart"/>
      <w:r w:rsidRPr="0018665E">
        <w:rPr>
          <w:rFonts w:ascii="Arial" w:hAnsi="Arial" w:cs="Arial"/>
          <w:sz w:val="24"/>
          <w:szCs w:val="24"/>
        </w:rPr>
        <w:t>minimise</w:t>
      </w:r>
      <w:proofErr w:type="spellEnd"/>
      <w:r w:rsidRPr="0018665E">
        <w:rPr>
          <w:rFonts w:ascii="Arial" w:hAnsi="Arial" w:cs="Arial"/>
          <w:sz w:val="24"/>
          <w:szCs w:val="24"/>
        </w:rPr>
        <w:t xml:space="preserve"> capital risk whilst making better geographic expansions faster than pure ownership expansion (Ali et al., 2021). Direct influence on the Indian distribution scene of Adidas will be this entry mode that will be explained further in Section 6.</w:t>
      </w:r>
    </w:p>
    <w:p w14:paraId="126B07E1" w14:textId="77777777" w:rsidR="0098233A" w:rsidRPr="0018665E" w:rsidRDefault="0098233A" w:rsidP="009B01BA">
      <w:pPr>
        <w:pStyle w:val="Heading3"/>
        <w:rPr>
          <w:rFonts w:ascii="Arial" w:hAnsi="Arial" w:cs="Arial"/>
          <w:color w:val="auto"/>
        </w:rPr>
      </w:pPr>
      <w:bookmarkStart w:id="21" w:name="_Toc237509188"/>
      <w:r w:rsidRPr="0018665E">
        <w:rPr>
          <w:rFonts w:ascii="Arial" w:hAnsi="Arial" w:cs="Arial"/>
          <w:color w:val="auto"/>
        </w:rPr>
        <w:t>5.4 Promotion</w:t>
      </w:r>
      <w:bookmarkEnd w:id="21"/>
    </w:p>
    <w:p w14:paraId="2F19F4B8" w14:textId="222F0815"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The German promotion policy is based on product engineering credential and </w:t>
      </w:r>
      <w:r w:rsidR="00470A49" w:rsidRPr="0018665E">
        <w:rPr>
          <w:rFonts w:ascii="Arial" w:hAnsi="Arial" w:cs="Arial"/>
          <w:sz w:val="24"/>
          <w:szCs w:val="24"/>
        </w:rPr>
        <w:t>low-profile</w:t>
      </w:r>
      <w:r w:rsidRPr="0018665E">
        <w:rPr>
          <w:rFonts w:ascii="Arial" w:hAnsi="Arial" w:cs="Arial"/>
          <w:sz w:val="24"/>
          <w:szCs w:val="24"/>
        </w:rPr>
        <w:t xml:space="preserve"> brand storytelling as it conforms to the individualistic consumer values. The Indian promotion model is grounded on the strong aspects of athlete and influencer promotion, social media content and sponsorship of the cricket game, entailed to establish emotional and aspirational value. Influencer marketing in sportswear operates through mental and emotional parallel mechanisms, which affect the rational re-evaluation of the product and the emotional loyalty to a brand of digitally interested customers (Bonfanti and </w:t>
      </w:r>
      <w:proofErr w:type="spellStart"/>
      <w:r w:rsidRPr="0018665E">
        <w:rPr>
          <w:rFonts w:ascii="Arial" w:hAnsi="Arial" w:cs="Arial"/>
          <w:sz w:val="24"/>
          <w:szCs w:val="24"/>
        </w:rPr>
        <w:t>Yfantidou</w:t>
      </w:r>
      <w:proofErr w:type="spellEnd"/>
      <w:r w:rsidRPr="0018665E">
        <w:rPr>
          <w:rFonts w:ascii="Arial" w:hAnsi="Arial" w:cs="Arial"/>
          <w:sz w:val="24"/>
          <w:szCs w:val="24"/>
        </w:rPr>
        <w:t xml:space="preserve">, 2021, on experience retail touchpoint that directs this form of product promotion). This </w:t>
      </w:r>
      <w:r w:rsidR="00470A49" w:rsidRPr="0018665E">
        <w:rPr>
          <w:rFonts w:ascii="Arial" w:hAnsi="Arial" w:cs="Arial"/>
          <w:sz w:val="24"/>
          <w:szCs w:val="24"/>
        </w:rPr>
        <w:t>two-pronged</w:t>
      </w:r>
      <w:r w:rsidRPr="0018665E">
        <w:rPr>
          <w:rFonts w:ascii="Arial" w:hAnsi="Arial" w:cs="Arial"/>
          <w:sz w:val="24"/>
          <w:szCs w:val="24"/>
        </w:rPr>
        <w:t xml:space="preserve"> approach can be particularly applied in the context of Adidas spending on promotion in India.</w:t>
      </w:r>
    </w:p>
    <w:p w14:paraId="11CDF03E" w14:textId="77777777" w:rsidR="0098233A" w:rsidRPr="0018665E" w:rsidRDefault="0098233A" w:rsidP="009B01BA">
      <w:pPr>
        <w:pStyle w:val="Heading3"/>
        <w:rPr>
          <w:rFonts w:ascii="Arial" w:hAnsi="Arial" w:cs="Arial"/>
          <w:color w:val="auto"/>
        </w:rPr>
      </w:pPr>
      <w:bookmarkStart w:id="22" w:name="_Toc237509189"/>
      <w:r w:rsidRPr="0018665E">
        <w:rPr>
          <w:rFonts w:ascii="Arial" w:hAnsi="Arial" w:cs="Arial"/>
          <w:color w:val="auto"/>
        </w:rPr>
        <w:t>5.5 People</w:t>
      </w:r>
      <w:bookmarkEnd w:id="22"/>
    </w:p>
    <w:p w14:paraId="2486333F" w14:textId="452ABA16"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lastRenderedPageBreak/>
        <w:t xml:space="preserve">The influence of domestic norms of </w:t>
      </w:r>
      <w:proofErr w:type="spellStart"/>
      <w:r w:rsidRPr="0018665E">
        <w:rPr>
          <w:rFonts w:ascii="Arial" w:hAnsi="Arial" w:cs="Arial"/>
          <w:sz w:val="24"/>
          <w:szCs w:val="24"/>
        </w:rPr>
        <w:t>labour</w:t>
      </w:r>
      <w:proofErr w:type="spellEnd"/>
      <w:r w:rsidRPr="0018665E">
        <w:rPr>
          <w:rFonts w:ascii="Arial" w:hAnsi="Arial" w:cs="Arial"/>
          <w:sz w:val="24"/>
          <w:szCs w:val="24"/>
        </w:rPr>
        <w:t xml:space="preserve"> market is that the German retail employees of Adidas operate in an extremely </w:t>
      </w:r>
      <w:r w:rsidR="00470A49" w:rsidRPr="0018665E">
        <w:rPr>
          <w:rFonts w:ascii="Arial" w:hAnsi="Arial" w:cs="Arial"/>
          <w:sz w:val="24"/>
          <w:szCs w:val="24"/>
        </w:rPr>
        <w:t>professionalized</w:t>
      </w:r>
      <w:r w:rsidRPr="0018665E">
        <w:rPr>
          <w:rFonts w:ascii="Arial" w:hAnsi="Arial" w:cs="Arial"/>
          <w:sz w:val="24"/>
          <w:szCs w:val="24"/>
        </w:rPr>
        <w:t xml:space="preserve">, normalized </w:t>
      </w:r>
      <w:r w:rsidR="00470A49" w:rsidRPr="0018665E">
        <w:rPr>
          <w:rFonts w:ascii="Arial" w:hAnsi="Arial" w:cs="Arial"/>
          <w:sz w:val="24"/>
          <w:szCs w:val="24"/>
        </w:rPr>
        <w:t>service-based</w:t>
      </w:r>
      <w:r w:rsidRPr="0018665E">
        <w:rPr>
          <w:rFonts w:ascii="Arial" w:hAnsi="Arial" w:cs="Arial"/>
          <w:sz w:val="24"/>
          <w:szCs w:val="24"/>
        </w:rPr>
        <w:t xml:space="preserve"> </w:t>
      </w:r>
      <w:proofErr w:type="spellStart"/>
      <w:r w:rsidRPr="0018665E">
        <w:rPr>
          <w:rFonts w:ascii="Arial" w:hAnsi="Arial" w:cs="Arial"/>
          <w:sz w:val="24"/>
          <w:szCs w:val="24"/>
        </w:rPr>
        <w:t>labour</w:t>
      </w:r>
      <w:proofErr w:type="spellEnd"/>
      <w:r w:rsidRPr="0018665E">
        <w:rPr>
          <w:rFonts w:ascii="Arial" w:hAnsi="Arial" w:cs="Arial"/>
          <w:sz w:val="24"/>
          <w:szCs w:val="24"/>
        </w:rPr>
        <w:t xml:space="preserve"> market. The Indian workforce management has little option but to </w:t>
      </w:r>
      <w:r w:rsidR="00470A49" w:rsidRPr="0018665E">
        <w:rPr>
          <w:rFonts w:ascii="Arial" w:hAnsi="Arial" w:cs="Arial"/>
          <w:sz w:val="24"/>
          <w:szCs w:val="24"/>
        </w:rPr>
        <w:t>consider</w:t>
      </w:r>
      <w:r w:rsidRPr="0018665E">
        <w:rPr>
          <w:rFonts w:ascii="Arial" w:hAnsi="Arial" w:cs="Arial"/>
          <w:sz w:val="24"/>
          <w:szCs w:val="24"/>
        </w:rPr>
        <w:t xml:space="preserve"> more regional diversities, diversified service requirements and franchise-based employee staffing. The dimensions of cross-cultural aspects influence customer engagement </w:t>
      </w:r>
      <w:proofErr w:type="spellStart"/>
      <w:r w:rsidRPr="0018665E">
        <w:rPr>
          <w:rFonts w:ascii="Arial" w:hAnsi="Arial" w:cs="Arial"/>
          <w:sz w:val="24"/>
          <w:szCs w:val="24"/>
        </w:rPr>
        <w:t>behaviours</w:t>
      </w:r>
      <w:proofErr w:type="spellEnd"/>
      <w:r w:rsidRPr="0018665E">
        <w:rPr>
          <w:rFonts w:ascii="Arial" w:hAnsi="Arial" w:cs="Arial"/>
          <w:sz w:val="24"/>
          <w:szCs w:val="24"/>
        </w:rPr>
        <w:t>, and thus the frontline staff training should be modified instead of simply moving frontline staff training across culturally dissimilar markets (Connell, Marciniak and Drylie Carey, 2023). This is directly applicable with the training of the Adidas franchise partners in India.</w:t>
      </w:r>
    </w:p>
    <w:p w14:paraId="4B68BE9E" w14:textId="77777777" w:rsidR="0098233A" w:rsidRPr="0018665E" w:rsidRDefault="0098233A" w:rsidP="009B01BA">
      <w:pPr>
        <w:pStyle w:val="Heading3"/>
        <w:rPr>
          <w:rFonts w:ascii="Arial" w:hAnsi="Arial" w:cs="Arial"/>
          <w:color w:val="auto"/>
        </w:rPr>
      </w:pPr>
      <w:bookmarkStart w:id="23" w:name="_Toc237509190"/>
      <w:r w:rsidRPr="0018665E">
        <w:rPr>
          <w:rFonts w:ascii="Arial" w:hAnsi="Arial" w:cs="Arial"/>
          <w:color w:val="auto"/>
        </w:rPr>
        <w:t>5.6 Process</w:t>
      </w:r>
      <w:bookmarkEnd w:id="23"/>
    </w:p>
    <w:p w14:paraId="0C659F39" w14:textId="7360CF54" w:rsidR="0098233A"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The infrastructure of German logistics and retail is mature, which helps fulfil the orders quickly with no significant changes and ensure the standards of services are met. Retailing processes in India </w:t>
      </w:r>
      <w:r w:rsidR="00470A49" w:rsidRPr="0018665E">
        <w:rPr>
          <w:rFonts w:ascii="Arial" w:hAnsi="Arial" w:cs="Arial"/>
          <w:sz w:val="24"/>
          <w:szCs w:val="24"/>
        </w:rPr>
        <w:t>must</w:t>
      </w:r>
      <w:r w:rsidRPr="0018665E">
        <w:rPr>
          <w:rFonts w:ascii="Arial" w:hAnsi="Arial" w:cs="Arial"/>
          <w:sz w:val="24"/>
          <w:szCs w:val="24"/>
        </w:rPr>
        <w:t xml:space="preserve"> be able to embrace more flexible logistics infrastructure, especially beyond the large metropolitan centers, which demand models of fulfillment being flexible. Experience: Store-level experience design and staff guided product experience can be defined as a special approach of sports retailers who offer more services compared to the price competition (Bonfanti and </w:t>
      </w:r>
      <w:proofErr w:type="spellStart"/>
      <w:r w:rsidRPr="0018665E">
        <w:rPr>
          <w:rFonts w:ascii="Arial" w:hAnsi="Arial" w:cs="Arial"/>
          <w:sz w:val="24"/>
          <w:szCs w:val="24"/>
        </w:rPr>
        <w:t>Yfantidou</w:t>
      </w:r>
      <w:proofErr w:type="spellEnd"/>
      <w:r w:rsidRPr="0018665E">
        <w:rPr>
          <w:rFonts w:ascii="Arial" w:hAnsi="Arial" w:cs="Arial"/>
          <w:sz w:val="24"/>
          <w:szCs w:val="24"/>
        </w:rPr>
        <w:t>, 2021). It would also give the processes the chance of additional differentiation through the adaptation of these experiential processes towards the franchise retail network in India.</w:t>
      </w:r>
    </w:p>
    <w:p w14:paraId="319A0FCC" w14:textId="77777777" w:rsidR="0098233A" w:rsidRPr="0018665E" w:rsidRDefault="0098233A" w:rsidP="009B01BA">
      <w:pPr>
        <w:pStyle w:val="Heading3"/>
        <w:rPr>
          <w:rFonts w:ascii="Arial" w:hAnsi="Arial" w:cs="Arial"/>
          <w:color w:val="auto"/>
        </w:rPr>
      </w:pPr>
      <w:bookmarkStart w:id="24" w:name="_Toc237509191"/>
      <w:r w:rsidRPr="0018665E">
        <w:rPr>
          <w:rFonts w:ascii="Arial" w:hAnsi="Arial" w:cs="Arial"/>
          <w:color w:val="auto"/>
        </w:rPr>
        <w:t>5.7 Physical Evidence</w:t>
      </w:r>
      <w:bookmarkEnd w:id="24"/>
    </w:p>
    <w:p w14:paraId="6281DA4D" w14:textId="3CAAD656" w:rsidR="00D51F63"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In Germany, retail space is minimal, design-oriented, which is manifested in physical evidence and aligns with the high-end positioning. Emerging trends are digitized Airfares and store experiences in India are becoming more vibrant and technologically booked and is appealing more to younger and more </w:t>
      </w:r>
      <w:r w:rsidR="00470A49" w:rsidRPr="0018665E">
        <w:rPr>
          <w:rFonts w:ascii="Arial" w:hAnsi="Arial" w:cs="Arial"/>
          <w:sz w:val="24"/>
          <w:szCs w:val="24"/>
        </w:rPr>
        <w:t>digitally native</w:t>
      </w:r>
      <w:r w:rsidRPr="0018665E">
        <w:rPr>
          <w:rFonts w:ascii="Arial" w:hAnsi="Arial" w:cs="Arial"/>
          <w:sz w:val="24"/>
          <w:szCs w:val="24"/>
        </w:rPr>
        <w:t xml:space="preserve"> customers. Store appearance and visual merchandising is an integrating element of consumer evaluation in the retailing environment that transcends a single product display to an expanded sense of brand (Basu, Paul and Singh, 2022). This collaborative effort </w:t>
      </w:r>
      <w:r w:rsidR="00470A49" w:rsidRPr="0018665E">
        <w:rPr>
          <w:rFonts w:ascii="Arial" w:hAnsi="Arial" w:cs="Arial"/>
          <w:sz w:val="24"/>
          <w:szCs w:val="24"/>
        </w:rPr>
        <w:t>about</w:t>
      </w:r>
      <w:r w:rsidRPr="0018665E">
        <w:rPr>
          <w:rFonts w:ascii="Arial" w:hAnsi="Arial" w:cs="Arial"/>
          <w:sz w:val="24"/>
          <w:szCs w:val="24"/>
        </w:rPr>
        <w:t xml:space="preserve"> physical evidence is being replicated by Adidas persisting with investment in designing flag ship stores and franchise stores in India.</w:t>
      </w:r>
    </w:p>
    <w:p w14:paraId="43326413" w14:textId="77777777" w:rsidR="00D51F63" w:rsidRPr="0018665E" w:rsidRDefault="00000000" w:rsidP="009B01BA">
      <w:pPr>
        <w:pStyle w:val="Heading2"/>
        <w:spacing w:after="100" w:afterAutospacing="1"/>
        <w:rPr>
          <w:rFonts w:ascii="Arial" w:hAnsi="Arial" w:cs="Arial"/>
          <w:color w:val="auto"/>
        </w:rPr>
      </w:pPr>
      <w:bookmarkStart w:id="25" w:name="_Toc237509192"/>
      <w:r w:rsidRPr="0018665E">
        <w:rPr>
          <w:rFonts w:ascii="Arial" w:hAnsi="Arial" w:cs="Arial"/>
          <w:color w:val="auto"/>
        </w:rPr>
        <w:lastRenderedPageBreak/>
        <w:t>6. Market Entry Strategy Analysis: India</w:t>
      </w:r>
      <w:bookmarkEnd w:id="25"/>
    </w:p>
    <w:p w14:paraId="7F360191" w14:textId="77777777" w:rsidR="00D51F63" w:rsidRPr="0018665E" w:rsidRDefault="00000000" w:rsidP="009B01BA">
      <w:pPr>
        <w:pStyle w:val="Heading3"/>
        <w:rPr>
          <w:rFonts w:ascii="Arial" w:hAnsi="Arial" w:cs="Arial"/>
          <w:color w:val="auto"/>
        </w:rPr>
      </w:pPr>
      <w:bookmarkStart w:id="26" w:name="_Toc237509193"/>
      <w:r w:rsidRPr="0018665E">
        <w:rPr>
          <w:rFonts w:ascii="Arial" w:hAnsi="Arial" w:cs="Arial"/>
          <w:color w:val="auto"/>
        </w:rPr>
        <w:t>6.1 Entry Mode Options</w:t>
      </w:r>
      <w:bookmarkEnd w:id="26"/>
    </w:p>
    <w:p w14:paraId="55E7219E" w14:textId="3388EFEE" w:rsidR="00D51F63"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The traditional groupings of international entry mode are export-based, contractual and equity-based and these modes depart with varied trade-offs; control, risk and resource commitment. Joint ventures combine local and partner market expertise and an exposure of shared </w:t>
      </w:r>
      <w:r w:rsidR="00470A49" w:rsidRPr="0018665E">
        <w:rPr>
          <w:rFonts w:ascii="Arial" w:hAnsi="Arial" w:cs="Arial"/>
          <w:sz w:val="24"/>
          <w:szCs w:val="24"/>
        </w:rPr>
        <w:t>resources,</w:t>
      </w:r>
      <w:r w:rsidRPr="0018665E">
        <w:rPr>
          <w:rFonts w:ascii="Arial" w:hAnsi="Arial" w:cs="Arial"/>
          <w:sz w:val="24"/>
          <w:szCs w:val="24"/>
        </w:rPr>
        <w:t xml:space="preserve"> and their performance is more reliant on structural and social management systems rather than shared ownership (Ali et al., 2021). Licensing and franchising make it possible to enter the market very quickly with </w:t>
      </w:r>
      <w:r w:rsidR="00470A49" w:rsidRPr="0018665E">
        <w:rPr>
          <w:rFonts w:ascii="Arial" w:hAnsi="Arial" w:cs="Arial"/>
          <w:sz w:val="24"/>
          <w:szCs w:val="24"/>
        </w:rPr>
        <w:t>low</w:t>
      </w:r>
      <w:r w:rsidRPr="0018665E">
        <w:rPr>
          <w:rFonts w:ascii="Arial" w:hAnsi="Arial" w:cs="Arial"/>
          <w:sz w:val="24"/>
          <w:szCs w:val="24"/>
        </w:rPr>
        <w:t xml:space="preserve"> start-up capital because less operational control is necessary. Wholly owned subsidiaries are the most controllable, long-term strategic and will require much larger commitment to capital investment and significantly higher exposure to host-market risk.</w:t>
      </w:r>
    </w:p>
    <w:p w14:paraId="1F0193AD" w14:textId="77777777" w:rsidR="00D51F63" w:rsidRPr="0018665E" w:rsidRDefault="00000000" w:rsidP="009B01BA">
      <w:pPr>
        <w:pStyle w:val="Heading3"/>
        <w:rPr>
          <w:rFonts w:ascii="Arial" w:hAnsi="Arial" w:cs="Arial"/>
          <w:color w:val="auto"/>
        </w:rPr>
      </w:pPr>
      <w:bookmarkStart w:id="27" w:name="_Toc237509194"/>
      <w:r w:rsidRPr="0018665E">
        <w:rPr>
          <w:rFonts w:ascii="Arial" w:hAnsi="Arial" w:cs="Arial"/>
          <w:color w:val="auto"/>
        </w:rPr>
        <w:t>6.2 Adidas's Chosen Approach: Franchising</w:t>
      </w:r>
      <w:bookmarkEnd w:id="27"/>
    </w:p>
    <w:p w14:paraId="1A8B0F32" w14:textId="0BDA4998" w:rsidR="00D51F63"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To expand this store-presence in smaller cities, Adidas India has primarily concentrated on franchising with </w:t>
      </w:r>
      <w:r w:rsidR="00470A49" w:rsidRPr="0018665E">
        <w:rPr>
          <w:rFonts w:ascii="Arial" w:hAnsi="Arial" w:cs="Arial"/>
          <w:sz w:val="24"/>
          <w:szCs w:val="24"/>
        </w:rPr>
        <w:t>several</w:t>
      </w:r>
      <w:r w:rsidRPr="0018665E">
        <w:rPr>
          <w:rFonts w:ascii="Arial" w:hAnsi="Arial" w:cs="Arial"/>
          <w:sz w:val="24"/>
          <w:szCs w:val="24"/>
        </w:rPr>
        <w:t xml:space="preserve"> Indian retail chains. This plan will come to be synonymous </w:t>
      </w:r>
      <w:r w:rsidR="00470A49" w:rsidRPr="0018665E">
        <w:rPr>
          <w:rFonts w:ascii="Arial" w:hAnsi="Arial" w:cs="Arial"/>
          <w:sz w:val="24"/>
          <w:szCs w:val="24"/>
        </w:rPr>
        <w:t>with</w:t>
      </w:r>
      <w:r w:rsidRPr="0018665E">
        <w:rPr>
          <w:rFonts w:ascii="Arial" w:hAnsi="Arial" w:cs="Arial"/>
          <w:sz w:val="24"/>
          <w:szCs w:val="24"/>
        </w:rPr>
        <w:t xml:space="preserve"> some calculated compromise, a trade-off between speed of geographic coverage and local retail experience in exchange </w:t>
      </w:r>
      <w:r w:rsidR="00470A49" w:rsidRPr="0018665E">
        <w:rPr>
          <w:rFonts w:ascii="Arial" w:hAnsi="Arial" w:cs="Arial"/>
          <w:sz w:val="24"/>
          <w:szCs w:val="24"/>
        </w:rPr>
        <w:t>for</w:t>
      </w:r>
      <w:r w:rsidRPr="0018665E">
        <w:rPr>
          <w:rFonts w:ascii="Arial" w:hAnsi="Arial" w:cs="Arial"/>
          <w:sz w:val="24"/>
          <w:szCs w:val="24"/>
        </w:rPr>
        <w:t xml:space="preserve"> full control of operations. Contractual modes of entry are often preferred by firms venturing into culturally and institutionally far emerging markets because of exactly this reason; local companies offer trust, network connection and less risk perceptions (</w:t>
      </w:r>
      <w:proofErr w:type="spellStart"/>
      <w:r w:rsidRPr="0018665E">
        <w:rPr>
          <w:rFonts w:ascii="Arial" w:hAnsi="Arial" w:cs="Arial"/>
          <w:sz w:val="24"/>
          <w:szCs w:val="24"/>
        </w:rPr>
        <w:t>Fregidou</w:t>
      </w:r>
      <w:proofErr w:type="spellEnd"/>
      <w:r w:rsidRPr="0018665E">
        <w:rPr>
          <w:rFonts w:ascii="Arial" w:hAnsi="Arial" w:cs="Arial"/>
          <w:sz w:val="24"/>
          <w:szCs w:val="24"/>
        </w:rPr>
        <w:t>-Malama et al., 2023). The power-distance and collectivistic retail culture which was rated high in Section 3 is partially counterbalanced by franchising, in the case of Adidas since the power-distance and collectivistic partners in the region would be more skillful at negotiating the regionally more specific consumer relations.</w:t>
      </w:r>
    </w:p>
    <w:p w14:paraId="63D29F3E" w14:textId="77777777" w:rsidR="00D51F63" w:rsidRPr="0018665E" w:rsidRDefault="00000000" w:rsidP="009B01BA">
      <w:pPr>
        <w:pStyle w:val="Heading3"/>
        <w:rPr>
          <w:rFonts w:ascii="Arial" w:hAnsi="Arial" w:cs="Arial"/>
          <w:color w:val="auto"/>
        </w:rPr>
      </w:pPr>
      <w:bookmarkStart w:id="28" w:name="_Toc237509195"/>
      <w:r w:rsidRPr="0018665E">
        <w:rPr>
          <w:rFonts w:ascii="Arial" w:hAnsi="Arial" w:cs="Arial"/>
          <w:color w:val="auto"/>
        </w:rPr>
        <w:t>6.3 Evaluation</w:t>
      </w:r>
      <w:bookmarkEnd w:id="28"/>
    </w:p>
    <w:p w14:paraId="22340290" w14:textId="104CDBC8" w:rsidR="00D51F63" w:rsidRPr="0018665E" w:rsidRDefault="0098233A"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The size of India and regional diversities make the franchise-based strategy the best in moderating the efficiency of resources as compared to footprint the market. Depending on franchise </w:t>
      </w:r>
      <w:r w:rsidR="00470A49" w:rsidRPr="0018665E">
        <w:rPr>
          <w:rFonts w:ascii="Arial" w:hAnsi="Arial" w:cs="Arial"/>
          <w:sz w:val="24"/>
          <w:szCs w:val="24"/>
        </w:rPr>
        <w:t>partners,</w:t>
      </w:r>
      <w:r w:rsidRPr="0018665E">
        <w:rPr>
          <w:rFonts w:ascii="Arial" w:hAnsi="Arial" w:cs="Arial"/>
          <w:sz w:val="24"/>
          <w:szCs w:val="24"/>
        </w:rPr>
        <w:t xml:space="preserve"> the issue with this is that it introduces the aspect of governance risk since a brand experience can only be assumed to be homogenous </w:t>
      </w:r>
      <w:r w:rsidRPr="0018665E">
        <w:rPr>
          <w:rFonts w:ascii="Arial" w:hAnsi="Arial" w:cs="Arial"/>
          <w:sz w:val="24"/>
          <w:szCs w:val="24"/>
        </w:rPr>
        <w:lastRenderedPageBreak/>
        <w:t xml:space="preserve">and </w:t>
      </w:r>
      <w:r w:rsidR="00470A49" w:rsidRPr="0018665E">
        <w:rPr>
          <w:rFonts w:ascii="Arial" w:hAnsi="Arial" w:cs="Arial"/>
          <w:sz w:val="24"/>
          <w:szCs w:val="24"/>
        </w:rPr>
        <w:t>here</w:t>
      </w:r>
      <w:r w:rsidRPr="0018665E">
        <w:rPr>
          <w:rFonts w:ascii="Arial" w:hAnsi="Arial" w:cs="Arial"/>
          <w:sz w:val="24"/>
          <w:szCs w:val="24"/>
        </w:rPr>
        <w:t xml:space="preserve"> is a question of whether other partners will conform to training, service and ethical practices. Both structural and social controls that are based on relationships such as relational trust-building, as well as clear contractual control, have been shown to have a positive impact on international venture performance beyond ownership structure (Ali et al., 2021). The success of Adidas in India does not depend on the entry-mode choice per se and rather tangible to the governance mechanisms superimposed on it.</w:t>
      </w:r>
    </w:p>
    <w:p w14:paraId="40531D83" w14:textId="2C0D5DA9" w:rsidR="00D51F63" w:rsidRPr="0018665E" w:rsidRDefault="00277FA8" w:rsidP="009B01BA">
      <w:pPr>
        <w:spacing w:before="200" w:after="100" w:afterAutospacing="1" w:line="360" w:lineRule="auto"/>
        <w:jc w:val="both"/>
        <w:rPr>
          <w:rFonts w:ascii="Arial" w:hAnsi="Arial" w:cs="Arial"/>
          <w:sz w:val="24"/>
          <w:szCs w:val="24"/>
        </w:rPr>
      </w:pPr>
      <w:r w:rsidRPr="0018665E">
        <w:rPr>
          <w:rFonts w:ascii="Arial" w:hAnsi="Arial" w:cs="Arial"/>
          <w:noProof/>
        </w:rPr>
        <w:drawing>
          <wp:inline distT="0" distB="0" distL="0" distR="0" wp14:anchorId="17CEDA5D" wp14:editId="7BFBB110">
            <wp:extent cx="5731510" cy="3014345"/>
            <wp:effectExtent l="0" t="0" r="2540" b="14605"/>
            <wp:docPr id="872424586" name="Chart 1">
              <a:extLst xmlns:a="http://schemas.openxmlformats.org/drawingml/2006/main">
                <a:ext uri="{FF2B5EF4-FFF2-40B4-BE49-F238E27FC236}">
                  <a16:creationId xmlns:a16="http://schemas.microsoft.com/office/drawing/2014/main" id="{00000000-0008-0000-03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FA00434" w14:textId="6063E238" w:rsidR="00D51F63" w:rsidRPr="0018665E" w:rsidRDefault="00000000" w:rsidP="009B01BA">
      <w:pPr>
        <w:spacing w:before="80" w:after="100" w:afterAutospacing="1" w:line="360" w:lineRule="auto"/>
        <w:jc w:val="center"/>
        <w:rPr>
          <w:rFonts w:ascii="Arial" w:hAnsi="Arial" w:cs="Arial"/>
          <w:b/>
          <w:bCs/>
          <w:sz w:val="24"/>
          <w:szCs w:val="24"/>
        </w:rPr>
      </w:pPr>
      <w:r w:rsidRPr="0018665E">
        <w:rPr>
          <w:rFonts w:ascii="Arial" w:hAnsi="Arial" w:cs="Arial"/>
          <w:b/>
          <w:bCs/>
          <w:sz w:val="24"/>
          <w:szCs w:val="24"/>
        </w:rPr>
        <w:t xml:space="preserve">Figure </w:t>
      </w:r>
      <w:r w:rsidR="00470A49" w:rsidRPr="0018665E">
        <w:rPr>
          <w:rFonts w:ascii="Arial" w:hAnsi="Arial" w:cs="Arial"/>
          <w:b/>
          <w:bCs/>
          <w:sz w:val="24"/>
          <w:szCs w:val="24"/>
        </w:rPr>
        <w:t xml:space="preserve">5: Control, Risk </w:t>
      </w:r>
      <w:proofErr w:type="gramStart"/>
      <w:r w:rsidR="00470A49" w:rsidRPr="0018665E">
        <w:rPr>
          <w:rFonts w:ascii="Arial" w:hAnsi="Arial" w:cs="Arial"/>
          <w:b/>
          <w:bCs/>
          <w:sz w:val="24"/>
          <w:szCs w:val="24"/>
        </w:rPr>
        <w:t>And</w:t>
      </w:r>
      <w:proofErr w:type="gramEnd"/>
      <w:r w:rsidR="00470A49" w:rsidRPr="0018665E">
        <w:rPr>
          <w:rFonts w:ascii="Arial" w:hAnsi="Arial" w:cs="Arial"/>
          <w:b/>
          <w:bCs/>
          <w:sz w:val="24"/>
          <w:szCs w:val="24"/>
        </w:rPr>
        <w:t xml:space="preserve"> Resource Trade-Offs Across International Entry Modes</w:t>
      </w:r>
    </w:p>
    <w:p w14:paraId="48CE2205" w14:textId="77777777" w:rsidR="00D51F63" w:rsidRPr="0018665E" w:rsidRDefault="00000000" w:rsidP="009B01BA">
      <w:pPr>
        <w:pStyle w:val="Heading2"/>
        <w:spacing w:after="100" w:afterAutospacing="1"/>
        <w:rPr>
          <w:rFonts w:ascii="Arial" w:hAnsi="Arial" w:cs="Arial"/>
          <w:color w:val="auto"/>
        </w:rPr>
      </w:pPr>
      <w:bookmarkStart w:id="29" w:name="_Toc237509196"/>
      <w:r w:rsidRPr="0018665E">
        <w:rPr>
          <w:rFonts w:ascii="Arial" w:hAnsi="Arial" w:cs="Arial"/>
          <w:color w:val="auto"/>
        </w:rPr>
        <w:t>7. Ethical Evaluation</w:t>
      </w:r>
      <w:bookmarkEnd w:id="29"/>
    </w:p>
    <w:p w14:paraId="26FBFF92" w14:textId="77777777" w:rsidR="00D51F63" w:rsidRPr="0018665E" w:rsidRDefault="00000000" w:rsidP="009B01BA">
      <w:pPr>
        <w:pStyle w:val="Heading3"/>
        <w:rPr>
          <w:rFonts w:ascii="Arial" w:hAnsi="Arial" w:cs="Arial"/>
          <w:color w:val="auto"/>
        </w:rPr>
      </w:pPr>
      <w:bookmarkStart w:id="30" w:name="_Toc237509197"/>
      <w:r w:rsidRPr="0018665E">
        <w:rPr>
          <w:rFonts w:ascii="Arial" w:hAnsi="Arial" w:cs="Arial"/>
          <w:color w:val="auto"/>
        </w:rPr>
        <w:t xml:space="preserve">7.1 </w:t>
      </w:r>
      <w:proofErr w:type="spellStart"/>
      <w:r w:rsidRPr="0018665E">
        <w:rPr>
          <w:rFonts w:ascii="Arial" w:hAnsi="Arial" w:cs="Arial"/>
          <w:color w:val="auto"/>
        </w:rPr>
        <w:t>Labour</w:t>
      </w:r>
      <w:proofErr w:type="spellEnd"/>
      <w:r w:rsidRPr="0018665E">
        <w:rPr>
          <w:rFonts w:ascii="Arial" w:hAnsi="Arial" w:cs="Arial"/>
          <w:color w:val="auto"/>
        </w:rPr>
        <w:t xml:space="preserve"> Standards in the Supply Chain</w:t>
      </w:r>
      <w:bookmarkEnd w:id="30"/>
    </w:p>
    <w:p w14:paraId="2C885124" w14:textId="3BD724D8" w:rsidR="00D51F63" w:rsidRPr="0018665E" w:rsidRDefault="00470A49"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The wage policy and working conditions in supplier factories have been subject to continued criticism of global supply chains of apparel (like Adidas). Empirical research of the corporate codes of conduct identifies few facts that voluntary wage pledges result in quantifiable increases in the pay outcome on the supplier level (LeBaron et al., 2021). The announced CSR policy and supplier practice will still be coupled together, and it would remain a common problem within the sector that would complicate providing ethical assurances (Bae, 2025). This fact insinuates that the </w:t>
      </w:r>
      <w:r w:rsidRPr="0018665E">
        <w:rPr>
          <w:rFonts w:ascii="Arial" w:hAnsi="Arial" w:cs="Arial"/>
          <w:sz w:val="24"/>
          <w:szCs w:val="24"/>
        </w:rPr>
        <w:lastRenderedPageBreak/>
        <w:t xml:space="preserve">public </w:t>
      </w:r>
      <w:proofErr w:type="spellStart"/>
      <w:r w:rsidRPr="0018665E">
        <w:rPr>
          <w:rFonts w:ascii="Arial" w:hAnsi="Arial" w:cs="Arial"/>
          <w:sz w:val="24"/>
          <w:szCs w:val="24"/>
        </w:rPr>
        <w:t>labour</w:t>
      </w:r>
      <w:proofErr w:type="spellEnd"/>
      <w:r w:rsidRPr="0018665E">
        <w:rPr>
          <w:rFonts w:ascii="Arial" w:hAnsi="Arial" w:cs="Arial"/>
          <w:sz w:val="24"/>
          <w:szCs w:val="24"/>
        </w:rPr>
        <w:t xml:space="preserve"> engagements of Adidas should have their checks and balances rather than being at the mercies of supplier self-reporting initiatives, particularly on the geographically diverse Indian and southeast Asian manufacturing background that favors the two markets.</w:t>
      </w:r>
    </w:p>
    <w:p w14:paraId="049DA866" w14:textId="77777777" w:rsidR="00D51F63" w:rsidRPr="0018665E" w:rsidRDefault="00000000" w:rsidP="009B01BA">
      <w:pPr>
        <w:pStyle w:val="Heading3"/>
        <w:rPr>
          <w:rFonts w:ascii="Arial" w:hAnsi="Arial" w:cs="Arial"/>
          <w:color w:val="auto"/>
        </w:rPr>
      </w:pPr>
      <w:bookmarkStart w:id="31" w:name="_Toc237509198"/>
      <w:r w:rsidRPr="0018665E">
        <w:rPr>
          <w:rFonts w:ascii="Arial" w:hAnsi="Arial" w:cs="Arial"/>
          <w:color w:val="auto"/>
        </w:rPr>
        <w:t>7.2 Greenwashing Risk</w:t>
      </w:r>
      <w:bookmarkEnd w:id="31"/>
    </w:p>
    <w:p w14:paraId="2F520E1F" w14:textId="30BE5BC3" w:rsidR="00D51F63" w:rsidRPr="0018665E" w:rsidRDefault="00470A49" w:rsidP="009B01BA">
      <w:pPr>
        <w:spacing w:after="100" w:afterAutospacing="1" w:line="360" w:lineRule="auto"/>
        <w:jc w:val="both"/>
        <w:rPr>
          <w:rFonts w:ascii="Arial" w:hAnsi="Arial" w:cs="Arial"/>
          <w:sz w:val="24"/>
          <w:szCs w:val="24"/>
        </w:rPr>
      </w:pPr>
      <w:r w:rsidRPr="0018665E">
        <w:rPr>
          <w:rFonts w:ascii="Arial" w:hAnsi="Arial" w:cs="Arial"/>
          <w:sz w:val="24"/>
          <w:szCs w:val="24"/>
        </w:rPr>
        <w:t>Adidas will experience measurable reputational losses, as employees of alleged instances of greenwashing in the context of promoting products with sustainability in Germany and India. Perceived greenwashing negatively and directly influences environmental and product perceptions in consumers who are exposed to claims about green marketing (Szabo and Webster, 2021). The latter risk is increased in cynical consumer groups, where the lack of trust towards the green clothing companies grows exponentially in case the claim about sustainability is deemed as a ditched (Policarpo et al., 2023). The motivations of purchasing sustainable clothes also get entangled with the reasons of conspicuous consumption that tend to either encourage or act as deterring factors to making real sustainable purchases along the plausibility of the brands (</w:t>
      </w:r>
      <w:proofErr w:type="spellStart"/>
      <w:r w:rsidRPr="0018665E">
        <w:rPr>
          <w:rFonts w:ascii="Arial" w:hAnsi="Arial" w:cs="Arial"/>
          <w:sz w:val="24"/>
          <w:szCs w:val="24"/>
        </w:rPr>
        <w:t>Apaolaza</w:t>
      </w:r>
      <w:proofErr w:type="spellEnd"/>
      <w:r w:rsidRPr="0018665E">
        <w:rPr>
          <w:rFonts w:ascii="Arial" w:hAnsi="Arial" w:cs="Arial"/>
          <w:sz w:val="24"/>
          <w:szCs w:val="24"/>
        </w:rPr>
        <w:t xml:space="preserve"> et al., 2023). Hence, strategic potential of substantiation of the third party verified sustainability statements is greater when compared with the general promotes sustainability statements by Adidas.</w:t>
      </w:r>
    </w:p>
    <w:p w14:paraId="79F49685" w14:textId="77777777" w:rsidR="00D51F63" w:rsidRPr="0018665E" w:rsidRDefault="00000000" w:rsidP="009B01BA">
      <w:pPr>
        <w:pStyle w:val="Heading2"/>
        <w:spacing w:after="100" w:afterAutospacing="1"/>
        <w:rPr>
          <w:rFonts w:ascii="Arial" w:hAnsi="Arial" w:cs="Arial"/>
          <w:color w:val="auto"/>
        </w:rPr>
      </w:pPr>
      <w:bookmarkStart w:id="32" w:name="_Toc237509199"/>
      <w:r w:rsidRPr="0018665E">
        <w:rPr>
          <w:rFonts w:ascii="Arial" w:hAnsi="Arial" w:cs="Arial"/>
          <w:color w:val="auto"/>
        </w:rPr>
        <w:t>8. Recommendations</w:t>
      </w:r>
      <w:bookmarkEnd w:id="32"/>
    </w:p>
    <w:p w14:paraId="373F75A9" w14:textId="77777777" w:rsidR="00D51F63" w:rsidRPr="0018665E" w:rsidRDefault="00000000" w:rsidP="009B01BA">
      <w:pPr>
        <w:pStyle w:val="Heading3"/>
        <w:rPr>
          <w:rFonts w:ascii="Arial" w:hAnsi="Arial" w:cs="Arial"/>
          <w:color w:val="auto"/>
        </w:rPr>
      </w:pPr>
      <w:bookmarkStart w:id="33" w:name="_Toc237509200"/>
      <w:r w:rsidRPr="0018665E">
        <w:rPr>
          <w:rFonts w:ascii="Arial" w:hAnsi="Arial" w:cs="Arial"/>
          <w:color w:val="auto"/>
        </w:rPr>
        <w:t>8.1 Cultural and STP Recalibration</w:t>
      </w:r>
      <w:bookmarkEnd w:id="33"/>
    </w:p>
    <w:p w14:paraId="1891AC4A" w14:textId="309E47AA" w:rsidR="00D51F63" w:rsidRPr="0018665E" w:rsidRDefault="00470A49" w:rsidP="009B01BA">
      <w:pPr>
        <w:spacing w:after="100" w:afterAutospacing="1" w:line="360" w:lineRule="auto"/>
        <w:jc w:val="both"/>
        <w:rPr>
          <w:rFonts w:ascii="Arial" w:hAnsi="Arial" w:cs="Arial"/>
          <w:sz w:val="24"/>
          <w:szCs w:val="24"/>
        </w:rPr>
      </w:pPr>
      <w:r w:rsidRPr="0018665E">
        <w:rPr>
          <w:rFonts w:ascii="Arial" w:hAnsi="Arial" w:cs="Arial"/>
          <w:sz w:val="24"/>
          <w:szCs w:val="24"/>
        </w:rPr>
        <w:t>Adidas would be suggested to continue to promote some promotional stories separately between Germany and India which are countered by the individualism, uncertainty avoidance and long-term orientation gap in Section 3. There are further recommendations to clarify segmentation to the regional level in India because the records indicate that even in the groups of consumers on a national scale, the culture values do not become identical in terms of their expression (Matharu et al., 2023). The essential elements of positioning should be extended to a greater extent with the German country-of-origin engineering clues, whose compatibility between the origin stereotype and brand positioning can improve consumer reactions in the cross-culturally different markets (Wang et al., 2022).</w:t>
      </w:r>
    </w:p>
    <w:p w14:paraId="278B48D5" w14:textId="77777777" w:rsidR="00D51F63" w:rsidRPr="0018665E" w:rsidRDefault="00000000" w:rsidP="009B01BA">
      <w:pPr>
        <w:pStyle w:val="Heading3"/>
        <w:rPr>
          <w:rFonts w:ascii="Arial" w:hAnsi="Arial" w:cs="Arial"/>
          <w:color w:val="auto"/>
        </w:rPr>
      </w:pPr>
      <w:bookmarkStart w:id="34" w:name="_Toc237509201"/>
      <w:r w:rsidRPr="0018665E">
        <w:rPr>
          <w:rFonts w:ascii="Arial" w:hAnsi="Arial" w:cs="Arial"/>
          <w:color w:val="auto"/>
        </w:rPr>
        <w:lastRenderedPageBreak/>
        <w:t>8.2 Marketing Mix Adjustments</w:t>
      </w:r>
      <w:bookmarkEnd w:id="34"/>
    </w:p>
    <w:p w14:paraId="2575E4D4" w14:textId="5F2CDAAC" w:rsidR="00D51F63" w:rsidRPr="0018665E" w:rsidRDefault="00470A49"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Adidas is advised to have standardization of core technical product lines on a hybrid basis and continue to adjust price differentiation, intensity and promotional content of distribution as well as remain consistent with current international marketing mix guidance (James, Inyang and Eze, 2024). The ongoing support of store-level physical evidence in India should rest on an integrated and technology enabled experiential design since this can be demonstrated to affect consumer evaluation (Basu, Paul and Singh, 2022). The franchise network should be strengthened through training the front-line workers in India such that uniformity is in service delivery even though the ownership is </w:t>
      </w:r>
      <w:proofErr w:type="spellStart"/>
      <w:r w:rsidRPr="0018665E">
        <w:rPr>
          <w:rFonts w:ascii="Arial" w:hAnsi="Arial" w:cs="Arial"/>
          <w:sz w:val="24"/>
          <w:szCs w:val="24"/>
        </w:rPr>
        <w:t>decentralised</w:t>
      </w:r>
      <w:proofErr w:type="spellEnd"/>
      <w:r w:rsidRPr="0018665E">
        <w:rPr>
          <w:rFonts w:ascii="Arial" w:hAnsi="Arial" w:cs="Arial"/>
          <w:sz w:val="24"/>
          <w:szCs w:val="24"/>
        </w:rPr>
        <w:t>.</w:t>
      </w:r>
    </w:p>
    <w:p w14:paraId="36D85D80" w14:textId="77777777" w:rsidR="00D51F63" w:rsidRPr="0018665E" w:rsidRDefault="00000000" w:rsidP="009B01BA">
      <w:pPr>
        <w:pStyle w:val="Heading3"/>
        <w:rPr>
          <w:rFonts w:ascii="Arial" w:hAnsi="Arial" w:cs="Arial"/>
          <w:color w:val="auto"/>
        </w:rPr>
      </w:pPr>
      <w:bookmarkStart w:id="35" w:name="_Toc237509202"/>
      <w:r w:rsidRPr="0018665E">
        <w:rPr>
          <w:rFonts w:ascii="Arial" w:hAnsi="Arial" w:cs="Arial"/>
          <w:color w:val="auto"/>
        </w:rPr>
        <w:t>8.3 Ethical Governance</w:t>
      </w:r>
      <w:bookmarkEnd w:id="35"/>
    </w:p>
    <w:p w14:paraId="2587D217" w14:textId="21DEF78C" w:rsidR="00D51F63" w:rsidRPr="0018665E" w:rsidRDefault="00470A49"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Adidas is urged to strengthen the independent and third party-checking of the adherence to the supplier pay, and </w:t>
      </w:r>
      <w:proofErr w:type="spellStart"/>
      <w:r w:rsidRPr="0018665E">
        <w:rPr>
          <w:rFonts w:ascii="Arial" w:hAnsi="Arial" w:cs="Arial"/>
          <w:sz w:val="24"/>
          <w:szCs w:val="24"/>
        </w:rPr>
        <w:t>labour</w:t>
      </w:r>
      <w:proofErr w:type="spellEnd"/>
      <w:r w:rsidRPr="0018665E">
        <w:rPr>
          <w:rFonts w:ascii="Arial" w:hAnsi="Arial" w:cs="Arial"/>
          <w:sz w:val="24"/>
          <w:szCs w:val="24"/>
        </w:rPr>
        <w:t xml:space="preserve"> industry across its board because same actions reporting compliance to the code-of-conduct has been found to fall short in improving actual performance (LeBaron et al., 2021). Verifiable, product-specific evidence, as opposed to general environmentally mentalized marketing claims, should justify sustainability marketing claims, and exposure to perceived greenwashing and consequent loss of trust (Policarpo et al., 2023). These improvements of governance would add strength to brand acumen in the most-regulated German market and the image-conscious Indian consumer market.</w:t>
      </w:r>
    </w:p>
    <w:p w14:paraId="669386FB" w14:textId="77777777" w:rsidR="00D51F63" w:rsidRPr="0018665E" w:rsidRDefault="00000000" w:rsidP="009B01BA">
      <w:pPr>
        <w:pStyle w:val="Heading2"/>
        <w:spacing w:after="100" w:afterAutospacing="1"/>
        <w:rPr>
          <w:rFonts w:ascii="Arial" w:hAnsi="Arial" w:cs="Arial"/>
          <w:color w:val="auto"/>
        </w:rPr>
      </w:pPr>
      <w:bookmarkStart w:id="36" w:name="_Toc237509203"/>
      <w:r w:rsidRPr="0018665E">
        <w:rPr>
          <w:rFonts w:ascii="Arial" w:hAnsi="Arial" w:cs="Arial"/>
          <w:color w:val="auto"/>
        </w:rPr>
        <w:t>9. Conclusion</w:t>
      </w:r>
      <w:bookmarkEnd w:id="36"/>
    </w:p>
    <w:p w14:paraId="44AE4817" w14:textId="39EB853E" w:rsidR="00CA788D" w:rsidRPr="0018665E" w:rsidRDefault="00470A49"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In conclusion, this report has contrasted an international market entry strategy and marketing mix of Adidas in both Germany and India using PESTEL, Hofstede, STP and 7Ps models. This comparison reveals that the macro-environmental, cultural and structural conditions in Germany and India are the opposites and suggests the necessity of differentiating and not homogenizing marketing strategies. Franchise-based mode of entry, which the case of Adidas to India is the right mode of response to the size of the market, cultural distance, and resource efficiency, but the ultimate success of the company depends on the improved governance mechanisms, rather than a mode of entry. Ethical review also adds that credible and verifiable </w:t>
      </w:r>
      <w:proofErr w:type="spellStart"/>
      <w:r w:rsidRPr="0018665E">
        <w:rPr>
          <w:rFonts w:ascii="Arial" w:hAnsi="Arial" w:cs="Arial"/>
          <w:sz w:val="24"/>
          <w:szCs w:val="24"/>
        </w:rPr>
        <w:t>labour</w:t>
      </w:r>
      <w:proofErr w:type="spellEnd"/>
      <w:r w:rsidRPr="0018665E">
        <w:rPr>
          <w:rFonts w:ascii="Arial" w:hAnsi="Arial" w:cs="Arial"/>
          <w:sz w:val="24"/>
          <w:szCs w:val="24"/>
        </w:rPr>
        <w:t xml:space="preserve"> and </w:t>
      </w:r>
      <w:r w:rsidRPr="0018665E">
        <w:rPr>
          <w:rFonts w:ascii="Arial" w:hAnsi="Arial" w:cs="Arial"/>
          <w:sz w:val="24"/>
          <w:szCs w:val="24"/>
        </w:rPr>
        <w:lastRenderedPageBreak/>
        <w:t>sustainability operations are also of great importance in upholding brand confidence in both markets. Altogether, the comparative evidence could serve to approve the further development of the hybrid strategy of standardization-adaptation that would be optimally modified according to the specific national and institutional context, which this report unveils.</w:t>
      </w:r>
    </w:p>
    <w:p w14:paraId="18A2D5A9" w14:textId="3AAEF565" w:rsidR="00D51F63" w:rsidRPr="0018665E" w:rsidRDefault="00CA788D" w:rsidP="009B01BA">
      <w:pPr>
        <w:pStyle w:val="Heading1"/>
        <w:spacing w:after="100" w:afterAutospacing="1"/>
        <w:rPr>
          <w:rFonts w:ascii="Arial" w:hAnsi="Arial" w:cs="Arial"/>
          <w:color w:val="auto"/>
        </w:rPr>
      </w:pPr>
      <w:bookmarkStart w:id="37" w:name="_Toc237509204"/>
      <w:r w:rsidRPr="0018665E">
        <w:rPr>
          <w:rFonts w:ascii="Arial" w:hAnsi="Arial" w:cs="Arial"/>
          <w:color w:val="auto"/>
        </w:rPr>
        <w:t>Section 2: Reflective Account</w:t>
      </w:r>
      <w:bookmarkEnd w:id="37"/>
    </w:p>
    <w:p w14:paraId="5A987CA4" w14:textId="77777777" w:rsidR="00CA788D" w:rsidRPr="0018665E" w:rsidRDefault="00CA788D" w:rsidP="009B01BA">
      <w:pPr>
        <w:pStyle w:val="Heading2"/>
        <w:spacing w:after="100" w:afterAutospacing="1"/>
        <w:rPr>
          <w:rFonts w:ascii="Arial" w:hAnsi="Arial" w:cs="Arial"/>
          <w:color w:val="auto"/>
        </w:rPr>
      </w:pPr>
      <w:bookmarkStart w:id="38" w:name="_Toc237509205"/>
      <w:r w:rsidRPr="0018665E">
        <w:rPr>
          <w:rFonts w:ascii="Arial" w:hAnsi="Arial" w:cs="Arial"/>
          <w:color w:val="auto"/>
        </w:rPr>
        <w:t>1. Introduction</w:t>
      </w:r>
      <w:bookmarkEnd w:id="38"/>
    </w:p>
    <w:p w14:paraId="26F27F1D" w14:textId="77777777" w:rsidR="00CA788D" w:rsidRPr="0018665E" w:rsidRDefault="00CA788D"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I use Gibbs six stage reflective cycle (1988) to reflect on my research, analysis and writing, preparation of the comparative report of marketing strategy of Adidas AG in Germany and India contrasting between the two countries. This framework has been selected because it is a logical approach to </w:t>
      </w:r>
      <w:proofErr w:type="spellStart"/>
      <w:r w:rsidRPr="0018665E">
        <w:rPr>
          <w:rFonts w:ascii="Arial" w:hAnsi="Arial" w:cs="Arial"/>
          <w:sz w:val="24"/>
          <w:szCs w:val="24"/>
        </w:rPr>
        <w:t>analysing</w:t>
      </w:r>
      <w:proofErr w:type="spellEnd"/>
      <w:r w:rsidRPr="0018665E">
        <w:rPr>
          <w:rFonts w:ascii="Arial" w:hAnsi="Arial" w:cs="Arial"/>
          <w:sz w:val="24"/>
          <w:szCs w:val="24"/>
        </w:rPr>
        <w:t xml:space="preserve"> experiences and describing how they can be improved in further academic practice (Ocampo et al., 2025). I am not regurgitating what the report found but rather commenting about my research procedure, critical analysis, literature selection and writing an academic paper. I also reflect on how the different phases of the assignment enhanced my learning and enabled me to build better research, analytical and reflective thoughts on future postgraduate assignments.</w:t>
      </w:r>
    </w:p>
    <w:p w14:paraId="4C27E253" w14:textId="7225B83D" w:rsidR="0032600A" w:rsidRPr="0018665E" w:rsidRDefault="0032600A" w:rsidP="009B01BA">
      <w:pPr>
        <w:spacing w:after="100" w:afterAutospacing="1" w:line="360" w:lineRule="auto"/>
        <w:jc w:val="both"/>
        <w:rPr>
          <w:rFonts w:ascii="Arial" w:hAnsi="Arial" w:cs="Arial"/>
          <w:sz w:val="24"/>
          <w:szCs w:val="24"/>
        </w:rPr>
      </w:pPr>
      <w:r w:rsidRPr="0018665E">
        <w:rPr>
          <w:rFonts w:ascii="Arial" w:hAnsi="Arial" w:cs="Arial"/>
          <w:noProof/>
          <w:sz w:val="24"/>
          <w:szCs w:val="24"/>
        </w:rPr>
        <w:lastRenderedPageBreak/>
        <w:drawing>
          <wp:inline distT="0" distB="0" distL="0" distR="0" wp14:anchorId="403DAB45" wp14:editId="26BC3182">
            <wp:extent cx="5760000" cy="4316612"/>
            <wp:effectExtent l="0" t="0" r="0" b="8255"/>
            <wp:docPr id="19583949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000" cy="4316612"/>
                    </a:xfrm>
                    <a:prstGeom prst="rect">
                      <a:avLst/>
                    </a:prstGeom>
                    <a:noFill/>
                  </pic:spPr>
                </pic:pic>
              </a:graphicData>
            </a:graphic>
          </wp:inline>
        </w:drawing>
      </w:r>
    </w:p>
    <w:p w14:paraId="724A1991" w14:textId="548BD1A9" w:rsidR="0032600A" w:rsidRPr="0018665E" w:rsidRDefault="0032600A" w:rsidP="0032600A">
      <w:pPr>
        <w:spacing w:before="80" w:after="100" w:afterAutospacing="1" w:line="360" w:lineRule="auto"/>
        <w:jc w:val="center"/>
        <w:rPr>
          <w:rFonts w:ascii="Arial" w:hAnsi="Arial" w:cs="Arial"/>
          <w:b/>
          <w:bCs/>
          <w:sz w:val="24"/>
          <w:szCs w:val="24"/>
        </w:rPr>
      </w:pPr>
      <w:r w:rsidRPr="0018665E">
        <w:rPr>
          <w:rFonts w:ascii="Arial" w:hAnsi="Arial" w:cs="Arial"/>
          <w:b/>
          <w:bCs/>
          <w:sz w:val="24"/>
          <w:szCs w:val="24"/>
        </w:rPr>
        <w:t>Figure 6: Gibbs Reflective Model</w:t>
      </w:r>
    </w:p>
    <w:p w14:paraId="2FC41E4B" w14:textId="27D0F1B2" w:rsidR="0032600A" w:rsidRPr="0018665E" w:rsidRDefault="0032600A" w:rsidP="0032600A">
      <w:pPr>
        <w:spacing w:before="80" w:after="100" w:afterAutospacing="1" w:line="360" w:lineRule="auto"/>
        <w:jc w:val="center"/>
        <w:rPr>
          <w:rFonts w:ascii="Arial" w:hAnsi="Arial" w:cs="Arial"/>
          <w:sz w:val="24"/>
          <w:szCs w:val="24"/>
        </w:rPr>
      </w:pPr>
      <w:r w:rsidRPr="0018665E">
        <w:rPr>
          <w:rFonts w:ascii="Arial" w:hAnsi="Arial" w:cs="Arial"/>
          <w:sz w:val="24"/>
          <w:szCs w:val="24"/>
        </w:rPr>
        <w:t>(Source: Dutta, He and Tsang, 2023)</w:t>
      </w:r>
    </w:p>
    <w:p w14:paraId="400345B7" w14:textId="77777777" w:rsidR="00CA788D" w:rsidRPr="0018665E" w:rsidRDefault="00CA788D" w:rsidP="009B01BA">
      <w:pPr>
        <w:pStyle w:val="Heading2"/>
        <w:spacing w:after="100" w:afterAutospacing="1"/>
        <w:rPr>
          <w:rFonts w:ascii="Arial" w:hAnsi="Arial" w:cs="Arial"/>
          <w:color w:val="auto"/>
        </w:rPr>
      </w:pPr>
      <w:bookmarkStart w:id="39" w:name="_Toc237509206"/>
      <w:r w:rsidRPr="0018665E">
        <w:rPr>
          <w:rFonts w:ascii="Arial" w:hAnsi="Arial" w:cs="Arial"/>
          <w:color w:val="auto"/>
        </w:rPr>
        <w:t>2. Description</w:t>
      </w:r>
      <w:bookmarkEnd w:id="39"/>
      <w:r w:rsidRPr="0018665E">
        <w:rPr>
          <w:rFonts w:ascii="Arial" w:hAnsi="Arial" w:cs="Arial"/>
          <w:color w:val="auto"/>
        </w:rPr>
        <w:t xml:space="preserve"> </w:t>
      </w:r>
    </w:p>
    <w:p w14:paraId="58965093" w14:textId="77777777" w:rsidR="00CA788D" w:rsidRPr="0018665E" w:rsidRDefault="00CA788D"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To begin the assignment, I picked the Adidas AG and two markets I selected to compare them are the India and Germany market. I used the PESTEL analysis, dimensions of culture as provided by Hofstede, the STP analysis, 7Ps marketing mix, market strategy entry and ethical issues as the basis of my research. I used academic databases to find the latest peer-reviewed research so that the evidence can have the required standards of postgraduate academic research (Mitchell and Rich, 2022). I </w:t>
      </w:r>
      <w:proofErr w:type="spellStart"/>
      <w:r w:rsidRPr="0018665E">
        <w:rPr>
          <w:rFonts w:ascii="Arial" w:hAnsi="Arial" w:cs="Arial"/>
          <w:sz w:val="24"/>
          <w:szCs w:val="24"/>
        </w:rPr>
        <w:t>analysed</w:t>
      </w:r>
      <w:proofErr w:type="spellEnd"/>
      <w:r w:rsidRPr="0018665E">
        <w:rPr>
          <w:rFonts w:ascii="Arial" w:hAnsi="Arial" w:cs="Arial"/>
          <w:sz w:val="24"/>
          <w:szCs w:val="24"/>
        </w:rPr>
        <w:t xml:space="preserve"> all sources and put them into the relevant section of the report. I then broke down the results and matched them with the selected frameworks to come up with coherent discussions and recommendations. I made sure I kept on consulting the scholarly material and made sure that I came up with a well-balanced, evidenced based and coherent report as far as I could.</w:t>
      </w:r>
    </w:p>
    <w:p w14:paraId="199E021A" w14:textId="77777777" w:rsidR="00CA788D" w:rsidRPr="0018665E" w:rsidRDefault="00CA788D" w:rsidP="009B01BA">
      <w:pPr>
        <w:pStyle w:val="Heading2"/>
        <w:spacing w:after="100" w:afterAutospacing="1"/>
        <w:rPr>
          <w:rFonts w:ascii="Arial" w:hAnsi="Arial" w:cs="Arial"/>
          <w:color w:val="auto"/>
        </w:rPr>
      </w:pPr>
      <w:bookmarkStart w:id="40" w:name="_Toc237509207"/>
      <w:r w:rsidRPr="0018665E">
        <w:rPr>
          <w:rFonts w:ascii="Arial" w:hAnsi="Arial" w:cs="Arial"/>
          <w:color w:val="auto"/>
        </w:rPr>
        <w:lastRenderedPageBreak/>
        <w:t>3. Feelings</w:t>
      </w:r>
      <w:bookmarkEnd w:id="40"/>
    </w:p>
    <w:p w14:paraId="5DC36C18" w14:textId="77777777" w:rsidR="00CA788D" w:rsidRPr="0018665E" w:rsidRDefault="00CA788D" w:rsidP="009B01BA">
      <w:pPr>
        <w:spacing w:after="100" w:afterAutospacing="1" w:line="360" w:lineRule="auto"/>
        <w:jc w:val="both"/>
        <w:rPr>
          <w:rFonts w:ascii="Arial" w:hAnsi="Arial" w:cs="Arial"/>
          <w:sz w:val="24"/>
          <w:szCs w:val="24"/>
        </w:rPr>
      </w:pPr>
      <w:r w:rsidRPr="0018665E">
        <w:rPr>
          <w:rFonts w:ascii="Arial" w:hAnsi="Arial" w:cs="Arial"/>
          <w:sz w:val="24"/>
          <w:szCs w:val="24"/>
        </w:rPr>
        <w:t>The first reason why I felt overwhelmed was that I had to do comparisons between two markets, which were culturally different and apply two or more strategic marketing models in one report. This left me perplexed as to how to space out the word count needed and my own preferences on what the best evidence on each part would be and how to weigh a detailed analysis with the needed word count to put in each part. I also felt progressively self-assured when I had a systematic plan of studying since my systematic planning made me handle the number of works better (</w:t>
      </w:r>
      <w:proofErr w:type="spellStart"/>
      <w:r w:rsidRPr="0018665E">
        <w:rPr>
          <w:rFonts w:ascii="Arial" w:hAnsi="Arial" w:cs="Arial"/>
          <w:sz w:val="24"/>
          <w:szCs w:val="24"/>
        </w:rPr>
        <w:t>Faza</w:t>
      </w:r>
      <w:proofErr w:type="spellEnd"/>
      <w:r w:rsidRPr="0018665E">
        <w:rPr>
          <w:rFonts w:ascii="Arial" w:hAnsi="Arial" w:cs="Arial"/>
          <w:sz w:val="24"/>
          <w:szCs w:val="24"/>
        </w:rPr>
        <w:t xml:space="preserve"> and Lestari, 2025). I started becoming natural and comfortable as I acquired good base knowledge on the literature and the concept of international marketing. I was also not dissatisfied with myself by the time of completing the report as I </w:t>
      </w:r>
      <w:proofErr w:type="spellStart"/>
      <w:r w:rsidRPr="0018665E">
        <w:rPr>
          <w:rFonts w:ascii="Arial" w:hAnsi="Arial" w:cs="Arial"/>
          <w:sz w:val="24"/>
          <w:szCs w:val="24"/>
        </w:rPr>
        <w:t>realised</w:t>
      </w:r>
      <w:proofErr w:type="spellEnd"/>
      <w:r w:rsidRPr="0018665E">
        <w:rPr>
          <w:rFonts w:ascii="Arial" w:hAnsi="Arial" w:cs="Arial"/>
          <w:sz w:val="24"/>
          <w:szCs w:val="24"/>
        </w:rPr>
        <w:t xml:space="preserve"> that my confidence and academic skills improved because of the constant engagement in the process of research and writing (Zhan et al., 2023).</w:t>
      </w:r>
    </w:p>
    <w:p w14:paraId="2D16CDF4" w14:textId="77777777" w:rsidR="00CA788D" w:rsidRPr="0018665E" w:rsidRDefault="00CA788D" w:rsidP="009B01BA">
      <w:pPr>
        <w:pStyle w:val="Heading2"/>
        <w:spacing w:after="100" w:afterAutospacing="1"/>
        <w:rPr>
          <w:rFonts w:ascii="Arial" w:hAnsi="Arial" w:cs="Arial"/>
          <w:color w:val="auto"/>
        </w:rPr>
      </w:pPr>
      <w:bookmarkStart w:id="41" w:name="_Toc237509208"/>
      <w:r w:rsidRPr="0018665E">
        <w:rPr>
          <w:rFonts w:ascii="Arial" w:hAnsi="Arial" w:cs="Arial"/>
          <w:color w:val="auto"/>
        </w:rPr>
        <w:t>4. Evaluation</w:t>
      </w:r>
      <w:bookmarkEnd w:id="41"/>
      <w:r w:rsidRPr="0018665E">
        <w:rPr>
          <w:rFonts w:ascii="Arial" w:hAnsi="Arial" w:cs="Arial"/>
          <w:color w:val="auto"/>
        </w:rPr>
        <w:t xml:space="preserve"> </w:t>
      </w:r>
    </w:p>
    <w:p w14:paraId="5EE7DF6F" w14:textId="77777777" w:rsidR="00CA788D" w:rsidRPr="0018665E" w:rsidRDefault="00CA788D"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I think that the fact that I could apply acknowledged analytical models that helped me to breaks down quite a complicated comparison into clear and consistent parts could be considered one of my strengths. To further support the quality of my, discussion, I was able to substantiate each of the points with current scholarly evidence. I could also do an adequate academic referencing, and I was committed to making a well laid out report during the assignment. The collected literature was then </w:t>
      </w:r>
      <w:proofErr w:type="spellStart"/>
      <w:r w:rsidRPr="0018665E">
        <w:rPr>
          <w:rFonts w:ascii="Arial" w:hAnsi="Arial" w:cs="Arial"/>
          <w:sz w:val="24"/>
          <w:szCs w:val="24"/>
        </w:rPr>
        <w:t>synthesised</w:t>
      </w:r>
      <w:proofErr w:type="spellEnd"/>
      <w:r w:rsidRPr="0018665E">
        <w:rPr>
          <w:rFonts w:ascii="Arial" w:hAnsi="Arial" w:cs="Arial"/>
          <w:sz w:val="24"/>
          <w:szCs w:val="24"/>
        </w:rPr>
        <w:t xml:space="preserve"> and linked to each framework before developing logical recommendations supported by academic evidence. My most detrimental weakness was time management as I used to spend more time than I expected in searching the relevant peer-reviewed literature on certain matters. I consequently was given less time to read through and revise the final report. I </w:t>
      </w:r>
      <w:proofErr w:type="spellStart"/>
      <w:r w:rsidRPr="0018665E">
        <w:rPr>
          <w:rFonts w:ascii="Arial" w:hAnsi="Arial" w:cs="Arial"/>
          <w:sz w:val="24"/>
          <w:szCs w:val="24"/>
        </w:rPr>
        <w:t>realised</w:t>
      </w:r>
      <w:proofErr w:type="spellEnd"/>
      <w:r w:rsidRPr="0018665E">
        <w:rPr>
          <w:rFonts w:ascii="Arial" w:hAnsi="Arial" w:cs="Arial"/>
          <w:sz w:val="24"/>
          <w:szCs w:val="24"/>
        </w:rPr>
        <w:t xml:space="preserve"> that these issues are prevalent in postgraduates when they are required to carry out extensive literature reviews and little time deadlines to devote to assessment (Zhang et al., 2025).</w:t>
      </w:r>
    </w:p>
    <w:p w14:paraId="00737E58" w14:textId="77777777" w:rsidR="00CA788D" w:rsidRPr="0018665E" w:rsidRDefault="00CA788D" w:rsidP="009B01BA">
      <w:pPr>
        <w:pStyle w:val="Heading2"/>
        <w:spacing w:after="100" w:afterAutospacing="1"/>
        <w:rPr>
          <w:rFonts w:ascii="Arial" w:hAnsi="Arial" w:cs="Arial"/>
          <w:color w:val="auto"/>
        </w:rPr>
      </w:pPr>
      <w:bookmarkStart w:id="42" w:name="_Toc237509209"/>
      <w:r w:rsidRPr="0018665E">
        <w:rPr>
          <w:rFonts w:ascii="Arial" w:hAnsi="Arial" w:cs="Arial"/>
          <w:color w:val="auto"/>
        </w:rPr>
        <w:t>5. Analysis</w:t>
      </w:r>
      <w:bookmarkEnd w:id="42"/>
    </w:p>
    <w:p w14:paraId="69C2A15A" w14:textId="636B5538" w:rsidR="00CA788D" w:rsidRPr="0018665E" w:rsidRDefault="00CA788D"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I have understood that my experience had been influenced by the enhancement of more powerful metacognitive abilities as I became more conscious of the way I </w:t>
      </w:r>
      <w:r w:rsidRPr="0018665E">
        <w:rPr>
          <w:rFonts w:ascii="Arial" w:hAnsi="Arial" w:cs="Arial"/>
          <w:sz w:val="24"/>
          <w:szCs w:val="24"/>
        </w:rPr>
        <w:lastRenderedPageBreak/>
        <w:t>research (</w:t>
      </w:r>
      <w:proofErr w:type="spellStart"/>
      <w:r w:rsidRPr="0018665E">
        <w:rPr>
          <w:rFonts w:ascii="Arial" w:hAnsi="Arial" w:cs="Arial"/>
          <w:sz w:val="24"/>
          <w:szCs w:val="24"/>
        </w:rPr>
        <w:t>Zarestky</w:t>
      </w:r>
      <w:proofErr w:type="spellEnd"/>
      <w:r w:rsidRPr="0018665E">
        <w:rPr>
          <w:rFonts w:ascii="Arial" w:hAnsi="Arial" w:cs="Arial"/>
          <w:sz w:val="24"/>
          <w:szCs w:val="24"/>
        </w:rPr>
        <w:t xml:space="preserve"> et al., 2022). The first time was not very comfortable as I was not used to performing cross-cultural marketing analysis and combining different strategic models. I became increasingly skilled in synthesizing academic evidence, as I received more involved with literature. Another thing that I gained more confidence is since practice enhanced both my writing and analytical abilities (Zhan et al., 2023). I understood that I might have minimized the stress that I experienced during the process of literature search earlier and could have maximized the number of times that I revised and reviewed my end-product (</w:t>
      </w:r>
      <w:proofErr w:type="spellStart"/>
      <w:r w:rsidRPr="0018665E">
        <w:rPr>
          <w:rFonts w:ascii="Arial" w:hAnsi="Arial" w:cs="Arial"/>
          <w:sz w:val="24"/>
          <w:szCs w:val="24"/>
        </w:rPr>
        <w:t>Faza</w:t>
      </w:r>
      <w:proofErr w:type="spellEnd"/>
      <w:r w:rsidRPr="0018665E">
        <w:rPr>
          <w:rFonts w:ascii="Arial" w:hAnsi="Arial" w:cs="Arial"/>
          <w:sz w:val="24"/>
          <w:szCs w:val="24"/>
        </w:rPr>
        <w:t xml:space="preserve"> and Lestari, 2025).</w:t>
      </w:r>
      <w:r w:rsidRPr="0018665E">
        <w:rPr>
          <w:rFonts w:ascii="Arial" w:hAnsi="Arial" w:cs="Arial"/>
        </w:rPr>
        <w:t xml:space="preserve"> </w:t>
      </w:r>
      <w:r w:rsidRPr="0018665E">
        <w:rPr>
          <w:rFonts w:ascii="Arial" w:hAnsi="Arial" w:cs="Arial"/>
          <w:sz w:val="24"/>
          <w:szCs w:val="24"/>
        </w:rPr>
        <w:t xml:space="preserve">As my understanding of literature increased, confidence also improved, particularly when </w:t>
      </w:r>
      <w:proofErr w:type="spellStart"/>
      <w:r w:rsidRPr="0018665E">
        <w:rPr>
          <w:rFonts w:ascii="Arial" w:hAnsi="Arial" w:cs="Arial"/>
          <w:sz w:val="24"/>
          <w:szCs w:val="24"/>
        </w:rPr>
        <w:t>analysing</w:t>
      </w:r>
      <w:proofErr w:type="spellEnd"/>
      <w:r w:rsidRPr="0018665E">
        <w:rPr>
          <w:rFonts w:ascii="Arial" w:hAnsi="Arial" w:cs="Arial"/>
          <w:sz w:val="24"/>
          <w:szCs w:val="24"/>
        </w:rPr>
        <w:t xml:space="preserve"> cultural differences and marketing strategy.</w:t>
      </w:r>
      <w:r w:rsidRPr="0018665E">
        <w:rPr>
          <w:rFonts w:ascii="Arial" w:hAnsi="Arial" w:cs="Arial"/>
        </w:rPr>
        <w:t xml:space="preserve"> </w:t>
      </w:r>
      <w:r w:rsidRPr="0018665E">
        <w:rPr>
          <w:rFonts w:ascii="Arial" w:hAnsi="Arial" w:cs="Arial"/>
          <w:sz w:val="24"/>
          <w:szCs w:val="24"/>
        </w:rPr>
        <w:t>However, the process revealed weaknesses in time management because considerable time was spent identifying suitable peer-reviewed evidence for highly specific topics.</w:t>
      </w:r>
    </w:p>
    <w:p w14:paraId="6AB4DA0D" w14:textId="77777777" w:rsidR="00CA788D" w:rsidRPr="0018665E" w:rsidRDefault="00CA788D" w:rsidP="009B01BA">
      <w:pPr>
        <w:pStyle w:val="Heading2"/>
        <w:spacing w:after="100" w:afterAutospacing="1"/>
        <w:rPr>
          <w:rFonts w:ascii="Arial" w:hAnsi="Arial" w:cs="Arial"/>
          <w:color w:val="auto"/>
        </w:rPr>
      </w:pPr>
      <w:bookmarkStart w:id="43" w:name="_Toc237509210"/>
      <w:r w:rsidRPr="0018665E">
        <w:rPr>
          <w:rFonts w:ascii="Arial" w:hAnsi="Arial" w:cs="Arial"/>
          <w:color w:val="auto"/>
        </w:rPr>
        <w:t>6. Conclusion</w:t>
      </w:r>
      <w:bookmarkEnd w:id="43"/>
    </w:p>
    <w:p w14:paraId="371E20A8" w14:textId="2190364D" w:rsidR="00CA788D" w:rsidRPr="0018665E" w:rsidRDefault="00CA788D"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I conclude that writing the Adidas comparative report enhanced my analytical as well as my reflective skills. I also got a lot of experience in the field of strategic marketing frameworks use analysis of academic sources and organization of evidence-based positions. One more lesson which I learned during the academic </w:t>
      </w:r>
      <w:r w:rsidR="0006412E" w:rsidRPr="0018665E">
        <w:rPr>
          <w:rFonts w:ascii="Arial" w:hAnsi="Arial" w:cs="Arial"/>
          <w:sz w:val="24"/>
          <w:szCs w:val="24"/>
        </w:rPr>
        <w:t>endeavor</w:t>
      </w:r>
      <w:r w:rsidRPr="0018665E">
        <w:rPr>
          <w:rFonts w:ascii="Arial" w:hAnsi="Arial" w:cs="Arial"/>
          <w:sz w:val="24"/>
          <w:szCs w:val="24"/>
        </w:rPr>
        <w:t xml:space="preserve"> was the importance of systematic literature search, and regular introspection when doing research. Gibbs reflective cycle proved to be especially helpful to me, as it allowed me to view my learning process in a coherent and systematic manner as opposed to concentrating on the result. I believe that I am now more confident and prepared to do my future postgraduate writing and research work.</w:t>
      </w:r>
    </w:p>
    <w:p w14:paraId="19D79125" w14:textId="77777777" w:rsidR="00CA788D" w:rsidRPr="0018665E" w:rsidRDefault="00CA788D" w:rsidP="009B01BA">
      <w:pPr>
        <w:pStyle w:val="Heading2"/>
        <w:spacing w:after="100" w:afterAutospacing="1"/>
        <w:rPr>
          <w:rFonts w:ascii="Arial" w:hAnsi="Arial" w:cs="Arial"/>
          <w:color w:val="auto"/>
        </w:rPr>
      </w:pPr>
      <w:bookmarkStart w:id="44" w:name="_Toc237509211"/>
      <w:r w:rsidRPr="0018665E">
        <w:rPr>
          <w:rFonts w:ascii="Arial" w:hAnsi="Arial" w:cs="Arial"/>
          <w:color w:val="auto"/>
        </w:rPr>
        <w:t>7. Action Plan</w:t>
      </w:r>
      <w:bookmarkEnd w:id="44"/>
    </w:p>
    <w:tbl>
      <w:tblPr>
        <w:tblStyle w:val="TableGrid"/>
        <w:tblW w:w="0" w:type="auto"/>
        <w:tblLook w:val="04A0" w:firstRow="1" w:lastRow="0" w:firstColumn="1" w:lastColumn="0" w:noHBand="0" w:noVBand="1"/>
      </w:tblPr>
      <w:tblGrid>
        <w:gridCol w:w="1738"/>
        <w:gridCol w:w="5163"/>
        <w:gridCol w:w="2115"/>
      </w:tblGrid>
      <w:tr w:rsidR="00601289" w:rsidRPr="0018665E" w14:paraId="4DDC045D" w14:textId="77777777" w:rsidTr="00601289">
        <w:tc>
          <w:tcPr>
            <w:tcW w:w="0" w:type="auto"/>
            <w:hideMark/>
          </w:tcPr>
          <w:p w14:paraId="15198F40" w14:textId="77777777" w:rsidR="00601289" w:rsidRPr="0018665E" w:rsidRDefault="00601289" w:rsidP="00601289">
            <w:pPr>
              <w:spacing w:after="100" w:afterAutospacing="1" w:line="360" w:lineRule="auto"/>
              <w:jc w:val="both"/>
              <w:rPr>
                <w:rFonts w:ascii="Arial" w:hAnsi="Arial" w:cs="Arial"/>
                <w:b/>
                <w:bCs/>
                <w:sz w:val="24"/>
                <w:szCs w:val="24"/>
                <w:lang w:val="en-IN"/>
              </w:rPr>
            </w:pPr>
            <w:r w:rsidRPr="0018665E">
              <w:rPr>
                <w:rFonts w:ascii="Arial" w:hAnsi="Arial" w:cs="Arial"/>
                <w:b/>
                <w:bCs/>
                <w:sz w:val="24"/>
                <w:szCs w:val="24"/>
                <w:lang w:val="en-IN"/>
              </w:rPr>
              <w:t>Action</w:t>
            </w:r>
          </w:p>
        </w:tc>
        <w:tc>
          <w:tcPr>
            <w:tcW w:w="0" w:type="auto"/>
            <w:hideMark/>
          </w:tcPr>
          <w:p w14:paraId="109956E8" w14:textId="77777777" w:rsidR="00601289" w:rsidRPr="0018665E" w:rsidRDefault="00601289" w:rsidP="00601289">
            <w:pPr>
              <w:spacing w:after="100" w:afterAutospacing="1" w:line="360" w:lineRule="auto"/>
              <w:jc w:val="both"/>
              <w:rPr>
                <w:rFonts w:ascii="Arial" w:hAnsi="Arial" w:cs="Arial"/>
                <w:b/>
                <w:bCs/>
                <w:sz w:val="24"/>
                <w:szCs w:val="24"/>
                <w:lang w:val="en-IN"/>
              </w:rPr>
            </w:pPr>
            <w:r w:rsidRPr="0018665E">
              <w:rPr>
                <w:rFonts w:ascii="Arial" w:hAnsi="Arial" w:cs="Arial"/>
                <w:b/>
                <w:bCs/>
                <w:sz w:val="24"/>
                <w:szCs w:val="24"/>
                <w:lang w:val="en-IN"/>
              </w:rPr>
              <w:t>Specific Activities</w:t>
            </w:r>
          </w:p>
        </w:tc>
        <w:tc>
          <w:tcPr>
            <w:tcW w:w="0" w:type="auto"/>
            <w:hideMark/>
          </w:tcPr>
          <w:p w14:paraId="65A7AEC9" w14:textId="77777777" w:rsidR="00601289" w:rsidRPr="0018665E" w:rsidRDefault="00601289" w:rsidP="00601289">
            <w:pPr>
              <w:spacing w:after="100" w:afterAutospacing="1" w:line="360" w:lineRule="auto"/>
              <w:jc w:val="both"/>
              <w:rPr>
                <w:rFonts w:ascii="Arial" w:hAnsi="Arial" w:cs="Arial"/>
                <w:b/>
                <w:bCs/>
                <w:sz w:val="24"/>
                <w:szCs w:val="24"/>
                <w:lang w:val="en-IN"/>
              </w:rPr>
            </w:pPr>
            <w:r w:rsidRPr="0018665E">
              <w:rPr>
                <w:rFonts w:ascii="Arial" w:hAnsi="Arial" w:cs="Arial"/>
                <w:b/>
                <w:bCs/>
                <w:sz w:val="24"/>
                <w:szCs w:val="24"/>
                <w:lang w:val="en-IN"/>
              </w:rPr>
              <w:t>Timeline</w:t>
            </w:r>
          </w:p>
        </w:tc>
      </w:tr>
      <w:tr w:rsidR="00601289" w:rsidRPr="0018665E" w14:paraId="201A0258" w14:textId="77777777" w:rsidTr="00601289">
        <w:tc>
          <w:tcPr>
            <w:tcW w:w="0" w:type="auto"/>
            <w:hideMark/>
          </w:tcPr>
          <w:p w14:paraId="0CA03589" w14:textId="77777777" w:rsidR="00601289" w:rsidRPr="0018665E" w:rsidRDefault="00601289" w:rsidP="00601289">
            <w:pPr>
              <w:spacing w:after="100" w:afterAutospacing="1" w:line="360" w:lineRule="auto"/>
              <w:jc w:val="both"/>
              <w:rPr>
                <w:rFonts w:ascii="Arial" w:hAnsi="Arial" w:cs="Arial"/>
                <w:sz w:val="24"/>
                <w:szCs w:val="24"/>
                <w:lang w:val="en-IN"/>
              </w:rPr>
            </w:pPr>
            <w:r w:rsidRPr="0018665E">
              <w:rPr>
                <w:rFonts w:ascii="Arial" w:hAnsi="Arial" w:cs="Arial"/>
                <w:b/>
                <w:bCs/>
                <w:sz w:val="24"/>
                <w:szCs w:val="24"/>
                <w:lang w:val="en-IN"/>
              </w:rPr>
              <w:t>Plan research before writing</w:t>
            </w:r>
          </w:p>
        </w:tc>
        <w:tc>
          <w:tcPr>
            <w:tcW w:w="0" w:type="auto"/>
            <w:hideMark/>
          </w:tcPr>
          <w:p w14:paraId="793282C3" w14:textId="77777777" w:rsidR="00601289" w:rsidRPr="0018665E" w:rsidRDefault="00601289" w:rsidP="00601289">
            <w:pPr>
              <w:spacing w:after="100" w:afterAutospacing="1" w:line="360" w:lineRule="auto"/>
              <w:jc w:val="both"/>
              <w:rPr>
                <w:rFonts w:ascii="Arial" w:hAnsi="Arial" w:cs="Arial"/>
                <w:sz w:val="24"/>
                <w:szCs w:val="24"/>
                <w:lang w:val="en-IN"/>
              </w:rPr>
            </w:pPr>
            <w:r w:rsidRPr="0018665E">
              <w:rPr>
                <w:rFonts w:ascii="Arial" w:hAnsi="Arial" w:cs="Arial"/>
                <w:sz w:val="24"/>
                <w:szCs w:val="24"/>
                <w:lang w:val="en-IN"/>
              </w:rPr>
              <w:t>Identify the assignment requirements, search for and tabulate scholarly journal articles, books, and credible sources before drafting any section of the report.</w:t>
            </w:r>
          </w:p>
        </w:tc>
        <w:tc>
          <w:tcPr>
            <w:tcW w:w="0" w:type="auto"/>
            <w:hideMark/>
          </w:tcPr>
          <w:p w14:paraId="21CF634F" w14:textId="77777777" w:rsidR="00601289" w:rsidRPr="0018665E" w:rsidRDefault="00601289" w:rsidP="00601289">
            <w:pPr>
              <w:spacing w:after="100" w:afterAutospacing="1" w:line="360" w:lineRule="auto"/>
              <w:jc w:val="both"/>
              <w:rPr>
                <w:rFonts w:ascii="Arial" w:hAnsi="Arial" w:cs="Arial"/>
                <w:sz w:val="24"/>
                <w:szCs w:val="24"/>
                <w:lang w:val="en-IN"/>
              </w:rPr>
            </w:pPr>
            <w:r w:rsidRPr="0018665E">
              <w:rPr>
                <w:rFonts w:ascii="Arial" w:hAnsi="Arial" w:cs="Arial"/>
                <w:sz w:val="24"/>
                <w:szCs w:val="24"/>
                <w:lang w:val="en-IN"/>
              </w:rPr>
              <w:t>At the beginning of each assignment (Week 1)</w:t>
            </w:r>
          </w:p>
        </w:tc>
      </w:tr>
      <w:tr w:rsidR="00601289" w:rsidRPr="0018665E" w14:paraId="552DE89C" w14:textId="77777777" w:rsidTr="00601289">
        <w:tc>
          <w:tcPr>
            <w:tcW w:w="0" w:type="auto"/>
            <w:hideMark/>
          </w:tcPr>
          <w:p w14:paraId="20D8B220" w14:textId="77777777" w:rsidR="00601289" w:rsidRPr="0018665E" w:rsidRDefault="00601289" w:rsidP="00601289">
            <w:pPr>
              <w:spacing w:after="100" w:afterAutospacing="1" w:line="360" w:lineRule="auto"/>
              <w:jc w:val="both"/>
              <w:rPr>
                <w:rFonts w:ascii="Arial" w:hAnsi="Arial" w:cs="Arial"/>
                <w:sz w:val="24"/>
                <w:szCs w:val="24"/>
                <w:lang w:val="en-IN"/>
              </w:rPr>
            </w:pPr>
            <w:r w:rsidRPr="0018665E">
              <w:rPr>
                <w:rFonts w:ascii="Arial" w:hAnsi="Arial" w:cs="Arial"/>
                <w:b/>
                <w:bCs/>
                <w:sz w:val="24"/>
                <w:szCs w:val="24"/>
                <w:lang w:val="en-IN"/>
              </w:rPr>
              <w:lastRenderedPageBreak/>
              <w:t>Follow a weekly study schedule</w:t>
            </w:r>
          </w:p>
        </w:tc>
        <w:tc>
          <w:tcPr>
            <w:tcW w:w="0" w:type="auto"/>
            <w:hideMark/>
          </w:tcPr>
          <w:p w14:paraId="34364C65" w14:textId="77777777" w:rsidR="00601289" w:rsidRPr="0018665E" w:rsidRDefault="00601289" w:rsidP="00601289">
            <w:pPr>
              <w:spacing w:after="100" w:afterAutospacing="1" w:line="360" w:lineRule="auto"/>
              <w:jc w:val="both"/>
              <w:rPr>
                <w:rFonts w:ascii="Arial" w:hAnsi="Arial" w:cs="Arial"/>
                <w:sz w:val="24"/>
                <w:szCs w:val="24"/>
                <w:lang w:val="en-IN"/>
              </w:rPr>
            </w:pPr>
            <w:r w:rsidRPr="0018665E">
              <w:rPr>
                <w:rFonts w:ascii="Arial" w:hAnsi="Arial" w:cs="Arial"/>
                <w:sz w:val="24"/>
                <w:szCs w:val="24"/>
                <w:lang w:val="en-IN"/>
              </w:rPr>
              <w:t>Develop a weekly study outline with dedicated time for research, reading, drafting, editing, and proofreading to avoid last-minute work and reduce stress.</w:t>
            </w:r>
          </w:p>
        </w:tc>
        <w:tc>
          <w:tcPr>
            <w:tcW w:w="0" w:type="auto"/>
            <w:hideMark/>
          </w:tcPr>
          <w:p w14:paraId="221D7F35" w14:textId="77777777" w:rsidR="00601289" w:rsidRPr="0018665E" w:rsidRDefault="00601289" w:rsidP="00601289">
            <w:pPr>
              <w:spacing w:after="100" w:afterAutospacing="1" w:line="360" w:lineRule="auto"/>
              <w:jc w:val="both"/>
              <w:rPr>
                <w:rFonts w:ascii="Arial" w:hAnsi="Arial" w:cs="Arial"/>
                <w:sz w:val="24"/>
                <w:szCs w:val="24"/>
                <w:lang w:val="en-IN"/>
              </w:rPr>
            </w:pPr>
            <w:r w:rsidRPr="0018665E">
              <w:rPr>
                <w:rFonts w:ascii="Arial" w:hAnsi="Arial" w:cs="Arial"/>
                <w:sz w:val="24"/>
                <w:szCs w:val="24"/>
                <w:lang w:val="en-IN"/>
              </w:rPr>
              <w:t>Throughout the project</w:t>
            </w:r>
          </w:p>
        </w:tc>
      </w:tr>
      <w:tr w:rsidR="00601289" w:rsidRPr="0018665E" w14:paraId="39BD588E" w14:textId="77777777" w:rsidTr="00601289">
        <w:tc>
          <w:tcPr>
            <w:tcW w:w="0" w:type="auto"/>
            <w:hideMark/>
          </w:tcPr>
          <w:p w14:paraId="5D4191B8" w14:textId="77777777" w:rsidR="00601289" w:rsidRPr="0018665E" w:rsidRDefault="00601289" w:rsidP="00601289">
            <w:pPr>
              <w:spacing w:after="100" w:afterAutospacing="1" w:line="360" w:lineRule="auto"/>
              <w:jc w:val="both"/>
              <w:rPr>
                <w:rFonts w:ascii="Arial" w:hAnsi="Arial" w:cs="Arial"/>
                <w:sz w:val="24"/>
                <w:szCs w:val="24"/>
                <w:lang w:val="en-IN"/>
              </w:rPr>
            </w:pPr>
            <w:r w:rsidRPr="0018665E">
              <w:rPr>
                <w:rFonts w:ascii="Arial" w:hAnsi="Arial" w:cs="Arial"/>
                <w:b/>
                <w:bCs/>
                <w:sz w:val="24"/>
                <w:szCs w:val="24"/>
                <w:lang w:val="en-IN"/>
              </w:rPr>
              <w:t>Seek early feedback</w:t>
            </w:r>
          </w:p>
        </w:tc>
        <w:tc>
          <w:tcPr>
            <w:tcW w:w="0" w:type="auto"/>
            <w:hideMark/>
          </w:tcPr>
          <w:p w14:paraId="37803302" w14:textId="77777777" w:rsidR="00601289" w:rsidRPr="0018665E" w:rsidRDefault="00601289" w:rsidP="00601289">
            <w:pPr>
              <w:spacing w:after="100" w:afterAutospacing="1" w:line="360" w:lineRule="auto"/>
              <w:jc w:val="both"/>
              <w:rPr>
                <w:rFonts w:ascii="Arial" w:hAnsi="Arial" w:cs="Arial"/>
                <w:sz w:val="24"/>
                <w:szCs w:val="24"/>
                <w:lang w:val="en-IN"/>
              </w:rPr>
            </w:pPr>
            <w:r w:rsidRPr="0018665E">
              <w:rPr>
                <w:rFonts w:ascii="Arial" w:hAnsi="Arial" w:cs="Arial"/>
                <w:sz w:val="24"/>
                <w:szCs w:val="24"/>
                <w:lang w:val="en-IN"/>
              </w:rPr>
              <w:t>Share outlines and draft sections with supervisors and peers during the early stages of the writing process and incorporate constructive feedback into subsequent drafts.</w:t>
            </w:r>
          </w:p>
        </w:tc>
        <w:tc>
          <w:tcPr>
            <w:tcW w:w="0" w:type="auto"/>
            <w:hideMark/>
          </w:tcPr>
          <w:p w14:paraId="4C31B489" w14:textId="77777777" w:rsidR="00601289" w:rsidRPr="0018665E" w:rsidRDefault="00601289" w:rsidP="00601289">
            <w:pPr>
              <w:spacing w:after="100" w:afterAutospacing="1" w:line="360" w:lineRule="auto"/>
              <w:jc w:val="both"/>
              <w:rPr>
                <w:rFonts w:ascii="Arial" w:hAnsi="Arial" w:cs="Arial"/>
                <w:sz w:val="24"/>
                <w:szCs w:val="24"/>
                <w:lang w:val="en-IN"/>
              </w:rPr>
            </w:pPr>
            <w:r w:rsidRPr="0018665E">
              <w:rPr>
                <w:rFonts w:ascii="Arial" w:hAnsi="Arial" w:cs="Arial"/>
                <w:sz w:val="24"/>
                <w:szCs w:val="24"/>
                <w:lang w:val="en-IN"/>
              </w:rPr>
              <w:t>After completing the research and first draft</w:t>
            </w:r>
          </w:p>
        </w:tc>
      </w:tr>
      <w:tr w:rsidR="00601289" w:rsidRPr="0018665E" w14:paraId="34C4FB4D" w14:textId="77777777" w:rsidTr="00601289">
        <w:tc>
          <w:tcPr>
            <w:tcW w:w="0" w:type="auto"/>
            <w:hideMark/>
          </w:tcPr>
          <w:p w14:paraId="2FFB0A4A" w14:textId="77777777" w:rsidR="00601289" w:rsidRPr="0018665E" w:rsidRDefault="00601289" w:rsidP="00601289">
            <w:pPr>
              <w:spacing w:after="100" w:afterAutospacing="1" w:line="360" w:lineRule="auto"/>
              <w:jc w:val="both"/>
              <w:rPr>
                <w:rFonts w:ascii="Arial" w:hAnsi="Arial" w:cs="Arial"/>
                <w:sz w:val="24"/>
                <w:szCs w:val="24"/>
                <w:lang w:val="en-IN"/>
              </w:rPr>
            </w:pPr>
            <w:r w:rsidRPr="0018665E">
              <w:rPr>
                <w:rFonts w:ascii="Arial" w:hAnsi="Arial" w:cs="Arial"/>
                <w:b/>
                <w:bCs/>
                <w:sz w:val="24"/>
                <w:szCs w:val="24"/>
                <w:lang w:val="en-IN"/>
              </w:rPr>
              <w:t>Maintain a reflective journal</w:t>
            </w:r>
          </w:p>
        </w:tc>
        <w:tc>
          <w:tcPr>
            <w:tcW w:w="0" w:type="auto"/>
            <w:hideMark/>
          </w:tcPr>
          <w:p w14:paraId="4CC69665" w14:textId="77777777" w:rsidR="00601289" w:rsidRPr="0018665E" w:rsidRDefault="00601289" w:rsidP="00601289">
            <w:pPr>
              <w:spacing w:after="100" w:afterAutospacing="1" w:line="360" w:lineRule="auto"/>
              <w:jc w:val="both"/>
              <w:rPr>
                <w:rFonts w:ascii="Arial" w:hAnsi="Arial" w:cs="Arial"/>
                <w:sz w:val="24"/>
                <w:szCs w:val="24"/>
                <w:lang w:val="en-IN"/>
              </w:rPr>
            </w:pPr>
            <w:r w:rsidRPr="0018665E">
              <w:rPr>
                <w:rFonts w:ascii="Arial" w:hAnsi="Arial" w:cs="Arial"/>
                <w:sz w:val="24"/>
                <w:szCs w:val="24"/>
                <w:lang w:val="en-IN"/>
              </w:rPr>
              <w:t>Record weekly reflections on achievements, challenges, feedback received, and improvements made throughout the project. Review reflections regularly to adjust strategies where necessary.</w:t>
            </w:r>
          </w:p>
        </w:tc>
        <w:tc>
          <w:tcPr>
            <w:tcW w:w="0" w:type="auto"/>
            <w:hideMark/>
          </w:tcPr>
          <w:p w14:paraId="79846E8A" w14:textId="77777777" w:rsidR="00601289" w:rsidRPr="0018665E" w:rsidRDefault="00601289" w:rsidP="00601289">
            <w:pPr>
              <w:spacing w:after="100" w:afterAutospacing="1" w:line="360" w:lineRule="auto"/>
              <w:jc w:val="both"/>
              <w:rPr>
                <w:rFonts w:ascii="Arial" w:hAnsi="Arial" w:cs="Arial"/>
                <w:sz w:val="24"/>
                <w:szCs w:val="24"/>
                <w:lang w:val="en-IN"/>
              </w:rPr>
            </w:pPr>
            <w:r w:rsidRPr="0018665E">
              <w:rPr>
                <w:rFonts w:ascii="Arial" w:hAnsi="Arial" w:cs="Arial"/>
                <w:sz w:val="24"/>
                <w:szCs w:val="24"/>
                <w:lang w:val="en-IN"/>
              </w:rPr>
              <w:t>Weekly throughout the project</w:t>
            </w:r>
          </w:p>
        </w:tc>
      </w:tr>
      <w:tr w:rsidR="00601289" w:rsidRPr="0018665E" w14:paraId="669EA4AD" w14:textId="77777777" w:rsidTr="00601289">
        <w:tc>
          <w:tcPr>
            <w:tcW w:w="0" w:type="auto"/>
            <w:hideMark/>
          </w:tcPr>
          <w:p w14:paraId="03E97F8F" w14:textId="77777777" w:rsidR="00601289" w:rsidRPr="0018665E" w:rsidRDefault="00601289" w:rsidP="00601289">
            <w:pPr>
              <w:spacing w:after="100" w:afterAutospacing="1" w:line="360" w:lineRule="auto"/>
              <w:jc w:val="both"/>
              <w:rPr>
                <w:rFonts w:ascii="Arial" w:hAnsi="Arial" w:cs="Arial"/>
                <w:sz w:val="24"/>
                <w:szCs w:val="24"/>
                <w:lang w:val="en-IN"/>
              </w:rPr>
            </w:pPr>
            <w:r w:rsidRPr="0018665E">
              <w:rPr>
                <w:rFonts w:ascii="Arial" w:hAnsi="Arial" w:cs="Arial"/>
                <w:b/>
                <w:bCs/>
                <w:sz w:val="24"/>
                <w:szCs w:val="24"/>
                <w:lang w:val="en-IN"/>
              </w:rPr>
              <w:t>Review and evaluate progress</w:t>
            </w:r>
          </w:p>
        </w:tc>
        <w:tc>
          <w:tcPr>
            <w:tcW w:w="0" w:type="auto"/>
            <w:hideMark/>
          </w:tcPr>
          <w:p w14:paraId="2FCF4879" w14:textId="77777777" w:rsidR="00601289" w:rsidRPr="0018665E" w:rsidRDefault="00601289" w:rsidP="00601289">
            <w:pPr>
              <w:spacing w:after="100" w:afterAutospacing="1" w:line="360" w:lineRule="auto"/>
              <w:jc w:val="both"/>
              <w:rPr>
                <w:rFonts w:ascii="Arial" w:hAnsi="Arial" w:cs="Arial"/>
                <w:sz w:val="24"/>
                <w:szCs w:val="24"/>
                <w:lang w:val="en-IN"/>
              </w:rPr>
            </w:pPr>
            <w:r w:rsidRPr="0018665E">
              <w:rPr>
                <w:rFonts w:ascii="Arial" w:hAnsi="Arial" w:cs="Arial"/>
                <w:sz w:val="24"/>
                <w:szCs w:val="24"/>
                <w:lang w:val="en-IN"/>
              </w:rPr>
              <w:t>Compare completed work against assignment criteria and personal goals before submission, identifying strengths and areas for future improvement.</w:t>
            </w:r>
          </w:p>
        </w:tc>
        <w:tc>
          <w:tcPr>
            <w:tcW w:w="0" w:type="auto"/>
            <w:hideMark/>
          </w:tcPr>
          <w:p w14:paraId="3E1C1449" w14:textId="77777777" w:rsidR="00601289" w:rsidRPr="0018665E" w:rsidRDefault="00601289" w:rsidP="00601289">
            <w:pPr>
              <w:spacing w:after="100" w:afterAutospacing="1" w:line="360" w:lineRule="auto"/>
              <w:jc w:val="both"/>
              <w:rPr>
                <w:rFonts w:ascii="Arial" w:hAnsi="Arial" w:cs="Arial"/>
                <w:sz w:val="24"/>
                <w:szCs w:val="24"/>
                <w:lang w:val="en-IN"/>
              </w:rPr>
            </w:pPr>
            <w:r w:rsidRPr="0018665E">
              <w:rPr>
                <w:rFonts w:ascii="Arial" w:hAnsi="Arial" w:cs="Arial"/>
                <w:sz w:val="24"/>
                <w:szCs w:val="24"/>
                <w:lang w:val="en-IN"/>
              </w:rPr>
              <w:t>Final week before submission</w:t>
            </w:r>
          </w:p>
        </w:tc>
      </w:tr>
    </w:tbl>
    <w:p w14:paraId="69587D94" w14:textId="0123EE8C" w:rsidR="00601289" w:rsidRPr="0018665E" w:rsidRDefault="00601289" w:rsidP="00601289">
      <w:pPr>
        <w:spacing w:before="80" w:after="100" w:afterAutospacing="1" w:line="360" w:lineRule="auto"/>
        <w:jc w:val="center"/>
        <w:rPr>
          <w:rFonts w:ascii="Arial" w:hAnsi="Arial" w:cs="Arial"/>
          <w:b/>
          <w:bCs/>
          <w:sz w:val="24"/>
          <w:szCs w:val="24"/>
        </w:rPr>
      </w:pPr>
      <w:r w:rsidRPr="0018665E">
        <w:rPr>
          <w:rFonts w:ascii="Arial" w:hAnsi="Arial" w:cs="Arial"/>
          <w:b/>
          <w:bCs/>
          <w:sz w:val="24"/>
          <w:szCs w:val="24"/>
        </w:rPr>
        <w:t>Table 3: Action Plan</w:t>
      </w:r>
    </w:p>
    <w:p w14:paraId="7DE7F02F" w14:textId="662660B2" w:rsidR="00CA788D" w:rsidRPr="0018665E" w:rsidRDefault="00CA788D"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I will start planning my future homework by finding and tabulating scholarly materials prior to writing any part of the report. I will have a weekly study outline to create a better portion of my work and avoid feeling compulsive when I complete the writing process. I will also refer to supervisors and peers at the early phases of writing process because constructive feedback will help me to develop the quality of the research process and academic confidence. I will also maintain a short reflective/journal in each project so that I can be able to </w:t>
      </w:r>
      <w:proofErr w:type="spellStart"/>
      <w:r w:rsidRPr="0018665E">
        <w:rPr>
          <w:rFonts w:ascii="Arial" w:hAnsi="Arial" w:cs="Arial"/>
          <w:sz w:val="24"/>
          <w:szCs w:val="24"/>
        </w:rPr>
        <w:t>analyse</w:t>
      </w:r>
      <w:proofErr w:type="spellEnd"/>
      <w:r w:rsidRPr="0018665E">
        <w:rPr>
          <w:rFonts w:ascii="Arial" w:hAnsi="Arial" w:cs="Arial"/>
          <w:sz w:val="24"/>
          <w:szCs w:val="24"/>
        </w:rPr>
        <w:t xml:space="preserve"> my progress throughout the project and implement the lesson on the spot where necessary and not focus on the lesson till the project is completed.</w:t>
      </w:r>
    </w:p>
    <w:p w14:paraId="52A9E3E4" w14:textId="77777777" w:rsidR="00CA788D" w:rsidRPr="0018665E" w:rsidRDefault="00CA788D" w:rsidP="009B01BA">
      <w:pPr>
        <w:spacing w:after="100" w:afterAutospacing="1" w:line="360" w:lineRule="auto"/>
        <w:jc w:val="both"/>
        <w:rPr>
          <w:rFonts w:ascii="Arial" w:hAnsi="Arial" w:cs="Arial"/>
          <w:sz w:val="24"/>
          <w:szCs w:val="24"/>
        </w:rPr>
      </w:pPr>
    </w:p>
    <w:p w14:paraId="6D106C53"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br w:type="page"/>
      </w:r>
    </w:p>
    <w:p w14:paraId="2A18A16B" w14:textId="77777777" w:rsidR="00D51F63" w:rsidRPr="0018665E" w:rsidRDefault="00000000" w:rsidP="009B01BA">
      <w:pPr>
        <w:pStyle w:val="Heading1"/>
        <w:spacing w:after="100" w:afterAutospacing="1"/>
        <w:rPr>
          <w:rFonts w:ascii="Arial" w:hAnsi="Arial" w:cs="Arial"/>
          <w:color w:val="auto"/>
        </w:rPr>
      </w:pPr>
      <w:bookmarkStart w:id="45" w:name="_Toc237509212"/>
      <w:r w:rsidRPr="0018665E">
        <w:rPr>
          <w:rFonts w:ascii="Arial" w:hAnsi="Arial" w:cs="Arial"/>
          <w:color w:val="auto"/>
        </w:rPr>
        <w:lastRenderedPageBreak/>
        <w:t>References</w:t>
      </w:r>
      <w:bookmarkEnd w:id="45"/>
    </w:p>
    <w:p w14:paraId="0DF543B1" w14:textId="49906E5E" w:rsidR="00D51F63" w:rsidRPr="0018665E" w:rsidRDefault="00000000" w:rsidP="005B3CA9">
      <w:pPr>
        <w:spacing w:after="100" w:afterAutospacing="1" w:line="360" w:lineRule="auto"/>
        <w:jc w:val="both"/>
        <w:rPr>
          <w:rFonts w:ascii="Arial" w:hAnsi="Arial" w:cs="Arial"/>
          <w:sz w:val="24"/>
          <w:szCs w:val="24"/>
        </w:rPr>
      </w:pPr>
      <w:r w:rsidRPr="0018665E">
        <w:rPr>
          <w:rFonts w:ascii="Arial" w:hAnsi="Arial" w:cs="Arial"/>
          <w:sz w:val="24"/>
          <w:szCs w:val="24"/>
        </w:rPr>
        <w:t xml:space="preserve">Albu, N., </w:t>
      </w:r>
      <w:proofErr w:type="spellStart"/>
      <w:r w:rsidRPr="0018665E">
        <w:rPr>
          <w:rFonts w:ascii="Arial" w:hAnsi="Arial" w:cs="Arial"/>
          <w:sz w:val="24"/>
          <w:szCs w:val="24"/>
        </w:rPr>
        <w:t>Joebges</w:t>
      </w:r>
      <w:proofErr w:type="spellEnd"/>
      <w:r w:rsidRPr="0018665E">
        <w:rPr>
          <w:rFonts w:ascii="Arial" w:hAnsi="Arial" w:cs="Arial"/>
          <w:sz w:val="24"/>
          <w:szCs w:val="24"/>
        </w:rPr>
        <w:t xml:space="preserve">, H. and Zwiener, R. (2022) 'An input–output analysis of unit </w:t>
      </w:r>
      <w:proofErr w:type="spellStart"/>
      <w:r w:rsidRPr="0018665E">
        <w:rPr>
          <w:rFonts w:ascii="Arial" w:hAnsi="Arial" w:cs="Arial"/>
          <w:sz w:val="24"/>
          <w:szCs w:val="24"/>
        </w:rPr>
        <w:t>labour</w:t>
      </w:r>
      <w:proofErr w:type="spellEnd"/>
      <w:r w:rsidRPr="0018665E">
        <w:rPr>
          <w:rFonts w:ascii="Arial" w:hAnsi="Arial" w:cs="Arial"/>
          <w:sz w:val="24"/>
          <w:szCs w:val="24"/>
        </w:rPr>
        <w:t xml:space="preserve"> cost developments of the German manufacturing sector since the mid-1990s', Journal for </w:t>
      </w:r>
      <w:proofErr w:type="spellStart"/>
      <w:r w:rsidRPr="0018665E">
        <w:rPr>
          <w:rFonts w:ascii="Arial" w:hAnsi="Arial" w:cs="Arial"/>
          <w:sz w:val="24"/>
          <w:szCs w:val="24"/>
        </w:rPr>
        <w:t>Labour</w:t>
      </w:r>
      <w:proofErr w:type="spellEnd"/>
      <w:r w:rsidRPr="0018665E">
        <w:rPr>
          <w:rFonts w:ascii="Arial" w:hAnsi="Arial" w:cs="Arial"/>
          <w:sz w:val="24"/>
          <w:szCs w:val="24"/>
        </w:rPr>
        <w:t xml:space="preserve"> Market Research, 56(1), pp. 1–15. Available at: </w:t>
      </w:r>
      <w:hyperlink r:id="rId15" w:history="1">
        <w:r w:rsidR="00D51F63" w:rsidRPr="0018665E">
          <w:rPr>
            <w:rStyle w:val="Hyperlink"/>
            <w:rFonts w:ascii="Arial" w:hAnsi="Arial" w:cs="Arial"/>
            <w:sz w:val="24"/>
            <w:szCs w:val="24"/>
          </w:rPr>
          <w:t>https://labourmarketresearch.springeropen.com/articles/10.1186/s12651-022-00306-7</w:t>
        </w:r>
      </w:hyperlink>
    </w:p>
    <w:p w14:paraId="15328B29" w14:textId="6F09AB32" w:rsidR="00D51F63" w:rsidRPr="0018665E" w:rsidRDefault="00000000" w:rsidP="005B3CA9">
      <w:pPr>
        <w:spacing w:after="100" w:afterAutospacing="1" w:line="360" w:lineRule="auto"/>
        <w:jc w:val="both"/>
        <w:rPr>
          <w:rFonts w:ascii="Arial" w:hAnsi="Arial" w:cs="Arial"/>
          <w:sz w:val="24"/>
          <w:szCs w:val="24"/>
        </w:rPr>
      </w:pPr>
      <w:r w:rsidRPr="0018665E">
        <w:rPr>
          <w:rFonts w:ascii="Arial" w:hAnsi="Arial" w:cs="Arial"/>
          <w:sz w:val="24"/>
          <w:szCs w:val="24"/>
        </w:rPr>
        <w:t xml:space="preserve">Ali, T., Khalid, S., Shahzad, K. and </w:t>
      </w:r>
      <w:proofErr w:type="spellStart"/>
      <w:r w:rsidRPr="0018665E">
        <w:rPr>
          <w:rFonts w:ascii="Arial" w:hAnsi="Arial" w:cs="Arial"/>
          <w:sz w:val="24"/>
          <w:szCs w:val="24"/>
        </w:rPr>
        <w:t>Larimo</w:t>
      </w:r>
      <w:proofErr w:type="spellEnd"/>
      <w:r w:rsidRPr="0018665E">
        <w:rPr>
          <w:rFonts w:ascii="Arial" w:hAnsi="Arial" w:cs="Arial"/>
          <w:sz w:val="24"/>
          <w:szCs w:val="24"/>
        </w:rPr>
        <w:t xml:space="preserve">, J. (2021) 'Managing international joint ventures to improve performance: The role of structural and social mechanisms', International Business Review, 30(3), 101791. Available at: </w:t>
      </w:r>
      <w:hyperlink r:id="rId16" w:history="1">
        <w:r w:rsidR="00D51F63" w:rsidRPr="0018665E">
          <w:rPr>
            <w:rStyle w:val="Hyperlink"/>
            <w:rFonts w:ascii="Arial" w:hAnsi="Arial" w:cs="Arial"/>
            <w:sz w:val="24"/>
            <w:szCs w:val="24"/>
          </w:rPr>
          <w:t>https://www.sciencedirect.com/science/article/pii/S0969593120301451</w:t>
        </w:r>
      </w:hyperlink>
      <w:r w:rsidRPr="0018665E">
        <w:rPr>
          <w:rFonts w:ascii="Arial" w:hAnsi="Arial" w:cs="Arial"/>
          <w:sz w:val="24"/>
          <w:szCs w:val="24"/>
        </w:rPr>
        <w:t xml:space="preserve"> </w:t>
      </w:r>
    </w:p>
    <w:p w14:paraId="4F115DAA" w14:textId="6074C221" w:rsidR="00D51F63" w:rsidRPr="0018665E" w:rsidRDefault="00000000" w:rsidP="005B3CA9">
      <w:pPr>
        <w:spacing w:after="100" w:afterAutospacing="1" w:line="360" w:lineRule="auto"/>
        <w:jc w:val="both"/>
        <w:rPr>
          <w:rFonts w:ascii="Arial" w:hAnsi="Arial" w:cs="Arial"/>
          <w:sz w:val="24"/>
          <w:szCs w:val="24"/>
        </w:rPr>
      </w:pPr>
      <w:proofErr w:type="spellStart"/>
      <w:r w:rsidRPr="0018665E">
        <w:rPr>
          <w:rFonts w:ascii="Arial" w:hAnsi="Arial" w:cs="Arial"/>
          <w:sz w:val="24"/>
          <w:szCs w:val="24"/>
        </w:rPr>
        <w:t>Apaolaza</w:t>
      </w:r>
      <w:proofErr w:type="spellEnd"/>
      <w:r w:rsidRPr="0018665E">
        <w:rPr>
          <w:rFonts w:ascii="Arial" w:hAnsi="Arial" w:cs="Arial"/>
          <w:sz w:val="24"/>
          <w:szCs w:val="24"/>
        </w:rPr>
        <w:t xml:space="preserve">, V., Policarpo, M.C., Hartmann, P., Paredes, M.R. and D'Souza, C. (2023) 'Sustainable clothing: Why conspicuous consumption and greenwashing matter', Business Strategy and the Environment, 32(6), pp. 3766–3782. Available at: </w:t>
      </w:r>
      <w:hyperlink r:id="rId17" w:history="1">
        <w:r w:rsidR="00D51F63" w:rsidRPr="0018665E">
          <w:rPr>
            <w:rStyle w:val="Hyperlink"/>
            <w:rFonts w:ascii="Arial" w:hAnsi="Arial" w:cs="Arial"/>
            <w:sz w:val="24"/>
            <w:szCs w:val="24"/>
          </w:rPr>
          <w:t>https://onlinelibrary.wiley.com/doi/full/10.1002/bse.3335</w:t>
        </w:r>
      </w:hyperlink>
      <w:r w:rsidRPr="0018665E">
        <w:rPr>
          <w:rFonts w:ascii="Arial" w:hAnsi="Arial" w:cs="Arial"/>
          <w:sz w:val="24"/>
          <w:szCs w:val="24"/>
        </w:rPr>
        <w:t xml:space="preserve"> </w:t>
      </w:r>
    </w:p>
    <w:p w14:paraId="68431E51" w14:textId="1D959CA0" w:rsidR="00D51F63" w:rsidRPr="0018665E" w:rsidRDefault="00000000" w:rsidP="005B3CA9">
      <w:pPr>
        <w:spacing w:after="100" w:afterAutospacing="1" w:line="360" w:lineRule="auto"/>
        <w:jc w:val="both"/>
        <w:rPr>
          <w:rFonts w:ascii="Arial" w:hAnsi="Arial" w:cs="Arial"/>
          <w:sz w:val="24"/>
          <w:szCs w:val="24"/>
        </w:rPr>
      </w:pPr>
      <w:r w:rsidRPr="0018665E">
        <w:rPr>
          <w:rFonts w:ascii="Arial" w:hAnsi="Arial" w:cs="Arial"/>
          <w:sz w:val="24"/>
          <w:szCs w:val="24"/>
        </w:rPr>
        <w:t xml:space="preserve">Bae, J. (2025) 'Corporate Social Responsibility and Wages in the Global Apparel Supply Chain', Corporate Social Responsibility and Environmental Management. Available at: </w:t>
      </w:r>
      <w:hyperlink r:id="rId18" w:history="1">
        <w:r w:rsidR="00D51F63" w:rsidRPr="0018665E">
          <w:rPr>
            <w:rStyle w:val="Hyperlink"/>
            <w:rFonts w:ascii="Arial" w:hAnsi="Arial" w:cs="Arial"/>
            <w:sz w:val="24"/>
            <w:szCs w:val="24"/>
          </w:rPr>
          <w:t>https://onlinelibrary.wiley.com/doi/full/10.1002/csr.3204</w:t>
        </w:r>
      </w:hyperlink>
      <w:r w:rsidRPr="0018665E">
        <w:rPr>
          <w:rFonts w:ascii="Arial" w:hAnsi="Arial" w:cs="Arial"/>
          <w:sz w:val="24"/>
          <w:szCs w:val="24"/>
        </w:rPr>
        <w:t xml:space="preserve"> </w:t>
      </w:r>
    </w:p>
    <w:p w14:paraId="71EF0847" w14:textId="38AE876A" w:rsidR="00D51F63" w:rsidRPr="0018665E" w:rsidRDefault="00000000" w:rsidP="005B3CA9">
      <w:pPr>
        <w:spacing w:after="100" w:afterAutospacing="1" w:line="360" w:lineRule="auto"/>
        <w:jc w:val="both"/>
        <w:rPr>
          <w:rFonts w:ascii="Arial" w:hAnsi="Arial" w:cs="Arial"/>
          <w:sz w:val="24"/>
          <w:szCs w:val="24"/>
        </w:rPr>
      </w:pPr>
      <w:r w:rsidRPr="0018665E">
        <w:rPr>
          <w:rFonts w:ascii="Arial" w:hAnsi="Arial" w:cs="Arial"/>
          <w:sz w:val="24"/>
          <w:szCs w:val="24"/>
        </w:rPr>
        <w:t xml:space="preserve">Basu, R., Paul, J. and Singh, K. (2022) 'Visual merchandising and store atmospherics: An integrated review and future research directions', Journal of Business Research, 151, pp. 397–408. Available at: </w:t>
      </w:r>
      <w:hyperlink r:id="rId19" w:history="1">
        <w:r w:rsidR="00D51F63" w:rsidRPr="0018665E">
          <w:rPr>
            <w:rStyle w:val="Hyperlink"/>
            <w:rFonts w:ascii="Arial" w:hAnsi="Arial" w:cs="Arial"/>
            <w:sz w:val="24"/>
            <w:szCs w:val="24"/>
          </w:rPr>
          <w:t>https://www.sciencedirect.com/science/article/pii/S0148296322006233</w:t>
        </w:r>
      </w:hyperlink>
    </w:p>
    <w:p w14:paraId="7A1D797C" w14:textId="0DC0218B" w:rsidR="00D51F63" w:rsidRPr="0018665E" w:rsidRDefault="00000000" w:rsidP="005B3CA9">
      <w:pPr>
        <w:spacing w:after="100" w:afterAutospacing="1" w:line="360" w:lineRule="auto"/>
        <w:jc w:val="both"/>
        <w:rPr>
          <w:rFonts w:ascii="Arial" w:hAnsi="Arial" w:cs="Arial"/>
          <w:sz w:val="24"/>
          <w:szCs w:val="24"/>
        </w:rPr>
      </w:pPr>
      <w:r w:rsidRPr="0018665E">
        <w:rPr>
          <w:rFonts w:ascii="Arial" w:hAnsi="Arial" w:cs="Arial"/>
          <w:sz w:val="24"/>
          <w:szCs w:val="24"/>
        </w:rPr>
        <w:t xml:space="preserve">Bonfanti, A. and </w:t>
      </w:r>
      <w:proofErr w:type="spellStart"/>
      <w:r w:rsidRPr="0018665E">
        <w:rPr>
          <w:rFonts w:ascii="Arial" w:hAnsi="Arial" w:cs="Arial"/>
          <w:sz w:val="24"/>
          <w:szCs w:val="24"/>
        </w:rPr>
        <w:t>Yfantidou</w:t>
      </w:r>
      <w:proofErr w:type="spellEnd"/>
      <w:r w:rsidRPr="0018665E">
        <w:rPr>
          <w:rFonts w:ascii="Arial" w:hAnsi="Arial" w:cs="Arial"/>
          <w:sz w:val="24"/>
          <w:szCs w:val="24"/>
        </w:rPr>
        <w:t xml:space="preserve">, G. (2021) 'Designing a memorable in-store customer shopping experience: practical evidence from sports equipment retailers', International Journal of Retail &amp; Distribution Management, 49(9), pp. 1295–1311. Available at: </w:t>
      </w:r>
      <w:hyperlink r:id="rId20" w:history="1">
        <w:r w:rsidR="00D51F63" w:rsidRPr="0018665E">
          <w:rPr>
            <w:rStyle w:val="Hyperlink"/>
            <w:rFonts w:ascii="Arial" w:hAnsi="Arial" w:cs="Arial"/>
            <w:sz w:val="24"/>
            <w:szCs w:val="24"/>
          </w:rPr>
          <w:t>https://www.emerald.com/ijrdm/article/49/9/1295/151521/Designing-a-memorable-in-store-customer-shopping</w:t>
        </w:r>
      </w:hyperlink>
    </w:p>
    <w:p w14:paraId="57CA8740" w14:textId="01E44B9E" w:rsidR="00D51F63" w:rsidRPr="0018665E" w:rsidRDefault="00000000" w:rsidP="005B3CA9">
      <w:pPr>
        <w:spacing w:after="100" w:afterAutospacing="1" w:line="360" w:lineRule="auto"/>
        <w:jc w:val="both"/>
        <w:rPr>
          <w:rFonts w:ascii="Arial" w:hAnsi="Arial" w:cs="Arial"/>
          <w:sz w:val="24"/>
          <w:szCs w:val="24"/>
        </w:rPr>
      </w:pPr>
      <w:r w:rsidRPr="0018665E">
        <w:rPr>
          <w:rFonts w:ascii="Arial" w:hAnsi="Arial" w:cs="Arial"/>
          <w:sz w:val="24"/>
          <w:szCs w:val="24"/>
        </w:rPr>
        <w:t xml:space="preserve">Connell, C., Marciniak, R. and Drylie Carey, L. (2023) 'The Effect of Cross-Cultural Dimensions on the Manifestation of Customer Engagement </w:t>
      </w:r>
      <w:proofErr w:type="spellStart"/>
      <w:r w:rsidRPr="0018665E">
        <w:rPr>
          <w:rFonts w:ascii="Arial" w:hAnsi="Arial" w:cs="Arial"/>
          <w:sz w:val="24"/>
          <w:szCs w:val="24"/>
        </w:rPr>
        <w:t>Behaviours</w:t>
      </w:r>
      <w:proofErr w:type="spellEnd"/>
      <w:r w:rsidRPr="0018665E">
        <w:rPr>
          <w:rFonts w:ascii="Arial" w:hAnsi="Arial" w:cs="Arial"/>
          <w:sz w:val="24"/>
          <w:szCs w:val="24"/>
        </w:rPr>
        <w:t xml:space="preserve">', Journal of </w:t>
      </w:r>
      <w:r w:rsidRPr="0018665E">
        <w:rPr>
          <w:rFonts w:ascii="Arial" w:hAnsi="Arial" w:cs="Arial"/>
          <w:sz w:val="24"/>
          <w:szCs w:val="24"/>
        </w:rPr>
        <w:lastRenderedPageBreak/>
        <w:t xml:space="preserve">International Marketing, 31(1), pp. 32–48. Available at: </w:t>
      </w:r>
      <w:hyperlink r:id="rId21" w:history="1">
        <w:r w:rsidR="00D51F63" w:rsidRPr="0018665E">
          <w:rPr>
            <w:rStyle w:val="Hyperlink"/>
            <w:rFonts w:ascii="Arial" w:hAnsi="Arial" w:cs="Arial"/>
            <w:sz w:val="24"/>
            <w:szCs w:val="24"/>
          </w:rPr>
          <w:t>https://journals.sagepub.com/doi/10.1177/1069031X221130690</w:t>
        </w:r>
      </w:hyperlink>
      <w:r w:rsidRPr="0018665E">
        <w:rPr>
          <w:rFonts w:ascii="Arial" w:hAnsi="Arial" w:cs="Arial"/>
          <w:sz w:val="24"/>
          <w:szCs w:val="24"/>
        </w:rPr>
        <w:t xml:space="preserve"> </w:t>
      </w:r>
    </w:p>
    <w:p w14:paraId="5394F21A" w14:textId="0C431798" w:rsidR="0032600A" w:rsidRPr="0018665E" w:rsidRDefault="0032600A" w:rsidP="005B3CA9">
      <w:pPr>
        <w:spacing w:after="100" w:afterAutospacing="1" w:line="360" w:lineRule="auto"/>
        <w:jc w:val="both"/>
        <w:rPr>
          <w:rFonts w:ascii="Arial" w:hAnsi="Arial" w:cs="Arial"/>
          <w:sz w:val="24"/>
          <w:szCs w:val="24"/>
        </w:rPr>
      </w:pPr>
      <w:r w:rsidRPr="0018665E">
        <w:rPr>
          <w:rFonts w:ascii="Arial" w:hAnsi="Arial" w:cs="Arial"/>
          <w:sz w:val="24"/>
          <w:szCs w:val="24"/>
        </w:rPr>
        <w:t xml:space="preserve">Dutta, S., He, M. and Tsang, D. (2023) </w:t>
      </w:r>
      <w:r w:rsidRPr="0018665E">
        <w:rPr>
          <w:rFonts w:ascii="Arial" w:hAnsi="Arial" w:cs="Arial"/>
          <w:i/>
          <w:iCs/>
          <w:sz w:val="24"/>
          <w:szCs w:val="24"/>
        </w:rPr>
        <w:t>Gibbs' reflective cycle (Adapted from Gibbs, 1988).</w:t>
      </w:r>
      <w:r w:rsidRPr="0018665E">
        <w:rPr>
          <w:rFonts w:ascii="Arial" w:hAnsi="Arial" w:cs="Arial"/>
          <w:sz w:val="24"/>
          <w:szCs w:val="24"/>
        </w:rPr>
        <w:t xml:space="preserve"> ResearchGate. Available at: </w:t>
      </w:r>
      <w:hyperlink r:id="rId22" w:tgtFrame="_blank" w:history="1">
        <w:r w:rsidRPr="0018665E">
          <w:rPr>
            <w:rStyle w:val="Hyperlink"/>
            <w:rFonts w:ascii="Arial" w:hAnsi="Arial" w:cs="Arial"/>
            <w:color w:val="auto"/>
            <w:sz w:val="24"/>
            <w:szCs w:val="24"/>
          </w:rPr>
          <w:t>https://www.researchgate.net/figure/Gibbs-reflective-cycle-Adapted-from-Gibbs-1988_fig1_371536633</w:t>
        </w:r>
      </w:hyperlink>
    </w:p>
    <w:p w14:paraId="0FB3902C" w14:textId="1897119F" w:rsidR="00D51F63" w:rsidRPr="0018665E" w:rsidRDefault="00000000" w:rsidP="005B3CA9">
      <w:pPr>
        <w:spacing w:after="100" w:afterAutospacing="1" w:line="360" w:lineRule="auto"/>
        <w:jc w:val="both"/>
        <w:rPr>
          <w:rFonts w:ascii="Arial" w:hAnsi="Arial" w:cs="Arial"/>
          <w:sz w:val="24"/>
          <w:szCs w:val="24"/>
        </w:rPr>
      </w:pPr>
      <w:proofErr w:type="spellStart"/>
      <w:r w:rsidRPr="0018665E">
        <w:rPr>
          <w:rFonts w:ascii="Arial" w:hAnsi="Arial" w:cs="Arial"/>
          <w:sz w:val="24"/>
          <w:szCs w:val="24"/>
        </w:rPr>
        <w:t>Fregidou</w:t>
      </w:r>
      <w:proofErr w:type="spellEnd"/>
      <w:r w:rsidRPr="0018665E">
        <w:rPr>
          <w:rFonts w:ascii="Arial" w:hAnsi="Arial" w:cs="Arial"/>
          <w:sz w:val="24"/>
          <w:szCs w:val="24"/>
        </w:rPr>
        <w:t xml:space="preserve">-Malama, M., Chowdhury, E.H. and Hyder, A.S. (2023) 'International marketing strategy of emerging market firms: The case of Bangladesh', Journal of Asia Business Studies, 17(4), pp. 804–823. Available at: </w:t>
      </w:r>
      <w:hyperlink r:id="rId23" w:history="1">
        <w:r w:rsidR="00D51F63" w:rsidRPr="0018665E">
          <w:rPr>
            <w:rStyle w:val="Hyperlink"/>
            <w:rFonts w:ascii="Arial" w:hAnsi="Arial" w:cs="Arial"/>
            <w:sz w:val="24"/>
            <w:szCs w:val="24"/>
          </w:rPr>
          <w:t>https://www.emerald.com/jabs/article/17/4/804/188018/International-marketing-strategy-of-emerging</w:t>
        </w:r>
      </w:hyperlink>
    </w:p>
    <w:p w14:paraId="76AEAD5D" w14:textId="2F8074AC" w:rsidR="00D51F63" w:rsidRPr="0018665E" w:rsidRDefault="00000000" w:rsidP="005B3CA9">
      <w:pPr>
        <w:spacing w:after="100" w:afterAutospacing="1" w:line="360" w:lineRule="auto"/>
        <w:jc w:val="both"/>
        <w:rPr>
          <w:rFonts w:ascii="Arial" w:hAnsi="Arial" w:cs="Arial"/>
          <w:sz w:val="24"/>
          <w:szCs w:val="24"/>
        </w:rPr>
      </w:pPr>
      <w:r w:rsidRPr="0018665E">
        <w:rPr>
          <w:rFonts w:ascii="Arial" w:hAnsi="Arial" w:cs="Arial"/>
          <w:sz w:val="24"/>
          <w:szCs w:val="24"/>
        </w:rPr>
        <w:t xml:space="preserve">James, E.E., Inyang, I.B. and Eze, F.J. (2024) 'Standardization versus adaptation of marketing mix in international markets: A systematic literature review', World Journal of Advanced Research and Reviews, 22(2), pp. 1191–1211. Available at: </w:t>
      </w:r>
      <w:hyperlink r:id="rId24" w:history="1">
        <w:r w:rsidR="00D51F63" w:rsidRPr="0018665E">
          <w:rPr>
            <w:rStyle w:val="Hyperlink"/>
            <w:rFonts w:ascii="Arial" w:hAnsi="Arial" w:cs="Arial"/>
            <w:sz w:val="24"/>
            <w:szCs w:val="24"/>
          </w:rPr>
          <w:t>https://wjarr.com/content/standardization-versus-adaptation-marketing-mix-international-markets-systematic-literature</w:t>
        </w:r>
      </w:hyperlink>
    </w:p>
    <w:p w14:paraId="263DD0A2" w14:textId="4DC23F17" w:rsidR="00D51F63" w:rsidRPr="0018665E" w:rsidRDefault="00000000" w:rsidP="005B3CA9">
      <w:pPr>
        <w:spacing w:after="100" w:afterAutospacing="1" w:line="360" w:lineRule="auto"/>
        <w:jc w:val="both"/>
        <w:rPr>
          <w:rFonts w:ascii="Arial" w:hAnsi="Arial" w:cs="Arial"/>
          <w:sz w:val="24"/>
          <w:szCs w:val="24"/>
        </w:rPr>
      </w:pPr>
      <w:r w:rsidRPr="0018665E">
        <w:rPr>
          <w:rFonts w:ascii="Arial" w:hAnsi="Arial" w:cs="Arial"/>
          <w:sz w:val="24"/>
          <w:szCs w:val="24"/>
        </w:rPr>
        <w:t xml:space="preserve">LeBaron, G., Edwards, R., Hunt, T., </w:t>
      </w:r>
      <w:proofErr w:type="spellStart"/>
      <w:r w:rsidRPr="0018665E">
        <w:rPr>
          <w:rFonts w:ascii="Arial" w:hAnsi="Arial" w:cs="Arial"/>
          <w:sz w:val="24"/>
          <w:szCs w:val="24"/>
        </w:rPr>
        <w:t>Sempéré</w:t>
      </w:r>
      <w:proofErr w:type="spellEnd"/>
      <w:r w:rsidRPr="0018665E">
        <w:rPr>
          <w:rFonts w:ascii="Arial" w:hAnsi="Arial" w:cs="Arial"/>
          <w:sz w:val="24"/>
          <w:szCs w:val="24"/>
        </w:rPr>
        <w:t xml:space="preserve">, C. and Kyritsis, P. (2021) 'The Ineffectiveness of CSR: Understanding Garment Company Commitments to Living Wages in Global Supply Chains', New Political Economy, 27(1), pp. 99–115. Available at: </w:t>
      </w:r>
      <w:hyperlink r:id="rId25" w:history="1">
        <w:r w:rsidR="00D51F63" w:rsidRPr="0018665E">
          <w:rPr>
            <w:rStyle w:val="Hyperlink"/>
            <w:rFonts w:ascii="Arial" w:hAnsi="Arial" w:cs="Arial"/>
            <w:sz w:val="24"/>
            <w:szCs w:val="24"/>
          </w:rPr>
          <w:t>https://www.tandfonline.com/doi/abs/10.1080/13563467.2021.1926954</w:t>
        </w:r>
      </w:hyperlink>
    </w:p>
    <w:p w14:paraId="2C799678" w14:textId="10AF9831" w:rsidR="00D51F63" w:rsidRPr="0018665E" w:rsidRDefault="00000000" w:rsidP="005B3CA9">
      <w:pPr>
        <w:spacing w:after="100" w:afterAutospacing="1" w:line="360" w:lineRule="auto"/>
        <w:jc w:val="both"/>
        <w:rPr>
          <w:rFonts w:ascii="Arial" w:hAnsi="Arial" w:cs="Arial"/>
          <w:sz w:val="24"/>
          <w:szCs w:val="24"/>
        </w:rPr>
      </w:pPr>
      <w:r w:rsidRPr="0018665E">
        <w:rPr>
          <w:rFonts w:ascii="Arial" w:hAnsi="Arial" w:cs="Arial"/>
          <w:sz w:val="24"/>
          <w:szCs w:val="24"/>
        </w:rPr>
        <w:t xml:space="preserve">Matharu, G.K., von der Heidt, T., </w:t>
      </w:r>
      <w:proofErr w:type="spellStart"/>
      <w:r w:rsidRPr="0018665E">
        <w:rPr>
          <w:rFonts w:ascii="Arial" w:hAnsi="Arial" w:cs="Arial"/>
          <w:sz w:val="24"/>
          <w:szCs w:val="24"/>
        </w:rPr>
        <w:t>Sorwar</w:t>
      </w:r>
      <w:proofErr w:type="spellEnd"/>
      <w:r w:rsidRPr="0018665E">
        <w:rPr>
          <w:rFonts w:ascii="Arial" w:hAnsi="Arial" w:cs="Arial"/>
          <w:sz w:val="24"/>
          <w:szCs w:val="24"/>
        </w:rPr>
        <w:t xml:space="preserve">, G. and </w:t>
      </w:r>
      <w:proofErr w:type="spellStart"/>
      <w:r w:rsidRPr="0018665E">
        <w:rPr>
          <w:rFonts w:ascii="Arial" w:hAnsi="Arial" w:cs="Arial"/>
          <w:sz w:val="24"/>
          <w:szCs w:val="24"/>
        </w:rPr>
        <w:t>Achchuthan</w:t>
      </w:r>
      <w:proofErr w:type="spellEnd"/>
      <w:r w:rsidRPr="0018665E">
        <w:rPr>
          <w:rFonts w:ascii="Arial" w:hAnsi="Arial" w:cs="Arial"/>
          <w:sz w:val="24"/>
          <w:szCs w:val="24"/>
        </w:rPr>
        <w:t xml:space="preserve">, S. (2023) 'The moderating role of Hofstede's cultural dimensions on consumer purchasing of organic food', Journal of International Consumer Marketing, 36(1). Available at: </w:t>
      </w:r>
      <w:hyperlink r:id="rId26" w:history="1">
        <w:r w:rsidR="00D51F63" w:rsidRPr="0018665E">
          <w:rPr>
            <w:rStyle w:val="Hyperlink"/>
            <w:rFonts w:ascii="Arial" w:hAnsi="Arial" w:cs="Arial"/>
            <w:sz w:val="24"/>
            <w:szCs w:val="24"/>
          </w:rPr>
          <w:t>https://www.tandfonline.com/doi/full/10.1080/08961530.2023.2176396</w:t>
        </w:r>
      </w:hyperlink>
    </w:p>
    <w:p w14:paraId="4F8E353C" w14:textId="4A9389EB" w:rsidR="00D51F63" w:rsidRPr="0018665E" w:rsidRDefault="00000000" w:rsidP="005B3CA9">
      <w:pPr>
        <w:spacing w:after="100" w:afterAutospacing="1" w:line="360" w:lineRule="auto"/>
        <w:jc w:val="both"/>
        <w:rPr>
          <w:rFonts w:ascii="Arial" w:hAnsi="Arial" w:cs="Arial"/>
          <w:sz w:val="24"/>
          <w:szCs w:val="24"/>
        </w:rPr>
      </w:pPr>
      <w:r w:rsidRPr="0018665E">
        <w:rPr>
          <w:rFonts w:ascii="Arial" w:hAnsi="Arial" w:cs="Arial"/>
          <w:sz w:val="24"/>
          <w:szCs w:val="24"/>
        </w:rPr>
        <w:t xml:space="preserve">Policarpo, M.C., </w:t>
      </w:r>
      <w:proofErr w:type="spellStart"/>
      <w:r w:rsidRPr="0018665E">
        <w:rPr>
          <w:rFonts w:ascii="Arial" w:hAnsi="Arial" w:cs="Arial"/>
          <w:sz w:val="24"/>
          <w:szCs w:val="24"/>
        </w:rPr>
        <w:t>Apaolaza</w:t>
      </w:r>
      <w:proofErr w:type="spellEnd"/>
      <w:r w:rsidRPr="0018665E">
        <w:rPr>
          <w:rFonts w:ascii="Arial" w:hAnsi="Arial" w:cs="Arial"/>
          <w:sz w:val="24"/>
          <w:szCs w:val="24"/>
        </w:rPr>
        <w:t xml:space="preserve">, V., Hartmann, P., Paredes, M.R. and D'Souza, C. (2023) 'Social cynicism, greenwashing, and trust in green clothing brands', International Journal of Consumer Studies, 47(5), pp. 1950–1961. Available at: </w:t>
      </w:r>
      <w:hyperlink r:id="rId27" w:history="1">
        <w:r w:rsidR="00D51F63" w:rsidRPr="0018665E">
          <w:rPr>
            <w:rStyle w:val="Hyperlink"/>
            <w:rFonts w:ascii="Arial" w:hAnsi="Arial" w:cs="Arial"/>
            <w:sz w:val="24"/>
            <w:szCs w:val="24"/>
          </w:rPr>
          <w:t>https://onlinelibrary.wiley.com/doi/10.1111/ijcs.12971</w:t>
        </w:r>
      </w:hyperlink>
      <w:r w:rsidRPr="0018665E">
        <w:rPr>
          <w:rFonts w:ascii="Arial" w:hAnsi="Arial" w:cs="Arial"/>
          <w:sz w:val="24"/>
          <w:szCs w:val="24"/>
        </w:rPr>
        <w:t xml:space="preserve"> </w:t>
      </w:r>
    </w:p>
    <w:p w14:paraId="1D9D2F1E" w14:textId="502DF602" w:rsidR="00D51F63" w:rsidRPr="0018665E" w:rsidRDefault="00000000" w:rsidP="005B3CA9">
      <w:pPr>
        <w:spacing w:after="100" w:afterAutospacing="1" w:line="360" w:lineRule="auto"/>
        <w:jc w:val="both"/>
        <w:rPr>
          <w:rFonts w:ascii="Arial" w:hAnsi="Arial" w:cs="Arial"/>
          <w:sz w:val="24"/>
          <w:szCs w:val="24"/>
        </w:rPr>
      </w:pPr>
      <w:r w:rsidRPr="0018665E">
        <w:rPr>
          <w:rFonts w:ascii="Arial" w:hAnsi="Arial" w:cs="Arial"/>
          <w:sz w:val="24"/>
          <w:szCs w:val="24"/>
        </w:rPr>
        <w:lastRenderedPageBreak/>
        <w:t xml:space="preserve">Rehman, A.U. (2022) 'Consumers' perceived value of luxury goods through the lens of Hofstede cultural dimensions: A cross-cultural study', Journal of Public Affairs, 22(4), e2660. Available at: </w:t>
      </w:r>
      <w:hyperlink r:id="rId28" w:history="1">
        <w:r w:rsidR="00D51F63" w:rsidRPr="0018665E">
          <w:rPr>
            <w:rStyle w:val="Hyperlink"/>
            <w:rFonts w:ascii="Arial" w:hAnsi="Arial" w:cs="Arial"/>
            <w:sz w:val="24"/>
            <w:szCs w:val="24"/>
          </w:rPr>
          <w:t>https://onlinelibrary.wiley.com/doi/10.1002/pa.2660</w:t>
        </w:r>
      </w:hyperlink>
    </w:p>
    <w:p w14:paraId="32255017" w14:textId="2262AE36" w:rsidR="00D51F63" w:rsidRPr="0018665E" w:rsidRDefault="00000000" w:rsidP="005B3CA9">
      <w:pPr>
        <w:spacing w:after="100" w:afterAutospacing="1" w:line="360" w:lineRule="auto"/>
        <w:jc w:val="both"/>
        <w:rPr>
          <w:rFonts w:ascii="Arial" w:hAnsi="Arial" w:cs="Arial"/>
          <w:sz w:val="24"/>
          <w:szCs w:val="24"/>
        </w:rPr>
      </w:pPr>
      <w:r w:rsidRPr="0018665E">
        <w:rPr>
          <w:rFonts w:ascii="Arial" w:hAnsi="Arial" w:cs="Arial"/>
          <w:sz w:val="24"/>
          <w:szCs w:val="24"/>
        </w:rPr>
        <w:t xml:space="preserve">Szabo, S. and Webster, J. (2021) 'Perceived greenwashing: The effects of green marketing on environmental and product perceptions', Journal of Business Ethics, 171, pp. 719–739. Available at: </w:t>
      </w:r>
      <w:hyperlink r:id="rId29" w:history="1">
        <w:r w:rsidR="00D51F63" w:rsidRPr="0018665E">
          <w:rPr>
            <w:rStyle w:val="Hyperlink"/>
            <w:rFonts w:ascii="Arial" w:hAnsi="Arial" w:cs="Arial"/>
            <w:sz w:val="24"/>
            <w:szCs w:val="24"/>
          </w:rPr>
          <w:t>https://link.springer.com/article/10.1007/s10551-020-04461-0</w:t>
        </w:r>
      </w:hyperlink>
      <w:r w:rsidRPr="0018665E">
        <w:rPr>
          <w:rFonts w:ascii="Arial" w:hAnsi="Arial" w:cs="Arial"/>
          <w:sz w:val="24"/>
          <w:szCs w:val="24"/>
        </w:rPr>
        <w:t xml:space="preserve"> </w:t>
      </w:r>
    </w:p>
    <w:p w14:paraId="5C7E530D" w14:textId="2E6FC3A6" w:rsidR="00D51F63" w:rsidRPr="0018665E" w:rsidRDefault="00000000" w:rsidP="005B3CA9">
      <w:pPr>
        <w:spacing w:after="100" w:afterAutospacing="1" w:line="360" w:lineRule="auto"/>
        <w:jc w:val="both"/>
        <w:rPr>
          <w:rFonts w:ascii="Arial" w:hAnsi="Arial" w:cs="Arial"/>
          <w:sz w:val="24"/>
          <w:szCs w:val="24"/>
        </w:rPr>
      </w:pPr>
      <w:r w:rsidRPr="0018665E">
        <w:rPr>
          <w:rFonts w:ascii="Arial" w:hAnsi="Arial" w:cs="Arial"/>
          <w:sz w:val="24"/>
          <w:szCs w:val="24"/>
        </w:rPr>
        <w:t xml:space="preserve">Wang, A., Lyu, D., Liu, Y., Liu, J., Gao, L. and Jin, J. (2022) 'Country-Brand Fit: The Effect of COO Stereotypes and Brand Positioning Consistency on Consumer Behavior: Evidence </w:t>
      </w:r>
      <w:r w:rsidR="00470A49" w:rsidRPr="0018665E">
        <w:rPr>
          <w:rFonts w:ascii="Arial" w:hAnsi="Arial" w:cs="Arial"/>
          <w:sz w:val="24"/>
          <w:szCs w:val="24"/>
        </w:rPr>
        <w:t>from</w:t>
      </w:r>
      <w:r w:rsidRPr="0018665E">
        <w:rPr>
          <w:rFonts w:ascii="Arial" w:hAnsi="Arial" w:cs="Arial"/>
          <w:sz w:val="24"/>
          <w:szCs w:val="24"/>
        </w:rPr>
        <w:t xml:space="preserve"> EEG Theta-Band Oscillation', Frontiers in Neuroscience, 16, 901123. Available at: </w:t>
      </w:r>
      <w:hyperlink r:id="rId30" w:history="1">
        <w:r w:rsidR="00D51F63" w:rsidRPr="0018665E">
          <w:rPr>
            <w:rStyle w:val="Hyperlink"/>
            <w:rFonts w:ascii="Arial" w:hAnsi="Arial" w:cs="Arial"/>
            <w:sz w:val="24"/>
            <w:szCs w:val="24"/>
          </w:rPr>
          <w:t>https://www.frontiersin.org/journals/neuroscience/articles/10.3389/fnins.2022.901123/full</w:t>
        </w:r>
      </w:hyperlink>
    </w:p>
    <w:p w14:paraId="209409E3" w14:textId="582B9DBF" w:rsidR="005B3CA9" w:rsidRPr="0018665E" w:rsidRDefault="005B3CA9" w:rsidP="005B3CA9">
      <w:pPr>
        <w:spacing w:after="100" w:afterAutospacing="1" w:line="360" w:lineRule="auto"/>
        <w:jc w:val="both"/>
        <w:rPr>
          <w:rFonts w:ascii="Arial" w:hAnsi="Arial" w:cs="Arial"/>
          <w:sz w:val="24"/>
          <w:szCs w:val="24"/>
        </w:rPr>
      </w:pPr>
      <w:r w:rsidRPr="0018665E">
        <w:rPr>
          <w:rFonts w:ascii="Arial" w:hAnsi="Arial" w:cs="Arial"/>
          <w:sz w:val="24"/>
          <w:szCs w:val="24"/>
        </w:rPr>
        <w:t xml:space="preserve">Faza, A. and Lestari, I.A. (2025) 'Self-regulated learning in the digital age: a systematic review of strategies, technologies, benefits, and challenges', The International Review of Research in Open and Distributed Learning, 26(2), pp. 23–58. Available at: </w:t>
      </w:r>
      <w:hyperlink r:id="rId31" w:history="1">
        <w:r w:rsidRPr="0018665E">
          <w:rPr>
            <w:rStyle w:val="Hyperlink"/>
            <w:rFonts w:ascii="Arial" w:hAnsi="Arial" w:cs="Arial"/>
            <w:sz w:val="24"/>
            <w:szCs w:val="24"/>
          </w:rPr>
          <w:t>https://doi.org/10.19173/irrodl.v26i2.8119</w:t>
        </w:r>
      </w:hyperlink>
      <w:r w:rsidRPr="0018665E">
        <w:rPr>
          <w:rFonts w:ascii="Arial" w:hAnsi="Arial" w:cs="Arial"/>
          <w:sz w:val="24"/>
          <w:szCs w:val="24"/>
        </w:rPr>
        <w:t xml:space="preserve"> </w:t>
      </w:r>
    </w:p>
    <w:p w14:paraId="6A4BFBAA" w14:textId="08C09C5B" w:rsidR="005B3CA9" w:rsidRPr="0018665E" w:rsidRDefault="005B3CA9" w:rsidP="005B3CA9">
      <w:pPr>
        <w:spacing w:after="100" w:afterAutospacing="1" w:line="360" w:lineRule="auto"/>
        <w:jc w:val="both"/>
        <w:rPr>
          <w:rFonts w:ascii="Arial" w:hAnsi="Arial" w:cs="Arial"/>
          <w:sz w:val="24"/>
          <w:szCs w:val="24"/>
        </w:rPr>
      </w:pPr>
      <w:r w:rsidRPr="0018665E">
        <w:rPr>
          <w:rFonts w:ascii="Arial" w:hAnsi="Arial" w:cs="Arial"/>
          <w:sz w:val="24"/>
          <w:szCs w:val="24"/>
        </w:rPr>
        <w:t xml:space="preserve">Mitchell, A. and Rich, M. (2022) 'Literature reviews: what are the challenges, and how can students and new business researchers be successful?', The Electronic Journal of Business Research Methods, 20(3), pp. 99–110. Available at: </w:t>
      </w:r>
      <w:hyperlink r:id="rId32" w:history="1">
        <w:r w:rsidRPr="0018665E">
          <w:rPr>
            <w:rStyle w:val="Hyperlink"/>
            <w:rFonts w:ascii="Arial" w:hAnsi="Arial" w:cs="Arial"/>
            <w:sz w:val="24"/>
            <w:szCs w:val="24"/>
          </w:rPr>
          <w:t>https://academic-publishing.org/index.php/ejbrm/article/view/2922</w:t>
        </w:r>
      </w:hyperlink>
      <w:r w:rsidRPr="0018665E">
        <w:rPr>
          <w:rFonts w:ascii="Arial" w:hAnsi="Arial" w:cs="Arial"/>
          <w:sz w:val="24"/>
          <w:szCs w:val="24"/>
        </w:rPr>
        <w:t xml:space="preserve"> </w:t>
      </w:r>
    </w:p>
    <w:p w14:paraId="00029D6D" w14:textId="20DEC76E" w:rsidR="005B3CA9" w:rsidRPr="0018665E" w:rsidRDefault="005B3CA9" w:rsidP="005B3CA9">
      <w:pPr>
        <w:spacing w:after="100" w:afterAutospacing="1" w:line="360" w:lineRule="auto"/>
        <w:jc w:val="both"/>
        <w:rPr>
          <w:rFonts w:ascii="Arial" w:hAnsi="Arial" w:cs="Arial"/>
          <w:sz w:val="24"/>
          <w:szCs w:val="24"/>
        </w:rPr>
      </w:pPr>
      <w:r w:rsidRPr="0018665E">
        <w:rPr>
          <w:rFonts w:ascii="Arial" w:hAnsi="Arial" w:cs="Arial"/>
          <w:sz w:val="24"/>
          <w:szCs w:val="24"/>
        </w:rPr>
        <w:t xml:space="preserve">Ocampo, F.A., McIntyre, B.G., Massey, D. and Saunders, R. (2025) "Nursing student reflections on a research internship: a reflective discussion following the Gibbs' reflective cycle", Nurse Education Today, 145, 106481. Available at: </w:t>
      </w:r>
      <w:hyperlink r:id="rId33" w:history="1">
        <w:r w:rsidRPr="0018665E">
          <w:rPr>
            <w:rStyle w:val="Hyperlink"/>
            <w:rFonts w:ascii="Arial" w:hAnsi="Arial" w:cs="Arial"/>
            <w:sz w:val="24"/>
            <w:szCs w:val="24"/>
          </w:rPr>
          <w:t>https://doi.org/10.1016/j.nedt.2024.106481</w:t>
        </w:r>
      </w:hyperlink>
    </w:p>
    <w:p w14:paraId="7F5E0AF4" w14:textId="50619A51" w:rsidR="005B3CA9" w:rsidRPr="0018665E" w:rsidRDefault="005B3CA9" w:rsidP="005B3CA9">
      <w:pPr>
        <w:spacing w:after="100" w:afterAutospacing="1" w:line="360" w:lineRule="auto"/>
        <w:jc w:val="both"/>
        <w:rPr>
          <w:rFonts w:ascii="Arial" w:hAnsi="Arial" w:cs="Arial"/>
          <w:sz w:val="24"/>
          <w:szCs w:val="24"/>
        </w:rPr>
      </w:pPr>
      <w:r w:rsidRPr="0018665E">
        <w:rPr>
          <w:rFonts w:ascii="Arial" w:hAnsi="Arial" w:cs="Arial"/>
          <w:sz w:val="24"/>
          <w:szCs w:val="24"/>
        </w:rPr>
        <w:t xml:space="preserve">Zarestky, J., Bigler, M., Brazile, M., Lopes, T. and </w:t>
      </w:r>
      <w:proofErr w:type="spellStart"/>
      <w:r w:rsidRPr="0018665E">
        <w:rPr>
          <w:rFonts w:ascii="Arial" w:hAnsi="Arial" w:cs="Arial"/>
          <w:sz w:val="24"/>
          <w:szCs w:val="24"/>
        </w:rPr>
        <w:t>Bangerth</w:t>
      </w:r>
      <w:proofErr w:type="spellEnd"/>
      <w:r w:rsidRPr="0018665E">
        <w:rPr>
          <w:rFonts w:ascii="Arial" w:hAnsi="Arial" w:cs="Arial"/>
          <w:sz w:val="24"/>
          <w:szCs w:val="24"/>
        </w:rPr>
        <w:t xml:space="preserve">, W. (2022) 'Reflective writing supports metacognition and self-regulation in graduate computational science and engineering', Computers and Education Open, 3, 100085. Available at: </w:t>
      </w:r>
      <w:hyperlink r:id="rId34" w:history="1">
        <w:r w:rsidRPr="0018665E">
          <w:rPr>
            <w:rStyle w:val="Hyperlink"/>
            <w:rFonts w:ascii="Arial" w:hAnsi="Arial" w:cs="Arial"/>
            <w:sz w:val="24"/>
            <w:szCs w:val="24"/>
          </w:rPr>
          <w:t>https://doi.org/10.1016/j.caeo.2022.100085</w:t>
        </w:r>
      </w:hyperlink>
    </w:p>
    <w:p w14:paraId="55D720DC" w14:textId="3BDB1AE2" w:rsidR="005B3CA9" w:rsidRPr="0018665E" w:rsidRDefault="005B3CA9" w:rsidP="005B3CA9">
      <w:pPr>
        <w:spacing w:after="100" w:afterAutospacing="1" w:line="360" w:lineRule="auto"/>
        <w:jc w:val="both"/>
        <w:rPr>
          <w:rFonts w:ascii="Arial" w:hAnsi="Arial" w:cs="Arial"/>
          <w:sz w:val="24"/>
          <w:szCs w:val="24"/>
        </w:rPr>
      </w:pPr>
      <w:r w:rsidRPr="0018665E">
        <w:rPr>
          <w:rFonts w:ascii="Arial" w:hAnsi="Arial" w:cs="Arial"/>
          <w:sz w:val="24"/>
          <w:szCs w:val="24"/>
        </w:rPr>
        <w:lastRenderedPageBreak/>
        <w:t xml:space="preserve">Zhan, T., Wang, L., Wang, Y. and Sun, C. (2023) 'Master of nursing specialist experiences of an internship through the use of written reflections: a qualitative research study', </w:t>
      </w:r>
      <w:proofErr w:type="spellStart"/>
      <w:r w:rsidRPr="0018665E">
        <w:rPr>
          <w:rFonts w:ascii="Arial" w:hAnsi="Arial" w:cs="Arial"/>
          <w:sz w:val="24"/>
          <w:szCs w:val="24"/>
        </w:rPr>
        <w:t>Heliyon</w:t>
      </w:r>
      <w:proofErr w:type="spellEnd"/>
      <w:r w:rsidRPr="0018665E">
        <w:rPr>
          <w:rFonts w:ascii="Arial" w:hAnsi="Arial" w:cs="Arial"/>
          <w:sz w:val="24"/>
          <w:szCs w:val="24"/>
        </w:rPr>
        <w:t xml:space="preserve">, 9(2), e13299. Available at: </w:t>
      </w:r>
      <w:hyperlink r:id="rId35" w:history="1">
        <w:r w:rsidRPr="0018665E">
          <w:rPr>
            <w:rStyle w:val="Hyperlink"/>
            <w:rFonts w:ascii="Arial" w:hAnsi="Arial" w:cs="Arial"/>
            <w:sz w:val="24"/>
            <w:szCs w:val="24"/>
          </w:rPr>
          <w:t>https://doi.org/10.1016/j.heliyon.2023.e13299</w:t>
        </w:r>
      </w:hyperlink>
    </w:p>
    <w:p w14:paraId="24C7487D" w14:textId="73DD13E1" w:rsidR="005B3CA9" w:rsidRPr="0018665E" w:rsidRDefault="005B3CA9" w:rsidP="005B3CA9">
      <w:pPr>
        <w:spacing w:after="100" w:afterAutospacing="1" w:line="360" w:lineRule="auto"/>
        <w:jc w:val="both"/>
        <w:rPr>
          <w:rFonts w:ascii="Arial" w:hAnsi="Arial" w:cs="Arial"/>
          <w:sz w:val="24"/>
          <w:szCs w:val="24"/>
        </w:rPr>
      </w:pPr>
      <w:r w:rsidRPr="0018665E">
        <w:rPr>
          <w:rFonts w:ascii="Arial" w:hAnsi="Arial" w:cs="Arial"/>
          <w:sz w:val="24"/>
          <w:szCs w:val="24"/>
        </w:rPr>
        <w:t xml:space="preserve">Zhang, H., Xu, X., Lei, V.N.-L., Hong, W.C.H. and Jie, W. (2025) 'Academic writing challenges and supports for early-stage Chinese postgraduates: a mixed-methods study on teaching-research integration, supervisor engagement, and self-efficacy', PLOS ONE, 20(2), e0317470. Available at: </w:t>
      </w:r>
      <w:hyperlink r:id="rId36" w:history="1">
        <w:r w:rsidRPr="0018665E">
          <w:rPr>
            <w:rStyle w:val="Hyperlink"/>
            <w:rFonts w:ascii="Arial" w:hAnsi="Arial" w:cs="Arial"/>
            <w:sz w:val="24"/>
            <w:szCs w:val="24"/>
          </w:rPr>
          <w:t>https://doi.org/10.1371/journal.pone.0317470</w:t>
        </w:r>
      </w:hyperlink>
    </w:p>
    <w:p w14:paraId="75450B9C"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br w:type="page"/>
      </w:r>
    </w:p>
    <w:p w14:paraId="74DB6378" w14:textId="77777777" w:rsidR="00D51F63" w:rsidRPr="0018665E" w:rsidRDefault="00000000" w:rsidP="009B01BA">
      <w:pPr>
        <w:pStyle w:val="Heading1"/>
        <w:spacing w:after="100" w:afterAutospacing="1"/>
        <w:rPr>
          <w:rFonts w:ascii="Arial" w:hAnsi="Arial" w:cs="Arial"/>
          <w:color w:val="auto"/>
        </w:rPr>
      </w:pPr>
      <w:bookmarkStart w:id="46" w:name="_Toc237509213"/>
      <w:r w:rsidRPr="0018665E">
        <w:rPr>
          <w:rFonts w:ascii="Arial" w:hAnsi="Arial" w:cs="Arial"/>
          <w:color w:val="auto"/>
        </w:rPr>
        <w:lastRenderedPageBreak/>
        <w:t>Appendices</w:t>
      </w:r>
      <w:bookmarkEnd w:id="46"/>
    </w:p>
    <w:p w14:paraId="1F83DFEB"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The following appendix tables provide supporting detail for the comparative analysis presented in the main report. They are referenced from, and should be read alongside, Sections 3, 5, 6 and the reference list.</w:t>
      </w:r>
    </w:p>
    <w:p w14:paraId="2131EE73" w14:textId="5D5815C7" w:rsidR="00D51F63" w:rsidRPr="0018665E" w:rsidRDefault="00000000" w:rsidP="009B01BA">
      <w:pPr>
        <w:pStyle w:val="Heading2"/>
        <w:spacing w:after="100" w:afterAutospacing="1"/>
        <w:rPr>
          <w:rFonts w:ascii="Arial" w:hAnsi="Arial" w:cs="Arial"/>
          <w:color w:val="auto"/>
        </w:rPr>
      </w:pPr>
      <w:bookmarkStart w:id="47" w:name="_Toc237509214"/>
      <w:r w:rsidRPr="0018665E">
        <w:rPr>
          <w:rFonts w:ascii="Arial" w:hAnsi="Arial" w:cs="Arial"/>
          <w:color w:val="auto"/>
        </w:rPr>
        <w:t>Appendix A: Hofstede Cultural Dimension Scores — Germany and India</w:t>
      </w:r>
      <w:bookmarkEnd w:id="47"/>
    </w:p>
    <w:tbl>
      <w:tblPr>
        <w:tblStyle w:val="TableGrid"/>
        <w:tblW w:w="5000" w:type="pct"/>
        <w:tblLook w:val="04A0" w:firstRow="1" w:lastRow="0" w:firstColumn="1" w:lastColumn="0" w:noHBand="0" w:noVBand="1"/>
      </w:tblPr>
      <w:tblGrid>
        <w:gridCol w:w="2181"/>
        <w:gridCol w:w="1257"/>
        <w:gridCol w:w="1045"/>
        <w:gridCol w:w="1390"/>
        <w:gridCol w:w="3143"/>
      </w:tblGrid>
      <w:tr w:rsidR="00D51F63" w:rsidRPr="0018665E" w14:paraId="515693AC" w14:textId="77777777" w:rsidTr="005B3CA9">
        <w:tc>
          <w:tcPr>
            <w:tcW w:w="1259" w:type="pct"/>
          </w:tcPr>
          <w:p w14:paraId="13956E79"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b/>
                <w:bCs/>
                <w:sz w:val="24"/>
                <w:szCs w:val="24"/>
              </w:rPr>
              <w:t>Dimension</w:t>
            </w:r>
          </w:p>
        </w:tc>
        <w:tc>
          <w:tcPr>
            <w:tcW w:w="638" w:type="pct"/>
          </w:tcPr>
          <w:p w14:paraId="66BBD060"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b/>
                <w:bCs/>
                <w:sz w:val="24"/>
                <w:szCs w:val="24"/>
              </w:rPr>
              <w:t>Germany</w:t>
            </w:r>
          </w:p>
        </w:tc>
        <w:tc>
          <w:tcPr>
            <w:tcW w:w="629" w:type="pct"/>
          </w:tcPr>
          <w:p w14:paraId="4E35EA76"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b/>
                <w:bCs/>
                <w:sz w:val="24"/>
                <w:szCs w:val="24"/>
              </w:rPr>
              <w:t>India</w:t>
            </w:r>
          </w:p>
        </w:tc>
        <w:tc>
          <w:tcPr>
            <w:tcW w:w="682" w:type="pct"/>
          </w:tcPr>
          <w:p w14:paraId="057086D0"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b/>
                <w:bCs/>
                <w:sz w:val="24"/>
                <w:szCs w:val="24"/>
              </w:rPr>
              <w:t>Difference</w:t>
            </w:r>
          </w:p>
        </w:tc>
        <w:tc>
          <w:tcPr>
            <w:tcW w:w="1792" w:type="pct"/>
          </w:tcPr>
          <w:p w14:paraId="48F09A27"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b/>
                <w:bCs/>
                <w:sz w:val="24"/>
                <w:szCs w:val="24"/>
              </w:rPr>
              <w:t>Implication for Adidas</w:t>
            </w:r>
          </w:p>
        </w:tc>
      </w:tr>
      <w:tr w:rsidR="00D51F63" w:rsidRPr="0018665E" w14:paraId="1F218907" w14:textId="77777777" w:rsidTr="005B3CA9">
        <w:tc>
          <w:tcPr>
            <w:tcW w:w="1259" w:type="pct"/>
          </w:tcPr>
          <w:p w14:paraId="016C0E98"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Power Distance (PDI)</w:t>
            </w:r>
          </w:p>
        </w:tc>
        <w:tc>
          <w:tcPr>
            <w:tcW w:w="638" w:type="pct"/>
          </w:tcPr>
          <w:p w14:paraId="2978A048"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35</w:t>
            </w:r>
          </w:p>
        </w:tc>
        <w:tc>
          <w:tcPr>
            <w:tcW w:w="629" w:type="pct"/>
          </w:tcPr>
          <w:p w14:paraId="13A9B371"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77</w:t>
            </w:r>
          </w:p>
        </w:tc>
        <w:tc>
          <w:tcPr>
            <w:tcW w:w="682" w:type="pct"/>
          </w:tcPr>
          <w:p w14:paraId="7055A763"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+42 (India higher)</w:t>
            </w:r>
          </w:p>
        </w:tc>
        <w:tc>
          <w:tcPr>
            <w:tcW w:w="1792" w:type="pct"/>
          </w:tcPr>
          <w:p w14:paraId="21038567"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Supports Adidas’s reliance on local franchise partners, who are better placed to navigate hierarchical retail and family purchasing dynamics (Section 6.2)</w:t>
            </w:r>
          </w:p>
        </w:tc>
      </w:tr>
      <w:tr w:rsidR="00D51F63" w:rsidRPr="0018665E" w14:paraId="2B18F50A" w14:textId="77777777" w:rsidTr="005B3CA9">
        <w:tc>
          <w:tcPr>
            <w:tcW w:w="1259" w:type="pct"/>
          </w:tcPr>
          <w:p w14:paraId="64928564"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Individualism (IDV)</w:t>
            </w:r>
          </w:p>
        </w:tc>
        <w:tc>
          <w:tcPr>
            <w:tcW w:w="638" w:type="pct"/>
          </w:tcPr>
          <w:p w14:paraId="641441D7"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67</w:t>
            </w:r>
          </w:p>
        </w:tc>
        <w:tc>
          <w:tcPr>
            <w:tcW w:w="629" w:type="pct"/>
          </w:tcPr>
          <w:p w14:paraId="782EC040"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48</w:t>
            </w:r>
          </w:p>
        </w:tc>
        <w:tc>
          <w:tcPr>
            <w:tcW w:w="682" w:type="pct"/>
          </w:tcPr>
          <w:p w14:paraId="34924DB6"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+19 (Germany higher)</w:t>
            </w:r>
          </w:p>
        </w:tc>
        <w:tc>
          <w:tcPr>
            <w:tcW w:w="1792" w:type="pct"/>
          </w:tcPr>
          <w:p w14:paraId="6BBC1FB3"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Underpins personal-benefit product messaging in Germany versus social- and family-validated purchasing appeals in India (Section 3.1)</w:t>
            </w:r>
          </w:p>
        </w:tc>
      </w:tr>
      <w:tr w:rsidR="00D51F63" w:rsidRPr="0018665E" w14:paraId="5DAD3FFD" w14:textId="77777777" w:rsidTr="005B3CA9">
        <w:tc>
          <w:tcPr>
            <w:tcW w:w="1259" w:type="pct"/>
          </w:tcPr>
          <w:p w14:paraId="777D4065"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Masculinity (MAS)</w:t>
            </w:r>
          </w:p>
        </w:tc>
        <w:tc>
          <w:tcPr>
            <w:tcW w:w="638" w:type="pct"/>
          </w:tcPr>
          <w:p w14:paraId="1B1C52A3"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66</w:t>
            </w:r>
          </w:p>
        </w:tc>
        <w:tc>
          <w:tcPr>
            <w:tcW w:w="629" w:type="pct"/>
          </w:tcPr>
          <w:p w14:paraId="289AF914"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56</w:t>
            </w:r>
          </w:p>
        </w:tc>
        <w:tc>
          <w:tcPr>
            <w:tcW w:w="682" w:type="pct"/>
          </w:tcPr>
          <w:p w14:paraId="5C524124"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+10 (Germany higher)</w:t>
            </w:r>
          </w:p>
        </w:tc>
        <w:tc>
          <w:tcPr>
            <w:tcW w:w="1792" w:type="pct"/>
          </w:tcPr>
          <w:p w14:paraId="5A99E9DA"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Both markets respond to achievement-oriented sport marketing, though competitive/performance cues resonate more strongly in Germany</w:t>
            </w:r>
          </w:p>
        </w:tc>
      </w:tr>
      <w:tr w:rsidR="00D51F63" w:rsidRPr="0018665E" w14:paraId="5396CA45" w14:textId="77777777" w:rsidTr="005B3CA9">
        <w:tc>
          <w:tcPr>
            <w:tcW w:w="1259" w:type="pct"/>
          </w:tcPr>
          <w:p w14:paraId="5A7CA70C"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Uncertainty Avoidance (UAI)</w:t>
            </w:r>
          </w:p>
        </w:tc>
        <w:tc>
          <w:tcPr>
            <w:tcW w:w="638" w:type="pct"/>
          </w:tcPr>
          <w:p w14:paraId="7B2164E7"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65</w:t>
            </w:r>
          </w:p>
        </w:tc>
        <w:tc>
          <w:tcPr>
            <w:tcW w:w="629" w:type="pct"/>
          </w:tcPr>
          <w:p w14:paraId="4B28E130"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40</w:t>
            </w:r>
          </w:p>
        </w:tc>
        <w:tc>
          <w:tcPr>
            <w:tcW w:w="682" w:type="pct"/>
          </w:tcPr>
          <w:p w14:paraId="7A53BE3C"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+25 (Germany higher)</w:t>
            </w:r>
          </w:p>
        </w:tc>
        <w:tc>
          <w:tcPr>
            <w:tcW w:w="1792" w:type="pct"/>
          </w:tcPr>
          <w:p w14:paraId="79B5EECB"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Reinforces quality-verification and durability messaging in Germany; supports greater openness to novel formats and impulse purchasing in India (Section 3.2)</w:t>
            </w:r>
          </w:p>
        </w:tc>
      </w:tr>
      <w:tr w:rsidR="00D51F63" w:rsidRPr="0018665E" w14:paraId="4F2C9B13" w14:textId="77777777" w:rsidTr="005B3CA9">
        <w:tc>
          <w:tcPr>
            <w:tcW w:w="1259" w:type="pct"/>
          </w:tcPr>
          <w:p w14:paraId="5ADAA1E4"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lastRenderedPageBreak/>
              <w:t>Long-Term Orientation (LTO)</w:t>
            </w:r>
          </w:p>
        </w:tc>
        <w:tc>
          <w:tcPr>
            <w:tcW w:w="638" w:type="pct"/>
          </w:tcPr>
          <w:p w14:paraId="10818617"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83</w:t>
            </w:r>
          </w:p>
        </w:tc>
        <w:tc>
          <w:tcPr>
            <w:tcW w:w="629" w:type="pct"/>
          </w:tcPr>
          <w:p w14:paraId="5401E729"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51</w:t>
            </w:r>
          </w:p>
        </w:tc>
        <w:tc>
          <w:tcPr>
            <w:tcW w:w="682" w:type="pct"/>
          </w:tcPr>
          <w:p w14:paraId="680E02AF"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+32 (Germany higher)</w:t>
            </w:r>
          </w:p>
        </w:tc>
        <w:tc>
          <w:tcPr>
            <w:tcW w:w="1792" w:type="pct"/>
          </w:tcPr>
          <w:p w14:paraId="7C89D7E6"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Aligns with durability-focused positioning in Germany versus more immediate, aspirational campaign framing in India</w:t>
            </w:r>
          </w:p>
        </w:tc>
      </w:tr>
      <w:tr w:rsidR="00D51F63" w:rsidRPr="0018665E" w14:paraId="6C52B0B4" w14:textId="77777777" w:rsidTr="005B3CA9">
        <w:tc>
          <w:tcPr>
            <w:tcW w:w="1259" w:type="pct"/>
          </w:tcPr>
          <w:p w14:paraId="7D45FFF1"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Indulgence (IVR)</w:t>
            </w:r>
          </w:p>
        </w:tc>
        <w:tc>
          <w:tcPr>
            <w:tcW w:w="638" w:type="pct"/>
          </w:tcPr>
          <w:p w14:paraId="0178AACE"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40</w:t>
            </w:r>
          </w:p>
        </w:tc>
        <w:tc>
          <w:tcPr>
            <w:tcW w:w="629" w:type="pct"/>
          </w:tcPr>
          <w:p w14:paraId="0D3D43D5"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26</w:t>
            </w:r>
          </w:p>
        </w:tc>
        <w:tc>
          <w:tcPr>
            <w:tcW w:w="682" w:type="pct"/>
          </w:tcPr>
          <w:p w14:paraId="025FEF31"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+14 (Germany higher)</w:t>
            </w:r>
          </w:p>
        </w:tc>
        <w:tc>
          <w:tcPr>
            <w:tcW w:w="1792" w:type="pct"/>
          </w:tcPr>
          <w:p w14:paraId="3567DB3E"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Both markets are comparatively restrained; this dimension offers limited standalone differentiation for campaign design</w:t>
            </w:r>
          </w:p>
        </w:tc>
      </w:tr>
    </w:tbl>
    <w:p w14:paraId="5DF9BB10" w14:textId="0513C91E" w:rsidR="00D51F63" w:rsidRPr="0018665E" w:rsidRDefault="00000000" w:rsidP="009B01BA">
      <w:pPr>
        <w:pStyle w:val="Heading2"/>
        <w:spacing w:after="100" w:afterAutospacing="1"/>
        <w:rPr>
          <w:rFonts w:ascii="Arial" w:hAnsi="Arial" w:cs="Arial"/>
          <w:color w:val="auto"/>
        </w:rPr>
      </w:pPr>
      <w:bookmarkStart w:id="48" w:name="_Toc237509215"/>
      <w:r w:rsidRPr="0018665E">
        <w:rPr>
          <w:rFonts w:ascii="Arial" w:hAnsi="Arial" w:cs="Arial"/>
          <w:color w:val="auto"/>
        </w:rPr>
        <w:t>Appendix B: International Entry Mode Comparison</w:t>
      </w:r>
      <w:bookmarkEnd w:id="48"/>
      <w:r w:rsidRPr="0018665E">
        <w:rPr>
          <w:rFonts w:ascii="Arial" w:hAnsi="Arial" w:cs="Arial"/>
          <w:color w:val="auto"/>
        </w:rPr>
        <w:t xml:space="preserve"> </w:t>
      </w:r>
    </w:p>
    <w:tbl>
      <w:tblPr>
        <w:tblStyle w:val="TableGrid"/>
        <w:tblW w:w="5000" w:type="pct"/>
        <w:tblLook w:val="04A0" w:firstRow="1" w:lastRow="0" w:firstColumn="1" w:lastColumn="0" w:noHBand="0" w:noVBand="1"/>
      </w:tblPr>
      <w:tblGrid>
        <w:gridCol w:w="1602"/>
        <w:gridCol w:w="1550"/>
        <w:gridCol w:w="2275"/>
        <w:gridCol w:w="1411"/>
        <w:gridCol w:w="2178"/>
      </w:tblGrid>
      <w:tr w:rsidR="00D51F63" w:rsidRPr="0018665E" w14:paraId="1C6E80C7" w14:textId="77777777" w:rsidTr="005B3CA9">
        <w:tc>
          <w:tcPr>
            <w:tcW w:w="904" w:type="pct"/>
          </w:tcPr>
          <w:p w14:paraId="508A31B9"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b/>
                <w:bCs/>
                <w:sz w:val="24"/>
                <w:szCs w:val="24"/>
              </w:rPr>
              <w:t>Entry Mode</w:t>
            </w:r>
          </w:p>
        </w:tc>
        <w:tc>
          <w:tcPr>
            <w:tcW w:w="798" w:type="pct"/>
          </w:tcPr>
          <w:p w14:paraId="60A26909"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b/>
                <w:bCs/>
                <w:sz w:val="24"/>
                <w:szCs w:val="24"/>
              </w:rPr>
              <w:t>Operational Control</w:t>
            </w:r>
          </w:p>
        </w:tc>
        <w:tc>
          <w:tcPr>
            <w:tcW w:w="1277" w:type="pct"/>
          </w:tcPr>
          <w:p w14:paraId="51A46E83"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b/>
                <w:bCs/>
                <w:sz w:val="24"/>
                <w:szCs w:val="24"/>
              </w:rPr>
              <w:t>Risk and Capital Exposure</w:t>
            </w:r>
          </w:p>
        </w:tc>
        <w:tc>
          <w:tcPr>
            <w:tcW w:w="798" w:type="pct"/>
          </w:tcPr>
          <w:p w14:paraId="2C30752D"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b/>
                <w:bCs/>
                <w:sz w:val="24"/>
                <w:szCs w:val="24"/>
              </w:rPr>
              <w:t>Speed to Market</w:t>
            </w:r>
          </w:p>
        </w:tc>
        <w:tc>
          <w:tcPr>
            <w:tcW w:w="1223" w:type="pct"/>
          </w:tcPr>
          <w:p w14:paraId="5A0C142A"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b/>
                <w:bCs/>
                <w:sz w:val="24"/>
                <w:szCs w:val="24"/>
              </w:rPr>
              <w:t>Relevance to Adidas in India</w:t>
            </w:r>
          </w:p>
        </w:tc>
      </w:tr>
      <w:tr w:rsidR="00D51F63" w:rsidRPr="0018665E" w14:paraId="1B99CCA6" w14:textId="77777777" w:rsidTr="005B3CA9">
        <w:tc>
          <w:tcPr>
            <w:tcW w:w="904" w:type="pct"/>
          </w:tcPr>
          <w:p w14:paraId="564F0CE3"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Exporting</w:t>
            </w:r>
          </w:p>
        </w:tc>
        <w:tc>
          <w:tcPr>
            <w:tcW w:w="798" w:type="pct"/>
          </w:tcPr>
          <w:p w14:paraId="31AE3BF4"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Low</w:t>
            </w:r>
          </w:p>
        </w:tc>
        <w:tc>
          <w:tcPr>
            <w:tcW w:w="1277" w:type="pct"/>
          </w:tcPr>
          <w:p w14:paraId="043ED12B"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Low risk; low capital commitment</w:t>
            </w:r>
          </w:p>
        </w:tc>
        <w:tc>
          <w:tcPr>
            <w:tcW w:w="798" w:type="pct"/>
          </w:tcPr>
          <w:p w14:paraId="78EB03B5"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Fast</w:t>
            </w:r>
          </w:p>
        </w:tc>
        <w:tc>
          <w:tcPr>
            <w:tcW w:w="1223" w:type="pct"/>
          </w:tcPr>
          <w:p w14:paraId="6AFA3395"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Limited relevance given the need for embedded local retail presence</w:t>
            </w:r>
          </w:p>
        </w:tc>
      </w:tr>
      <w:tr w:rsidR="00D51F63" w:rsidRPr="0018665E" w14:paraId="1099B27B" w14:textId="77777777" w:rsidTr="005B3CA9">
        <w:tc>
          <w:tcPr>
            <w:tcW w:w="904" w:type="pct"/>
          </w:tcPr>
          <w:p w14:paraId="764CB6F8"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Licensing</w:t>
            </w:r>
          </w:p>
        </w:tc>
        <w:tc>
          <w:tcPr>
            <w:tcW w:w="798" w:type="pct"/>
          </w:tcPr>
          <w:p w14:paraId="781450E9"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Low to moderate</w:t>
            </w:r>
          </w:p>
        </w:tc>
        <w:tc>
          <w:tcPr>
            <w:tcW w:w="1277" w:type="pct"/>
          </w:tcPr>
          <w:p w14:paraId="3E70EE8F"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Low to moderate risk; low capital commitment</w:t>
            </w:r>
          </w:p>
        </w:tc>
        <w:tc>
          <w:tcPr>
            <w:tcW w:w="798" w:type="pct"/>
          </w:tcPr>
          <w:p w14:paraId="0D7CBDCB"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Fast</w:t>
            </w:r>
          </w:p>
        </w:tc>
        <w:tc>
          <w:tcPr>
            <w:tcW w:w="1223" w:type="pct"/>
          </w:tcPr>
          <w:p w14:paraId="0589C00F"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Used selectively for peripheral, non-core product categories</w:t>
            </w:r>
          </w:p>
        </w:tc>
      </w:tr>
      <w:tr w:rsidR="00D51F63" w:rsidRPr="0018665E" w14:paraId="1E26E0AB" w14:textId="77777777" w:rsidTr="005B3CA9">
        <w:tc>
          <w:tcPr>
            <w:tcW w:w="904" w:type="pct"/>
          </w:tcPr>
          <w:p w14:paraId="7360C08B"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Franchising</w:t>
            </w:r>
          </w:p>
        </w:tc>
        <w:tc>
          <w:tcPr>
            <w:tcW w:w="798" w:type="pct"/>
          </w:tcPr>
          <w:p w14:paraId="61C7869C"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Moderate</w:t>
            </w:r>
          </w:p>
        </w:tc>
        <w:tc>
          <w:tcPr>
            <w:tcW w:w="1277" w:type="pct"/>
          </w:tcPr>
          <w:p w14:paraId="3E840116"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Moderate risk; moderate capital commitment</w:t>
            </w:r>
          </w:p>
        </w:tc>
        <w:tc>
          <w:tcPr>
            <w:tcW w:w="798" w:type="pct"/>
          </w:tcPr>
          <w:p w14:paraId="692A90D7"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Fast</w:t>
            </w:r>
          </w:p>
        </w:tc>
        <w:tc>
          <w:tcPr>
            <w:tcW w:w="1223" w:type="pct"/>
          </w:tcPr>
          <w:p w14:paraId="21037EDE"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Adidas’s chosen approach; balances geographic coverage with local retail expertise (Section 6.2)</w:t>
            </w:r>
          </w:p>
        </w:tc>
      </w:tr>
      <w:tr w:rsidR="00D51F63" w:rsidRPr="0018665E" w14:paraId="0313A094" w14:textId="77777777" w:rsidTr="005B3CA9">
        <w:tc>
          <w:tcPr>
            <w:tcW w:w="904" w:type="pct"/>
          </w:tcPr>
          <w:p w14:paraId="5485C7AD"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Joint Venture</w:t>
            </w:r>
          </w:p>
        </w:tc>
        <w:tc>
          <w:tcPr>
            <w:tcW w:w="798" w:type="pct"/>
          </w:tcPr>
          <w:p w14:paraId="2B4A2399"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Moderate to high (shared)</w:t>
            </w:r>
          </w:p>
        </w:tc>
        <w:tc>
          <w:tcPr>
            <w:tcW w:w="1277" w:type="pct"/>
          </w:tcPr>
          <w:p w14:paraId="56445FB3"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Shared risk; moderate to high capital commitment</w:t>
            </w:r>
          </w:p>
        </w:tc>
        <w:tc>
          <w:tcPr>
            <w:tcW w:w="798" w:type="pct"/>
          </w:tcPr>
          <w:p w14:paraId="18183BEF"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Moderate</w:t>
            </w:r>
          </w:p>
        </w:tc>
        <w:tc>
          <w:tcPr>
            <w:tcW w:w="1223" w:type="pct"/>
          </w:tcPr>
          <w:p w14:paraId="74BFF47F"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Alternative mode offering shared resource </w:t>
            </w:r>
            <w:r w:rsidRPr="0018665E">
              <w:rPr>
                <w:rFonts w:ascii="Arial" w:hAnsi="Arial" w:cs="Arial"/>
                <w:sz w:val="24"/>
                <w:szCs w:val="24"/>
              </w:rPr>
              <w:lastRenderedPageBreak/>
              <w:t>exposure, contingent on structural and social governance mechanisms (Ali et al., 2021)</w:t>
            </w:r>
          </w:p>
        </w:tc>
      </w:tr>
      <w:tr w:rsidR="00D51F63" w:rsidRPr="0018665E" w14:paraId="5B8F688D" w14:textId="77777777" w:rsidTr="005B3CA9">
        <w:tc>
          <w:tcPr>
            <w:tcW w:w="904" w:type="pct"/>
          </w:tcPr>
          <w:p w14:paraId="23040BBC"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Wholly Owned Subsidiary</w:t>
            </w:r>
          </w:p>
        </w:tc>
        <w:tc>
          <w:tcPr>
            <w:tcW w:w="798" w:type="pct"/>
          </w:tcPr>
          <w:p w14:paraId="6D42E717"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High</w:t>
            </w:r>
          </w:p>
        </w:tc>
        <w:tc>
          <w:tcPr>
            <w:tcW w:w="1277" w:type="pct"/>
          </w:tcPr>
          <w:p w14:paraId="3AA84C40"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High risk; high capital commitment</w:t>
            </w:r>
          </w:p>
        </w:tc>
        <w:tc>
          <w:tcPr>
            <w:tcW w:w="798" w:type="pct"/>
          </w:tcPr>
          <w:p w14:paraId="6582067E"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Slow</w:t>
            </w:r>
          </w:p>
        </w:tc>
        <w:tc>
          <w:tcPr>
            <w:tcW w:w="1223" w:type="pct"/>
          </w:tcPr>
          <w:p w14:paraId="48400868"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Reserved in practice for flagship metropolitan operations requiring full brand control</w:t>
            </w:r>
          </w:p>
        </w:tc>
      </w:tr>
    </w:tbl>
    <w:p w14:paraId="11F9F1E7" w14:textId="0AE5645F" w:rsidR="00D51F63" w:rsidRPr="0018665E" w:rsidRDefault="00000000" w:rsidP="009B01BA">
      <w:pPr>
        <w:pStyle w:val="Heading2"/>
        <w:spacing w:after="100" w:afterAutospacing="1"/>
        <w:rPr>
          <w:rFonts w:ascii="Arial" w:hAnsi="Arial" w:cs="Arial"/>
          <w:color w:val="auto"/>
        </w:rPr>
      </w:pPr>
      <w:bookmarkStart w:id="49" w:name="_Toc237509216"/>
      <w:r w:rsidRPr="0018665E">
        <w:rPr>
          <w:rFonts w:ascii="Arial" w:hAnsi="Arial" w:cs="Arial"/>
          <w:color w:val="auto"/>
        </w:rPr>
        <w:t>Appendix C: Segmentation, Targeting and Positioning (STP)</w:t>
      </w:r>
      <w:bookmarkEnd w:id="49"/>
      <w:r w:rsidRPr="0018665E">
        <w:rPr>
          <w:rFonts w:ascii="Arial" w:hAnsi="Arial" w:cs="Arial"/>
          <w:color w:val="auto"/>
        </w:rPr>
        <w:t xml:space="preserve"> </w:t>
      </w:r>
    </w:p>
    <w:tbl>
      <w:tblPr>
        <w:tblStyle w:val="TableGrid"/>
        <w:tblW w:w="5000" w:type="pct"/>
        <w:tblLook w:val="04A0" w:firstRow="1" w:lastRow="0" w:firstColumn="1" w:lastColumn="0" w:noHBand="0" w:noVBand="1"/>
      </w:tblPr>
      <w:tblGrid>
        <w:gridCol w:w="2110"/>
        <w:gridCol w:w="3453"/>
        <w:gridCol w:w="3453"/>
      </w:tblGrid>
      <w:tr w:rsidR="00D51F63" w:rsidRPr="0018665E" w14:paraId="2E68E5E2" w14:textId="77777777" w:rsidTr="005B3CA9">
        <w:tc>
          <w:tcPr>
            <w:tcW w:w="1170" w:type="pct"/>
          </w:tcPr>
          <w:p w14:paraId="3CC1E80F"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b/>
                <w:bCs/>
                <w:sz w:val="24"/>
                <w:szCs w:val="24"/>
              </w:rPr>
              <w:t>STP Element</w:t>
            </w:r>
          </w:p>
        </w:tc>
        <w:tc>
          <w:tcPr>
            <w:tcW w:w="1915" w:type="pct"/>
          </w:tcPr>
          <w:p w14:paraId="75F069AD"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b/>
                <w:bCs/>
                <w:sz w:val="24"/>
                <w:szCs w:val="24"/>
              </w:rPr>
              <w:t>Germany (Home)</w:t>
            </w:r>
          </w:p>
        </w:tc>
        <w:tc>
          <w:tcPr>
            <w:tcW w:w="1915" w:type="pct"/>
          </w:tcPr>
          <w:p w14:paraId="23131712"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b/>
                <w:bCs/>
                <w:sz w:val="24"/>
                <w:szCs w:val="24"/>
              </w:rPr>
              <w:t>India (Host)</w:t>
            </w:r>
          </w:p>
        </w:tc>
      </w:tr>
      <w:tr w:rsidR="00D51F63" w:rsidRPr="0018665E" w14:paraId="69206882" w14:textId="77777777" w:rsidTr="005B3CA9">
        <w:tc>
          <w:tcPr>
            <w:tcW w:w="1170" w:type="pct"/>
          </w:tcPr>
          <w:p w14:paraId="0947C880"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Segmentation basis</w:t>
            </w:r>
          </w:p>
        </w:tc>
        <w:tc>
          <w:tcPr>
            <w:tcW w:w="1915" w:type="pct"/>
          </w:tcPr>
          <w:p w14:paraId="21E38F39"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Performance need and lifestyle affiliation</w:t>
            </w:r>
          </w:p>
        </w:tc>
        <w:tc>
          <w:tcPr>
            <w:tcW w:w="1915" w:type="pct"/>
          </w:tcPr>
          <w:p w14:paraId="31FA4471"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Region, language, income tier, and metropolitan versus Tier-2/Tier-3 urban status</w:t>
            </w:r>
          </w:p>
        </w:tc>
      </w:tr>
      <w:tr w:rsidR="00D51F63" w:rsidRPr="0018665E" w14:paraId="69B52C78" w14:textId="77777777" w:rsidTr="005B3CA9">
        <w:tc>
          <w:tcPr>
            <w:tcW w:w="1170" w:type="pct"/>
          </w:tcPr>
          <w:p w14:paraId="1B562BAE"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Primary segments</w:t>
            </w:r>
          </w:p>
        </w:tc>
        <w:tc>
          <w:tcPr>
            <w:tcW w:w="1915" w:type="pct"/>
          </w:tcPr>
          <w:p w14:paraId="53D66DA1"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Serious performance athletes; casual and fashion-driven athleisure consumers</w:t>
            </w:r>
          </w:p>
        </w:tc>
        <w:tc>
          <w:tcPr>
            <w:tcW w:w="1915" w:type="pct"/>
          </w:tcPr>
          <w:p w14:paraId="643894E6"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Premium metropolitan consumers; broader Tier-2/Tier-3 aspirational consumers</w:t>
            </w:r>
          </w:p>
        </w:tc>
      </w:tr>
      <w:tr w:rsidR="00D51F63" w:rsidRPr="0018665E" w14:paraId="196986CF" w14:textId="77777777" w:rsidTr="005B3CA9">
        <w:tc>
          <w:tcPr>
            <w:tcW w:w="1170" w:type="pct"/>
          </w:tcPr>
          <w:p w14:paraId="6677ED87"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Target group profile</w:t>
            </w:r>
          </w:p>
        </w:tc>
        <w:tc>
          <w:tcPr>
            <w:tcW w:w="1915" w:type="pct"/>
          </w:tcPr>
          <w:p w14:paraId="21E05080"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Established performance-sport participants and style-conscious urban professionals</w:t>
            </w:r>
          </w:p>
        </w:tc>
        <w:tc>
          <w:tcPr>
            <w:tcW w:w="1915" w:type="pct"/>
          </w:tcPr>
          <w:p w14:paraId="357D0D07"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Urban millennials and Generation Z consumers engaged with fitness culture and digital content</w:t>
            </w:r>
          </w:p>
        </w:tc>
      </w:tr>
      <w:tr w:rsidR="00D51F63" w:rsidRPr="0018665E" w14:paraId="2DDBF910" w14:textId="77777777" w:rsidTr="005B3CA9">
        <w:tc>
          <w:tcPr>
            <w:tcW w:w="1170" w:type="pct"/>
          </w:tcPr>
          <w:p w14:paraId="00656EB2"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Market size dynamic</w:t>
            </w:r>
          </w:p>
        </w:tc>
        <w:tc>
          <w:tcPr>
            <w:tcW w:w="1915" w:type="pct"/>
          </w:tcPr>
          <w:p w14:paraId="4E545EAE"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Stable, moderately sized target group</w:t>
            </w:r>
          </w:p>
        </w:tc>
        <w:tc>
          <w:tcPr>
            <w:tcW w:w="1915" w:type="pct"/>
          </w:tcPr>
          <w:p w14:paraId="15C12603"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Large and expanding target population, reflecting India’s demographic dividend</w:t>
            </w:r>
          </w:p>
        </w:tc>
      </w:tr>
      <w:tr w:rsidR="00D51F63" w:rsidRPr="0018665E" w14:paraId="10A2AA17" w14:textId="77777777" w:rsidTr="005B3CA9">
        <w:tc>
          <w:tcPr>
            <w:tcW w:w="1170" w:type="pct"/>
          </w:tcPr>
          <w:p w14:paraId="6AEEA896"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Positioning statement</w:t>
            </w:r>
          </w:p>
        </w:tc>
        <w:tc>
          <w:tcPr>
            <w:tcW w:w="1915" w:type="pct"/>
          </w:tcPr>
          <w:p w14:paraId="60C67129"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Domestically rooted engineering and design authority</w:t>
            </w:r>
          </w:p>
        </w:tc>
        <w:tc>
          <w:tcPr>
            <w:tcW w:w="1915" w:type="pct"/>
          </w:tcPr>
          <w:p w14:paraId="37F016AD"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Aspirational global brand associated with international sporting culture</w:t>
            </w:r>
          </w:p>
        </w:tc>
      </w:tr>
      <w:tr w:rsidR="00D51F63" w:rsidRPr="0018665E" w14:paraId="6F4F0A64" w14:textId="77777777" w:rsidTr="005B3CA9">
        <w:tc>
          <w:tcPr>
            <w:tcW w:w="1170" w:type="pct"/>
          </w:tcPr>
          <w:p w14:paraId="4B63F385"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lastRenderedPageBreak/>
              <w:t>Positioning basis</w:t>
            </w:r>
          </w:p>
        </w:tc>
        <w:tc>
          <w:tcPr>
            <w:tcW w:w="1915" w:type="pct"/>
          </w:tcPr>
          <w:p w14:paraId="548213E0"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German country-of-origin cues of precision and reliability (Wang et al., 2022)</w:t>
            </w:r>
          </w:p>
        </w:tc>
        <w:tc>
          <w:tcPr>
            <w:tcW w:w="1915" w:type="pct"/>
          </w:tcPr>
          <w:p w14:paraId="1D415B0F" w14:textId="2DBB97A2"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Youth lifestyle relevance and global sporting association, with German origin </w:t>
            </w:r>
            <w:r w:rsidR="00470A49" w:rsidRPr="0018665E">
              <w:rPr>
                <w:rFonts w:ascii="Arial" w:hAnsi="Arial" w:cs="Arial"/>
                <w:sz w:val="24"/>
                <w:szCs w:val="24"/>
              </w:rPr>
              <w:t>de-emphasized</w:t>
            </w:r>
          </w:p>
        </w:tc>
      </w:tr>
    </w:tbl>
    <w:p w14:paraId="4D30C6AD" w14:textId="08681B27" w:rsidR="00D51F63" w:rsidRPr="0018665E" w:rsidRDefault="00000000" w:rsidP="009B01BA">
      <w:pPr>
        <w:pStyle w:val="Heading2"/>
        <w:spacing w:after="100" w:afterAutospacing="1"/>
        <w:rPr>
          <w:rFonts w:ascii="Arial" w:hAnsi="Arial" w:cs="Arial"/>
          <w:color w:val="auto"/>
        </w:rPr>
      </w:pPr>
      <w:bookmarkStart w:id="50" w:name="_Toc237509217"/>
      <w:r w:rsidRPr="0018665E">
        <w:rPr>
          <w:rFonts w:ascii="Arial" w:hAnsi="Arial" w:cs="Arial"/>
          <w:color w:val="auto"/>
        </w:rPr>
        <w:t xml:space="preserve">Appendix D: 7Ps </w:t>
      </w:r>
      <w:r w:rsidR="00470A49" w:rsidRPr="0018665E">
        <w:rPr>
          <w:rFonts w:ascii="Arial" w:hAnsi="Arial" w:cs="Arial"/>
          <w:color w:val="auto"/>
        </w:rPr>
        <w:t>Standardization</w:t>
      </w:r>
      <w:r w:rsidRPr="0018665E">
        <w:rPr>
          <w:rFonts w:ascii="Arial" w:hAnsi="Arial" w:cs="Arial"/>
          <w:color w:val="auto"/>
        </w:rPr>
        <w:t>–Adaptation Rationale</w:t>
      </w:r>
      <w:bookmarkEnd w:id="50"/>
    </w:p>
    <w:tbl>
      <w:tblPr>
        <w:tblStyle w:val="TableGrid"/>
        <w:tblW w:w="5000" w:type="pct"/>
        <w:tblLook w:val="04A0" w:firstRow="1" w:lastRow="0" w:firstColumn="1" w:lastColumn="0" w:noHBand="0" w:noVBand="1"/>
      </w:tblPr>
      <w:tblGrid>
        <w:gridCol w:w="1726"/>
        <w:gridCol w:w="1823"/>
        <w:gridCol w:w="5467"/>
      </w:tblGrid>
      <w:tr w:rsidR="00D51F63" w:rsidRPr="0018665E" w14:paraId="73057136" w14:textId="77777777" w:rsidTr="005B3CA9">
        <w:tc>
          <w:tcPr>
            <w:tcW w:w="957" w:type="pct"/>
          </w:tcPr>
          <w:p w14:paraId="6342B403"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b/>
                <w:bCs/>
                <w:sz w:val="24"/>
                <w:szCs w:val="24"/>
              </w:rPr>
              <w:t>Marketing Mix Element</w:t>
            </w:r>
          </w:p>
        </w:tc>
        <w:tc>
          <w:tcPr>
            <w:tcW w:w="1011" w:type="pct"/>
          </w:tcPr>
          <w:p w14:paraId="1100B6C7"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b/>
                <w:bCs/>
                <w:sz w:val="24"/>
                <w:szCs w:val="24"/>
              </w:rPr>
              <w:t>Degree of Adaptation</w:t>
            </w:r>
          </w:p>
        </w:tc>
        <w:tc>
          <w:tcPr>
            <w:tcW w:w="3032" w:type="pct"/>
          </w:tcPr>
          <w:p w14:paraId="6370A20B"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b/>
                <w:bCs/>
                <w:sz w:val="24"/>
                <w:szCs w:val="24"/>
              </w:rPr>
              <w:t>Supporting Rationale</w:t>
            </w:r>
          </w:p>
        </w:tc>
      </w:tr>
      <w:tr w:rsidR="00D51F63" w:rsidRPr="0018665E" w14:paraId="552B0F51" w14:textId="77777777" w:rsidTr="005B3CA9">
        <w:tc>
          <w:tcPr>
            <w:tcW w:w="957" w:type="pct"/>
          </w:tcPr>
          <w:p w14:paraId="32D51011"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Product</w:t>
            </w:r>
          </w:p>
        </w:tc>
        <w:tc>
          <w:tcPr>
            <w:tcW w:w="1011" w:type="pct"/>
          </w:tcPr>
          <w:p w14:paraId="32D621EF"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Low to moderate</w:t>
            </w:r>
          </w:p>
        </w:tc>
        <w:tc>
          <w:tcPr>
            <w:tcW w:w="3032" w:type="pct"/>
          </w:tcPr>
          <w:p w14:paraId="5BE0ABC8" w14:textId="12EE577F"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Core technical product lines are </w:t>
            </w:r>
            <w:proofErr w:type="spellStart"/>
            <w:r w:rsidRPr="0018665E">
              <w:rPr>
                <w:rFonts w:ascii="Arial" w:hAnsi="Arial" w:cs="Arial"/>
                <w:sz w:val="24"/>
                <w:szCs w:val="24"/>
              </w:rPr>
              <w:t>standardised</w:t>
            </w:r>
            <w:proofErr w:type="spellEnd"/>
            <w:r w:rsidRPr="0018665E">
              <w:rPr>
                <w:rFonts w:ascii="Arial" w:hAnsi="Arial" w:cs="Arial"/>
                <w:sz w:val="24"/>
                <w:szCs w:val="24"/>
              </w:rPr>
              <w:t xml:space="preserve"> for brand consistency, while peripheral features are adapted for India, consistent with hybrid strategies identified by James, Inyang and Eze (2024)</w:t>
            </w:r>
          </w:p>
        </w:tc>
      </w:tr>
      <w:tr w:rsidR="00D51F63" w:rsidRPr="0018665E" w14:paraId="14FF451E" w14:textId="77777777" w:rsidTr="005B3CA9">
        <w:tc>
          <w:tcPr>
            <w:tcW w:w="957" w:type="pct"/>
          </w:tcPr>
          <w:p w14:paraId="6FF77356"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Price</w:t>
            </w:r>
          </w:p>
        </w:tc>
        <w:tc>
          <w:tcPr>
            <w:tcW w:w="1011" w:type="pct"/>
          </w:tcPr>
          <w:p w14:paraId="03108D14"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High</w:t>
            </w:r>
          </w:p>
        </w:tc>
        <w:tc>
          <w:tcPr>
            <w:tcW w:w="3032" w:type="pct"/>
          </w:tcPr>
          <w:p w14:paraId="2D00DBDC"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Broad tiered pricing is required in India to reach price-elastic segments without excluding lower-income consumers, whereas Germany sustains stable premium pricing (James, Inyang and Eze, 2024)</w:t>
            </w:r>
          </w:p>
        </w:tc>
      </w:tr>
      <w:tr w:rsidR="00D51F63" w:rsidRPr="0018665E" w14:paraId="2D4E8223" w14:textId="77777777" w:rsidTr="005B3CA9">
        <w:tc>
          <w:tcPr>
            <w:tcW w:w="957" w:type="pct"/>
          </w:tcPr>
          <w:p w14:paraId="200B513D"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Place</w:t>
            </w:r>
          </w:p>
        </w:tc>
        <w:tc>
          <w:tcPr>
            <w:tcW w:w="1011" w:type="pct"/>
          </w:tcPr>
          <w:p w14:paraId="6D38539E"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High</w:t>
            </w:r>
          </w:p>
        </w:tc>
        <w:tc>
          <w:tcPr>
            <w:tcW w:w="3032" w:type="pct"/>
          </w:tcPr>
          <w:p w14:paraId="24ECD906"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Franchise-led distribution extends coverage into Tier-2/Tier-3 Indian cities at lower capital exposure than Germany’s owned-store and wholesale model (Ali et al., 2021)</w:t>
            </w:r>
          </w:p>
        </w:tc>
      </w:tr>
      <w:tr w:rsidR="00D51F63" w:rsidRPr="0018665E" w14:paraId="503CF9CB" w14:textId="77777777" w:rsidTr="005B3CA9">
        <w:tc>
          <w:tcPr>
            <w:tcW w:w="957" w:type="pct"/>
          </w:tcPr>
          <w:p w14:paraId="37E35314"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Promotion</w:t>
            </w:r>
          </w:p>
        </w:tc>
        <w:tc>
          <w:tcPr>
            <w:tcW w:w="1011" w:type="pct"/>
          </w:tcPr>
          <w:p w14:paraId="26F7025B"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High</w:t>
            </w:r>
          </w:p>
        </w:tc>
        <w:tc>
          <w:tcPr>
            <w:tcW w:w="3032" w:type="pct"/>
          </w:tcPr>
          <w:p w14:paraId="6D221999"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Promotion shifts from engineering-led storytelling in Germany to influencer-, athlete- and cricket-linked campaigns in India, reflecting divergent cognitive and affective consumer pathways (Bonfanti and </w:t>
            </w:r>
            <w:proofErr w:type="spellStart"/>
            <w:r w:rsidRPr="0018665E">
              <w:rPr>
                <w:rFonts w:ascii="Arial" w:hAnsi="Arial" w:cs="Arial"/>
                <w:sz w:val="24"/>
                <w:szCs w:val="24"/>
              </w:rPr>
              <w:t>Yfantidou</w:t>
            </w:r>
            <w:proofErr w:type="spellEnd"/>
            <w:r w:rsidRPr="0018665E">
              <w:rPr>
                <w:rFonts w:ascii="Arial" w:hAnsi="Arial" w:cs="Arial"/>
                <w:sz w:val="24"/>
                <w:szCs w:val="24"/>
              </w:rPr>
              <w:t>, 2021)</w:t>
            </w:r>
          </w:p>
        </w:tc>
      </w:tr>
      <w:tr w:rsidR="00D51F63" w:rsidRPr="0018665E" w14:paraId="2BC9CFB8" w14:textId="77777777" w:rsidTr="005B3CA9">
        <w:tc>
          <w:tcPr>
            <w:tcW w:w="957" w:type="pct"/>
          </w:tcPr>
          <w:p w14:paraId="4E47BA49"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People</w:t>
            </w:r>
          </w:p>
        </w:tc>
        <w:tc>
          <w:tcPr>
            <w:tcW w:w="1011" w:type="pct"/>
          </w:tcPr>
          <w:p w14:paraId="30C25EAF"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Moderate to high</w:t>
            </w:r>
          </w:p>
        </w:tc>
        <w:tc>
          <w:tcPr>
            <w:tcW w:w="3032" w:type="pct"/>
          </w:tcPr>
          <w:p w14:paraId="2BB72316"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Frontline franchise staff training in India is adapted to regional service expectations, reflecting cross-cultural differences in customer engagement </w:t>
            </w:r>
            <w:proofErr w:type="spellStart"/>
            <w:r w:rsidRPr="0018665E">
              <w:rPr>
                <w:rFonts w:ascii="Arial" w:hAnsi="Arial" w:cs="Arial"/>
                <w:sz w:val="24"/>
                <w:szCs w:val="24"/>
              </w:rPr>
              <w:t>behaviour</w:t>
            </w:r>
            <w:proofErr w:type="spellEnd"/>
            <w:r w:rsidRPr="0018665E">
              <w:rPr>
                <w:rFonts w:ascii="Arial" w:hAnsi="Arial" w:cs="Arial"/>
                <w:sz w:val="24"/>
                <w:szCs w:val="24"/>
              </w:rPr>
              <w:t xml:space="preserve"> (Connell, Marciniak and Drylie Carey, 2023)</w:t>
            </w:r>
          </w:p>
        </w:tc>
      </w:tr>
      <w:tr w:rsidR="00D51F63" w:rsidRPr="0018665E" w14:paraId="0D2DD1C3" w14:textId="77777777" w:rsidTr="005B3CA9">
        <w:tc>
          <w:tcPr>
            <w:tcW w:w="957" w:type="pct"/>
          </w:tcPr>
          <w:p w14:paraId="78329FAE"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Process</w:t>
            </w:r>
          </w:p>
        </w:tc>
        <w:tc>
          <w:tcPr>
            <w:tcW w:w="1011" w:type="pct"/>
          </w:tcPr>
          <w:p w14:paraId="4924CE3F"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Moderate</w:t>
            </w:r>
          </w:p>
        </w:tc>
        <w:tc>
          <w:tcPr>
            <w:tcW w:w="3032" w:type="pct"/>
          </w:tcPr>
          <w:p w14:paraId="2409206E"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 xml:space="preserve">Indian retail processes require more flexible fulfilment models to accommodate variable </w:t>
            </w:r>
            <w:r w:rsidRPr="0018665E">
              <w:rPr>
                <w:rFonts w:ascii="Arial" w:hAnsi="Arial" w:cs="Arial"/>
                <w:sz w:val="24"/>
                <w:szCs w:val="24"/>
              </w:rPr>
              <w:lastRenderedPageBreak/>
              <w:t xml:space="preserve">logistics infrastructure outside metropolitan hubs, versus Germany’s mature, consistent processes (Bonfanti and </w:t>
            </w:r>
            <w:proofErr w:type="spellStart"/>
            <w:r w:rsidRPr="0018665E">
              <w:rPr>
                <w:rFonts w:ascii="Arial" w:hAnsi="Arial" w:cs="Arial"/>
                <w:sz w:val="24"/>
                <w:szCs w:val="24"/>
              </w:rPr>
              <w:t>Yfantidou</w:t>
            </w:r>
            <w:proofErr w:type="spellEnd"/>
            <w:r w:rsidRPr="0018665E">
              <w:rPr>
                <w:rFonts w:ascii="Arial" w:hAnsi="Arial" w:cs="Arial"/>
                <w:sz w:val="24"/>
                <w:szCs w:val="24"/>
              </w:rPr>
              <w:t>, 2021)</w:t>
            </w:r>
          </w:p>
        </w:tc>
      </w:tr>
      <w:tr w:rsidR="00D51F63" w:rsidRPr="0018665E" w14:paraId="44AACD93" w14:textId="77777777" w:rsidTr="005B3CA9">
        <w:tc>
          <w:tcPr>
            <w:tcW w:w="957" w:type="pct"/>
          </w:tcPr>
          <w:p w14:paraId="31D4E95A"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Physical Evidence</w:t>
            </w:r>
          </w:p>
        </w:tc>
        <w:tc>
          <w:tcPr>
            <w:tcW w:w="1011" w:type="pct"/>
          </w:tcPr>
          <w:p w14:paraId="5008EE6C"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Moderate to high</w:t>
            </w:r>
          </w:p>
        </w:tc>
        <w:tc>
          <w:tcPr>
            <w:tcW w:w="3032" w:type="pct"/>
          </w:tcPr>
          <w:p w14:paraId="01AF7F14" w14:textId="77777777" w:rsidR="00D51F63" w:rsidRPr="0018665E" w:rsidRDefault="00000000" w:rsidP="009B01BA">
            <w:pPr>
              <w:spacing w:after="100" w:afterAutospacing="1" w:line="360" w:lineRule="auto"/>
              <w:jc w:val="both"/>
              <w:rPr>
                <w:rFonts w:ascii="Arial" w:hAnsi="Arial" w:cs="Arial"/>
                <w:sz w:val="24"/>
                <w:szCs w:val="24"/>
              </w:rPr>
            </w:pPr>
            <w:r w:rsidRPr="0018665E">
              <w:rPr>
                <w:rFonts w:ascii="Arial" w:hAnsi="Arial" w:cs="Arial"/>
                <w:sz w:val="24"/>
                <w:szCs w:val="24"/>
              </w:rPr>
              <w:t>Store design shifts from minimalist, design-forward environments in Germany to vibrant, technology-integrated environments in India, reflecting the influence of atmospherics on brand perception (Basu, Paul and Singh, 2022)</w:t>
            </w:r>
          </w:p>
        </w:tc>
      </w:tr>
    </w:tbl>
    <w:p w14:paraId="50AF6603" w14:textId="582CCCDB" w:rsidR="00470A49" w:rsidRPr="0018665E" w:rsidRDefault="00470A49" w:rsidP="009B01BA">
      <w:pPr>
        <w:spacing w:before="200" w:after="100" w:afterAutospacing="1" w:line="360" w:lineRule="auto"/>
        <w:jc w:val="both"/>
        <w:rPr>
          <w:rFonts w:ascii="Arial" w:hAnsi="Arial" w:cs="Arial"/>
          <w:sz w:val="24"/>
          <w:szCs w:val="24"/>
        </w:rPr>
      </w:pPr>
    </w:p>
    <w:sectPr w:rsidR="00470A49" w:rsidRPr="0018665E" w:rsidSect="009B01BA">
      <w:footerReference w:type="default" r:id="rId37"/>
      <w:pgSz w:w="11906" w:h="16838"/>
      <w:pgMar w:top="1440" w:right="1440" w:bottom="1440" w:left="1440" w:header="708" w:footer="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D5F71" w14:textId="77777777" w:rsidR="0084398E" w:rsidRDefault="0084398E" w:rsidP="009B01BA">
      <w:r>
        <w:separator/>
      </w:r>
    </w:p>
  </w:endnote>
  <w:endnote w:type="continuationSeparator" w:id="0">
    <w:p w14:paraId="543DEDBC" w14:textId="77777777" w:rsidR="0084398E" w:rsidRDefault="0084398E" w:rsidP="009B0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285892985"/>
      <w:docPartObj>
        <w:docPartGallery w:val="Page Numbers (Bottom of Page)"/>
        <w:docPartUnique/>
      </w:docPartObj>
    </w:sdtPr>
    <w:sdtEndPr>
      <w:rPr>
        <w:noProof/>
      </w:rPr>
    </w:sdtEndPr>
    <w:sdtContent>
      <w:p w14:paraId="61FF2B40" w14:textId="37E8C285" w:rsidR="009B01BA" w:rsidRPr="009B01BA" w:rsidRDefault="009B01BA">
        <w:pPr>
          <w:pStyle w:val="Footer"/>
          <w:jc w:val="center"/>
          <w:rPr>
            <w:rFonts w:ascii="Times New Roman" w:hAnsi="Times New Roman" w:cs="Times New Roman"/>
            <w:sz w:val="20"/>
            <w:szCs w:val="20"/>
          </w:rPr>
        </w:pPr>
        <w:r w:rsidRPr="009B01BA">
          <w:rPr>
            <w:rFonts w:ascii="Times New Roman" w:hAnsi="Times New Roman" w:cs="Times New Roman"/>
            <w:sz w:val="20"/>
            <w:szCs w:val="20"/>
          </w:rPr>
          <w:fldChar w:fldCharType="begin"/>
        </w:r>
        <w:r w:rsidRPr="009B01BA">
          <w:rPr>
            <w:rFonts w:ascii="Times New Roman" w:hAnsi="Times New Roman" w:cs="Times New Roman"/>
            <w:sz w:val="20"/>
            <w:szCs w:val="20"/>
          </w:rPr>
          <w:instrText xml:space="preserve"> PAGE   \* MERGEFORMAT </w:instrText>
        </w:r>
        <w:r w:rsidRPr="009B01BA">
          <w:rPr>
            <w:rFonts w:ascii="Times New Roman" w:hAnsi="Times New Roman" w:cs="Times New Roman"/>
            <w:sz w:val="20"/>
            <w:szCs w:val="20"/>
          </w:rPr>
          <w:fldChar w:fldCharType="separate"/>
        </w:r>
        <w:r w:rsidRPr="009B01BA">
          <w:rPr>
            <w:rFonts w:ascii="Times New Roman" w:hAnsi="Times New Roman" w:cs="Times New Roman"/>
            <w:noProof/>
            <w:sz w:val="20"/>
            <w:szCs w:val="20"/>
          </w:rPr>
          <w:t>2</w:t>
        </w:r>
        <w:r w:rsidRPr="009B01BA">
          <w:rPr>
            <w:rFonts w:ascii="Times New Roman" w:hAnsi="Times New Roman" w:cs="Times New Roman"/>
            <w:noProof/>
            <w:sz w:val="20"/>
            <w:szCs w:val="20"/>
          </w:rPr>
          <w:fldChar w:fldCharType="end"/>
        </w:r>
      </w:p>
    </w:sdtContent>
  </w:sdt>
  <w:p w14:paraId="2B0D2B5E" w14:textId="77777777" w:rsidR="009B01BA" w:rsidRPr="009B01BA" w:rsidRDefault="009B01BA">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89B58" w14:textId="77777777" w:rsidR="0084398E" w:rsidRDefault="0084398E" w:rsidP="009B01BA">
      <w:r>
        <w:separator/>
      </w:r>
    </w:p>
  </w:footnote>
  <w:footnote w:type="continuationSeparator" w:id="0">
    <w:p w14:paraId="68A4EF00" w14:textId="77777777" w:rsidR="0084398E" w:rsidRDefault="0084398E" w:rsidP="009B01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FD7FBE"/>
    <w:multiLevelType w:val="hybridMultilevel"/>
    <w:tmpl w:val="EA741492"/>
    <w:lvl w:ilvl="0" w:tplc="A210B9A6">
      <w:start w:val="1"/>
      <w:numFmt w:val="bullet"/>
      <w:lvlText w:val="●"/>
      <w:lvlJc w:val="left"/>
      <w:pPr>
        <w:ind w:left="720" w:hanging="360"/>
      </w:pPr>
    </w:lvl>
    <w:lvl w:ilvl="1" w:tplc="BEC062CC">
      <w:start w:val="1"/>
      <w:numFmt w:val="bullet"/>
      <w:lvlText w:val="○"/>
      <w:lvlJc w:val="left"/>
      <w:pPr>
        <w:ind w:left="1440" w:hanging="360"/>
      </w:pPr>
    </w:lvl>
    <w:lvl w:ilvl="2" w:tplc="8F4014A4">
      <w:start w:val="1"/>
      <w:numFmt w:val="bullet"/>
      <w:lvlText w:val="■"/>
      <w:lvlJc w:val="left"/>
      <w:pPr>
        <w:ind w:left="2160" w:hanging="360"/>
      </w:pPr>
    </w:lvl>
    <w:lvl w:ilvl="3" w:tplc="4F2CA786">
      <w:start w:val="1"/>
      <w:numFmt w:val="bullet"/>
      <w:lvlText w:val="●"/>
      <w:lvlJc w:val="left"/>
      <w:pPr>
        <w:ind w:left="2880" w:hanging="360"/>
      </w:pPr>
    </w:lvl>
    <w:lvl w:ilvl="4" w:tplc="40EACC34">
      <w:start w:val="1"/>
      <w:numFmt w:val="bullet"/>
      <w:lvlText w:val="○"/>
      <w:lvlJc w:val="left"/>
      <w:pPr>
        <w:ind w:left="3600" w:hanging="360"/>
      </w:pPr>
    </w:lvl>
    <w:lvl w:ilvl="5" w:tplc="761A2242">
      <w:start w:val="1"/>
      <w:numFmt w:val="bullet"/>
      <w:lvlText w:val="■"/>
      <w:lvlJc w:val="left"/>
      <w:pPr>
        <w:ind w:left="4320" w:hanging="360"/>
      </w:pPr>
    </w:lvl>
    <w:lvl w:ilvl="6" w:tplc="AD2E6A14">
      <w:start w:val="1"/>
      <w:numFmt w:val="bullet"/>
      <w:lvlText w:val="●"/>
      <w:lvlJc w:val="left"/>
      <w:pPr>
        <w:ind w:left="5040" w:hanging="360"/>
      </w:pPr>
    </w:lvl>
    <w:lvl w:ilvl="7" w:tplc="0FCA1EF0">
      <w:start w:val="1"/>
      <w:numFmt w:val="bullet"/>
      <w:lvlText w:val="●"/>
      <w:lvlJc w:val="left"/>
      <w:pPr>
        <w:ind w:left="5760" w:hanging="360"/>
      </w:pPr>
    </w:lvl>
    <w:lvl w:ilvl="8" w:tplc="5CC45E48">
      <w:start w:val="1"/>
      <w:numFmt w:val="bullet"/>
      <w:lvlText w:val="●"/>
      <w:lvlJc w:val="left"/>
      <w:pPr>
        <w:ind w:left="6480" w:hanging="360"/>
      </w:pPr>
    </w:lvl>
  </w:abstractNum>
  <w:num w:numId="1" w16cid:durableId="76076109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F63"/>
    <w:rsid w:val="0006412E"/>
    <w:rsid w:val="00110C9D"/>
    <w:rsid w:val="0018665E"/>
    <w:rsid w:val="001F5BCB"/>
    <w:rsid w:val="00263E20"/>
    <w:rsid w:val="00277FA8"/>
    <w:rsid w:val="00287AA0"/>
    <w:rsid w:val="0032600A"/>
    <w:rsid w:val="004638BE"/>
    <w:rsid w:val="00470A49"/>
    <w:rsid w:val="0047733F"/>
    <w:rsid w:val="005A5A0D"/>
    <w:rsid w:val="005B3CA9"/>
    <w:rsid w:val="005D78C0"/>
    <w:rsid w:val="00601289"/>
    <w:rsid w:val="00626377"/>
    <w:rsid w:val="0082029F"/>
    <w:rsid w:val="0084398E"/>
    <w:rsid w:val="008528A0"/>
    <w:rsid w:val="0098233A"/>
    <w:rsid w:val="009B01BA"/>
    <w:rsid w:val="00AD7EEE"/>
    <w:rsid w:val="00B4427F"/>
    <w:rsid w:val="00B46B72"/>
    <w:rsid w:val="00CA788D"/>
    <w:rsid w:val="00CE69F4"/>
    <w:rsid w:val="00D51F63"/>
    <w:rsid w:val="00EE1105"/>
    <w:rsid w:val="00FB468D"/>
    <w:rsid w:val="00FD25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EF9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600A"/>
  </w:style>
  <w:style w:type="paragraph" w:styleId="Heading1">
    <w:name w:val="heading 1"/>
    <w:uiPriority w:val="9"/>
    <w:qFormat/>
    <w:rsid w:val="00470A49"/>
    <w:pPr>
      <w:spacing w:before="320" w:after="160" w:line="360" w:lineRule="auto"/>
      <w:jc w:val="both"/>
      <w:outlineLvl w:val="0"/>
    </w:pPr>
    <w:rPr>
      <w:rFonts w:ascii="Times New Roman" w:hAnsi="Times New Roman" w:cs="Times New Roman"/>
      <w:b/>
      <w:bCs/>
      <w:color w:val="000000" w:themeColor="text1"/>
      <w:sz w:val="24"/>
      <w:szCs w:val="24"/>
    </w:rPr>
  </w:style>
  <w:style w:type="paragraph" w:styleId="Heading2">
    <w:name w:val="heading 2"/>
    <w:uiPriority w:val="9"/>
    <w:unhideWhenUsed/>
    <w:qFormat/>
    <w:rsid w:val="00470A49"/>
    <w:pPr>
      <w:spacing w:before="240" w:after="120" w:line="360" w:lineRule="auto"/>
      <w:jc w:val="both"/>
      <w:outlineLvl w:val="1"/>
    </w:pPr>
    <w:rPr>
      <w:rFonts w:ascii="Times New Roman" w:hAnsi="Times New Roman" w:cs="Times New Roman"/>
      <w:b/>
      <w:bCs/>
      <w:color w:val="000000" w:themeColor="text1"/>
      <w:sz w:val="24"/>
      <w:szCs w:val="24"/>
    </w:rPr>
  </w:style>
  <w:style w:type="paragraph" w:styleId="Heading3">
    <w:name w:val="heading 3"/>
    <w:basedOn w:val="Heading2"/>
    <w:uiPriority w:val="9"/>
    <w:unhideWhenUsed/>
    <w:qFormat/>
    <w:rsid w:val="00CA788D"/>
    <w:pPr>
      <w:spacing w:after="100" w:afterAutospacing="1"/>
      <w:outlineLvl w:val="2"/>
    </w:p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table" w:styleId="TableGrid">
    <w:name w:val="Table Grid"/>
    <w:basedOn w:val="TableNormal"/>
    <w:uiPriority w:val="39"/>
    <w:rsid w:val="009823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B01BA"/>
    <w:pPr>
      <w:keepNext/>
      <w:keepLines/>
      <w:spacing w:before="240" w:after="0" w:line="259" w:lineRule="auto"/>
      <w:jc w:val="left"/>
      <w:outlineLvl w:val="9"/>
    </w:pPr>
    <w:rPr>
      <w:rFonts w:asciiTheme="majorHAnsi" w:eastAsiaTheme="majorEastAsia" w:hAnsiTheme="majorHAnsi" w:cstheme="majorBidi"/>
      <w:b w:val="0"/>
      <w:bCs w:val="0"/>
      <w:color w:val="0F4761" w:themeColor="accent1" w:themeShade="BF"/>
      <w:sz w:val="32"/>
      <w:szCs w:val="32"/>
    </w:rPr>
  </w:style>
  <w:style w:type="paragraph" w:styleId="TOC1">
    <w:name w:val="toc 1"/>
    <w:basedOn w:val="Normal"/>
    <w:next w:val="Normal"/>
    <w:autoRedefine/>
    <w:uiPriority w:val="39"/>
    <w:unhideWhenUsed/>
    <w:rsid w:val="009B01BA"/>
    <w:pPr>
      <w:spacing w:after="100"/>
    </w:pPr>
  </w:style>
  <w:style w:type="paragraph" w:styleId="TOC2">
    <w:name w:val="toc 2"/>
    <w:basedOn w:val="Normal"/>
    <w:next w:val="Normal"/>
    <w:autoRedefine/>
    <w:uiPriority w:val="39"/>
    <w:unhideWhenUsed/>
    <w:rsid w:val="009B01BA"/>
    <w:pPr>
      <w:spacing w:after="100"/>
      <w:ind w:left="220"/>
    </w:pPr>
  </w:style>
  <w:style w:type="paragraph" w:styleId="TOC3">
    <w:name w:val="toc 3"/>
    <w:basedOn w:val="Normal"/>
    <w:next w:val="Normal"/>
    <w:autoRedefine/>
    <w:uiPriority w:val="39"/>
    <w:unhideWhenUsed/>
    <w:rsid w:val="009B01BA"/>
    <w:pPr>
      <w:spacing w:after="100"/>
      <w:ind w:left="440"/>
    </w:pPr>
  </w:style>
  <w:style w:type="paragraph" w:styleId="Header">
    <w:name w:val="header"/>
    <w:basedOn w:val="Normal"/>
    <w:link w:val="HeaderChar"/>
    <w:uiPriority w:val="99"/>
    <w:unhideWhenUsed/>
    <w:rsid w:val="009B01BA"/>
    <w:pPr>
      <w:tabs>
        <w:tab w:val="center" w:pos="4680"/>
        <w:tab w:val="right" w:pos="9360"/>
      </w:tabs>
    </w:pPr>
  </w:style>
  <w:style w:type="character" w:customStyle="1" w:styleId="HeaderChar">
    <w:name w:val="Header Char"/>
    <w:basedOn w:val="DefaultParagraphFont"/>
    <w:link w:val="Header"/>
    <w:uiPriority w:val="99"/>
    <w:rsid w:val="009B01BA"/>
  </w:style>
  <w:style w:type="paragraph" w:styleId="Footer">
    <w:name w:val="footer"/>
    <w:basedOn w:val="Normal"/>
    <w:link w:val="FooterChar"/>
    <w:uiPriority w:val="99"/>
    <w:unhideWhenUsed/>
    <w:rsid w:val="009B01BA"/>
    <w:pPr>
      <w:tabs>
        <w:tab w:val="center" w:pos="4680"/>
        <w:tab w:val="right" w:pos="9360"/>
      </w:tabs>
    </w:pPr>
  </w:style>
  <w:style w:type="character" w:customStyle="1" w:styleId="FooterChar">
    <w:name w:val="Footer Char"/>
    <w:basedOn w:val="DefaultParagraphFont"/>
    <w:link w:val="Footer"/>
    <w:uiPriority w:val="99"/>
    <w:rsid w:val="009B01BA"/>
  </w:style>
  <w:style w:type="character" w:styleId="UnresolvedMention">
    <w:name w:val="Unresolved Mention"/>
    <w:basedOn w:val="DefaultParagraphFont"/>
    <w:uiPriority w:val="99"/>
    <w:semiHidden/>
    <w:unhideWhenUsed/>
    <w:rsid w:val="003260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hyperlink" Target="https://onlinelibrary.wiley.com/doi/full/10.1002/csr.3204" TargetMode="External"/><Relationship Id="rId26" Type="http://schemas.openxmlformats.org/officeDocument/2006/relationships/hyperlink" Target="https://www.tandfonline.com/doi/full/10.1080/08961530.2023.2176396" TargetMode="External"/><Relationship Id="rId39" Type="http://schemas.openxmlformats.org/officeDocument/2006/relationships/theme" Target="theme/theme1.xml"/><Relationship Id="rId21" Type="http://schemas.openxmlformats.org/officeDocument/2006/relationships/hyperlink" Target="https://journals.sagepub.com/doi/10.1177/1069031X221130690%20" TargetMode="External"/><Relationship Id="rId34" Type="http://schemas.openxmlformats.org/officeDocument/2006/relationships/hyperlink" Target="https://doi.org/10.1016/j.caeo.2022.100085" TargetMode="Externa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hyperlink" Target="https://onlinelibrary.wiley.com/doi/full/10.1002/bse.3335" TargetMode="External"/><Relationship Id="rId25" Type="http://schemas.openxmlformats.org/officeDocument/2006/relationships/hyperlink" Target="https://www.tandfonline.com/doi/abs/10.1080/13563467.2021.1926954" TargetMode="External"/><Relationship Id="rId33" Type="http://schemas.openxmlformats.org/officeDocument/2006/relationships/hyperlink" Target="https://doi.org/10.1016/j.nedt.2024.106481"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ciencedirect.com/science/article/pii/S0969593120301451" TargetMode="External"/><Relationship Id="rId20" Type="http://schemas.openxmlformats.org/officeDocument/2006/relationships/hyperlink" Target="https://www.emerald.com/ijrdm/article/49/9/1295/151521/Designing-a-memorable-in-store-customer-shopping" TargetMode="External"/><Relationship Id="rId29" Type="http://schemas.openxmlformats.org/officeDocument/2006/relationships/hyperlink" Target="https://link.springer.com/article/10.1007/s10551-020-04461-0%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jarr.com/content/standardization-versus-adaptation-marketing-mix-international-markets-systematic-literature" TargetMode="External"/><Relationship Id="rId32" Type="http://schemas.openxmlformats.org/officeDocument/2006/relationships/hyperlink" Target="https://academic-publishing.org/index.php/ejbrm/article/view/2922"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abourmarketresearch.springeropen.com/articles/10.1186/s12651-022-00306-7" TargetMode="External"/><Relationship Id="rId23" Type="http://schemas.openxmlformats.org/officeDocument/2006/relationships/hyperlink" Target="https://www.emerald.com/jabs/article/17/4/804/188018/International-marketing-strategy-of-emerging" TargetMode="External"/><Relationship Id="rId28" Type="http://schemas.openxmlformats.org/officeDocument/2006/relationships/hyperlink" Target="https://onlinelibrary.wiley.com/doi/10.1002/pa.2660" TargetMode="External"/><Relationship Id="rId36" Type="http://schemas.openxmlformats.org/officeDocument/2006/relationships/hyperlink" Target="https://doi.org/10.1371/journal.pone.0317470" TargetMode="External"/><Relationship Id="rId10" Type="http://schemas.openxmlformats.org/officeDocument/2006/relationships/chart" Target="charts/chart2.xml"/><Relationship Id="rId19" Type="http://schemas.openxmlformats.org/officeDocument/2006/relationships/hyperlink" Target="https://www.sciencedirect.com/science/article/pii/S0148296322006233" TargetMode="External"/><Relationship Id="rId31" Type="http://schemas.openxmlformats.org/officeDocument/2006/relationships/hyperlink" Target="https://doi.org/10.19173/irrodl.v26i2.8119%20"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3.png"/><Relationship Id="rId22" Type="http://schemas.openxmlformats.org/officeDocument/2006/relationships/hyperlink" Target="https://www.researchgate.net/figure/Gibbs-reflective-cycle-Adapted-from-Gibbs-1988_fig1_371536633?utm_source=chatgpt.com" TargetMode="External"/><Relationship Id="rId27" Type="http://schemas.openxmlformats.org/officeDocument/2006/relationships/hyperlink" Target="https://onlinelibrary.wiley.com/doi/10.1111/ijcs.12971" TargetMode="External"/><Relationship Id="rId30" Type="http://schemas.openxmlformats.org/officeDocument/2006/relationships/hyperlink" Target="https://www.frontiersin.org/journals/neuroscience/articles/10.3389/fnins.2022.901123/full" TargetMode="External"/><Relationship Id="rId35" Type="http://schemas.openxmlformats.org/officeDocument/2006/relationships/hyperlink" Target="https://doi.org/10.1016/j.heliyon.2023.e13299" TargetMode="External"/><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ENVY\Downloads\Germany_India_Market_Analysis.xlsx"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VY\Downloads\Germany_India_Market_Analysis.xlsx"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ENVY\Downloads\Germany_India_Market_Analysi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ENVY\Downloads\Germany_India_Market_Analysi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a:lstStyle/>
          <a:p>
            <a:pPr>
              <a:defRPr/>
            </a:pPr>
            <a:r>
              <a:rPr lang="en-US"/>
              <a:t>PESTEL Comparison: Germany (Home) vs India (Host)</a:t>
            </a:r>
          </a:p>
        </c:rich>
      </c:tx>
      <c:overlay val="0"/>
      <c:spPr>
        <a:noFill/>
        <a:ln w="0">
          <a:noFill/>
        </a:ln>
      </c:spPr>
    </c:title>
    <c:autoTitleDeleted val="0"/>
    <c:plotArea>
      <c:layout/>
      <c:radarChart>
        <c:radarStyle val="filled"/>
        <c:varyColors val="0"/>
        <c:ser>
          <c:idx val="0"/>
          <c:order val="0"/>
          <c:tx>
            <c:strRef>
              <c:f>PESTEL!$B$3</c:f>
              <c:strCache>
                <c:ptCount val="1"/>
                <c:pt idx="0">
                  <c:v>Germany (Home)</c:v>
                </c:pt>
              </c:strCache>
            </c:strRef>
          </c:tx>
          <c:spPr>
            <a:gradFill>
              <a:gsLst>
                <a:gs pos="0">
                  <a:srgbClr val="2E5F99"/>
                </a:gs>
                <a:gs pos="80000">
                  <a:srgbClr val="3C7AC7"/>
                </a:gs>
                <a:gs pos="100000">
                  <a:srgbClr val="397BCA"/>
                </a:gs>
              </a:gsLst>
              <a:lin ang="16200000"/>
            </a:gradFill>
            <a:ln w="0">
              <a:noFill/>
            </a:ln>
          </c:spPr>
          <c:dLbls>
            <c:spPr>
              <a:noFill/>
              <a:ln>
                <a:noFill/>
              </a:ln>
              <a:effectLst/>
            </c:spPr>
            <c:showLegendKey val="0"/>
            <c:showVal val="0"/>
            <c:showCatName val="0"/>
            <c:showSerName val="0"/>
            <c:showPercent val="0"/>
            <c:showBubbleSize val="1"/>
            <c:separator> </c:separator>
            <c:showLeaderLines val="0"/>
            <c:extLst>
              <c:ext xmlns:c15="http://schemas.microsoft.com/office/drawing/2012/chart" uri="{CE6537A1-D6FC-4f65-9D91-7224C49458BB}">
                <c15:showLeaderLines val="1"/>
              </c:ext>
            </c:extLst>
          </c:dLbls>
          <c:cat>
            <c:strRef>
              <c:f>PESTEL!$A$4:$A$9</c:f>
              <c:strCache>
                <c:ptCount val="6"/>
                <c:pt idx="0">
                  <c:v>Political</c:v>
                </c:pt>
                <c:pt idx="1">
                  <c:v>Economic</c:v>
                </c:pt>
                <c:pt idx="2">
                  <c:v>Social</c:v>
                </c:pt>
                <c:pt idx="3">
                  <c:v>Technological</c:v>
                </c:pt>
                <c:pt idx="4">
                  <c:v>Environmental</c:v>
                </c:pt>
                <c:pt idx="5">
                  <c:v>Legal</c:v>
                </c:pt>
              </c:strCache>
            </c:strRef>
          </c:cat>
          <c:val>
            <c:numRef>
              <c:f>PESTEL!$B$4:$B$9</c:f>
              <c:numCache>
                <c:formatCode>General</c:formatCode>
                <c:ptCount val="6"/>
                <c:pt idx="0">
                  <c:v>2</c:v>
                </c:pt>
                <c:pt idx="1">
                  <c:v>3.5</c:v>
                </c:pt>
                <c:pt idx="2">
                  <c:v>3</c:v>
                </c:pt>
                <c:pt idx="3">
                  <c:v>2.5</c:v>
                </c:pt>
                <c:pt idx="4">
                  <c:v>4</c:v>
                </c:pt>
                <c:pt idx="5">
                  <c:v>4</c:v>
                </c:pt>
              </c:numCache>
            </c:numRef>
          </c:val>
          <c:extLst>
            <c:ext xmlns:c16="http://schemas.microsoft.com/office/drawing/2014/chart" uri="{C3380CC4-5D6E-409C-BE32-E72D297353CC}">
              <c16:uniqueId val="{00000000-0684-4453-A35D-D83A48B96BA3}"/>
            </c:ext>
          </c:extLst>
        </c:ser>
        <c:ser>
          <c:idx val="1"/>
          <c:order val="1"/>
          <c:tx>
            <c:strRef>
              <c:f>PESTEL!$C$3</c:f>
              <c:strCache>
                <c:ptCount val="1"/>
                <c:pt idx="0">
                  <c:v>India (Host)</c:v>
                </c:pt>
              </c:strCache>
            </c:strRef>
          </c:tx>
          <c:spPr>
            <a:gradFill>
              <a:gsLst>
                <a:gs pos="0">
                  <a:srgbClr val="9C2F2C"/>
                </a:gs>
                <a:gs pos="80000">
                  <a:srgbClr val="CB3D39"/>
                </a:gs>
                <a:gs pos="100000">
                  <a:srgbClr val="CE3A36"/>
                </a:gs>
              </a:gsLst>
              <a:lin ang="16200000"/>
            </a:gradFill>
            <a:ln w="0">
              <a:noFill/>
            </a:ln>
          </c:spPr>
          <c:dLbls>
            <c:spPr>
              <a:noFill/>
              <a:ln>
                <a:noFill/>
              </a:ln>
              <a:effectLst/>
            </c:spPr>
            <c:showLegendKey val="0"/>
            <c:showVal val="0"/>
            <c:showCatName val="0"/>
            <c:showSerName val="0"/>
            <c:showPercent val="0"/>
            <c:showBubbleSize val="1"/>
            <c:separator> </c:separator>
            <c:showLeaderLines val="0"/>
            <c:extLst>
              <c:ext xmlns:c15="http://schemas.microsoft.com/office/drawing/2012/chart" uri="{CE6537A1-D6FC-4f65-9D91-7224C49458BB}">
                <c15:showLeaderLines val="1"/>
              </c:ext>
            </c:extLst>
          </c:dLbls>
          <c:cat>
            <c:strRef>
              <c:f>PESTEL!$A$4:$A$9</c:f>
              <c:strCache>
                <c:ptCount val="6"/>
                <c:pt idx="0">
                  <c:v>Political</c:v>
                </c:pt>
                <c:pt idx="1">
                  <c:v>Economic</c:v>
                </c:pt>
                <c:pt idx="2">
                  <c:v>Social</c:v>
                </c:pt>
                <c:pt idx="3">
                  <c:v>Technological</c:v>
                </c:pt>
                <c:pt idx="4">
                  <c:v>Environmental</c:v>
                </c:pt>
                <c:pt idx="5">
                  <c:v>Legal</c:v>
                </c:pt>
              </c:strCache>
            </c:strRef>
          </c:cat>
          <c:val>
            <c:numRef>
              <c:f>PESTEL!$C$4:$C$9</c:f>
              <c:numCache>
                <c:formatCode>General</c:formatCode>
                <c:ptCount val="6"/>
                <c:pt idx="0">
                  <c:v>4</c:v>
                </c:pt>
                <c:pt idx="1">
                  <c:v>4</c:v>
                </c:pt>
                <c:pt idx="2">
                  <c:v>3.5</c:v>
                </c:pt>
                <c:pt idx="3">
                  <c:v>4.5</c:v>
                </c:pt>
                <c:pt idx="4">
                  <c:v>2</c:v>
                </c:pt>
                <c:pt idx="5">
                  <c:v>2.5</c:v>
                </c:pt>
              </c:numCache>
            </c:numRef>
          </c:val>
          <c:extLst>
            <c:ext xmlns:c16="http://schemas.microsoft.com/office/drawing/2014/chart" uri="{C3380CC4-5D6E-409C-BE32-E72D297353CC}">
              <c16:uniqueId val="{00000001-0684-4453-A35D-D83A48B96BA3}"/>
            </c:ext>
          </c:extLst>
        </c:ser>
        <c:dLbls>
          <c:showLegendKey val="0"/>
          <c:showVal val="0"/>
          <c:showCatName val="0"/>
          <c:showSerName val="0"/>
          <c:showPercent val="0"/>
          <c:showBubbleSize val="0"/>
        </c:dLbls>
        <c:axId val="38573807"/>
        <c:axId val="90126250"/>
      </c:radarChart>
      <c:catAx>
        <c:axId val="38573807"/>
        <c:scaling>
          <c:orientation val="maxMin"/>
        </c:scaling>
        <c:delete val="0"/>
        <c:axPos val="b"/>
        <c:numFmt formatCode="General" sourceLinked="1"/>
        <c:majorTickMark val="none"/>
        <c:minorTickMark val="none"/>
        <c:tickLblPos val="nextTo"/>
        <c:spPr>
          <a:ln w="9360">
            <a:noFill/>
          </a:ln>
        </c:spPr>
        <c:crossAx val="90126250"/>
        <c:crosses val="autoZero"/>
        <c:auto val="1"/>
        <c:lblAlgn val="ctr"/>
        <c:lblOffset val="100"/>
        <c:noMultiLvlLbl val="0"/>
      </c:catAx>
      <c:valAx>
        <c:axId val="90126250"/>
        <c:scaling>
          <c:orientation val="minMax"/>
          <c:max val="5"/>
          <c:min val="0"/>
        </c:scaling>
        <c:delete val="0"/>
        <c:axPos val="l"/>
        <c:majorGridlines>
          <c:spPr>
            <a:ln w="9360">
              <a:solidFill>
                <a:srgbClr val="878787"/>
              </a:solidFill>
              <a:round/>
            </a:ln>
          </c:spPr>
        </c:majorGridlines>
        <c:numFmt formatCode="General" sourceLinked="1"/>
        <c:majorTickMark val="none"/>
        <c:minorTickMark val="none"/>
        <c:tickLblPos val="nextTo"/>
        <c:spPr>
          <a:ln w="9360">
            <a:solidFill>
              <a:srgbClr val="878787"/>
            </a:solidFill>
            <a:round/>
          </a:ln>
        </c:spPr>
        <c:crossAx val="38573807"/>
        <c:crosses val="autoZero"/>
        <c:crossBetween val="midCat"/>
      </c:valAx>
      <c:spPr>
        <a:noFill/>
        <a:ln w="0">
          <a:noFill/>
        </a:ln>
      </c:spPr>
    </c:plotArea>
    <c:legend>
      <c:legendPos val="r"/>
      <c:overlay val="0"/>
      <c:spPr>
        <a:noFill/>
        <a:ln w="0">
          <a:noFill/>
        </a:ln>
      </c:spPr>
    </c:legend>
    <c:plotVisOnly val="1"/>
    <c:dispBlanksAs val="gap"/>
    <c:showDLblsOverMax val="1"/>
  </c:chart>
  <c:spPr>
    <a:solidFill>
      <a:srgbClr val="FFFFFF"/>
    </a:solidFill>
    <a:ln w="9360">
      <a:solidFill>
        <a:srgbClr val="D9D9D9"/>
      </a:solidFill>
      <a:round/>
    </a:ln>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Hofstede Cultural Dimensions: Germany vs India</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Hofstede!$B$3</c:f>
              <c:strCache>
                <c:ptCount val="1"/>
                <c:pt idx="0">
                  <c:v>Germany</c:v>
                </c:pt>
              </c:strCache>
            </c:strRef>
          </c:tx>
          <c:spPr>
            <a:solidFill>
              <a:schemeClr val="accent1"/>
            </a:solidFill>
            <a:ln>
              <a:noFill/>
            </a:ln>
            <a:effectLst/>
          </c:spPr>
          <c:invertIfNegative val="0"/>
          <c:cat>
            <c:strRef>
              <c:f>Hofstede!$A$4:$A$9</c:f>
              <c:strCache>
                <c:ptCount val="6"/>
                <c:pt idx="0">
                  <c:v>Power Distance</c:v>
                </c:pt>
                <c:pt idx="1">
                  <c:v>Individualism</c:v>
                </c:pt>
                <c:pt idx="2">
                  <c:v>Masculinity</c:v>
                </c:pt>
                <c:pt idx="3">
                  <c:v>Uncertainty Avoidance</c:v>
                </c:pt>
                <c:pt idx="4">
                  <c:v>Long-term Orientation</c:v>
                </c:pt>
                <c:pt idx="5">
                  <c:v>Indulgence</c:v>
                </c:pt>
              </c:strCache>
            </c:strRef>
          </c:cat>
          <c:val>
            <c:numRef>
              <c:f>Hofstede!$B$4:$B$9</c:f>
              <c:numCache>
                <c:formatCode>General</c:formatCode>
                <c:ptCount val="6"/>
                <c:pt idx="0">
                  <c:v>35</c:v>
                </c:pt>
                <c:pt idx="1">
                  <c:v>67</c:v>
                </c:pt>
                <c:pt idx="2">
                  <c:v>66</c:v>
                </c:pt>
                <c:pt idx="3">
                  <c:v>65</c:v>
                </c:pt>
                <c:pt idx="4">
                  <c:v>83</c:v>
                </c:pt>
                <c:pt idx="5">
                  <c:v>40</c:v>
                </c:pt>
              </c:numCache>
            </c:numRef>
          </c:val>
          <c:extLst>
            <c:ext xmlns:c16="http://schemas.microsoft.com/office/drawing/2014/chart" uri="{C3380CC4-5D6E-409C-BE32-E72D297353CC}">
              <c16:uniqueId val="{00000000-2341-4461-8063-F83870A6D080}"/>
            </c:ext>
          </c:extLst>
        </c:ser>
        <c:ser>
          <c:idx val="1"/>
          <c:order val="1"/>
          <c:tx>
            <c:strRef>
              <c:f>Hofstede!$C$3</c:f>
              <c:strCache>
                <c:ptCount val="1"/>
                <c:pt idx="0">
                  <c:v>India</c:v>
                </c:pt>
              </c:strCache>
            </c:strRef>
          </c:tx>
          <c:spPr>
            <a:solidFill>
              <a:schemeClr val="accent2"/>
            </a:solidFill>
            <a:ln>
              <a:noFill/>
            </a:ln>
            <a:effectLst/>
          </c:spPr>
          <c:invertIfNegative val="0"/>
          <c:cat>
            <c:strRef>
              <c:f>Hofstede!$A$4:$A$9</c:f>
              <c:strCache>
                <c:ptCount val="6"/>
                <c:pt idx="0">
                  <c:v>Power Distance</c:v>
                </c:pt>
                <c:pt idx="1">
                  <c:v>Individualism</c:v>
                </c:pt>
                <c:pt idx="2">
                  <c:v>Masculinity</c:v>
                </c:pt>
                <c:pt idx="3">
                  <c:v>Uncertainty Avoidance</c:v>
                </c:pt>
                <c:pt idx="4">
                  <c:v>Long-term Orientation</c:v>
                </c:pt>
                <c:pt idx="5">
                  <c:v>Indulgence</c:v>
                </c:pt>
              </c:strCache>
            </c:strRef>
          </c:cat>
          <c:val>
            <c:numRef>
              <c:f>Hofstede!$C$4:$C$9</c:f>
              <c:numCache>
                <c:formatCode>General</c:formatCode>
                <c:ptCount val="6"/>
                <c:pt idx="0">
                  <c:v>77</c:v>
                </c:pt>
                <c:pt idx="1">
                  <c:v>48</c:v>
                </c:pt>
                <c:pt idx="2">
                  <c:v>56</c:v>
                </c:pt>
                <c:pt idx="3">
                  <c:v>40</c:v>
                </c:pt>
                <c:pt idx="4">
                  <c:v>51</c:v>
                </c:pt>
                <c:pt idx="5">
                  <c:v>26</c:v>
                </c:pt>
              </c:numCache>
            </c:numRef>
          </c:val>
          <c:extLst>
            <c:ext xmlns:c16="http://schemas.microsoft.com/office/drawing/2014/chart" uri="{C3380CC4-5D6E-409C-BE32-E72D297353CC}">
              <c16:uniqueId val="{00000001-2341-4461-8063-F83870A6D080}"/>
            </c:ext>
          </c:extLst>
        </c:ser>
        <c:dLbls>
          <c:showLegendKey val="0"/>
          <c:showVal val="0"/>
          <c:showCatName val="0"/>
          <c:showSerName val="0"/>
          <c:showPercent val="0"/>
          <c:showBubbleSize val="0"/>
        </c:dLbls>
        <c:gapWidth val="150"/>
        <c:axId val="32639637"/>
        <c:axId val="73523449"/>
      </c:barChart>
      <c:catAx>
        <c:axId val="32639637"/>
        <c:scaling>
          <c:orientation val="minMax"/>
        </c:scaling>
        <c:delete val="0"/>
        <c:axPos val="b"/>
        <c:title>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73523449"/>
        <c:crosses val="autoZero"/>
        <c:auto val="1"/>
        <c:lblAlgn val="ctr"/>
        <c:lblOffset val="100"/>
        <c:noMultiLvlLbl val="0"/>
      </c:catAx>
      <c:valAx>
        <c:axId val="73523449"/>
        <c:scaling>
          <c:orientation val="minMax"/>
          <c:max val="10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Index Score (0-100)</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2639637"/>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1"/>
  </c:chart>
  <c:spPr>
    <a:solidFill>
      <a:schemeClr val="lt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a:lstStyle/>
          <a:p>
            <a:pPr>
              <a:defRPr/>
            </a:pPr>
            <a:r>
              <a:rPr lang="en-US"/>
              <a:t>Degree of Adaptation Required for the Indian Market</a:t>
            </a:r>
          </a:p>
        </c:rich>
      </c:tx>
      <c:overlay val="0"/>
      <c:spPr>
        <a:noFill/>
        <a:ln w="0">
          <a:noFill/>
        </a:ln>
      </c:spPr>
    </c:title>
    <c:autoTitleDeleted val="0"/>
    <c:plotArea>
      <c:layout/>
      <c:barChart>
        <c:barDir val="bar"/>
        <c:grouping val="clustered"/>
        <c:varyColors val="0"/>
        <c:ser>
          <c:idx val="0"/>
          <c:order val="0"/>
          <c:tx>
            <c:strRef>
              <c:f>'Marketing Mix Adaptation'!$C$3</c:f>
              <c:strCache>
                <c:ptCount val="1"/>
                <c:pt idx="0">
                  <c:v>Score (1=Low, 5=High)</c:v>
                </c:pt>
              </c:strCache>
            </c:strRef>
          </c:tx>
          <c:spPr>
            <a:solidFill>
              <a:srgbClr val="C0504D"/>
            </a:solidFill>
            <a:ln w="9360">
              <a:solidFill>
                <a:srgbClr val="F9F9F9"/>
              </a:solidFill>
              <a:round/>
            </a:ln>
          </c:spPr>
          <c:invertIfNegative val="0"/>
          <c:dLbls>
            <c:spPr>
              <a:noFill/>
              <a:ln>
                <a:noFill/>
              </a:ln>
              <a:effectLst/>
            </c:spPr>
            <c:showLegendKey val="0"/>
            <c:showVal val="0"/>
            <c:showCatName val="0"/>
            <c:showSerName val="0"/>
            <c:showPercent val="0"/>
            <c:showBubbleSize val="1"/>
            <c:separator> </c:separator>
            <c:showLeaderLines val="0"/>
            <c:extLst>
              <c:ext xmlns:c15="http://schemas.microsoft.com/office/drawing/2012/chart" uri="{CE6537A1-D6FC-4f65-9D91-7224C49458BB}">
                <c15:showLeaderLines val="1"/>
              </c:ext>
            </c:extLst>
          </c:dLbls>
          <c:cat>
            <c:strRef>
              <c:f>'Marketing Mix Adaptation'!$A$4:$A$10</c:f>
              <c:strCache>
                <c:ptCount val="7"/>
                <c:pt idx="0">
                  <c:v>Product</c:v>
                </c:pt>
                <c:pt idx="1">
                  <c:v>Price</c:v>
                </c:pt>
                <c:pt idx="2">
                  <c:v>Place</c:v>
                </c:pt>
                <c:pt idx="3">
                  <c:v>Promotion</c:v>
                </c:pt>
                <c:pt idx="4">
                  <c:v>People</c:v>
                </c:pt>
                <c:pt idx="5">
                  <c:v>Process</c:v>
                </c:pt>
                <c:pt idx="6">
                  <c:v>Physical Evidence</c:v>
                </c:pt>
              </c:strCache>
            </c:strRef>
          </c:cat>
          <c:val>
            <c:numRef>
              <c:f>'Marketing Mix Adaptation'!$C$4:$C$10</c:f>
              <c:numCache>
                <c:formatCode>General</c:formatCode>
                <c:ptCount val="7"/>
                <c:pt idx="0">
                  <c:v>2</c:v>
                </c:pt>
                <c:pt idx="1">
                  <c:v>5</c:v>
                </c:pt>
                <c:pt idx="2">
                  <c:v>5</c:v>
                </c:pt>
                <c:pt idx="3">
                  <c:v>5</c:v>
                </c:pt>
                <c:pt idx="4">
                  <c:v>4</c:v>
                </c:pt>
                <c:pt idx="5">
                  <c:v>3</c:v>
                </c:pt>
                <c:pt idx="6">
                  <c:v>4</c:v>
                </c:pt>
              </c:numCache>
            </c:numRef>
          </c:val>
          <c:extLst>
            <c:ext xmlns:c16="http://schemas.microsoft.com/office/drawing/2014/chart" uri="{C3380CC4-5D6E-409C-BE32-E72D297353CC}">
              <c16:uniqueId val="{00000000-5917-4A63-A15A-911BBA3E8B7F}"/>
            </c:ext>
          </c:extLst>
        </c:ser>
        <c:dLbls>
          <c:showLegendKey val="0"/>
          <c:showVal val="0"/>
          <c:showCatName val="0"/>
          <c:showSerName val="0"/>
          <c:showPercent val="0"/>
          <c:showBubbleSize val="0"/>
        </c:dLbls>
        <c:gapWidth val="150"/>
        <c:axId val="78384281"/>
        <c:axId val="25582633"/>
      </c:barChart>
      <c:catAx>
        <c:axId val="78384281"/>
        <c:scaling>
          <c:orientation val="minMax"/>
        </c:scaling>
        <c:delete val="0"/>
        <c:axPos val="l"/>
        <c:title>
          <c:tx>
            <c:rich>
              <a:bodyPr rot="-5400000"/>
              <a:lstStyle/>
              <a:p>
                <a:pPr>
                  <a:defRPr/>
                </a:pPr>
                <a:r>
                  <a:rPr lang="en-US"/>
                  <a:t>Marketing Mix Element</a:t>
                </a:r>
              </a:p>
            </c:rich>
          </c:tx>
          <c:overlay val="0"/>
          <c:spPr>
            <a:noFill/>
            <a:ln w="0">
              <a:noFill/>
            </a:ln>
          </c:spPr>
        </c:title>
        <c:numFmt formatCode="General" sourceLinked="1"/>
        <c:majorTickMark val="none"/>
        <c:minorTickMark val="none"/>
        <c:tickLblPos val="nextTo"/>
        <c:spPr>
          <a:ln w="9360">
            <a:solidFill>
              <a:srgbClr val="878787"/>
            </a:solidFill>
            <a:round/>
          </a:ln>
        </c:spPr>
        <c:crossAx val="25582633"/>
        <c:crosses val="autoZero"/>
        <c:auto val="1"/>
        <c:lblAlgn val="ctr"/>
        <c:lblOffset val="100"/>
        <c:noMultiLvlLbl val="0"/>
      </c:catAx>
      <c:valAx>
        <c:axId val="25582633"/>
        <c:scaling>
          <c:orientation val="minMax"/>
          <c:max val="5"/>
          <c:min val="0"/>
        </c:scaling>
        <c:delete val="0"/>
        <c:axPos val="b"/>
        <c:majorGridlines>
          <c:spPr>
            <a:ln w="9360">
              <a:solidFill>
                <a:srgbClr val="878787"/>
              </a:solidFill>
              <a:round/>
            </a:ln>
          </c:spPr>
        </c:majorGridlines>
        <c:title>
          <c:tx>
            <c:rich>
              <a:bodyPr rot="0"/>
              <a:lstStyle/>
              <a:p>
                <a:pPr>
                  <a:defRPr/>
                </a:pPr>
                <a:r>
                  <a:rPr lang="en-US"/>
                  <a:t>Degree of adaptation required (1=Low, 5=High)</a:t>
                </a:r>
              </a:p>
            </c:rich>
          </c:tx>
          <c:overlay val="0"/>
          <c:spPr>
            <a:noFill/>
            <a:ln w="0">
              <a:noFill/>
            </a:ln>
          </c:spPr>
        </c:title>
        <c:numFmt formatCode="General" sourceLinked="1"/>
        <c:majorTickMark val="none"/>
        <c:minorTickMark val="none"/>
        <c:tickLblPos val="nextTo"/>
        <c:spPr>
          <a:ln w="9360">
            <a:solidFill>
              <a:srgbClr val="878787"/>
            </a:solidFill>
            <a:round/>
          </a:ln>
        </c:spPr>
        <c:crossAx val="78384281"/>
        <c:crosses val="autoZero"/>
        <c:crossBetween val="between"/>
      </c:valAx>
      <c:spPr>
        <a:noFill/>
        <a:ln w="0">
          <a:noFill/>
        </a:ln>
      </c:spPr>
    </c:plotArea>
    <c:plotVisOnly val="1"/>
    <c:dispBlanksAs val="gap"/>
    <c:showDLblsOverMax val="1"/>
  </c:chart>
  <c:spPr>
    <a:solidFill>
      <a:srgbClr val="FFFFFF"/>
    </a:solidFill>
    <a:ln w="9360">
      <a:solidFill>
        <a:srgbClr val="D9D9D9"/>
      </a:solidFill>
      <a:round/>
    </a:ln>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a:lstStyle/>
          <a:p>
            <a:pPr>
              <a:defRPr/>
            </a:pPr>
            <a:r>
              <a:rPr lang="en-US"/>
              <a:t>Entry Mode Comparison: Control, Risk, Resource Commitment</a:t>
            </a:r>
          </a:p>
        </c:rich>
      </c:tx>
      <c:overlay val="0"/>
      <c:spPr>
        <a:noFill/>
        <a:ln w="0">
          <a:noFill/>
        </a:ln>
      </c:spPr>
    </c:title>
    <c:autoTitleDeleted val="0"/>
    <c:plotArea>
      <c:layout/>
      <c:barChart>
        <c:barDir val="col"/>
        <c:grouping val="clustered"/>
        <c:varyColors val="0"/>
        <c:ser>
          <c:idx val="0"/>
          <c:order val="0"/>
          <c:tx>
            <c:strRef>
              <c:f>'Entry Modes'!$B$3</c:f>
              <c:strCache>
                <c:ptCount val="1"/>
                <c:pt idx="0">
                  <c:v>Control level</c:v>
                </c:pt>
              </c:strCache>
            </c:strRef>
          </c:tx>
          <c:spPr>
            <a:solidFill>
              <a:srgbClr val="416A9C"/>
            </a:solidFill>
            <a:ln w="9360">
              <a:solidFill>
                <a:srgbClr val="F9F9F9"/>
              </a:solidFill>
              <a:round/>
            </a:ln>
          </c:spPr>
          <c:invertIfNegative val="0"/>
          <c:dLbls>
            <c:spPr>
              <a:noFill/>
              <a:ln>
                <a:noFill/>
              </a:ln>
              <a:effectLst/>
            </c:spPr>
            <c:showLegendKey val="0"/>
            <c:showVal val="0"/>
            <c:showCatName val="0"/>
            <c:showSerName val="0"/>
            <c:showPercent val="0"/>
            <c:showBubbleSize val="1"/>
            <c:separator> </c:separator>
            <c:showLeaderLines val="0"/>
            <c:extLst>
              <c:ext xmlns:c15="http://schemas.microsoft.com/office/drawing/2012/chart" uri="{CE6537A1-D6FC-4f65-9D91-7224C49458BB}">
                <c15:showLeaderLines val="1"/>
              </c:ext>
            </c:extLst>
          </c:dLbls>
          <c:cat>
            <c:strRef>
              <c:f>'Entry Modes'!$A$4:$A$8</c:f>
              <c:strCache>
                <c:ptCount val="5"/>
                <c:pt idx="0">
                  <c:v>Exporting</c:v>
                </c:pt>
                <c:pt idx="1">
                  <c:v>Licensing</c:v>
                </c:pt>
                <c:pt idx="2">
                  <c:v>Franchising</c:v>
                </c:pt>
                <c:pt idx="3">
                  <c:v>Joint Venture</c:v>
                </c:pt>
                <c:pt idx="4">
                  <c:v>Wholly Owned Subsidiary</c:v>
                </c:pt>
              </c:strCache>
            </c:strRef>
          </c:cat>
          <c:val>
            <c:numRef>
              <c:f>'Entry Modes'!$B$4:$B$8</c:f>
              <c:numCache>
                <c:formatCode>General</c:formatCode>
                <c:ptCount val="5"/>
                <c:pt idx="0">
                  <c:v>1</c:v>
                </c:pt>
                <c:pt idx="1">
                  <c:v>2</c:v>
                </c:pt>
                <c:pt idx="2">
                  <c:v>3</c:v>
                </c:pt>
                <c:pt idx="3">
                  <c:v>3.5</c:v>
                </c:pt>
                <c:pt idx="4">
                  <c:v>5</c:v>
                </c:pt>
              </c:numCache>
            </c:numRef>
          </c:val>
          <c:extLst>
            <c:ext xmlns:c16="http://schemas.microsoft.com/office/drawing/2014/chart" uri="{C3380CC4-5D6E-409C-BE32-E72D297353CC}">
              <c16:uniqueId val="{00000000-9081-4920-9608-FAD094E9F187}"/>
            </c:ext>
          </c:extLst>
        </c:ser>
        <c:ser>
          <c:idx val="1"/>
          <c:order val="1"/>
          <c:tx>
            <c:strRef>
              <c:f>'Entry Modes'!$C$3</c:f>
              <c:strCache>
                <c:ptCount val="1"/>
                <c:pt idx="0">
                  <c:v>Risk exposure</c:v>
                </c:pt>
              </c:strCache>
            </c:strRef>
          </c:tx>
          <c:spPr>
            <a:solidFill>
              <a:srgbClr val="4F81BD"/>
            </a:solidFill>
            <a:ln w="9360">
              <a:solidFill>
                <a:srgbClr val="F9F9F9"/>
              </a:solidFill>
              <a:round/>
            </a:ln>
          </c:spPr>
          <c:invertIfNegative val="0"/>
          <c:dLbls>
            <c:spPr>
              <a:noFill/>
              <a:ln>
                <a:noFill/>
              </a:ln>
              <a:effectLst/>
            </c:spPr>
            <c:showLegendKey val="0"/>
            <c:showVal val="0"/>
            <c:showCatName val="0"/>
            <c:showSerName val="0"/>
            <c:showPercent val="0"/>
            <c:showBubbleSize val="1"/>
            <c:separator> </c:separator>
            <c:showLeaderLines val="0"/>
            <c:extLst>
              <c:ext xmlns:c15="http://schemas.microsoft.com/office/drawing/2012/chart" uri="{CE6537A1-D6FC-4f65-9D91-7224C49458BB}">
                <c15:showLeaderLines val="1"/>
              </c:ext>
            </c:extLst>
          </c:dLbls>
          <c:cat>
            <c:strRef>
              <c:f>'Entry Modes'!$A$4:$A$8</c:f>
              <c:strCache>
                <c:ptCount val="5"/>
                <c:pt idx="0">
                  <c:v>Exporting</c:v>
                </c:pt>
                <c:pt idx="1">
                  <c:v>Licensing</c:v>
                </c:pt>
                <c:pt idx="2">
                  <c:v>Franchising</c:v>
                </c:pt>
                <c:pt idx="3">
                  <c:v>Joint Venture</c:v>
                </c:pt>
                <c:pt idx="4">
                  <c:v>Wholly Owned Subsidiary</c:v>
                </c:pt>
              </c:strCache>
            </c:strRef>
          </c:cat>
          <c:val>
            <c:numRef>
              <c:f>'Entry Modes'!$C$4:$C$8</c:f>
              <c:numCache>
                <c:formatCode>General</c:formatCode>
                <c:ptCount val="5"/>
                <c:pt idx="0">
                  <c:v>1</c:v>
                </c:pt>
                <c:pt idx="1">
                  <c:v>1.5</c:v>
                </c:pt>
                <c:pt idx="2">
                  <c:v>2.5</c:v>
                </c:pt>
                <c:pt idx="3">
                  <c:v>3.5</c:v>
                </c:pt>
                <c:pt idx="4">
                  <c:v>5</c:v>
                </c:pt>
              </c:numCache>
            </c:numRef>
          </c:val>
          <c:extLst>
            <c:ext xmlns:c16="http://schemas.microsoft.com/office/drawing/2014/chart" uri="{C3380CC4-5D6E-409C-BE32-E72D297353CC}">
              <c16:uniqueId val="{00000001-9081-4920-9608-FAD094E9F187}"/>
            </c:ext>
          </c:extLst>
        </c:ser>
        <c:ser>
          <c:idx val="2"/>
          <c:order val="2"/>
          <c:tx>
            <c:strRef>
              <c:f>'Entry Modes'!$D$3</c:f>
              <c:strCache>
                <c:ptCount val="1"/>
                <c:pt idx="0">
                  <c:v>Resource commitment</c:v>
                </c:pt>
              </c:strCache>
            </c:strRef>
          </c:tx>
          <c:spPr>
            <a:solidFill>
              <a:srgbClr val="AABAD7"/>
            </a:solidFill>
            <a:ln w="9360">
              <a:solidFill>
                <a:srgbClr val="F9F9F9"/>
              </a:solidFill>
              <a:round/>
            </a:ln>
          </c:spPr>
          <c:invertIfNegative val="0"/>
          <c:dLbls>
            <c:spPr>
              <a:noFill/>
              <a:ln>
                <a:noFill/>
              </a:ln>
              <a:effectLst/>
            </c:spPr>
            <c:showLegendKey val="0"/>
            <c:showVal val="0"/>
            <c:showCatName val="0"/>
            <c:showSerName val="0"/>
            <c:showPercent val="0"/>
            <c:showBubbleSize val="1"/>
            <c:separator> </c:separator>
            <c:showLeaderLines val="0"/>
            <c:extLst>
              <c:ext xmlns:c15="http://schemas.microsoft.com/office/drawing/2012/chart" uri="{CE6537A1-D6FC-4f65-9D91-7224C49458BB}">
                <c15:showLeaderLines val="1"/>
              </c:ext>
            </c:extLst>
          </c:dLbls>
          <c:cat>
            <c:strRef>
              <c:f>'Entry Modes'!$A$4:$A$8</c:f>
              <c:strCache>
                <c:ptCount val="5"/>
                <c:pt idx="0">
                  <c:v>Exporting</c:v>
                </c:pt>
                <c:pt idx="1">
                  <c:v>Licensing</c:v>
                </c:pt>
                <c:pt idx="2">
                  <c:v>Franchising</c:v>
                </c:pt>
                <c:pt idx="3">
                  <c:v>Joint Venture</c:v>
                </c:pt>
                <c:pt idx="4">
                  <c:v>Wholly Owned Subsidiary</c:v>
                </c:pt>
              </c:strCache>
            </c:strRef>
          </c:cat>
          <c:val>
            <c:numRef>
              <c:f>'Entry Modes'!$D$4:$D$8</c:f>
              <c:numCache>
                <c:formatCode>General</c:formatCode>
                <c:ptCount val="5"/>
                <c:pt idx="0">
                  <c:v>1</c:v>
                </c:pt>
                <c:pt idx="1">
                  <c:v>1.5</c:v>
                </c:pt>
                <c:pt idx="2">
                  <c:v>2</c:v>
                </c:pt>
                <c:pt idx="3">
                  <c:v>4</c:v>
                </c:pt>
                <c:pt idx="4">
                  <c:v>5</c:v>
                </c:pt>
              </c:numCache>
            </c:numRef>
          </c:val>
          <c:extLst>
            <c:ext xmlns:c16="http://schemas.microsoft.com/office/drawing/2014/chart" uri="{C3380CC4-5D6E-409C-BE32-E72D297353CC}">
              <c16:uniqueId val="{00000002-9081-4920-9608-FAD094E9F187}"/>
            </c:ext>
          </c:extLst>
        </c:ser>
        <c:dLbls>
          <c:showLegendKey val="0"/>
          <c:showVal val="0"/>
          <c:showCatName val="0"/>
          <c:showSerName val="0"/>
          <c:showPercent val="0"/>
          <c:showBubbleSize val="0"/>
        </c:dLbls>
        <c:gapWidth val="40"/>
        <c:axId val="89310501"/>
        <c:axId val="79167515"/>
      </c:barChart>
      <c:catAx>
        <c:axId val="89310501"/>
        <c:scaling>
          <c:orientation val="minMax"/>
        </c:scaling>
        <c:delete val="0"/>
        <c:axPos val="b"/>
        <c:numFmt formatCode="General" sourceLinked="1"/>
        <c:majorTickMark val="none"/>
        <c:minorTickMark val="none"/>
        <c:tickLblPos val="nextTo"/>
        <c:spPr>
          <a:ln w="9360">
            <a:solidFill>
              <a:srgbClr val="878787"/>
            </a:solidFill>
            <a:round/>
          </a:ln>
        </c:spPr>
        <c:crossAx val="79167515"/>
        <c:crosses val="autoZero"/>
        <c:auto val="1"/>
        <c:lblAlgn val="ctr"/>
        <c:lblOffset val="100"/>
        <c:noMultiLvlLbl val="0"/>
      </c:catAx>
      <c:valAx>
        <c:axId val="79167515"/>
        <c:scaling>
          <c:orientation val="minMax"/>
          <c:max val="6"/>
          <c:min val="0"/>
        </c:scaling>
        <c:delete val="0"/>
        <c:axPos val="l"/>
        <c:majorGridlines>
          <c:spPr>
            <a:ln w="9360">
              <a:solidFill>
                <a:srgbClr val="878787"/>
              </a:solidFill>
              <a:round/>
            </a:ln>
          </c:spPr>
        </c:majorGridlines>
        <c:title>
          <c:tx>
            <c:rich>
              <a:bodyPr rot="-5400000"/>
              <a:lstStyle/>
              <a:p>
                <a:pPr>
                  <a:defRPr/>
                </a:pPr>
                <a:r>
                  <a:rPr lang="en-US"/>
                  <a:t>Relative Index (1=Low, 5=High)</a:t>
                </a:r>
              </a:p>
            </c:rich>
          </c:tx>
          <c:overlay val="0"/>
          <c:spPr>
            <a:noFill/>
            <a:ln w="0">
              <a:noFill/>
            </a:ln>
          </c:spPr>
        </c:title>
        <c:numFmt formatCode="General" sourceLinked="1"/>
        <c:majorTickMark val="none"/>
        <c:minorTickMark val="none"/>
        <c:tickLblPos val="nextTo"/>
        <c:spPr>
          <a:ln w="9360">
            <a:solidFill>
              <a:srgbClr val="878787"/>
            </a:solidFill>
            <a:round/>
          </a:ln>
        </c:spPr>
        <c:crossAx val="89310501"/>
        <c:crosses val="autoZero"/>
        <c:crossBetween val="between"/>
      </c:valAx>
      <c:spPr>
        <a:noFill/>
        <a:ln w="0">
          <a:noFill/>
        </a:ln>
      </c:spPr>
    </c:plotArea>
    <c:legend>
      <c:legendPos val="r"/>
      <c:overlay val="0"/>
      <c:spPr>
        <a:noFill/>
        <a:ln w="0">
          <a:noFill/>
        </a:ln>
      </c:spPr>
    </c:legend>
    <c:plotVisOnly val="1"/>
    <c:dispBlanksAs val="gap"/>
    <c:showDLblsOverMax val="1"/>
  </c:chart>
  <c:spPr>
    <a:solidFill>
      <a:srgbClr val="FFFFFF"/>
    </a:solidFill>
    <a:ln w="9360">
      <a:solidFill>
        <a:srgbClr val="D9D9D9"/>
      </a:solidFill>
      <a:round/>
    </a:ln>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DF804-4361-48DA-9E3B-E8AA5985A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8353</Words>
  <Characters>47613</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2026-07-23T18:54:00Z</dcterms:created>
  <dcterms:modified xsi:type="dcterms:W3CDTF">2026-08-13T09:25:00Z</dcterms:modified>
</cp:coreProperties>
</file>