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4"/>
        <w:gridCol w:w="2419"/>
      </w:tblGrid>
      <w:tr w:rsidR="00B41015" w:rsidRPr="00330917" w14:paraId="68E91064" w14:textId="77777777" w:rsidTr="00B41015">
        <w:trPr>
          <w:trHeight w:val="2706"/>
          <w:jc w:val="center"/>
        </w:trPr>
        <w:tc>
          <w:tcPr>
            <w:tcW w:w="4264" w:type="dxa"/>
            <w:tcBorders>
              <w:top w:val="single" w:sz="4" w:space="0" w:color="auto"/>
              <w:left w:val="single" w:sz="4" w:space="0" w:color="auto"/>
              <w:right w:val="single" w:sz="4" w:space="0" w:color="auto"/>
            </w:tcBorders>
            <w:shd w:val="clear" w:color="auto" w:fill="auto"/>
          </w:tcPr>
          <w:p w14:paraId="05DBFCD0" w14:textId="77777777" w:rsidR="00B41015" w:rsidRPr="000A7D84" w:rsidRDefault="00B41015" w:rsidP="004E21C4">
            <w:pPr>
              <w:rPr>
                <w:rFonts w:cs="Times New Roman"/>
                <w:b/>
                <w:bCs/>
                <w:i/>
                <w:iCs/>
                <w:color w:val="BFBFBF" w:themeColor="background1" w:themeShade="BF"/>
                <w:sz w:val="22"/>
              </w:rPr>
            </w:pPr>
            <w:r w:rsidRPr="000A7D84">
              <w:rPr>
                <w:rFonts w:eastAsia="Times New Roman" w:cs="Times New Roman"/>
                <w:b/>
                <w:bCs/>
                <w:color w:val="auto"/>
                <w:sz w:val="22"/>
              </w:rPr>
              <w:t>Student Name:</w:t>
            </w:r>
            <w:r>
              <w:rPr>
                <w:rFonts w:eastAsia="Times New Roman" w:cs="Times New Roman"/>
                <w:b/>
                <w:bCs/>
                <w:color w:val="auto"/>
                <w:sz w:val="22"/>
              </w:rPr>
              <w:t xml:space="preserve"> Tanya Gue Ferreira Amaro</w:t>
            </w:r>
          </w:p>
          <w:p w14:paraId="637E6D22" w14:textId="77777777" w:rsidR="00B41015" w:rsidRPr="000A7D84" w:rsidRDefault="00B41015" w:rsidP="004E21C4">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Pr>
                <w:rFonts w:cs="Times New Roman"/>
                <w:b/>
                <w:bCs/>
                <w:sz w:val="22"/>
                <w:lang w:val="en-AU"/>
              </w:rPr>
              <w:t xml:space="preserve"> 2209539</w:t>
            </w:r>
          </w:p>
          <w:p w14:paraId="042DACB0" w14:textId="77777777" w:rsidR="00B41015" w:rsidRPr="000A7D84" w:rsidRDefault="00B41015" w:rsidP="004E21C4">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Pr>
                <w:rFonts w:cs="Times New Roman"/>
                <w:b/>
                <w:bCs/>
                <w:color w:val="auto"/>
                <w:sz w:val="22"/>
                <w:lang w:val="en-AU"/>
              </w:rPr>
              <w:t xml:space="preserve"> Foreign Languages &amp;cultural Awareness</w:t>
            </w:r>
          </w:p>
          <w:p w14:paraId="67468EA9" w14:textId="77777777" w:rsidR="00B41015" w:rsidRPr="000A7D84" w:rsidRDefault="00B41015" w:rsidP="004E21C4">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Pr>
                <w:rFonts w:cs="Times New Roman"/>
                <w:b/>
                <w:bCs/>
                <w:color w:val="auto"/>
                <w:sz w:val="22"/>
                <w:lang w:val="en-AU"/>
              </w:rPr>
              <w:t xml:space="preserve"> BMIH5003</w:t>
            </w:r>
          </w:p>
          <w:p w14:paraId="18DBE87A" w14:textId="77777777" w:rsidR="00B41015" w:rsidRPr="001E52F4" w:rsidRDefault="00B41015" w:rsidP="004E21C4">
            <w:pPr>
              <w:keepNext/>
              <w:spacing w:before="120" w:after="0" w:line="276" w:lineRule="auto"/>
              <w:rPr>
                <w:rFonts w:cs="Times New Roman"/>
                <w:b/>
                <w:bCs/>
                <w:color w:val="auto"/>
                <w:sz w:val="22"/>
                <w:lang w:val="en-AU"/>
              </w:rPr>
            </w:pPr>
            <w:r w:rsidRPr="000A7D84">
              <w:rPr>
                <w:rFonts w:eastAsia="Times New Roman" w:cs="Times New Roman"/>
                <w:b/>
                <w:bCs/>
                <w:color w:val="auto"/>
                <w:sz w:val="22"/>
                <w:lang w:val="en-AU"/>
              </w:rPr>
              <w:t>Lecturer:</w:t>
            </w:r>
            <w:r>
              <w:rPr>
                <w:rFonts w:cs="Times New Roman"/>
                <w:b/>
                <w:bCs/>
                <w:color w:val="auto"/>
                <w:sz w:val="22"/>
                <w:lang w:val="en-AU"/>
              </w:rPr>
              <w:t xml:space="preserve"> Lisa </w:t>
            </w:r>
            <w:proofErr w:type="spellStart"/>
            <w:r>
              <w:rPr>
                <w:rFonts w:cs="Times New Roman"/>
                <w:b/>
                <w:bCs/>
                <w:color w:val="auto"/>
                <w:sz w:val="22"/>
                <w:lang w:val="en-AU"/>
              </w:rPr>
              <w:t>Bassler</w:t>
            </w:r>
            <w:proofErr w:type="spellEnd"/>
            <w:r>
              <w:rPr>
                <w:rFonts w:cs="Times New Roman"/>
                <w:b/>
                <w:bCs/>
                <w:color w:val="auto"/>
                <w:sz w:val="22"/>
                <w:lang w:val="en-AU"/>
              </w:rPr>
              <w:t xml:space="preserve">, Heidi </w:t>
            </w:r>
            <w:proofErr w:type="spellStart"/>
            <w:r>
              <w:rPr>
                <w:rFonts w:cs="Times New Roman"/>
                <w:b/>
                <w:bCs/>
                <w:color w:val="auto"/>
                <w:sz w:val="22"/>
                <w:lang w:val="en-AU"/>
              </w:rPr>
              <w:t>Prosser</w:t>
            </w:r>
            <w:proofErr w:type="spellEnd"/>
          </w:p>
          <w:p w14:paraId="0260DAF0" w14:textId="47724632" w:rsidR="00B41015" w:rsidRDefault="00B41015" w:rsidP="00602C4B">
            <w:pPr>
              <w:keepNext/>
              <w:spacing w:before="120" w:after="0" w:line="276" w:lineRule="auto"/>
              <w:rPr>
                <w:rFonts w:asciiTheme="minorHAnsi" w:hAnsiTheme="minorHAnsi"/>
                <w:b/>
                <w:bCs/>
                <w:noProof/>
              </w:rPr>
            </w:pPr>
            <w:r w:rsidRPr="000A7D84">
              <w:rPr>
                <w:rFonts w:cs="Times New Roman"/>
                <w:b/>
                <w:bCs/>
                <w:noProof/>
                <w:sz w:val="22"/>
              </w:rPr>
              <w:t>Date:</w:t>
            </w:r>
            <w:r>
              <w:rPr>
                <w:rFonts w:cs="Times New Roman"/>
                <w:b/>
                <w:bCs/>
                <w:noProof/>
                <w:sz w:val="22"/>
              </w:rPr>
              <w:t xml:space="preserve"> 02/01/2024</w:t>
            </w:r>
          </w:p>
        </w:tc>
        <w:tc>
          <w:tcPr>
            <w:tcW w:w="2419"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B41015" w:rsidRPr="00675DCB" w:rsidRDefault="00B41015" w:rsidP="00675DCB">
            <w:pPr>
              <w:keepNext/>
              <w:spacing w:before="120" w:after="0" w:line="276" w:lineRule="auto"/>
              <w:rPr>
                <w:rFonts w:ascii="Arial" w:eastAsia="Times New Roman" w:hAnsi="Arial" w:cs="Times New Roman"/>
                <w:b/>
                <w:bCs/>
                <w:color w:val="auto"/>
                <w:sz w:val="20"/>
                <w:szCs w:val="20"/>
              </w:rPr>
            </w:pPr>
            <w:r w:rsidRPr="00675DCB">
              <w:rPr>
                <w:b/>
                <w:bCs/>
                <w:noProof/>
                <w:lang w:eastAsia="en-GB"/>
              </w:rPr>
              <w:drawing>
                <wp:anchor distT="0" distB="0" distL="114300" distR="114300" simplePos="0" relativeHeight="251663360"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B41015">
        <w:trPr>
          <w:trHeight w:val="1737"/>
          <w:jc w:val="center"/>
        </w:trPr>
        <w:tc>
          <w:tcPr>
            <w:tcW w:w="6683"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B41015">
        <w:trPr>
          <w:trHeight w:val="2020"/>
          <w:jc w:val="center"/>
        </w:trPr>
        <w:tc>
          <w:tcPr>
            <w:tcW w:w="6683"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B41015">
        <w:trPr>
          <w:trHeight w:val="2706"/>
          <w:jc w:val="center"/>
        </w:trPr>
        <w:tc>
          <w:tcPr>
            <w:tcW w:w="6683" w:type="dxa"/>
            <w:gridSpan w:val="2"/>
            <w:tcBorders>
              <w:top w:val="single" w:sz="4" w:space="0" w:color="auto"/>
              <w:left w:val="single" w:sz="4" w:space="0" w:color="auto"/>
              <w:right w:val="single" w:sz="4" w:space="0" w:color="auto"/>
            </w:tcBorders>
            <w:shd w:val="clear" w:color="auto" w:fill="auto"/>
          </w:tcPr>
          <w:p w14:paraId="4A24E179" w14:textId="77777777" w:rsidR="00757438" w:rsidRDefault="00757438" w:rsidP="00757438">
            <w:pPr>
              <w:pStyle w:val="Heading1"/>
            </w:pPr>
            <w:r>
              <w:t xml:space="preserve">Component 1: </w:t>
            </w:r>
            <w:r w:rsidRPr="006670A8">
              <w:t>Professional Reflection</w:t>
            </w:r>
          </w:p>
          <w:p w14:paraId="03EAC04B" w14:textId="77777777" w:rsidR="00757438" w:rsidRDefault="00757438" w:rsidP="00757438">
            <w:pPr>
              <w:pStyle w:val="Heading2"/>
            </w:pPr>
            <w:r>
              <w:t>Scenario and Explanation</w:t>
            </w:r>
          </w:p>
          <w:p w14:paraId="5FDFAED9" w14:textId="7053ABB9" w:rsidR="00757438" w:rsidRPr="00C74E8B" w:rsidRDefault="00757438" w:rsidP="00757438">
            <w:pPr>
              <w:spacing w:after="0" w:line="480" w:lineRule="auto"/>
              <w:ind w:firstLine="720"/>
              <w:jc w:val="both"/>
              <w:rPr>
                <w:rFonts w:cs="Times New Roman"/>
                <w:szCs w:val="24"/>
              </w:rPr>
            </w:pPr>
            <w:r w:rsidRPr="00780418">
              <w:rPr>
                <w:rFonts w:cs="Times New Roman"/>
                <w:szCs w:val="24"/>
              </w:rPr>
              <w:t>Sarah, a long-time food service worker, was faced with a cultural clash between a celebrity guest and an employee at an elegant hotel café. The scheduling method did not take into account the special dietary needs of non-traditional guests. Sarah also learned that the visitor did not speak English dur</w:t>
            </w:r>
            <w:r>
              <w:rPr>
                <w:rFonts w:cs="Times New Roman"/>
                <w:szCs w:val="24"/>
              </w:rPr>
              <w:t>ing the conversation. Due to</w:t>
            </w:r>
            <w:r w:rsidRPr="00780418">
              <w:rPr>
                <w:rFonts w:cs="Times New Roman"/>
                <w:szCs w:val="24"/>
              </w:rPr>
              <w:t xml:space="preserve"> the loud conversation, it was difficult to determine what the guest could not eat, so a dinner was </w:t>
            </w:r>
            <w:r>
              <w:rPr>
                <w:rFonts w:cs="Times New Roman"/>
                <w:szCs w:val="24"/>
              </w:rPr>
              <w:t xml:space="preserve">prepared that she did not like. </w:t>
            </w:r>
            <w:r w:rsidRPr="00780418">
              <w:rPr>
                <w:rFonts w:cs="Times New Roman"/>
                <w:szCs w:val="24"/>
              </w:rPr>
              <w:t>T</w:t>
            </w:r>
            <w:r w:rsidR="00107742">
              <w:rPr>
                <w:rFonts w:cs="Times New Roman"/>
                <w:szCs w:val="24"/>
              </w:rPr>
              <w:t>he speaker emphasis</w:t>
            </w:r>
            <w:r w:rsidRPr="00780418">
              <w:rPr>
                <w:rFonts w:cs="Times New Roman"/>
                <w:szCs w:val="24"/>
              </w:rPr>
              <w:t>ed how important it is to understand linguistic and cultural differences in the hospitality industry and how mistakes are likely to be made in such serious situations. Binns, Stamm, and Etcheberry (2020) say this story shows how important it is to understand and accept cultural differences in order to be welcoming and inclusive.</w:t>
            </w:r>
          </w:p>
          <w:p w14:paraId="23439E1D" w14:textId="77777777" w:rsidR="00757438" w:rsidRPr="007643D3" w:rsidRDefault="00757438" w:rsidP="00757438">
            <w:pPr>
              <w:spacing w:after="0" w:line="480" w:lineRule="auto"/>
              <w:ind w:firstLine="720"/>
              <w:jc w:val="both"/>
              <w:rPr>
                <w:rFonts w:cs="Times New Roman"/>
                <w:szCs w:val="24"/>
              </w:rPr>
            </w:pPr>
            <w:r>
              <w:rPr>
                <w:rFonts w:cs="Times New Roman"/>
                <w:szCs w:val="24"/>
              </w:rPr>
              <w:t>This case</w:t>
            </w:r>
            <w:r w:rsidRPr="007643D3">
              <w:rPr>
                <w:rFonts w:cs="Times New Roman"/>
                <w:szCs w:val="24"/>
              </w:rPr>
              <w:t xml:space="preserve"> shows how problematic cultural differences and audio issues can be. This false belief can damage a hotel's reputation and anger customers in the food and beverage industry, where inventory is critical. This show is about how people working in food and drink need to understand different cultures and phonetics. To serve a diverse group of customers, hotel staff must be able to communicate with people from different backgrounds and in different languages. To avoid such mistakes, people working in the food service industry must improve their language skills and cultural understanding.</w:t>
            </w:r>
          </w:p>
          <w:p w14:paraId="74158BDC" w14:textId="77777777" w:rsidR="00757438" w:rsidRPr="00C74E8B" w:rsidRDefault="00757438" w:rsidP="00757438">
            <w:pPr>
              <w:spacing w:after="0" w:line="480" w:lineRule="auto"/>
              <w:ind w:firstLine="720"/>
              <w:jc w:val="both"/>
              <w:rPr>
                <w:rFonts w:cs="Times New Roman"/>
                <w:szCs w:val="24"/>
              </w:rPr>
            </w:pPr>
            <w:r w:rsidRPr="007643D3">
              <w:rPr>
                <w:rFonts w:cs="Times New Roman"/>
                <w:szCs w:val="24"/>
              </w:rPr>
              <w:t>Working with someone from a different culture can be difficult. Sarah'</w:t>
            </w:r>
            <w:r>
              <w:rPr>
                <w:rFonts w:cs="Times New Roman"/>
                <w:szCs w:val="24"/>
              </w:rPr>
              <w:t>s experience should wake employees up</w:t>
            </w:r>
            <w:r w:rsidRPr="00C74E8B">
              <w:rPr>
                <w:rFonts w:cs="Times New Roman"/>
                <w:szCs w:val="24"/>
              </w:rPr>
              <w:t>. This includes the importance of ongoing training and a conscious effort to offer industry workers the information and skills to cope with cultural and acoustic sensitivities and provide customers with a wonderful, stress-free experience (Chen et al., 2021).</w:t>
            </w:r>
          </w:p>
          <w:p w14:paraId="79A36224" w14:textId="77777777" w:rsidR="00757438" w:rsidRPr="00C74E8B" w:rsidRDefault="00757438" w:rsidP="00757438">
            <w:pPr>
              <w:pStyle w:val="Heading2"/>
              <w:spacing w:before="0"/>
              <w:jc w:val="both"/>
              <w:rPr>
                <w:rFonts w:cs="Times New Roman"/>
                <w:szCs w:val="24"/>
              </w:rPr>
            </w:pPr>
            <w:r w:rsidRPr="00C74E8B">
              <w:rPr>
                <w:rFonts w:cs="Times New Roman"/>
                <w:szCs w:val="24"/>
              </w:rPr>
              <w:t>Personal Reflection</w:t>
            </w:r>
          </w:p>
          <w:p w14:paraId="0BF8FC96" w14:textId="2842C666" w:rsidR="00757438" w:rsidRPr="00C74E8B" w:rsidRDefault="00757438" w:rsidP="00757438">
            <w:pPr>
              <w:spacing w:after="0" w:line="480" w:lineRule="auto"/>
              <w:ind w:firstLine="720"/>
              <w:jc w:val="both"/>
              <w:rPr>
                <w:rFonts w:cs="Times New Roman"/>
                <w:szCs w:val="24"/>
              </w:rPr>
            </w:pPr>
            <w:r w:rsidRPr="00C74E8B">
              <w:rPr>
                <w:rFonts w:cs="Times New Roman"/>
                <w:szCs w:val="24"/>
              </w:rPr>
              <w:t>Having encountered cultural misunderstandings during my Level 4 café experience, I can attest to the need for language and cultural skills to provide excellent care. To prevent similar miscon</w:t>
            </w:r>
            <w:r w:rsidR="00107742">
              <w:rPr>
                <w:rFonts w:cs="Times New Roman"/>
                <w:szCs w:val="24"/>
              </w:rPr>
              <w:t>ceptions in the future, I realis</w:t>
            </w:r>
            <w:r w:rsidRPr="00C74E8B">
              <w:rPr>
                <w:rFonts w:cs="Times New Roman"/>
                <w:szCs w:val="24"/>
              </w:rPr>
              <w:t>ed that I wanted to improve some skills. The ability to freel</w:t>
            </w:r>
            <w:r>
              <w:rPr>
                <w:rFonts w:cs="Times New Roman"/>
                <w:szCs w:val="24"/>
              </w:rPr>
              <w:t>y express</w:t>
            </w:r>
            <w:r w:rsidRPr="00C74E8B">
              <w:rPr>
                <w:rFonts w:cs="Times New Roman"/>
                <w:szCs w:val="24"/>
              </w:rPr>
              <w:t xml:space="preserve"> thoughts in objective language is important in this unique situation. I planned to further develop my language skills, especially those related to the dialects spoken by hotel guests around the world, as I value consistency and understand the difficulties that can ar</w:t>
            </w:r>
            <w:r>
              <w:rPr>
                <w:rFonts w:cs="Times New Roman"/>
                <w:szCs w:val="24"/>
              </w:rPr>
              <w:t>ise due to language barriers. T</w:t>
            </w:r>
            <w:r w:rsidRPr="00C74E8B">
              <w:rPr>
                <w:rFonts w:cs="Times New Roman"/>
                <w:szCs w:val="24"/>
              </w:rPr>
              <w:t>his safety measure</w:t>
            </w:r>
            <w:r>
              <w:rPr>
                <w:rFonts w:cs="Times New Roman"/>
                <w:szCs w:val="24"/>
              </w:rPr>
              <w:t xml:space="preserve"> is taken</w:t>
            </w:r>
            <w:r w:rsidRPr="00C74E8B">
              <w:rPr>
                <w:rFonts w:cs="Times New Roman"/>
                <w:szCs w:val="24"/>
              </w:rPr>
              <w:t xml:space="preserve"> to reduce the chance of misunderstandings and make every guest part of a delightful dining experience. Feeling the need for a cultural response, I also try to expand my understanding of the various achievements of humanity. To prepare for this, I need to learn about other ways different communities connect, eat, and celebrate. Knowing and und</w:t>
            </w:r>
            <w:r>
              <w:rPr>
                <w:rFonts w:cs="Times New Roman"/>
                <w:szCs w:val="24"/>
              </w:rPr>
              <w:t>erstanding these subtleties would</w:t>
            </w:r>
            <w:r w:rsidRPr="00C74E8B">
              <w:rPr>
                <w:rFonts w:cs="Times New Roman"/>
                <w:szCs w:val="24"/>
              </w:rPr>
              <w:t xml:space="preserve"> allow me to thoroughly identify any misconceptions, which is very important to me as I need to create an inclusive and inviting atmosphere for visitors from a variety of cultural backgrounds. It also becomes clear that effective listening is important to my procedure. Gürlek and Tuna, (2019) evaluates that by effectively paying attention to visitors and seeking clarification when necessary, I can try to avoid raising suspicions that could lead to misconceptions. By facilitating more efficient correspondence and demonstrating a commitment to providing culturally sensitive and pers</w:t>
            </w:r>
            <w:r w:rsidR="00107742">
              <w:rPr>
                <w:rFonts w:cs="Times New Roman"/>
                <w:szCs w:val="24"/>
              </w:rPr>
              <w:t>onalis</w:t>
            </w:r>
            <w:r w:rsidRPr="00C74E8B">
              <w:rPr>
                <w:rFonts w:cs="Times New Roman"/>
                <w:szCs w:val="24"/>
              </w:rPr>
              <w:t>ed assistance, these technologies further improve the overall customer experience.</w:t>
            </w:r>
          </w:p>
          <w:p w14:paraId="139AE4AB" w14:textId="0D83F596" w:rsidR="00085A4E" w:rsidRDefault="00085A4E" w:rsidP="007C2128">
            <w:pPr>
              <w:rPr>
                <w:b/>
                <w:bCs/>
                <w:sz w:val="28"/>
                <w:szCs w:val="24"/>
              </w:rPr>
            </w:pPr>
          </w:p>
          <w:p w14:paraId="1A713351" w14:textId="725D96A2" w:rsidR="00757438" w:rsidRDefault="00757438" w:rsidP="007C2128">
            <w:pPr>
              <w:rPr>
                <w:b/>
                <w:bCs/>
                <w:sz w:val="28"/>
                <w:szCs w:val="24"/>
              </w:rPr>
            </w:pPr>
          </w:p>
          <w:p w14:paraId="0B68CA87" w14:textId="4820CAE1" w:rsidR="00757438" w:rsidRDefault="00757438" w:rsidP="007C2128">
            <w:pPr>
              <w:rPr>
                <w:b/>
                <w:bCs/>
                <w:sz w:val="28"/>
                <w:szCs w:val="24"/>
              </w:rPr>
            </w:pPr>
          </w:p>
          <w:p w14:paraId="2D13F394" w14:textId="15E1832C" w:rsidR="00757438" w:rsidRDefault="00757438" w:rsidP="007C2128">
            <w:pPr>
              <w:rPr>
                <w:b/>
                <w:bCs/>
                <w:sz w:val="28"/>
                <w:szCs w:val="24"/>
              </w:rPr>
            </w:pPr>
          </w:p>
          <w:p w14:paraId="0771F1D3" w14:textId="77777777" w:rsidR="00757438" w:rsidRDefault="00757438"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0165466E" w14:textId="77777777" w:rsidR="005C77A4" w:rsidRDefault="005C77A4" w:rsidP="007C2128">
            <w:pPr>
              <w:rPr>
                <w:b/>
                <w:bCs/>
                <w:sz w:val="28"/>
                <w:szCs w:val="24"/>
              </w:rPr>
            </w:pPr>
          </w:p>
          <w:p w14:paraId="5246EBBA" w14:textId="77777777" w:rsidR="00757438" w:rsidRPr="00757438" w:rsidRDefault="00757438" w:rsidP="00757438">
            <w:pPr>
              <w:spacing w:after="0" w:line="480" w:lineRule="auto"/>
              <w:ind w:left="720" w:hanging="720"/>
              <w:rPr>
                <w:rFonts w:eastAsia="Calibri" w:cs="Times New Roman"/>
                <w:color w:val="auto"/>
                <w:szCs w:val="24"/>
                <w:lang w:val="en-US"/>
              </w:rPr>
            </w:pPr>
            <w:r w:rsidRPr="00757438">
              <w:rPr>
                <w:rFonts w:eastAsia="Calibri" w:cs="Times New Roman"/>
                <w:color w:val="auto"/>
                <w:szCs w:val="24"/>
                <w:lang w:val="en-US"/>
              </w:rPr>
              <w:t>Binns, H.K., Stamm, B.V. and Etcheberry, M., 2020. Nurturing People and Culture. In </w:t>
            </w:r>
            <w:r w:rsidRPr="00757438">
              <w:rPr>
                <w:rFonts w:eastAsia="Calibri" w:cs="Times New Roman"/>
                <w:i/>
                <w:iCs/>
                <w:color w:val="auto"/>
                <w:szCs w:val="24"/>
                <w:lang w:val="en-US"/>
              </w:rPr>
              <w:t>Secrets of Working Across Five Continents: Thriving Through the Power of Cultural Diversity</w:t>
            </w:r>
            <w:r w:rsidRPr="00757438">
              <w:rPr>
                <w:rFonts w:eastAsia="Calibri" w:cs="Times New Roman"/>
                <w:color w:val="auto"/>
                <w:szCs w:val="24"/>
                <w:lang w:val="en-US"/>
              </w:rPr>
              <w:t> (pp. 91-151). Emerald Publishing Limited.</w:t>
            </w:r>
          </w:p>
          <w:p w14:paraId="05CE1950" w14:textId="77777777" w:rsidR="00757438" w:rsidRPr="00757438" w:rsidRDefault="00757438" w:rsidP="00757438">
            <w:pPr>
              <w:spacing w:after="0" w:line="480" w:lineRule="auto"/>
              <w:ind w:left="720" w:hanging="720"/>
              <w:rPr>
                <w:rFonts w:eastAsia="Calibri" w:cs="Times New Roman"/>
                <w:color w:val="auto"/>
                <w:szCs w:val="24"/>
                <w:lang w:val="en-US"/>
              </w:rPr>
            </w:pPr>
            <w:r w:rsidRPr="00757438">
              <w:rPr>
                <w:rFonts w:eastAsia="Calibri" w:cs="Times New Roman"/>
                <w:color w:val="auto"/>
                <w:szCs w:val="24"/>
                <w:lang w:val="en-US"/>
              </w:rPr>
              <w:t xml:space="preserve">Chen, M., Ran, B., Gao, X., Yu, G., Wang, J. and </w:t>
            </w:r>
            <w:proofErr w:type="spellStart"/>
            <w:r w:rsidRPr="00757438">
              <w:rPr>
                <w:rFonts w:eastAsia="Calibri" w:cs="Times New Roman"/>
                <w:color w:val="auto"/>
                <w:szCs w:val="24"/>
                <w:lang w:val="en-US"/>
              </w:rPr>
              <w:t>Jagannathan</w:t>
            </w:r>
            <w:proofErr w:type="spellEnd"/>
            <w:r w:rsidRPr="00757438">
              <w:rPr>
                <w:rFonts w:eastAsia="Calibri" w:cs="Times New Roman"/>
                <w:color w:val="auto"/>
                <w:szCs w:val="24"/>
                <w:lang w:val="en-US"/>
              </w:rPr>
              <w:t>, J., 2021. Evaluation of occupational stress management for improving performance and productivity at workplaces by monitoring the health, well-being of workers. Aggression and Violent Behavior, p.101713.</w:t>
            </w:r>
          </w:p>
          <w:p w14:paraId="4EADC444" w14:textId="77777777" w:rsidR="00757438" w:rsidRPr="00757438" w:rsidRDefault="00757438" w:rsidP="00757438">
            <w:pPr>
              <w:spacing w:after="0" w:line="480" w:lineRule="auto"/>
              <w:ind w:left="720" w:hanging="720"/>
              <w:rPr>
                <w:rFonts w:eastAsia="Calibri" w:cs="Times New Roman"/>
                <w:color w:val="auto"/>
                <w:szCs w:val="24"/>
                <w:lang w:val="en-US"/>
              </w:rPr>
            </w:pPr>
            <w:r w:rsidRPr="00757438">
              <w:rPr>
                <w:rFonts w:eastAsia="Calibri" w:cs="Times New Roman"/>
                <w:color w:val="auto"/>
                <w:szCs w:val="24"/>
                <w:lang w:val="en-US"/>
              </w:rPr>
              <w:t>Gürlek, M. and Tuna, M., 2019. Corporate social responsibility and work engagement: Evidence from the hotel industry. </w:t>
            </w:r>
            <w:r w:rsidRPr="00757438">
              <w:rPr>
                <w:rFonts w:eastAsia="Calibri" w:cs="Times New Roman"/>
                <w:i/>
                <w:iCs/>
                <w:color w:val="auto"/>
                <w:szCs w:val="24"/>
                <w:lang w:val="en-US"/>
              </w:rPr>
              <w:t>Tourism Management Perspectives</w:t>
            </w:r>
            <w:r w:rsidRPr="00757438">
              <w:rPr>
                <w:rFonts w:eastAsia="Calibri" w:cs="Times New Roman"/>
                <w:color w:val="auto"/>
                <w:szCs w:val="24"/>
                <w:lang w:val="en-US"/>
              </w:rPr>
              <w:t>, </w:t>
            </w:r>
            <w:r w:rsidRPr="00757438">
              <w:rPr>
                <w:rFonts w:eastAsia="Calibri" w:cs="Times New Roman"/>
                <w:i/>
                <w:iCs/>
                <w:color w:val="auto"/>
                <w:szCs w:val="24"/>
                <w:lang w:val="en-US"/>
              </w:rPr>
              <w:t>31</w:t>
            </w:r>
            <w:r w:rsidRPr="00757438">
              <w:rPr>
                <w:rFonts w:eastAsia="Calibri" w:cs="Times New Roman"/>
                <w:color w:val="auto"/>
                <w:szCs w:val="24"/>
                <w:lang w:val="en-US"/>
              </w:rPr>
              <w:t>, pp.195-208.</w:t>
            </w: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6B452404" w14:textId="1242A99F" w:rsidR="00B3346C" w:rsidRDefault="00B3346C" w:rsidP="005C77A4">
            <w:pPr>
              <w:rPr>
                <w:b/>
                <w:bCs/>
                <w:i/>
                <w:iCs/>
                <w:color w:val="BFBFBF" w:themeColor="background1" w:themeShade="BF"/>
                <w:sz w:val="28"/>
                <w:szCs w:val="24"/>
              </w:rPr>
            </w:pPr>
          </w:p>
          <w:p w14:paraId="36C029D2" w14:textId="77777777" w:rsidR="00A135A5" w:rsidRPr="00A135A5" w:rsidRDefault="00A135A5" w:rsidP="005C77A4">
            <w:pPr>
              <w:rPr>
                <w:b/>
                <w:bCs/>
                <w:i/>
                <w:iCs/>
                <w:color w:val="BFBFBF" w:themeColor="background1" w:themeShade="BF"/>
                <w:sz w:val="28"/>
                <w:szCs w:val="24"/>
              </w:rPr>
            </w:pP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3DFF342F" w14:textId="77777777" w:rsidR="008B7485" w:rsidRPr="00EE1A91" w:rsidRDefault="008B7485" w:rsidP="008B7485">
            <w:pPr>
              <w:pStyle w:val="Heading2"/>
            </w:pPr>
            <w:r w:rsidRPr="00EE1A91">
              <w:t>Why: Developing Cultural Competency for Exceptional Care</w:t>
            </w:r>
          </w:p>
          <w:p w14:paraId="0281B596" w14:textId="77777777" w:rsidR="008B7485" w:rsidRPr="00EE1A91" w:rsidRDefault="008B7485" w:rsidP="008B7485">
            <w:pPr>
              <w:spacing w:after="0" w:line="480" w:lineRule="auto"/>
              <w:ind w:firstLine="720"/>
              <w:jc w:val="both"/>
              <w:rPr>
                <w:rFonts w:cs="Times New Roman"/>
                <w:szCs w:val="24"/>
              </w:rPr>
            </w:pPr>
            <w:r w:rsidRPr="00B72A43">
              <w:rPr>
                <w:rFonts w:cs="Times New Roman"/>
                <w:szCs w:val="24"/>
              </w:rPr>
              <w:t>As part of Arrangement Inn's Level 4 Food and Beverage Department training, employees learn to be culturally competent so they can provide excellent service. Language skills, cultural awareness, and comprehensive care are key to excellent treatment in the program. This strategic plan takes into account the hotel's global guests and the need to train staff in communication and customer service. The programmes’ emphasis on language skills can help food service workers feel more confident speaking different languages. Cross-linguistics is provided through lively and interesting activities such as bilingual role-plays, conversations with native speakers, and local language lessons. Having fun learning a language or a country will help you understand what tourists want. The educational programme provides staff with the cultural competency and information they need to provide individualised, culturally sensitive care. This comprehensive approach shows that the hotel is committed to providing excellent service in all languages and countries, as well as providing an individual approach to each guest.</w:t>
            </w:r>
          </w:p>
          <w:p w14:paraId="451FEC0C" w14:textId="77777777" w:rsidR="008B7485" w:rsidRPr="00EE1A91" w:rsidRDefault="008B7485" w:rsidP="008B7485">
            <w:pPr>
              <w:pStyle w:val="Heading2"/>
            </w:pPr>
            <w:r w:rsidRPr="00EE1A91">
              <w:t>What: Components of the Training Program</w:t>
            </w:r>
          </w:p>
          <w:p w14:paraId="74AF56CF" w14:textId="77777777" w:rsidR="008B7485" w:rsidRPr="00EE1A91" w:rsidRDefault="008B7485" w:rsidP="008B7485">
            <w:pPr>
              <w:spacing w:after="0" w:line="480" w:lineRule="auto"/>
              <w:ind w:firstLine="720"/>
              <w:jc w:val="both"/>
              <w:rPr>
                <w:rFonts w:cs="Times New Roman"/>
                <w:szCs w:val="24"/>
              </w:rPr>
            </w:pPr>
            <w:r w:rsidRPr="00B72A43">
              <w:rPr>
                <w:rFonts w:cs="Times New Roman"/>
                <w:szCs w:val="24"/>
              </w:rPr>
              <w:t>Hyter and Salas-Provance (2021) stress how important it is to be sensitive to different cultures and speak different languages when it comes to engaging and valuing visitors. To show this, the training schedule has master classes with singers who are important to the culture. These workshops cover a wide range of topics, such as national habits, cooking ideas and skills, and more. Cultural understanding training might help workers eat better, learn more about other cultures, and be exposed to more of them. This training approach will teach employees the basic cultural skills they need to meet the need</w:t>
            </w:r>
            <w:r>
              <w:rPr>
                <w:rFonts w:cs="Times New Roman"/>
                <w:szCs w:val="24"/>
              </w:rPr>
              <w:t>s of a wide group of customers</w:t>
            </w:r>
            <w:r w:rsidRPr="00EE1A91">
              <w:rPr>
                <w:rFonts w:cs="Times New Roman"/>
                <w:szCs w:val="24"/>
              </w:rPr>
              <w:t>.</w:t>
            </w:r>
          </w:p>
          <w:p w14:paraId="05A23ADD" w14:textId="77777777" w:rsidR="008B7485" w:rsidRPr="00EE1A91" w:rsidRDefault="008B7485" w:rsidP="008B7485">
            <w:pPr>
              <w:pStyle w:val="Heading2"/>
            </w:pPr>
            <w:r w:rsidRPr="00EE1A91">
              <w:t>Who: Target Audience and Participants</w:t>
            </w:r>
          </w:p>
          <w:p w14:paraId="3BB8E6E9" w14:textId="30E0FC4A" w:rsidR="008B7485" w:rsidRPr="00EE1A91" w:rsidRDefault="008B7485" w:rsidP="008B7485">
            <w:pPr>
              <w:spacing w:after="0" w:line="480" w:lineRule="auto"/>
              <w:ind w:firstLine="720"/>
              <w:jc w:val="both"/>
              <w:rPr>
                <w:rFonts w:cs="Times New Roman"/>
                <w:szCs w:val="24"/>
              </w:rPr>
            </w:pPr>
            <w:r w:rsidRPr="00B72A43">
              <w:rPr>
                <w:rFonts w:cs="Times New Roman"/>
                <w:szCs w:val="24"/>
              </w:rPr>
              <w:t xml:space="preserve">This training program is designed for Level 4 </w:t>
            </w:r>
            <w:r w:rsidR="00107742">
              <w:rPr>
                <w:rFonts w:cs="Times New Roman"/>
                <w:szCs w:val="24"/>
              </w:rPr>
              <w:t>motel food and beverage staff. This expansive approach recognis</w:t>
            </w:r>
            <w:r w:rsidRPr="00B72A43">
              <w:rPr>
                <w:rFonts w:cs="Times New Roman"/>
                <w:szCs w:val="24"/>
              </w:rPr>
              <w:t xml:space="preserve">es the importance of a team of waiters, cooks and service staff to </w:t>
            </w:r>
            <w:r>
              <w:rPr>
                <w:rFonts w:cs="Times New Roman"/>
                <w:szCs w:val="24"/>
              </w:rPr>
              <w:t>provide exceptional hospitality</w:t>
            </w:r>
            <w:r w:rsidRPr="00EE1A91">
              <w:rPr>
                <w:rFonts w:cs="Times New Roman"/>
                <w:szCs w:val="24"/>
              </w:rPr>
              <w:t>.</w:t>
            </w:r>
          </w:p>
          <w:p w14:paraId="3F7F3C15" w14:textId="77777777" w:rsidR="008B7485" w:rsidRPr="00EE1A91" w:rsidRDefault="008B7485" w:rsidP="008B7485">
            <w:pPr>
              <w:pStyle w:val="Heading2"/>
            </w:pPr>
            <w:r w:rsidRPr="00EE1A91">
              <w:t>Where: Practical Implementation Locations</w:t>
            </w:r>
          </w:p>
          <w:p w14:paraId="0F30B764" w14:textId="77777777" w:rsidR="008B7485" w:rsidRPr="00EE1A91" w:rsidRDefault="008B7485" w:rsidP="008B7485">
            <w:pPr>
              <w:spacing w:after="0" w:line="480" w:lineRule="auto"/>
              <w:ind w:firstLine="720"/>
              <w:jc w:val="both"/>
              <w:rPr>
                <w:rFonts w:cs="Times New Roman"/>
                <w:szCs w:val="24"/>
              </w:rPr>
            </w:pPr>
            <w:r w:rsidRPr="00B72A43">
              <w:rPr>
                <w:rFonts w:cs="Times New Roman"/>
                <w:szCs w:val="24"/>
              </w:rPr>
              <w:t>Level 4: The Arrangement Inn will hold workshops and give language lessons in person. In these parts, staff can learn by doing and then use wha</w:t>
            </w:r>
            <w:r>
              <w:rPr>
                <w:rFonts w:cs="Times New Roman"/>
                <w:szCs w:val="24"/>
              </w:rPr>
              <w:t>t they've learned in real life</w:t>
            </w:r>
            <w:r w:rsidRPr="00870E20">
              <w:t xml:space="preserve"> </w:t>
            </w:r>
            <w:r>
              <w:t>(</w:t>
            </w:r>
            <w:r w:rsidRPr="00870E20">
              <w:rPr>
                <w:rFonts w:cs="Times New Roman"/>
                <w:szCs w:val="24"/>
              </w:rPr>
              <w:t>Luo</w:t>
            </w:r>
            <w:r>
              <w:rPr>
                <w:rFonts w:cs="Times New Roman"/>
                <w:szCs w:val="24"/>
              </w:rPr>
              <w:t>, Wang and Tai</w:t>
            </w:r>
            <w:r w:rsidRPr="00870E20">
              <w:rPr>
                <w:rFonts w:cs="Times New Roman"/>
                <w:szCs w:val="24"/>
              </w:rPr>
              <w:t>, 2019</w:t>
            </w:r>
            <w:r>
              <w:rPr>
                <w:rFonts w:cs="Times New Roman"/>
                <w:szCs w:val="24"/>
              </w:rPr>
              <w:t>)</w:t>
            </w:r>
            <w:r w:rsidRPr="00EE1A91">
              <w:rPr>
                <w:rFonts w:cs="Times New Roman"/>
                <w:szCs w:val="24"/>
              </w:rPr>
              <w:t>.</w:t>
            </w:r>
          </w:p>
          <w:p w14:paraId="5AF82EEC" w14:textId="77777777" w:rsidR="008B7485" w:rsidRPr="00EE1A91" w:rsidRDefault="008B7485" w:rsidP="008B7485">
            <w:pPr>
              <w:pStyle w:val="Heading2"/>
            </w:pPr>
            <w:r w:rsidRPr="00EE1A91">
              <w:t>When: Structured Timeline and Ongoing Support</w:t>
            </w:r>
          </w:p>
          <w:p w14:paraId="114B7E94" w14:textId="10C6107C" w:rsidR="00B3346C" w:rsidRDefault="008B7485" w:rsidP="008B7485">
            <w:pPr>
              <w:spacing w:after="0" w:line="480" w:lineRule="auto"/>
              <w:rPr>
                <w:b/>
                <w:bCs/>
                <w:sz w:val="28"/>
                <w:szCs w:val="24"/>
              </w:rPr>
            </w:pPr>
            <w:r>
              <w:rPr>
                <w:rFonts w:cs="Times New Roman"/>
                <w:szCs w:val="24"/>
              </w:rPr>
              <w:t xml:space="preserve">         </w:t>
            </w:r>
            <w:r w:rsidRPr="00251206">
              <w:rPr>
                <w:rFonts w:cs="Times New Roman"/>
                <w:szCs w:val="24"/>
              </w:rPr>
              <w:t>The teaching approach stressed being thorough and always getting better. As planned, it gives constant help at set times. To keep performance stable, dynamic coping strategies adapt to changing needs. It is easier to judge skills using normal methods of review and feedback. Language classes and a monthly report on culture help people learn new things and understand other cultures. Along with this, there is a plan to pair staff members with more and less experience to help them learn from each other. Since getting better at your job is an ongoing process, this programme provides training materials (Lim et al., 2020).</w:t>
            </w:r>
          </w:p>
          <w:p w14:paraId="2AA89AA7" w14:textId="77777777" w:rsidR="00757438" w:rsidRDefault="00757438" w:rsidP="005C77A4">
            <w:pPr>
              <w:rPr>
                <w:b/>
                <w:bCs/>
                <w:sz w:val="28"/>
                <w:szCs w:val="24"/>
              </w:rPr>
            </w:pPr>
          </w:p>
          <w:p w14:paraId="5066B4DD" w14:textId="6A7F17A8" w:rsidR="005C77A4" w:rsidRDefault="005C77A4" w:rsidP="005C77A4">
            <w:pPr>
              <w:rPr>
                <w:b/>
                <w:bCs/>
                <w:sz w:val="28"/>
                <w:szCs w:val="24"/>
              </w:rPr>
            </w:pPr>
          </w:p>
          <w:p w14:paraId="28BB75BA" w14:textId="5E3D0652" w:rsidR="008B7485" w:rsidRDefault="008B7485" w:rsidP="005C77A4">
            <w:pPr>
              <w:rPr>
                <w:b/>
                <w:bCs/>
                <w:sz w:val="28"/>
                <w:szCs w:val="24"/>
              </w:rPr>
            </w:pPr>
          </w:p>
          <w:p w14:paraId="66285A18" w14:textId="67DAE2EC" w:rsidR="008B7485" w:rsidRDefault="008B7485" w:rsidP="005C77A4">
            <w:pPr>
              <w:rPr>
                <w:b/>
                <w:bCs/>
                <w:sz w:val="28"/>
                <w:szCs w:val="24"/>
              </w:rPr>
            </w:pPr>
          </w:p>
          <w:p w14:paraId="534061E8" w14:textId="279F15D7" w:rsidR="008B7485" w:rsidRDefault="008B7485" w:rsidP="005C77A4">
            <w:pPr>
              <w:rPr>
                <w:b/>
                <w:bCs/>
                <w:sz w:val="28"/>
                <w:szCs w:val="24"/>
              </w:rPr>
            </w:pPr>
          </w:p>
          <w:p w14:paraId="1D158F48" w14:textId="18CB01DD" w:rsidR="008B7485" w:rsidRDefault="008B7485" w:rsidP="005C77A4">
            <w:pPr>
              <w:rPr>
                <w:b/>
                <w:bCs/>
                <w:sz w:val="28"/>
                <w:szCs w:val="24"/>
              </w:rPr>
            </w:pPr>
          </w:p>
          <w:p w14:paraId="3F1336DB" w14:textId="77777777" w:rsidR="008B7485" w:rsidRDefault="008B7485"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0EF3AA47" w14:textId="77777777" w:rsidR="00757438" w:rsidRPr="00757438" w:rsidRDefault="00757438" w:rsidP="00757438">
            <w:pPr>
              <w:spacing w:after="0" w:line="480" w:lineRule="auto"/>
              <w:ind w:left="720" w:hanging="720"/>
              <w:rPr>
                <w:rFonts w:eastAsia="Calibri" w:cs="Times New Roman"/>
                <w:color w:val="auto"/>
                <w:szCs w:val="24"/>
                <w:lang w:val="en-US"/>
              </w:rPr>
            </w:pPr>
            <w:r w:rsidRPr="00757438">
              <w:rPr>
                <w:rFonts w:eastAsia="Calibri" w:cs="Times New Roman"/>
                <w:color w:val="auto"/>
                <w:szCs w:val="24"/>
                <w:lang w:val="en-US"/>
              </w:rPr>
              <w:t>Hyter, Y.D. and Salas-Provance, M.B., 2021. </w:t>
            </w:r>
            <w:r w:rsidRPr="00757438">
              <w:rPr>
                <w:rFonts w:eastAsia="Calibri" w:cs="Times New Roman"/>
                <w:i/>
                <w:iCs/>
                <w:color w:val="auto"/>
                <w:szCs w:val="24"/>
                <w:lang w:val="en-US"/>
              </w:rPr>
              <w:t>Culturally responsive practices in speech, language, and hearing sciences</w:t>
            </w:r>
            <w:r w:rsidRPr="00757438">
              <w:rPr>
                <w:rFonts w:eastAsia="Calibri" w:cs="Times New Roman"/>
                <w:color w:val="auto"/>
                <w:szCs w:val="24"/>
                <w:lang w:val="en-US"/>
              </w:rPr>
              <w:t>. Plural Publishing.</w:t>
            </w:r>
          </w:p>
          <w:p w14:paraId="34D818BF" w14:textId="77777777" w:rsidR="00757438" w:rsidRPr="00757438" w:rsidRDefault="00757438" w:rsidP="00757438">
            <w:pPr>
              <w:spacing w:after="0" w:line="480" w:lineRule="auto"/>
              <w:ind w:left="720" w:hanging="720"/>
              <w:rPr>
                <w:rFonts w:eastAsia="Calibri" w:cs="Times New Roman"/>
                <w:color w:val="auto"/>
                <w:szCs w:val="24"/>
                <w:lang w:val="en-US"/>
              </w:rPr>
            </w:pPr>
            <w:r w:rsidRPr="00757438">
              <w:rPr>
                <w:rFonts w:eastAsia="Calibri" w:cs="Times New Roman"/>
                <w:color w:val="auto"/>
                <w:szCs w:val="24"/>
                <w:lang w:val="en-US"/>
              </w:rPr>
              <w:t xml:space="preserve">Lim, S.M., Foo, Y.L., </w:t>
            </w:r>
            <w:proofErr w:type="spellStart"/>
            <w:r w:rsidRPr="00757438">
              <w:rPr>
                <w:rFonts w:eastAsia="Calibri" w:cs="Times New Roman"/>
                <w:color w:val="auto"/>
                <w:szCs w:val="24"/>
                <w:lang w:val="en-US"/>
              </w:rPr>
              <w:t>Loh</w:t>
            </w:r>
            <w:proofErr w:type="spellEnd"/>
            <w:r w:rsidRPr="00757438">
              <w:rPr>
                <w:rFonts w:eastAsia="Calibri" w:cs="Times New Roman"/>
                <w:color w:val="auto"/>
                <w:szCs w:val="24"/>
                <w:lang w:val="en-US"/>
              </w:rPr>
              <w:t>, H.T. and Deng, X., 2020. An Effective Developmental Tool in Mentoring in the Hotel Industry. </w:t>
            </w:r>
            <w:r w:rsidRPr="00757438">
              <w:rPr>
                <w:rFonts w:eastAsia="Calibri" w:cs="Times New Roman"/>
                <w:i/>
                <w:iCs/>
                <w:color w:val="auto"/>
                <w:szCs w:val="24"/>
                <w:lang w:val="en-US"/>
              </w:rPr>
              <w:t>Applied Learning in Higher Education: Perspective, Pedagogy, and Practice</w:t>
            </w:r>
            <w:r w:rsidRPr="00757438">
              <w:rPr>
                <w:rFonts w:eastAsia="Calibri" w:cs="Times New Roman"/>
                <w:color w:val="auto"/>
                <w:szCs w:val="24"/>
                <w:lang w:val="en-US"/>
              </w:rPr>
              <w:t>, </w:t>
            </w:r>
            <w:r w:rsidRPr="00757438">
              <w:rPr>
                <w:rFonts w:eastAsia="Calibri" w:cs="Times New Roman"/>
                <w:i/>
                <w:iCs/>
                <w:color w:val="auto"/>
                <w:szCs w:val="24"/>
                <w:lang w:val="en-US"/>
              </w:rPr>
              <w:t>39</w:t>
            </w:r>
            <w:r w:rsidRPr="00757438">
              <w:rPr>
                <w:rFonts w:eastAsia="Calibri" w:cs="Times New Roman"/>
                <w:color w:val="auto"/>
                <w:szCs w:val="24"/>
                <w:lang w:val="en-US"/>
              </w:rPr>
              <w:t>.</w:t>
            </w:r>
          </w:p>
          <w:p w14:paraId="613A1EA4" w14:textId="77777777" w:rsidR="00757438" w:rsidRPr="00757438" w:rsidRDefault="00757438" w:rsidP="00757438">
            <w:pPr>
              <w:spacing w:after="0" w:line="480" w:lineRule="auto"/>
              <w:ind w:left="720" w:hanging="720"/>
              <w:rPr>
                <w:rFonts w:eastAsia="Calibri" w:cs="Times New Roman"/>
                <w:color w:val="auto"/>
                <w:szCs w:val="24"/>
                <w:lang w:val="en-US"/>
              </w:rPr>
            </w:pPr>
            <w:r w:rsidRPr="00757438">
              <w:rPr>
                <w:rFonts w:eastAsia="Calibri" w:cs="Times New Roman"/>
                <w:color w:val="auto"/>
                <w:szCs w:val="24"/>
                <w:lang w:val="en-US"/>
              </w:rPr>
              <w:t>Luo, C.C., Wang, Y.C. and Tai, Y.F., 2019. Effective training methods for fostering exceptional service employees. </w:t>
            </w:r>
            <w:r w:rsidRPr="00757438">
              <w:rPr>
                <w:rFonts w:eastAsia="Calibri" w:cs="Times New Roman"/>
                <w:i/>
                <w:iCs/>
                <w:color w:val="auto"/>
                <w:szCs w:val="24"/>
                <w:lang w:val="en-US"/>
              </w:rPr>
              <w:t>Journal of Hospitality and Tourism Insights</w:t>
            </w:r>
            <w:r w:rsidRPr="00757438">
              <w:rPr>
                <w:rFonts w:eastAsia="Calibri" w:cs="Times New Roman"/>
                <w:color w:val="auto"/>
                <w:szCs w:val="24"/>
                <w:lang w:val="en-US"/>
              </w:rPr>
              <w:t>, </w:t>
            </w:r>
            <w:r w:rsidRPr="00757438">
              <w:rPr>
                <w:rFonts w:eastAsia="Calibri" w:cs="Times New Roman"/>
                <w:i/>
                <w:iCs/>
                <w:color w:val="auto"/>
                <w:szCs w:val="24"/>
                <w:lang w:val="en-US"/>
              </w:rPr>
              <w:t>2</w:t>
            </w:r>
            <w:r w:rsidRPr="00757438">
              <w:rPr>
                <w:rFonts w:eastAsia="Calibri" w:cs="Times New Roman"/>
                <w:color w:val="auto"/>
                <w:szCs w:val="24"/>
                <w:lang w:val="en-US"/>
              </w:rPr>
              <w:t>(4), pp.469-488.</w:t>
            </w: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auto"/>
          </w:tcPr>
          <w:p w14:paraId="25212179" w14:textId="5DF5803A" w:rsidR="005C77A4" w:rsidRPr="00E95FE6" w:rsidRDefault="005C77A4" w:rsidP="005C77A4">
            <w:pPr>
              <w:rPr>
                <w:b/>
                <w:bCs/>
                <w:i/>
                <w:iCs/>
                <w:color w:val="BFBFBF" w:themeColor="background1" w:themeShade="BF"/>
                <w:sz w:val="28"/>
                <w:szCs w:val="24"/>
              </w:rPr>
            </w:pPr>
          </w:p>
          <w:p w14:paraId="242E799C" w14:textId="77777777" w:rsidR="0011796C" w:rsidRPr="00E179C5" w:rsidRDefault="0011796C" w:rsidP="0011796C">
            <w:pPr>
              <w:pStyle w:val="Heading2"/>
              <w:rPr>
                <w:rFonts w:eastAsia="Calibri"/>
                <w:lang w:val="en-GB"/>
              </w:rPr>
            </w:pPr>
            <w:r w:rsidRPr="00E179C5">
              <w:rPr>
                <w:rFonts w:eastAsia="Calibri"/>
                <w:lang w:val="en-GB"/>
              </w:rPr>
              <w:t>Description</w:t>
            </w:r>
          </w:p>
          <w:p w14:paraId="25FC1E5B" w14:textId="77777777" w:rsidR="0011796C" w:rsidRPr="00E179C5" w:rsidRDefault="0011796C" w:rsidP="0011796C">
            <w:pPr>
              <w:spacing w:after="0" w:line="480" w:lineRule="auto"/>
              <w:ind w:firstLine="720"/>
              <w:jc w:val="both"/>
              <w:rPr>
                <w:rFonts w:eastAsia="Calibri" w:cs="Times New Roman"/>
                <w:szCs w:val="24"/>
              </w:rPr>
            </w:pPr>
            <w:r w:rsidRPr="00E179C5">
              <w:rPr>
                <w:rFonts w:eastAsia="Calibri" w:cs="Times New Roman"/>
                <w:szCs w:val="24"/>
              </w:rPr>
              <w:t>Earlier in my hospitality career, cultural knowledge wasn't a priority. The majority of visitor interactions were exchanges, regrettably ignoring cultural differences. My initial knowledge of these complexities was crucial, but I lacked the depth to fully grasp how cultural differences affect the local area's multifaceted design. My view of cultural awareness was flawed, and I failed to see the need of accepting and understanding visitors' different cultural backgrounds.</w:t>
            </w:r>
          </w:p>
          <w:p w14:paraId="542543E0" w14:textId="77777777" w:rsidR="0011796C" w:rsidRPr="00386FBE" w:rsidRDefault="0011796C" w:rsidP="0011796C">
            <w:pPr>
              <w:pStyle w:val="Heading2"/>
              <w:spacing w:before="0"/>
              <w:jc w:val="both"/>
              <w:rPr>
                <w:rFonts w:eastAsia="Calibri" w:cs="Times New Roman"/>
                <w:szCs w:val="24"/>
                <w:lang w:val="en-GB"/>
              </w:rPr>
            </w:pPr>
            <w:r w:rsidRPr="00386FBE">
              <w:rPr>
                <w:rFonts w:eastAsia="Calibri" w:cs="Times New Roman"/>
                <w:szCs w:val="24"/>
                <w:lang w:val="en-GB"/>
              </w:rPr>
              <w:t>Feelings</w:t>
            </w:r>
          </w:p>
          <w:p w14:paraId="34A9D8C5" w14:textId="77777777" w:rsidR="0011796C" w:rsidRPr="00E179C5" w:rsidRDefault="0011796C" w:rsidP="0011796C">
            <w:pPr>
              <w:spacing w:after="0" w:line="480" w:lineRule="auto"/>
              <w:ind w:firstLine="720"/>
              <w:jc w:val="both"/>
              <w:rPr>
                <w:rFonts w:eastAsia="Calibri" w:cs="Times New Roman"/>
                <w:szCs w:val="24"/>
              </w:rPr>
            </w:pPr>
            <w:r w:rsidRPr="00E179C5">
              <w:rPr>
                <w:rFonts w:eastAsia="Calibri" w:cs="Times New Roman"/>
                <w:szCs w:val="24"/>
              </w:rPr>
              <w:t>As I worked with more guests from other foundations, I realised my knowledge of hospitality culture was rather poor. This admission was due to cultural nuances leading to blunders. A visitor's culturally affected non-verbal signals were misinterpreted, resulting in an error in service (Manoharan, Gross and Sardeshmukh, 2021). This recognition generated a strong desire to explore the details I had previously ignored. These unadorned deals made me insecure, so I sought a deeper, culturally sensitive comprehension.</w:t>
            </w:r>
          </w:p>
          <w:p w14:paraId="72EDC2B9" w14:textId="77777777" w:rsidR="0011796C" w:rsidRPr="00386FBE" w:rsidRDefault="0011796C" w:rsidP="0011796C">
            <w:pPr>
              <w:pStyle w:val="Heading2"/>
              <w:spacing w:before="0"/>
              <w:jc w:val="both"/>
              <w:rPr>
                <w:rFonts w:eastAsia="Calibri" w:cs="Times New Roman"/>
                <w:szCs w:val="24"/>
                <w:lang w:val="en-GB"/>
              </w:rPr>
            </w:pPr>
            <w:r w:rsidRPr="00386FBE">
              <w:rPr>
                <w:rFonts w:eastAsia="Calibri" w:cs="Times New Roman"/>
                <w:szCs w:val="24"/>
                <w:lang w:val="en-GB"/>
              </w:rPr>
              <w:t>Evaluation</w:t>
            </w:r>
          </w:p>
          <w:p w14:paraId="26542626" w14:textId="7F63346B" w:rsidR="0011796C" w:rsidRPr="00E179C5" w:rsidRDefault="0011796C" w:rsidP="0011796C">
            <w:pPr>
              <w:spacing w:after="0" w:line="480" w:lineRule="auto"/>
              <w:ind w:firstLine="720"/>
              <w:jc w:val="both"/>
              <w:rPr>
                <w:rFonts w:eastAsia="Calibri" w:cs="Times New Roman"/>
                <w:szCs w:val="24"/>
              </w:rPr>
            </w:pPr>
            <w:r w:rsidRPr="00E179C5">
              <w:rPr>
                <w:rFonts w:eastAsia="Calibri" w:cs="Times New Roman"/>
                <w:szCs w:val="24"/>
              </w:rPr>
              <w:t>A massive change happened because of effectively communicating with guests from different cultural foundations. There were circumstances when cultural contrasts altogether impacted the assumptions and associations of the visitors. An incident happened when a guest expected a more custom-made treatment, in view of their cultural tendency towards intimacy and cordiality. This prompted an intensive evaluation of my methodology, underscoring the need to change administrations. The need to adjust to contrasted cultural guidelines ended up being strikingly clear, instigating a reassessment of standard methods (Artawa et.al.</w:t>
            </w:r>
            <w:r w:rsidRPr="00386FBE">
              <w:rPr>
                <w:rFonts w:eastAsia="Calibri" w:cs="Times New Roman"/>
                <w:szCs w:val="24"/>
              </w:rPr>
              <w:t>, 2023</w:t>
            </w:r>
            <w:r w:rsidRPr="00E179C5">
              <w:rPr>
                <w:rFonts w:eastAsia="Calibri" w:cs="Times New Roman"/>
                <w:szCs w:val="24"/>
              </w:rPr>
              <w:t>). The appraisal highlighted the consistently changing nature of cultural components in th</w:t>
            </w:r>
            <w:r w:rsidR="00107742">
              <w:rPr>
                <w:rFonts w:eastAsia="Calibri" w:cs="Times New Roman"/>
                <w:szCs w:val="24"/>
              </w:rPr>
              <w:t>e hospitality business, emphasis</w:t>
            </w:r>
            <w:r w:rsidRPr="00E179C5">
              <w:rPr>
                <w:rFonts w:eastAsia="Calibri" w:cs="Times New Roman"/>
                <w:szCs w:val="24"/>
              </w:rPr>
              <w:t>ing the necessity for reliable acclimation to propel exhaustive and lovely guest experiences (Suebwongsuwan, and Nomnian, 2020).</w:t>
            </w:r>
          </w:p>
          <w:p w14:paraId="05484BDC" w14:textId="77777777" w:rsidR="0011796C" w:rsidRPr="00386FBE" w:rsidRDefault="0011796C" w:rsidP="0011796C">
            <w:pPr>
              <w:pStyle w:val="Heading2"/>
              <w:spacing w:before="0"/>
              <w:jc w:val="both"/>
              <w:rPr>
                <w:rFonts w:eastAsia="Calibri" w:cs="Times New Roman"/>
                <w:szCs w:val="24"/>
                <w:lang w:val="en-GB"/>
              </w:rPr>
            </w:pPr>
            <w:r w:rsidRPr="00386FBE">
              <w:rPr>
                <w:rFonts w:eastAsia="Calibri" w:cs="Times New Roman"/>
                <w:szCs w:val="24"/>
                <w:lang w:val="en-GB"/>
              </w:rPr>
              <w:t>Analysis</w:t>
            </w:r>
          </w:p>
          <w:p w14:paraId="4192F869" w14:textId="539FC952" w:rsidR="0011796C" w:rsidRPr="00E179C5" w:rsidRDefault="0011796C" w:rsidP="0011796C">
            <w:pPr>
              <w:spacing w:after="0" w:line="480" w:lineRule="auto"/>
              <w:ind w:firstLine="720"/>
              <w:jc w:val="both"/>
              <w:rPr>
                <w:rFonts w:eastAsia="Calibri" w:cs="Times New Roman"/>
                <w:szCs w:val="24"/>
              </w:rPr>
            </w:pPr>
            <w:r w:rsidRPr="00E179C5">
              <w:rPr>
                <w:rFonts w:eastAsia="Calibri" w:cs="Times New Roman"/>
                <w:szCs w:val="24"/>
              </w:rPr>
              <w:t xml:space="preserve">I should concede that I made a few </w:t>
            </w:r>
            <w:r w:rsidR="00107742">
              <w:rPr>
                <w:rFonts w:eastAsia="Calibri" w:cs="Times New Roman"/>
                <w:szCs w:val="24"/>
              </w:rPr>
              <w:t xml:space="preserve">mistakes </w:t>
            </w:r>
            <w:r w:rsidRPr="00E179C5">
              <w:rPr>
                <w:rFonts w:eastAsia="Calibri" w:cs="Times New Roman"/>
                <w:szCs w:val="24"/>
              </w:rPr>
              <w:t>associated with cultural contrasts in my excursion towards mindfulness. Obviously an especially affectionate occasion had occurred subsequent to meeting a visi</w:t>
            </w:r>
            <w:r w:rsidR="00107742">
              <w:rPr>
                <w:rFonts w:eastAsia="Calibri" w:cs="Times New Roman"/>
                <w:szCs w:val="24"/>
              </w:rPr>
              <w:t xml:space="preserve">tor from a culture that values </w:t>
            </w:r>
            <w:r w:rsidRPr="00E179C5">
              <w:rPr>
                <w:rFonts w:eastAsia="Calibri" w:cs="Times New Roman"/>
                <w:szCs w:val="24"/>
              </w:rPr>
              <w:t>interests. The confounded communication in their way of life was on full presentation when the visitor murmured that they were discontent with their way of life decisions. Dependable signs are required because of this unexpected discussion. These discussions and a few significant revelations featured the need of good communication abilities while working with visitors from various cultural foundations in the hospitality business. I need to give serious thought to how I articulate my thoughts all through the educational stage. The way in to this sensational change was getting individuals to get serious about how they felt and to focus on their nonverbal signs. Flexibility and understanding made discussion with visitors simpler and more culturally respectful (Manoharan, Gross and Sardeshmukh, 2021).</w:t>
            </w:r>
          </w:p>
          <w:p w14:paraId="3E50A48B" w14:textId="77777777" w:rsidR="0011796C" w:rsidRPr="00386FBE" w:rsidRDefault="0011796C" w:rsidP="0011796C">
            <w:pPr>
              <w:pStyle w:val="Heading2"/>
              <w:spacing w:before="0"/>
              <w:jc w:val="both"/>
              <w:rPr>
                <w:rFonts w:eastAsia="Calibri" w:cs="Times New Roman"/>
                <w:szCs w:val="24"/>
                <w:lang w:val="en-GB"/>
              </w:rPr>
            </w:pPr>
            <w:r w:rsidRPr="00386FBE">
              <w:rPr>
                <w:rFonts w:eastAsia="Calibri" w:cs="Times New Roman"/>
                <w:szCs w:val="24"/>
                <w:lang w:val="en-GB"/>
              </w:rPr>
              <w:t>Conclusion</w:t>
            </w:r>
          </w:p>
          <w:p w14:paraId="36C53E84" w14:textId="77777777" w:rsidR="0011796C" w:rsidRPr="00E179C5" w:rsidRDefault="0011796C" w:rsidP="0011796C">
            <w:pPr>
              <w:spacing w:after="0" w:line="480" w:lineRule="auto"/>
              <w:ind w:firstLine="720"/>
              <w:jc w:val="both"/>
              <w:rPr>
                <w:rFonts w:eastAsia="Calibri" w:cs="Times New Roman"/>
                <w:szCs w:val="24"/>
              </w:rPr>
            </w:pPr>
            <w:r w:rsidRPr="00E179C5">
              <w:rPr>
                <w:rFonts w:eastAsia="Calibri" w:cs="Times New Roman"/>
                <w:szCs w:val="24"/>
              </w:rPr>
              <w:t>The aggregate effect of these experiences cemented into a profound understanding of the essential meaning of cultural awareness in the hospitality area. The endeavour, portrayed by private investigation and training, stressed the need of continuous change and an earnest acknowledgment of numerous cultural perspectives. Cultural comprehension is definitely not an optional capacity however a principal component for producing inclusive guest encounters.</w:t>
            </w:r>
          </w:p>
          <w:p w14:paraId="47FC1582" w14:textId="77777777" w:rsidR="0011796C" w:rsidRPr="00386FBE" w:rsidRDefault="0011796C" w:rsidP="0011796C">
            <w:pPr>
              <w:pStyle w:val="Heading2"/>
              <w:spacing w:before="0"/>
              <w:jc w:val="both"/>
              <w:rPr>
                <w:rFonts w:eastAsia="Calibri" w:cs="Times New Roman"/>
                <w:szCs w:val="24"/>
                <w:lang w:val="en-GB"/>
              </w:rPr>
            </w:pPr>
            <w:r w:rsidRPr="00386FBE">
              <w:rPr>
                <w:rFonts w:eastAsia="Calibri" w:cs="Times New Roman"/>
                <w:szCs w:val="24"/>
                <w:lang w:val="en-GB"/>
              </w:rPr>
              <w:t>Action Plan</w:t>
            </w:r>
          </w:p>
          <w:p w14:paraId="2CD207FA" w14:textId="3E01D068" w:rsidR="0011796C" w:rsidRDefault="0011796C" w:rsidP="0011796C">
            <w:pPr>
              <w:spacing w:after="0" w:line="480" w:lineRule="auto"/>
              <w:ind w:firstLine="720"/>
              <w:jc w:val="both"/>
              <w:rPr>
                <w:rFonts w:eastAsia="Calibri" w:cs="Times New Roman"/>
                <w:szCs w:val="24"/>
              </w:rPr>
            </w:pPr>
            <w:r w:rsidRPr="00386FBE">
              <w:rPr>
                <w:rFonts w:eastAsia="Calibri" w:cs="Times New Roman"/>
                <w:szCs w:val="24"/>
              </w:rPr>
              <w:t>In light of my improved perception, my procedure is on unending learning. I need to be educated about recent developments and advancements in many societies, and I mean to partake in coaching in racial awareness projects to upgrade my comprehension. I likewise need to develop a harmonious wor</w:t>
            </w:r>
            <w:r w:rsidR="00107742">
              <w:rPr>
                <w:rFonts w:eastAsia="Calibri" w:cs="Times New Roman"/>
                <w:szCs w:val="24"/>
              </w:rPr>
              <w:t>kplace that regards and recognis</w:t>
            </w:r>
            <w:r w:rsidRPr="00386FBE">
              <w:rPr>
                <w:rFonts w:eastAsia="Calibri" w:cs="Times New Roman"/>
                <w:szCs w:val="24"/>
              </w:rPr>
              <w:t xml:space="preserve">es our numerous cultural differentiations. This involves something other than </w:t>
            </w:r>
            <w:r w:rsidR="00107742">
              <w:rPr>
                <w:rFonts w:eastAsia="Calibri" w:cs="Times New Roman"/>
                <w:szCs w:val="24"/>
              </w:rPr>
              <w:t>recognis</w:t>
            </w:r>
            <w:r w:rsidRPr="00386FBE">
              <w:rPr>
                <w:rFonts w:eastAsia="Calibri" w:cs="Times New Roman"/>
                <w:szCs w:val="24"/>
              </w:rPr>
              <w:t>ing variety, but instead embracing and regarding it. I'm sure that utilizing this strategy will upgrade the general insight of the work environment, cultivating a pleasant climate for both our colleagues and the guests, hence laying out a setting that is welcoming to everybody.</w:t>
            </w: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61F81DA0" w14:textId="77777777" w:rsidR="008559BE" w:rsidRPr="00D84B25" w:rsidRDefault="008559BE" w:rsidP="008559BE">
            <w:pPr>
              <w:spacing w:after="0" w:line="480" w:lineRule="auto"/>
              <w:ind w:left="720" w:hanging="720"/>
              <w:rPr>
                <w:rFonts w:cs="Times New Roman"/>
                <w:szCs w:val="24"/>
              </w:rPr>
            </w:pPr>
            <w:r w:rsidRPr="00D84B25">
              <w:rPr>
                <w:rFonts w:cs="Times New Roman"/>
                <w:szCs w:val="24"/>
              </w:rPr>
              <w:t xml:space="preserve">Artawa, K., </w:t>
            </w:r>
            <w:proofErr w:type="spellStart"/>
            <w:r w:rsidRPr="00D84B25">
              <w:rPr>
                <w:rFonts w:cs="Times New Roman"/>
                <w:szCs w:val="24"/>
              </w:rPr>
              <w:t>Mulyanah</w:t>
            </w:r>
            <w:proofErr w:type="spellEnd"/>
            <w:r w:rsidRPr="00D84B25">
              <w:rPr>
                <w:rFonts w:cs="Times New Roman"/>
                <w:szCs w:val="24"/>
              </w:rPr>
              <w:t xml:space="preserve">, A., </w:t>
            </w:r>
            <w:proofErr w:type="spellStart"/>
            <w:r w:rsidRPr="00D84B25">
              <w:rPr>
                <w:rFonts w:cs="Times New Roman"/>
                <w:szCs w:val="24"/>
              </w:rPr>
              <w:t>Atmawati</w:t>
            </w:r>
            <w:proofErr w:type="spellEnd"/>
            <w:r w:rsidRPr="00D84B25">
              <w:rPr>
                <w:rFonts w:cs="Times New Roman"/>
                <w:szCs w:val="24"/>
              </w:rPr>
              <w:t xml:space="preserve">, D., </w:t>
            </w:r>
            <w:proofErr w:type="spellStart"/>
            <w:r w:rsidRPr="00D84B25">
              <w:rPr>
                <w:rFonts w:cs="Times New Roman"/>
                <w:szCs w:val="24"/>
              </w:rPr>
              <w:t>Paramarta</w:t>
            </w:r>
            <w:proofErr w:type="spellEnd"/>
            <w:r w:rsidRPr="00D84B25">
              <w:rPr>
                <w:rFonts w:cs="Times New Roman"/>
                <w:szCs w:val="24"/>
              </w:rPr>
              <w:t xml:space="preserve">, I., </w:t>
            </w:r>
            <w:proofErr w:type="spellStart"/>
            <w:r w:rsidRPr="00D84B25">
              <w:rPr>
                <w:rFonts w:cs="Times New Roman"/>
                <w:szCs w:val="24"/>
              </w:rPr>
              <w:t>Satyawati</w:t>
            </w:r>
            <w:proofErr w:type="spellEnd"/>
            <w:r w:rsidRPr="00D84B25">
              <w:rPr>
                <w:rFonts w:cs="Times New Roman"/>
                <w:szCs w:val="24"/>
              </w:rPr>
              <w:t xml:space="preserve">, M.S. and </w:t>
            </w:r>
            <w:proofErr w:type="spellStart"/>
            <w:r w:rsidRPr="00D84B25">
              <w:rPr>
                <w:rFonts w:cs="Times New Roman"/>
                <w:szCs w:val="24"/>
              </w:rPr>
              <w:t>Purnawati</w:t>
            </w:r>
            <w:proofErr w:type="spellEnd"/>
            <w:r w:rsidRPr="00D84B25">
              <w:rPr>
                <w:rFonts w:cs="Times New Roman"/>
                <w:szCs w:val="24"/>
              </w:rPr>
              <w:t>, K.W., 2023. Language Choice and Multilingualism on Restaurant Signs: A Linguistic Landscape Analysis. </w:t>
            </w:r>
            <w:r w:rsidRPr="00D84B25">
              <w:rPr>
                <w:rFonts w:cs="Times New Roman"/>
                <w:i/>
                <w:iCs/>
                <w:szCs w:val="24"/>
              </w:rPr>
              <w:t>International Journal of Society, Culture &amp; Language</w:t>
            </w:r>
            <w:r w:rsidRPr="00D84B25">
              <w:rPr>
                <w:rFonts w:cs="Times New Roman"/>
                <w:szCs w:val="24"/>
              </w:rPr>
              <w:t>, </w:t>
            </w:r>
            <w:r w:rsidRPr="00D84B25">
              <w:rPr>
                <w:rFonts w:cs="Times New Roman"/>
                <w:i/>
                <w:iCs/>
                <w:szCs w:val="24"/>
              </w:rPr>
              <w:t>11</w:t>
            </w:r>
            <w:r w:rsidRPr="00D84B25">
              <w:rPr>
                <w:rFonts w:cs="Times New Roman"/>
                <w:szCs w:val="24"/>
              </w:rPr>
              <w:t>(3), pp.258-271.</w:t>
            </w:r>
          </w:p>
          <w:p w14:paraId="762D39A2" w14:textId="77777777" w:rsidR="008559BE" w:rsidRDefault="008559BE" w:rsidP="008559BE">
            <w:pPr>
              <w:spacing w:after="0" w:line="480" w:lineRule="auto"/>
              <w:ind w:left="720" w:hanging="720"/>
              <w:rPr>
                <w:rFonts w:cs="Times New Roman"/>
                <w:szCs w:val="24"/>
              </w:rPr>
            </w:pPr>
            <w:r w:rsidRPr="00D84B25">
              <w:rPr>
                <w:rFonts w:cs="Times New Roman"/>
                <w:szCs w:val="24"/>
              </w:rPr>
              <w:t>Manoharan, A., Gross, M.J. and Sardeshmukh, S.R., 2021. Antecedents and outcomes of a culturally diverse workforce in hotels. </w:t>
            </w:r>
            <w:r w:rsidRPr="00D84B25">
              <w:rPr>
                <w:rFonts w:cs="Times New Roman"/>
                <w:i/>
                <w:iCs/>
                <w:szCs w:val="24"/>
              </w:rPr>
              <w:t>Journal of Hospitality &amp; Tourism Research</w:t>
            </w:r>
            <w:r w:rsidRPr="00D84B25">
              <w:rPr>
                <w:rFonts w:cs="Times New Roman"/>
                <w:szCs w:val="24"/>
              </w:rPr>
              <w:t>, </w:t>
            </w:r>
            <w:r w:rsidRPr="00D84B25">
              <w:rPr>
                <w:rFonts w:cs="Times New Roman"/>
                <w:i/>
                <w:iCs/>
                <w:szCs w:val="24"/>
              </w:rPr>
              <w:t>45</w:t>
            </w:r>
            <w:r w:rsidRPr="00D84B25">
              <w:rPr>
                <w:rFonts w:cs="Times New Roman"/>
                <w:szCs w:val="24"/>
              </w:rPr>
              <w:t>(8), pp.1383-1416.</w:t>
            </w:r>
          </w:p>
          <w:p w14:paraId="2C6F710B" w14:textId="04957EC7" w:rsidR="005C77A4" w:rsidRPr="008559BE" w:rsidRDefault="008559BE" w:rsidP="008559BE">
            <w:pPr>
              <w:spacing w:after="0" w:line="480" w:lineRule="auto"/>
              <w:ind w:left="720" w:hanging="720"/>
              <w:rPr>
                <w:rFonts w:cs="Times New Roman"/>
                <w:szCs w:val="24"/>
              </w:rPr>
            </w:pPr>
            <w:r w:rsidRPr="00D84B25">
              <w:rPr>
                <w:rFonts w:cs="Times New Roman"/>
                <w:szCs w:val="24"/>
              </w:rPr>
              <w:t>Suebwongsuwan, W. and Nomnian, S., 2020. Thai hotel undergraduate interns’ awareness and attitudes towards English as a lingua franca. Indonesian Journal of Applied Linguistics, 9(3), pp.704-716</w:t>
            </w: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FFFFFF" w:themeFill="background1"/>
          </w:tcPr>
          <w:p w14:paraId="6B5CD53A" w14:textId="77777777" w:rsidR="00E73500" w:rsidRDefault="00325EAF" w:rsidP="006C0FE2">
            <w:pPr>
              <w:rPr>
                <w:b/>
                <w:bCs/>
                <w:sz w:val="28"/>
                <w:szCs w:val="24"/>
              </w:rPr>
            </w:pPr>
            <w:r w:rsidRPr="00325EAF">
              <w:rPr>
                <w:b/>
                <w:bCs/>
                <w:sz w:val="28"/>
                <w:szCs w:val="24"/>
              </w:rPr>
              <w:t>Multilingual Excellence at Royal Crescent Hotel in Bath</w:t>
            </w:r>
          </w:p>
          <w:p w14:paraId="24D1327E" w14:textId="6404956D" w:rsidR="004F2A65" w:rsidRDefault="004F2A65" w:rsidP="004F2A65">
            <w:pPr>
              <w:jc w:val="center"/>
              <w:rPr>
                <w:b/>
                <w:bCs/>
                <w:sz w:val="28"/>
                <w:szCs w:val="24"/>
              </w:rPr>
            </w:pPr>
            <w:r>
              <w:rPr>
                <w:b/>
                <w:bCs/>
                <w:sz w:val="28"/>
                <w:szCs w:val="24"/>
              </w:rPr>
              <w:t xml:space="preserve">  </w:t>
            </w:r>
            <w:r>
              <w:rPr>
                <w:b/>
                <w:bCs/>
                <w:noProof/>
                <w:sz w:val="28"/>
                <w:szCs w:val="24"/>
                <w:lang w:eastAsia="en-GB"/>
                <w14:ligatures w14:val="standardContextual"/>
              </w:rPr>
              <w:drawing>
                <wp:inline distT="0" distB="0" distL="0" distR="0" wp14:anchorId="75EC6012" wp14:editId="2469FC34">
                  <wp:extent cx="3267075" cy="128675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1).png"/>
                          <pic:cNvPicPr/>
                        </pic:nvPicPr>
                        <pic:blipFill>
                          <a:blip r:embed="rId7">
                            <a:extLst>
                              <a:ext uri="{28A0092B-C50C-407E-A947-70E740481C1C}">
                                <a14:useLocalDpi xmlns:a14="http://schemas.microsoft.com/office/drawing/2010/main" val="0"/>
                              </a:ext>
                            </a:extLst>
                          </a:blip>
                          <a:stretch>
                            <a:fillRect/>
                          </a:stretch>
                        </pic:blipFill>
                        <pic:spPr>
                          <a:xfrm>
                            <a:off x="0" y="0"/>
                            <a:ext cx="3271115" cy="1288344"/>
                          </a:xfrm>
                          <a:prstGeom prst="rect">
                            <a:avLst/>
                          </a:prstGeom>
                        </pic:spPr>
                      </pic:pic>
                    </a:graphicData>
                  </a:graphic>
                </wp:inline>
              </w:drawing>
            </w:r>
          </w:p>
          <w:p w14:paraId="1012A7A7" w14:textId="6BEED563" w:rsidR="00325EAF" w:rsidRDefault="00325EAF" w:rsidP="00325EAF">
            <w:pPr>
              <w:rPr>
                <w:b/>
                <w:bCs/>
                <w:sz w:val="28"/>
                <w:szCs w:val="24"/>
              </w:rPr>
            </w:pPr>
            <w:r>
              <w:rPr>
                <w:b/>
                <w:bCs/>
                <w:sz w:val="28"/>
                <w:szCs w:val="24"/>
              </w:rPr>
              <w:t>S</w:t>
            </w:r>
            <w:r w:rsidRPr="00325EAF">
              <w:rPr>
                <w:b/>
                <w:bCs/>
                <w:sz w:val="28"/>
                <w:szCs w:val="24"/>
              </w:rPr>
              <w:t>tudent name</w:t>
            </w:r>
            <w:r>
              <w:rPr>
                <w:b/>
                <w:bCs/>
                <w:sz w:val="28"/>
                <w:szCs w:val="24"/>
              </w:rPr>
              <w:t>:</w:t>
            </w:r>
          </w:p>
          <w:p w14:paraId="0E616D78" w14:textId="447D1D64" w:rsidR="00325EAF" w:rsidRDefault="00325EAF" w:rsidP="00325EAF">
            <w:pPr>
              <w:rPr>
                <w:b/>
                <w:bCs/>
                <w:sz w:val="28"/>
                <w:szCs w:val="24"/>
              </w:rPr>
            </w:pPr>
            <w:r>
              <w:rPr>
                <w:b/>
                <w:bCs/>
                <w:sz w:val="28"/>
                <w:szCs w:val="24"/>
              </w:rPr>
              <w:t>ID:</w:t>
            </w:r>
          </w:p>
          <w:p w14:paraId="285D997C" w14:textId="0EDD6ADC" w:rsidR="00325EAF" w:rsidRPr="00325EAF" w:rsidRDefault="00325EAF" w:rsidP="00325EAF">
            <w:pPr>
              <w:rPr>
                <w:b/>
                <w:bCs/>
                <w:sz w:val="28"/>
                <w:szCs w:val="24"/>
              </w:rPr>
            </w:pPr>
            <w:r>
              <w:rPr>
                <w:b/>
                <w:bCs/>
                <w:sz w:val="28"/>
                <w:szCs w:val="24"/>
              </w:rPr>
              <w:t>M</w:t>
            </w:r>
            <w:r w:rsidRPr="00325EAF">
              <w:rPr>
                <w:b/>
                <w:bCs/>
                <w:sz w:val="28"/>
                <w:szCs w:val="24"/>
              </w:rPr>
              <w:t>odule</w:t>
            </w:r>
            <w:r>
              <w:rPr>
                <w:b/>
                <w:bCs/>
                <w:sz w:val="28"/>
                <w:szCs w:val="24"/>
              </w:rPr>
              <w:t>:</w:t>
            </w:r>
          </w:p>
          <w:p w14:paraId="10BEAE57" w14:textId="5F59321E" w:rsidR="00325EAF" w:rsidRDefault="00325EAF" w:rsidP="00325EAF">
            <w:pPr>
              <w:rPr>
                <w:b/>
                <w:bCs/>
                <w:sz w:val="28"/>
                <w:szCs w:val="24"/>
              </w:rPr>
            </w:pPr>
            <w:r>
              <w:rPr>
                <w:b/>
                <w:bCs/>
                <w:sz w:val="28"/>
                <w:szCs w:val="24"/>
              </w:rPr>
              <w:t>T</w:t>
            </w:r>
            <w:r w:rsidRPr="00325EAF">
              <w:rPr>
                <w:b/>
                <w:bCs/>
                <w:sz w:val="28"/>
                <w:szCs w:val="24"/>
              </w:rPr>
              <w:t>itle/code</w:t>
            </w:r>
            <w:r>
              <w:rPr>
                <w:b/>
                <w:bCs/>
                <w:sz w:val="28"/>
                <w:szCs w:val="24"/>
              </w:rPr>
              <w:t>:</w:t>
            </w:r>
          </w:p>
          <w:p w14:paraId="7129C94D" w14:textId="6ABB6937" w:rsidR="00325EAF" w:rsidRDefault="00325EAF" w:rsidP="00325EAF">
            <w:pPr>
              <w:rPr>
                <w:b/>
                <w:bCs/>
                <w:sz w:val="28"/>
                <w:szCs w:val="24"/>
              </w:rPr>
            </w:pPr>
            <w:r>
              <w:rPr>
                <w:b/>
                <w:bCs/>
                <w:sz w:val="28"/>
                <w:szCs w:val="24"/>
              </w:rPr>
              <w:t>Date:</w:t>
            </w:r>
          </w:p>
        </w:tc>
      </w:tr>
      <w:tr w:rsidR="003164B2" w:rsidRPr="00330917" w14:paraId="61677AAC"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FFFFFF" w:themeFill="background1"/>
          </w:tcPr>
          <w:p w14:paraId="58A3D6C9" w14:textId="77777777" w:rsidR="00CC33F6" w:rsidRPr="00CC33F6" w:rsidRDefault="00CC33F6" w:rsidP="00CC33F6">
            <w:pPr>
              <w:keepNext/>
              <w:keepLines/>
              <w:spacing w:before="40" w:after="0" w:line="480" w:lineRule="auto"/>
              <w:outlineLvl w:val="1"/>
              <w:rPr>
                <w:rFonts w:eastAsia="Calibri" w:cs="Times New Roman"/>
                <w:b/>
                <w:i/>
                <w:color w:val="000000"/>
                <w:szCs w:val="26"/>
              </w:rPr>
            </w:pPr>
            <w:bookmarkStart w:id="0" w:name="_Toc157252090"/>
            <w:r w:rsidRPr="00CC33F6">
              <w:rPr>
                <w:rFonts w:eastAsia="Calibri" w:cs="Times New Roman"/>
                <w:b/>
                <w:i/>
                <w:color w:val="000000"/>
                <w:szCs w:val="26"/>
              </w:rPr>
              <w:t>Slide 1: Introduction</w:t>
            </w:r>
            <w:bookmarkEnd w:id="0"/>
          </w:p>
          <w:p w14:paraId="2073C7F2" w14:textId="77777777" w:rsidR="00CC33F6" w:rsidRPr="00CC33F6" w:rsidRDefault="00CC33F6" w:rsidP="00CC33F6">
            <w:pPr>
              <w:spacing w:after="0" w:line="480" w:lineRule="auto"/>
              <w:ind w:firstLine="720"/>
              <w:contextualSpacing/>
              <w:jc w:val="both"/>
              <w:rPr>
                <w:rFonts w:eastAsia="Calibri" w:cs="Times New Roman"/>
                <w:color w:val="000000"/>
                <w:szCs w:val="24"/>
              </w:rPr>
            </w:pPr>
            <w:r w:rsidRPr="00CC33F6">
              <w:rPr>
                <w:rFonts w:eastAsia="Calibri" w:cs="Times New Roman"/>
                <w:color w:val="000000"/>
                <w:szCs w:val="24"/>
              </w:rPr>
              <w:t>The utilisation of numerous languages, known as multilingualism, is of most extreme significance in the overall hospitality industry. The Royal Crescent Hotel in Bath underlines the meaning of language awareness in cultivating a comprehensive and extraordinary visitor experience, given its huge impact. Keeping and understanding most languages is important for a respected institution. The Royal Crescent Hotel in Bath wants to improve client satisfaction, build strong relationships, and maintain its image as a welcoming destination for international visitors by understanding and accepting other languages (Farrell, 2023). This duty demonstrates the hotel's commitment to providing updated and culturally sensitive services.</w:t>
            </w:r>
          </w:p>
          <w:p w14:paraId="59CB256C" w14:textId="77777777" w:rsidR="003164B2" w:rsidRPr="00E73500" w:rsidRDefault="003164B2" w:rsidP="00CC33F6">
            <w:pPr>
              <w:rPr>
                <w:b/>
                <w:bCs/>
                <w:i/>
                <w:iCs/>
                <w:color w:val="BFBFBF" w:themeColor="background1" w:themeShade="BF"/>
                <w:sz w:val="28"/>
                <w:szCs w:val="24"/>
              </w:rPr>
            </w:pPr>
          </w:p>
        </w:tc>
      </w:tr>
      <w:tr w:rsidR="003164B2" w:rsidRPr="00330917" w14:paraId="10D3582A"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FFFFFF" w:themeFill="background1"/>
          </w:tcPr>
          <w:p w14:paraId="56971C20" w14:textId="77777777" w:rsidR="00CC33F6" w:rsidRPr="00CC33F6" w:rsidRDefault="00CC33F6" w:rsidP="00CC33F6">
            <w:pPr>
              <w:keepNext/>
              <w:keepLines/>
              <w:spacing w:before="40" w:after="0" w:line="480" w:lineRule="auto"/>
              <w:outlineLvl w:val="1"/>
              <w:rPr>
                <w:rFonts w:eastAsia="Calibri" w:cs="Times New Roman"/>
                <w:b/>
                <w:i/>
                <w:color w:val="000000"/>
                <w:szCs w:val="26"/>
              </w:rPr>
            </w:pPr>
            <w:bookmarkStart w:id="1" w:name="_Toc157252091"/>
            <w:r w:rsidRPr="00CC33F6">
              <w:rPr>
                <w:rFonts w:eastAsia="Calibri" w:cs="Times New Roman"/>
                <w:b/>
                <w:i/>
                <w:color w:val="000000"/>
                <w:szCs w:val="26"/>
              </w:rPr>
              <w:t>Slide 2: Benefits of Multilingualism</w:t>
            </w:r>
            <w:bookmarkEnd w:id="1"/>
          </w:p>
          <w:p w14:paraId="7E1EEC6F" w14:textId="77777777" w:rsidR="00CC33F6" w:rsidRPr="00CC33F6" w:rsidRDefault="00CC33F6" w:rsidP="00CC33F6">
            <w:pPr>
              <w:spacing w:after="0" w:line="480" w:lineRule="auto"/>
              <w:ind w:firstLine="720"/>
              <w:contextualSpacing/>
              <w:jc w:val="both"/>
              <w:rPr>
                <w:rFonts w:eastAsia="Calibri" w:cs="Times New Roman"/>
                <w:color w:val="000000"/>
                <w:szCs w:val="24"/>
              </w:rPr>
            </w:pPr>
            <w:r w:rsidRPr="00CC33F6">
              <w:rPr>
                <w:rFonts w:eastAsia="Calibri" w:cs="Times New Roman"/>
                <w:color w:val="000000"/>
                <w:szCs w:val="24"/>
              </w:rPr>
              <w:t>Multilingualism at Royal Crescent Hotel in Bath enhances guest experience via customised communication. By fulfilling several demands, the staff's multilingualism improves client satisfaction. The hotel's ability to accommodate unknown customers improves customer relations and fosters a welcoming and empathetic environment (</w:t>
            </w:r>
            <w:proofErr w:type="spellStart"/>
            <w:r w:rsidRPr="00CC33F6">
              <w:rPr>
                <w:rFonts w:eastAsia="Calibri" w:cs="Times New Roman"/>
                <w:color w:val="000000"/>
                <w:szCs w:val="24"/>
              </w:rPr>
              <w:t>Dekleer</w:t>
            </w:r>
            <w:proofErr w:type="spellEnd"/>
            <w:r w:rsidRPr="00CC33F6">
              <w:rPr>
                <w:rFonts w:eastAsia="Calibri" w:cs="Times New Roman"/>
                <w:color w:val="000000"/>
                <w:szCs w:val="24"/>
              </w:rPr>
              <w:t>, 2023). Effectively managing multilingual requests creates a pleasant experience and improves administration. This skill improves the hotel's online surveys and boosts its comprehensiveness and cultural sensitivity (Jencks, 2023). A French-speaking client feels really welcomed when staff cooperates in their original language, leaving a positive impression that affects online reviews and referrals.</w:t>
            </w:r>
          </w:p>
          <w:p w14:paraId="309CF798" w14:textId="77777777" w:rsidR="003164B2" w:rsidRDefault="003164B2" w:rsidP="00CC33F6">
            <w:pPr>
              <w:rPr>
                <w:b/>
                <w:bCs/>
                <w:i/>
                <w:iCs/>
                <w:color w:val="BFBFBF" w:themeColor="background1" w:themeShade="BF"/>
                <w:sz w:val="28"/>
                <w:szCs w:val="24"/>
              </w:rPr>
            </w:pPr>
          </w:p>
        </w:tc>
      </w:tr>
      <w:tr w:rsidR="003164B2" w:rsidRPr="00330917" w14:paraId="52D72DD4"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FFFFFF" w:themeFill="background1"/>
          </w:tcPr>
          <w:p w14:paraId="3CD7D3AA" w14:textId="77777777" w:rsidR="00CC33F6" w:rsidRPr="00CC33F6" w:rsidRDefault="00CC33F6" w:rsidP="00CC33F6">
            <w:pPr>
              <w:keepNext/>
              <w:keepLines/>
              <w:spacing w:before="40" w:after="0" w:line="480" w:lineRule="auto"/>
              <w:outlineLvl w:val="1"/>
              <w:rPr>
                <w:rFonts w:eastAsia="Calibri" w:cs="Times New Roman"/>
                <w:b/>
                <w:i/>
                <w:color w:val="000000"/>
                <w:szCs w:val="26"/>
              </w:rPr>
            </w:pPr>
            <w:bookmarkStart w:id="2" w:name="_Toc157252092"/>
            <w:r w:rsidRPr="00CC33F6">
              <w:rPr>
                <w:rFonts w:eastAsia="Calibri" w:cs="Times New Roman"/>
                <w:b/>
                <w:i/>
                <w:color w:val="000000"/>
                <w:szCs w:val="26"/>
              </w:rPr>
              <w:t>Slide 3: French as Modern European Language Focus</w:t>
            </w:r>
            <w:bookmarkEnd w:id="2"/>
          </w:p>
          <w:p w14:paraId="3EDFE278" w14:textId="77777777" w:rsidR="00CC33F6" w:rsidRPr="00CC33F6" w:rsidRDefault="00CC33F6" w:rsidP="00CC33F6">
            <w:pPr>
              <w:spacing w:after="0" w:line="480" w:lineRule="auto"/>
              <w:ind w:firstLine="720"/>
              <w:contextualSpacing/>
              <w:jc w:val="both"/>
              <w:rPr>
                <w:rFonts w:eastAsia="Calibri" w:cs="Times New Roman"/>
                <w:color w:val="000000"/>
                <w:szCs w:val="24"/>
              </w:rPr>
            </w:pPr>
            <w:r w:rsidRPr="00CC33F6">
              <w:rPr>
                <w:rFonts w:eastAsia="Calibri" w:cs="Times New Roman"/>
                <w:color w:val="000000"/>
                <w:szCs w:val="24"/>
              </w:rPr>
              <w:t>The Royal Crescent Hotel in Bath puts huge significance on the French language as a component of its central goal. The cultural lavishness of the French has prompted its far-reaching use in the UK hospitality business, which is particularly noticeable in Europe (Heard, 2016). Even though procuring capability in French might appear to be overwhelming, the hotel offers materials to empower staff individuals to grasp its complexities. The hotel utilises French articulations while drawing in visitors, coordinating standard welcome and amiability. Staff faculty exhibit language awareness by utilising gracious articulations, for example, "Bonjour" and "</w:t>
            </w:r>
            <w:proofErr w:type="spellStart"/>
            <w:r w:rsidRPr="00CC33F6">
              <w:rPr>
                <w:rFonts w:eastAsia="Calibri" w:cs="Times New Roman"/>
                <w:color w:val="000000"/>
                <w:szCs w:val="24"/>
              </w:rPr>
              <w:t>Merci</w:t>
            </w:r>
            <w:proofErr w:type="spellEnd"/>
            <w:r w:rsidRPr="00CC33F6">
              <w:rPr>
                <w:rFonts w:eastAsia="Calibri" w:cs="Times New Roman"/>
                <w:color w:val="000000"/>
                <w:szCs w:val="24"/>
              </w:rPr>
              <w:t>" while interfacing with French-speaking guests, consequently creating a friendly climate and representing their devotion (Heard, 2016).</w:t>
            </w:r>
          </w:p>
          <w:p w14:paraId="550F9BC1" w14:textId="77777777" w:rsidR="003164B2" w:rsidRDefault="003164B2" w:rsidP="00CC33F6">
            <w:pPr>
              <w:rPr>
                <w:b/>
                <w:bCs/>
                <w:i/>
                <w:iCs/>
                <w:color w:val="BFBFBF" w:themeColor="background1" w:themeShade="BF"/>
                <w:sz w:val="28"/>
                <w:szCs w:val="24"/>
              </w:rPr>
            </w:pPr>
          </w:p>
        </w:tc>
      </w:tr>
      <w:tr w:rsidR="003164B2" w:rsidRPr="00330917" w14:paraId="71972708" w14:textId="77777777" w:rsidTr="00B41015">
        <w:trPr>
          <w:trHeight w:val="1833"/>
          <w:jc w:val="center"/>
        </w:trPr>
        <w:tc>
          <w:tcPr>
            <w:tcW w:w="6683" w:type="dxa"/>
            <w:gridSpan w:val="2"/>
            <w:tcBorders>
              <w:top w:val="single" w:sz="4" w:space="0" w:color="auto"/>
              <w:left w:val="single" w:sz="4" w:space="0" w:color="auto"/>
              <w:right w:val="single" w:sz="4" w:space="0" w:color="auto"/>
            </w:tcBorders>
            <w:shd w:val="clear" w:color="auto" w:fill="FFFFFF" w:themeFill="background1"/>
          </w:tcPr>
          <w:p w14:paraId="1E72C74D" w14:textId="77777777" w:rsidR="00CC33F6" w:rsidRPr="00CC33F6" w:rsidRDefault="00CC33F6" w:rsidP="00CC33F6">
            <w:pPr>
              <w:keepNext/>
              <w:keepLines/>
              <w:spacing w:before="40" w:after="0" w:line="480" w:lineRule="auto"/>
              <w:outlineLvl w:val="1"/>
              <w:rPr>
                <w:rFonts w:eastAsia="Calibri" w:cs="Times New Roman"/>
                <w:b/>
                <w:i/>
                <w:color w:val="000000"/>
                <w:szCs w:val="26"/>
              </w:rPr>
            </w:pPr>
            <w:bookmarkStart w:id="3" w:name="_Toc157252093"/>
            <w:r w:rsidRPr="00CC33F6">
              <w:rPr>
                <w:rFonts w:eastAsia="Calibri" w:cs="Times New Roman"/>
                <w:b/>
                <w:i/>
                <w:color w:val="000000"/>
                <w:szCs w:val="26"/>
              </w:rPr>
              <w:t>Slide 4: Language Awareness Skills at Royal Crescent Hotel</w:t>
            </w:r>
            <w:bookmarkEnd w:id="3"/>
          </w:p>
          <w:p w14:paraId="34548FCB" w14:textId="77777777" w:rsidR="00CC33F6" w:rsidRPr="00CC33F6" w:rsidRDefault="00CC33F6" w:rsidP="00CC33F6">
            <w:pPr>
              <w:spacing w:after="0" w:line="480" w:lineRule="auto"/>
              <w:ind w:firstLine="720"/>
              <w:contextualSpacing/>
              <w:jc w:val="both"/>
              <w:rPr>
                <w:rFonts w:eastAsia="Calibri" w:cs="Times New Roman"/>
                <w:color w:val="000000"/>
                <w:szCs w:val="24"/>
              </w:rPr>
            </w:pPr>
            <w:r w:rsidRPr="00CC33F6">
              <w:rPr>
                <w:rFonts w:eastAsia="Calibri" w:cs="Times New Roman"/>
                <w:color w:val="000000"/>
                <w:szCs w:val="24"/>
              </w:rPr>
              <w:t>The Royal Crescent Hotel in Bath emphasises language learning with extensive programmes. Communication training includes language-specific role plays to ensure staff use skills in their daily work (</w:t>
            </w:r>
            <w:proofErr w:type="spellStart"/>
            <w:r w:rsidRPr="00CC33F6">
              <w:rPr>
                <w:rFonts w:eastAsia="Calibri" w:cs="Times New Roman"/>
                <w:color w:val="000000"/>
                <w:szCs w:val="24"/>
              </w:rPr>
              <w:t>Trainor</w:t>
            </w:r>
            <w:proofErr w:type="spellEnd"/>
            <w:r w:rsidRPr="00CC33F6">
              <w:rPr>
                <w:rFonts w:eastAsia="Calibri" w:cs="Times New Roman"/>
                <w:color w:val="000000"/>
                <w:szCs w:val="24"/>
              </w:rPr>
              <w:t>, 2023). In bilingual attendant services, the staff is skilled at helping clients in French and understanding cultural differences. Semantic integration is seen in the hotel's online reservation and booking services' several language choices (Jencks, 2023). This crucial strategy facilitates communication in many languages and indicates the hotel's dedication to a seamless and culturally rich stay.</w:t>
            </w:r>
          </w:p>
          <w:p w14:paraId="59A6DDC8" w14:textId="6AF67AFB" w:rsidR="003164B2" w:rsidRDefault="003164B2" w:rsidP="00CC33F6">
            <w:pPr>
              <w:rPr>
                <w:b/>
                <w:bCs/>
                <w:i/>
                <w:iCs/>
                <w:color w:val="BFBFBF" w:themeColor="background1" w:themeShade="BF"/>
                <w:sz w:val="28"/>
                <w:szCs w:val="24"/>
              </w:rPr>
            </w:pPr>
          </w:p>
        </w:tc>
      </w:tr>
      <w:tr w:rsidR="003164B2" w:rsidRPr="00330917" w14:paraId="3F35D0A1" w14:textId="77777777" w:rsidTr="00B41015">
        <w:trPr>
          <w:trHeight w:val="2706"/>
          <w:jc w:val="center"/>
        </w:trPr>
        <w:tc>
          <w:tcPr>
            <w:tcW w:w="6683" w:type="dxa"/>
            <w:gridSpan w:val="2"/>
            <w:tcBorders>
              <w:top w:val="single" w:sz="4" w:space="0" w:color="auto"/>
              <w:left w:val="single" w:sz="4" w:space="0" w:color="auto"/>
              <w:right w:val="single" w:sz="4" w:space="0" w:color="auto"/>
            </w:tcBorders>
            <w:shd w:val="clear" w:color="auto" w:fill="auto"/>
          </w:tcPr>
          <w:p w14:paraId="75B06BBE" w14:textId="77777777" w:rsidR="00CC33F6" w:rsidRPr="00CC33F6" w:rsidRDefault="00CC33F6" w:rsidP="00CC33F6">
            <w:pPr>
              <w:keepNext/>
              <w:keepLines/>
              <w:spacing w:before="40" w:after="0" w:line="480" w:lineRule="auto"/>
              <w:outlineLvl w:val="1"/>
              <w:rPr>
                <w:rFonts w:eastAsia="Calibri" w:cs="Times New Roman"/>
                <w:b/>
                <w:i/>
                <w:color w:val="000000"/>
                <w:szCs w:val="26"/>
              </w:rPr>
            </w:pPr>
            <w:bookmarkStart w:id="4" w:name="_Toc157252094"/>
            <w:r w:rsidRPr="00CC33F6">
              <w:rPr>
                <w:rFonts w:eastAsia="Calibri" w:cs="Times New Roman"/>
                <w:b/>
                <w:i/>
                <w:color w:val="000000"/>
                <w:szCs w:val="26"/>
              </w:rPr>
              <w:t>Slide 5: Integration and Conclusion</w:t>
            </w:r>
            <w:bookmarkEnd w:id="4"/>
          </w:p>
          <w:p w14:paraId="0C22584E" w14:textId="64244714" w:rsidR="00CC33F6" w:rsidRPr="00CC33F6" w:rsidRDefault="00CC33F6" w:rsidP="00CC33F6">
            <w:pPr>
              <w:spacing w:after="0" w:line="480" w:lineRule="auto"/>
              <w:ind w:firstLine="720"/>
              <w:contextualSpacing/>
              <w:jc w:val="both"/>
              <w:rPr>
                <w:rFonts w:eastAsia="Calibri" w:cs="Times New Roman"/>
                <w:color w:val="000000"/>
                <w:szCs w:val="24"/>
              </w:rPr>
            </w:pPr>
            <w:r w:rsidRPr="00CC33F6">
              <w:rPr>
                <w:rFonts w:eastAsia="Calibri" w:cs="Times New Roman"/>
                <w:color w:val="000000"/>
                <w:szCs w:val="24"/>
              </w:rPr>
              <w:t xml:space="preserve">The Royal Crescent Hotel successfully integrates multilingualism into its marking, addressing consideration. This involves decisively </w:t>
            </w:r>
            <w:r w:rsidR="0064149B">
              <w:rPr>
                <w:rFonts w:eastAsia="Calibri" w:cs="Times New Roman"/>
                <w:color w:val="000000"/>
                <w:szCs w:val="24"/>
              </w:rPr>
              <w:t>utilis</w:t>
            </w:r>
            <w:r w:rsidRPr="00CC33F6">
              <w:rPr>
                <w:rFonts w:eastAsia="Calibri" w:cs="Times New Roman"/>
                <w:color w:val="000000"/>
                <w:szCs w:val="24"/>
              </w:rPr>
              <w:t>ing the French language in promoting materials to interest a large number of individuals. The hotel's commitment additionally includes its online portrayal, as its site offers bilingual highlights to take care of a global client base. Proceeding with staff preparation is vital for advancing activity. At Royal Crescent Hotel, embracing multilingualism isn't just an essential methodology, but a central rule that ensures each guest gets a warm gladly received, yet additionally feels truly comprehended. This vow fortifies the hotel's status as an image of cultural awareness, improving the general fulfilment of its visitors.</w:t>
            </w:r>
            <w:r w:rsidRPr="00CC33F6">
              <w:rPr>
                <w:rFonts w:ascii="Calibri" w:eastAsia="Calibri" w:hAnsi="Calibri" w:cs="Times New Roman"/>
                <w:vanish/>
                <w:color w:val="auto"/>
                <w:sz w:val="22"/>
                <w:lang w:val="en-US"/>
              </w:rPr>
              <w:t>Top of Form</w:t>
            </w:r>
          </w:p>
          <w:p w14:paraId="298A71A0" w14:textId="2B1D28C7" w:rsidR="003164B2" w:rsidRPr="003164B2" w:rsidRDefault="003164B2" w:rsidP="006C0FE2">
            <w:pPr>
              <w:rPr>
                <w:b/>
                <w:bCs/>
                <w:sz w:val="28"/>
                <w:szCs w:val="24"/>
              </w:rPr>
            </w:pPr>
          </w:p>
        </w:tc>
      </w:tr>
      <w:tr w:rsidR="006C0FE2" w:rsidRPr="00330917" w14:paraId="1DE8B5AD" w14:textId="77777777" w:rsidTr="00B41015">
        <w:trPr>
          <w:trHeight w:val="2706"/>
          <w:jc w:val="center"/>
        </w:trPr>
        <w:tc>
          <w:tcPr>
            <w:tcW w:w="6683"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7C92DDFD" w14:textId="77777777" w:rsidR="00CC33F6" w:rsidRPr="00CC33F6" w:rsidRDefault="00CC33F6" w:rsidP="00CC33F6">
            <w:pPr>
              <w:spacing w:after="0" w:line="480" w:lineRule="auto"/>
              <w:ind w:left="720" w:hanging="720"/>
              <w:contextualSpacing/>
              <w:rPr>
                <w:rFonts w:eastAsia="Calibri" w:cs="Times New Roman"/>
                <w:color w:val="auto"/>
                <w:szCs w:val="24"/>
              </w:rPr>
            </w:pPr>
            <w:proofErr w:type="spellStart"/>
            <w:r w:rsidRPr="00CC33F6">
              <w:rPr>
                <w:rFonts w:eastAsia="Calibri" w:cs="Times New Roman"/>
                <w:color w:val="auto"/>
                <w:szCs w:val="24"/>
              </w:rPr>
              <w:t>Dekleer</w:t>
            </w:r>
            <w:proofErr w:type="spellEnd"/>
            <w:r w:rsidRPr="00CC33F6">
              <w:rPr>
                <w:rFonts w:eastAsia="Calibri" w:cs="Times New Roman"/>
                <w:color w:val="auto"/>
                <w:szCs w:val="24"/>
              </w:rPr>
              <w:t>, L., 2023. " Let's talk supportive housing": a critical discourse analysis of responses to homelessness in Maple Ridge, BC.</w:t>
            </w:r>
          </w:p>
          <w:p w14:paraId="295B2E3E" w14:textId="77777777" w:rsidR="00CC33F6" w:rsidRPr="00CC33F6" w:rsidRDefault="00CC33F6" w:rsidP="00CC33F6">
            <w:pPr>
              <w:spacing w:after="0" w:line="480" w:lineRule="auto"/>
              <w:ind w:left="720" w:hanging="720"/>
              <w:contextualSpacing/>
              <w:rPr>
                <w:rFonts w:eastAsia="Calibri" w:cs="Times New Roman"/>
                <w:color w:val="auto"/>
                <w:szCs w:val="24"/>
              </w:rPr>
            </w:pPr>
            <w:r w:rsidRPr="00CC33F6">
              <w:rPr>
                <w:rFonts w:eastAsia="Calibri" w:cs="Times New Roman"/>
                <w:color w:val="auto"/>
                <w:szCs w:val="24"/>
              </w:rPr>
              <w:t>Farrell, A., 2023. A Bed in Bath. The New York Times, pp.46-L.</w:t>
            </w:r>
          </w:p>
          <w:p w14:paraId="2A09D9C4" w14:textId="77777777" w:rsidR="00CC33F6" w:rsidRPr="00CC33F6" w:rsidRDefault="00CC33F6" w:rsidP="00CC33F6">
            <w:pPr>
              <w:spacing w:after="0" w:line="480" w:lineRule="auto"/>
              <w:ind w:left="720" w:hanging="720"/>
              <w:contextualSpacing/>
              <w:rPr>
                <w:rFonts w:eastAsia="Calibri" w:cs="Times New Roman"/>
                <w:color w:val="auto"/>
                <w:szCs w:val="24"/>
              </w:rPr>
            </w:pPr>
            <w:r w:rsidRPr="00CC33F6">
              <w:rPr>
                <w:rFonts w:eastAsia="Calibri" w:cs="Times New Roman"/>
                <w:color w:val="auto"/>
                <w:szCs w:val="24"/>
              </w:rPr>
              <w:t>Heard, N., (2016). Hotel Review: The Royal Crescent Hotel &amp; Spa in Bath | Luxury Lifestyle Magazine. [online] Available at: https://www.luxurylifestylemag.co.uk/travel/hotel-review-the-royal-crescent-hotel-and-spa-in-bath/ [Accessed 27 Jan. 2024].</w:t>
            </w:r>
          </w:p>
          <w:p w14:paraId="56F3F47E" w14:textId="77777777" w:rsidR="00CC33F6" w:rsidRPr="00CC33F6" w:rsidRDefault="00CC33F6" w:rsidP="00CC33F6">
            <w:pPr>
              <w:spacing w:after="0" w:line="480" w:lineRule="auto"/>
              <w:ind w:left="720" w:hanging="720"/>
              <w:contextualSpacing/>
              <w:rPr>
                <w:rFonts w:eastAsia="Calibri" w:cs="Times New Roman"/>
                <w:color w:val="auto"/>
                <w:szCs w:val="24"/>
              </w:rPr>
            </w:pPr>
            <w:r w:rsidRPr="00CC33F6">
              <w:rPr>
                <w:rFonts w:eastAsia="Calibri" w:cs="Times New Roman"/>
                <w:color w:val="auto"/>
                <w:szCs w:val="24"/>
              </w:rPr>
              <w:t xml:space="preserve">Jencks, C., 2023, November. The Rise of Post Modern Architecture (1975). In </w:t>
            </w:r>
            <w:proofErr w:type="spellStart"/>
            <w:r w:rsidRPr="00CC33F6">
              <w:rPr>
                <w:rFonts w:eastAsia="Calibri" w:cs="Times New Roman"/>
                <w:color w:val="auto"/>
                <w:szCs w:val="24"/>
              </w:rPr>
              <w:t>Anthologie</w:t>
            </w:r>
            <w:proofErr w:type="spellEnd"/>
            <w:r w:rsidRPr="00CC33F6">
              <w:rPr>
                <w:rFonts w:eastAsia="Calibri" w:cs="Times New Roman"/>
                <w:color w:val="auto"/>
                <w:szCs w:val="24"/>
              </w:rPr>
              <w:t xml:space="preserve"> </w:t>
            </w:r>
            <w:proofErr w:type="spellStart"/>
            <w:r w:rsidRPr="00CC33F6">
              <w:rPr>
                <w:rFonts w:eastAsia="Calibri" w:cs="Times New Roman"/>
                <w:color w:val="auto"/>
                <w:szCs w:val="24"/>
              </w:rPr>
              <w:t>zum</w:t>
            </w:r>
            <w:proofErr w:type="spellEnd"/>
            <w:r w:rsidRPr="00CC33F6">
              <w:rPr>
                <w:rFonts w:eastAsia="Calibri" w:cs="Times New Roman"/>
                <w:color w:val="auto"/>
                <w:szCs w:val="24"/>
              </w:rPr>
              <w:t xml:space="preserve"> </w:t>
            </w:r>
            <w:proofErr w:type="spellStart"/>
            <w:r w:rsidRPr="00CC33F6">
              <w:rPr>
                <w:rFonts w:eastAsia="Calibri" w:cs="Times New Roman"/>
                <w:color w:val="auto"/>
                <w:szCs w:val="24"/>
              </w:rPr>
              <w:t>Städtebau</w:t>
            </w:r>
            <w:proofErr w:type="spellEnd"/>
            <w:r w:rsidRPr="00CC33F6">
              <w:rPr>
                <w:rFonts w:eastAsia="Calibri" w:cs="Times New Roman"/>
                <w:color w:val="auto"/>
                <w:szCs w:val="24"/>
              </w:rPr>
              <w:t xml:space="preserve">. Band III: Vom </w:t>
            </w:r>
            <w:proofErr w:type="spellStart"/>
            <w:r w:rsidRPr="00CC33F6">
              <w:rPr>
                <w:rFonts w:eastAsia="Calibri" w:cs="Times New Roman"/>
                <w:color w:val="auto"/>
                <w:szCs w:val="24"/>
              </w:rPr>
              <w:t>Wiederaufbau</w:t>
            </w:r>
            <w:proofErr w:type="spellEnd"/>
            <w:r w:rsidRPr="00CC33F6">
              <w:rPr>
                <w:rFonts w:eastAsia="Calibri" w:cs="Times New Roman"/>
                <w:color w:val="auto"/>
                <w:szCs w:val="24"/>
              </w:rPr>
              <w:t xml:space="preserve"> </w:t>
            </w:r>
            <w:proofErr w:type="spellStart"/>
            <w:r w:rsidRPr="00CC33F6">
              <w:rPr>
                <w:rFonts w:eastAsia="Calibri" w:cs="Times New Roman"/>
                <w:color w:val="auto"/>
                <w:szCs w:val="24"/>
              </w:rPr>
              <w:t>nach</w:t>
            </w:r>
            <w:proofErr w:type="spellEnd"/>
            <w:r w:rsidRPr="00CC33F6">
              <w:rPr>
                <w:rFonts w:eastAsia="Calibri" w:cs="Times New Roman"/>
                <w:color w:val="auto"/>
                <w:szCs w:val="24"/>
              </w:rPr>
              <w:t xml:space="preserve"> dem </w:t>
            </w:r>
            <w:proofErr w:type="spellStart"/>
            <w:r w:rsidRPr="00CC33F6">
              <w:rPr>
                <w:rFonts w:eastAsia="Calibri" w:cs="Times New Roman"/>
                <w:color w:val="auto"/>
                <w:szCs w:val="24"/>
              </w:rPr>
              <w:t>Zweiten</w:t>
            </w:r>
            <w:proofErr w:type="spellEnd"/>
            <w:r w:rsidRPr="00CC33F6">
              <w:rPr>
                <w:rFonts w:eastAsia="Calibri" w:cs="Times New Roman"/>
                <w:color w:val="auto"/>
                <w:szCs w:val="24"/>
              </w:rPr>
              <w:t xml:space="preserve"> </w:t>
            </w:r>
            <w:proofErr w:type="spellStart"/>
            <w:r w:rsidRPr="00CC33F6">
              <w:rPr>
                <w:rFonts w:eastAsia="Calibri" w:cs="Times New Roman"/>
                <w:color w:val="auto"/>
                <w:szCs w:val="24"/>
              </w:rPr>
              <w:t>Weltkrieg</w:t>
            </w:r>
            <w:proofErr w:type="spellEnd"/>
            <w:r w:rsidRPr="00CC33F6">
              <w:rPr>
                <w:rFonts w:eastAsia="Calibri" w:cs="Times New Roman"/>
                <w:color w:val="auto"/>
                <w:szCs w:val="24"/>
              </w:rPr>
              <w:t xml:space="preserve"> bis </w:t>
            </w:r>
            <w:proofErr w:type="spellStart"/>
            <w:r w:rsidRPr="00CC33F6">
              <w:rPr>
                <w:rFonts w:eastAsia="Calibri" w:cs="Times New Roman"/>
                <w:color w:val="auto"/>
                <w:szCs w:val="24"/>
              </w:rPr>
              <w:t>zur</w:t>
            </w:r>
            <w:proofErr w:type="spellEnd"/>
            <w:r w:rsidRPr="00CC33F6">
              <w:rPr>
                <w:rFonts w:eastAsia="Calibri" w:cs="Times New Roman"/>
                <w:color w:val="auto"/>
                <w:szCs w:val="24"/>
              </w:rPr>
              <w:t xml:space="preserve"> </w:t>
            </w:r>
            <w:proofErr w:type="spellStart"/>
            <w:r w:rsidRPr="00CC33F6">
              <w:rPr>
                <w:rFonts w:eastAsia="Calibri" w:cs="Times New Roman"/>
                <w:color w:val="auto"/>
                <w:szCs w:val="24"/>
              </w:rPr>
              <w:t>zeitgenössischen</w:t>
            </w:r>
            <w:proofErr w:type="spellEnd"/>
            <w:r w:rsidRPr="00CC33F6">
              <w:rPr>
                <w:rFonts w:eastAsia="Calibri" w:cs="Times New Roman"/>
                <w:color w:val="auto"/>
                <w:szCs w:val="24"/>
              </w:rPr>
              <w:t xml:space="preserve"> Stadt (pp. 367-378). </w:t>
            </w:r>
            <w:proofErr w:type="spellStart"/>
            <w:r w:rsidRPr="00CC33F6">
              <w:rPr>
                <w:rFonts w:eastAsia="Calibri" w:cs="Times New Roman"/>
                <w:color w:val="auto"/>
                <w:szCs w:val="24"/>
              </w:rPr>
              <w:t>Gebr</w:t>
            </w:r>
            <w:proofErr w:type="spellEnd"/>
            <w:r w:rsidRPr="00CC33F6">
              <w:rPr>
                <w:rFonts w:eastAsia="Calibri" w:cs="Times New Roman"/>
                <w:color w:val="auto"/>
                <w:szCs w:val="24"/>
              </w:rPr>
              <w:t xml:space="preserve">. Mann </w:t>
            </w:r>
            <w:proofErr w:type="spellStart"/>
            <w:r w:rsidRPr="00CC33F6">
              <w:rPr>
                <w:rFonts w:eastAsia="Calibri" w:cs="Times New Roman"/>
                <w:color w:val="auto"/>
                <w:szCs w:val="24"/>
              </w:rPr>
              <w:t>Verlag</w:t>
            </w:r>
            <w:proofErr w:type="spellEnd"/>
            <w:r w:rsidRPr="00CC33F6">
              <w:rPr>
                <w:rFonts w:eastAsia="Calibri" w:cs="Times New Roman"/>
                <w:color w:val="auto"/>
                <w:szCs w:val="24"/>
              </w:rPr>
              <w:t>.</w:t>
            </w:r>
          </w:p>
          <w:p w14:paraId="7879583C" w14:textId="173BA5CC" w:rsidR="006C0FE2" w:rsidRPr="00CC33F6" w:rsidRDefault="00CC33F6" w:rsidP="00CC33F6">
            <w:pPr>
              <w:spacing w:after="0" w:line="480" w:lineRule="auto"/>
              <w:ind w:left="720" w:hanging="720"/>
              <w:contextualSpacing/>
              <w:rPr>
                <w:rFonts w:eastAsia="Calibri" w:cs="Times New Roman"/>
                <w:color w:val="auto"/>
                <w:szCs w:val="24"/>
              </w:rPr>
            </w:pPr>
            <w:proofErr w:type="spellStart"/>
            <w:r w:rsidRPr="00CC33F6">
              <w:rPr>
                <w:rFonts w:eastAsia="Calibri" w:cs="Times New Roman"/>
                <w:color w:val="auto"/>
                <w:szCs w:val="24"/>
              </w:rPr>
              <w:t>Trainor</w:t>
            </w:r>
            <w:proofErr w:type="spellEnd"/>
            <w:r w:rsidRPr="00CC33F6">
              <w:rPr>
                <w:rFonts w:eastAsia="Calibri" w:cs="Times New Roman"/>
                <w:color w:val="auto"/>
                <w:szCs w:val="24"/>
              </w:rPr>
              <w:t>, I.-J. (2023). We review The Royal Crescent Hotel in Bath. [online] The Hotel Journal. Available at: https://thehoteljournal.com/the-royal-crescent-hotel-and-spa-review-bath-england/ [Accessed 27 Jan. 2024].</w:t>
            </w: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D82739" w14:textId="77777777" w:rsidR="0010563C" w:rsidRDefault="0010563C" w:rsidP="007C2128">
      <w:pPr>
        <w:spacing w:after="0" w:line="240" w:lineRule="auto"/>
      </w:pPr>
      <w:r>
        <w:separator/>
      </w:r>
    </w:p>
  </w:endnote>
  <w:endnote w:type="continuationSeparator" w:id="0">
    <w:p w14:paraId="00A2D229" w14:textId="77777777" w:rsidR="0010563C" w:rsidRDefault="0010563C"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3097C99D"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64149B">
          <w:rPr>
            <w:noProof/>
          </w:rPr>
          <w:t>14</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59BA7" w14:textId="77777777" w:rsidR="0010563C" w:rsidRDefault="0010563C" w:rsidP="007C2128">
      <w:pPr>
        <w:spacing w:after="0" w:line="240" w:lineRule="auto"/>
      </w:pPr>
      <w:r>
        <w:separator/>
      </w:r>
    </w:p>
  </w:footnote>
  <w:footnote w:type="continuationSeparator" w:id="0">
    <w:p w14:paraId="5B4F1425" w14:textId="77777777" w:rsidR="0010563C" w:rsidRDefault="0010563C"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hideSpellingErrors/>
  <w:hideGrammaticalErrors/>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AwNDU1Mjc1NTUwMDVV0lEKTi0uzszPAykwrAUAUKhjjiwAAAA="/>
  </w:docVars>
  <w:rsids>
    <w:rsidRoot w:val="007C2128"/>
    <w:rsid w:val="000544C5"/>
    <w:rsid w:val="00085A4E"/>
    <w:rsid w:val="00091775"/>
    <w:rsid w:val="000A23B0"/>
    <w:rsid w:val="000A7D84"/>
    <w:rsid w:val="0010563C"/>
    <w:rsid w:val="00107742"/>
    <w:rsid w:val="0011796C"/>
    <w:rsid w:val="00135703"/>
    <w:rsid w:val="00136D1F"/>
    <w:rsid w:val="001C05B9"/>
    <w:rsid w:val="002212B0"/>
    <w:rsid w:val="002F762E"/>
    <w:rsid w:val="003164B2"/>
    <w:rsid w:val="00325EAF"/>
    <w:rsid w:val="003439EA"/>
    <w:rsid w:val="00373FD2"/>
    <w:rsid w:val="003F3F25"/>
    <w:rsid w:val="00452F90"/>
    <w:rsid w:val="00466BF4"/>
    <w:rsid w:val="004F2A65"/>
    <w:rsid w:val="004F3356"/>
    <w:rsid w:val="005671B3"/>
    <w:rsid w:val="0059363C"/>
    <w:rsid w:val="005B6C21"/>
    <w:rsid w:val="005C77A4"/>
    <w:rsid w:val="00602C4B"/>
    <w:rsid w:val="0064149B"/>
    <w:rsid w:val="0064455E"/>
    <w:rsid w:val="00675DCB"/>
    <w:rsid w:val="006B575E"/>
    <w:rsid w:val="006C0FE2"/>
    <w:rsid w:val="006D765B"/>
    <w:rsid w:val="00723301"/>
    <w:rsid w:val="00757438"/>
    <w:rsid w:val="007A0095"/>
    <w:rsid w:val="007C2128"/>
    <w:rsid w:val="00833B1F"/>
    <w:rsid w:val="00834656"/>
    <w:rsid w:val="00847B3C"/>
    <w:rsid w:val="008559BE"/>
    <w:rsid w:val="008B7485"/>
    <w:rsid w:val="008C0A30"/>
    <w:rsid w:val="00903A18"/>
    <w:rsid w:val="00910929"/>
    <w:rsid w:val="009C5BA7"/>
    <w:rsid w:val="009E74DD"/>
    <w:rsid w:val="00A135A5"/>
    <w:rsid w:val="00A60F09"/>
    <w:rsid w:val="00AA645D"/>
    <w:rsid w:val="00B3346C"/>
    <w:rsid w:val="00B41015"/>
    <w:rsid w:val="00C91424"/>
    <w:rsid w:val="00C974B9"/>
    <w:rsid w:val="00CC33F6"/>
    <w:rsid w:val="00DA485D"/>
    <w:rsid w:val="00E73500"/>
    <w:rsid w:val="00E95FE6"/>
    <w:rsid w:val="00F50D40"/>
    <w:rsid w:val="00F538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1">
    <w:name w:val="heading 1"/>
    <w:basedOn w:val="Normal"/>
    <w:next w:val="Normal"/>
    <w:link w:val="Heading1Char"/>
    <w:uiPriority w:val="9"/>
    <w:qFormat/>
    <w:rsid w:val="00757438"/>
    <w:pPr>
      <w:keepNext/>
      <w:keepLines/>
      <w:spacing w:before="240" w:after="0" w:line="480" w:lineRule="auto"/>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757438"/>
    <w:pPr>
      <w:keepNext/>
      <w:keepLines/>
      <w:spacing w:before="40" w:after="0" w:line="480" w:lineRule="auto"/>
      <w:outlineLvl w:val="1"/>
    </w:pPr>
    <w:rPr>
      <w:rFonts w:eastAsiaTheme="majorEastAsia" w:cstheme="majorBidi"/>
      <w:b/>
      <w:i/>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1Char">
    <w:name w:val="Heading 1 Char"/>
    <w:basedOn w:val="DefaultParagraphFont"/>
    <w:link w:val="Heading1"/>
    <w:uiPriority w:val="9"/>
    <w:rsid w:val="00757438"/>
    <w:rPr>
      <w:rFonts w:ascii="Times New Roman" w:eastAsiaTheme="majorEastAsia" w:hAnsi="Times New Roman" w:cstheme="majorBidi"/>
      <w:b/>
      <w:color w:val="000000" w:themeColor="text1"/>
      <w:kern w:val="0"/>
      <w:sz w:val="24"/>
      <w:szCs w:val="32"/>
      <w:lang w:val="en-US" w:eastAsia="en-US"/>
      <w14:ligatures w14:val="none"/>
    </w:rPr>
  </w:style>
  <w:style w:type="character" w:customStyle="1" w:styleId="Heading2Char">
    <w:name w:val="Heading 2 Char"/>
    <w:basedOn w:val="DefaultParagraphFont"/>
    <w:link w:val="Heading2"/>
    <w:uiPriority w:val="9"/>
    <w:rsid w:val="00757438"/>
    <w:rPr>
      <w:rFonts w:ascii="Times New Roman" w:eastAsiaTheme="majorEastAsia" w:hAnsi="Times New Roman" w:cstheme="majorBidi"/>
      <w:b/>
      <w:i/>
      <w:color w:val="000000" w:themeColor="text1"/>
      <w:kern w:val="0"/>
      <w:sz w:val="24"/>
      <w:szCs w:val="26"/>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2701</Words>
  <Characters>15397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Tanya Gue Ferreira Amaro (2209539)</cp:lastModifiedBy>
  <cp:revision>2</cp:revision>
  <dcterms:created xsi:type="dcterms:W3CDTF">2024-02-06T14:27:00Z</dcterms:created>
  <dcterms:modified xsi:type="dcterms:W3CDTF">2024-02-06T14:27:00Z</dcterms:modified>
</cp:coreProperties>
</file>