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14:paraId="00000001">
      <w:pPr>
        <w:jc w:val="both"/>
        <w:rPr>
          <w:b/>
          <w:bCs/>
        </w:rPr>
      </w:pPr>
      <w:bookmarkStart w:id="0" w:name="_GoBack"/>
      <w:bookmarkEnd w:id="0"/>
      <w:r>
        <w:rPr>
          <w:b/>
          <w:bCs/>
        </w:rPr>
        <w:t>I</w:t>
      </w:r>
      <w:r>
        <w:rPr>
          <w:b/>
          <w:bCs/>
        </w:rPr>
        <w:t>ntroduction</w:t>
      </w:r>
    </w:p>
    <w:p w14:paraId="00000002">
      <w:pPr>
        <w:jc w:val="both"/>
        <w:rPr/>
      </w:pPr>
      <w:r>
        <w:t xml:space="preserve">Person-centred therapy, which Carl Rogers developed in the 1940s, is named after him. At its core, this approach to psychotherapy rests on the idea that people have an innate drive to improve their mental health. The </w:t>
      </w:r>
      <w:r>
        <w:t>counsellor</w:t>
      </w:r>
      <w:r>
        <w:t xml:space="preserve"> takes a more passive, non-directive stance, with the knowledge that the patient ultimately determines the therapy's general direction. It is the </w:t>
      </w:r>
      <w:r>
        <w:t>counsellor</w:t>
      </w:r>
      <w:r>
        <w:t>'s job to provide an atmosphere where openness and honesty about oneself are encouraged. By digging deeper into their past, clients can gain a more nuanced picture of who they are and how they tick, resulting in positive psychological growth</w:t>
      </w:r>
      <w:r>
        <w:rPr>
          <w:rFonts w:ascii="Arial" w:cs="Arial" w:hAnsi="Arial"/>
          <w:color w:val="2c3e50"/>
          <w:sz w:val="23"/>
          <w:szCs w:val="23"/>
          <w:shd w:val="clear" w:color="auto" w:fill="ffffff"/>
        </w:rPr>
        <w:t xml:space="preserve"> </w:t>
      </w:r>
      <w:r>
        <w:t>(Campbell Purton, 2004)</w:t>
      </w:r>
      <w:r>
        <w:t xml:space="preserve">. The </w:t>
      </w:r>
      <w:r>
        <w:t>counsellor</w:t>
      </w:r>
      <w:r>
        <w:t xml:space="preserve">'s goal is to increase the client's insight into </w:t>
      </w:r>
      <w:r>
        <w:t>wh</w:t>
      </w:r>
      <w:r>
        <w:t xml:space="preserve">o they are by providing in-depth explanations to questions and prompting introspection. Person-centred therapy is no longer the sole practice of many </w:t>
      </w:r>
      <w:r>
        <w:t>counsellor</w:t>
      </w:r>
      <w:r>
        <w:t xml:space="preserve">s, but its principles and approaches have been eclectically incorporated into the practices of many different kinds of </w:t>
      </w:r>
      <w:r>
        <w:t>counsellor</w:t>
      </w:r>
      <w:r>
        <w:t>s.</w:t>
      </w:r>
      <w:r>
        <w:t xml:space="preserve"> </w:t>
      </w:r>
      <w:r>
        <w:t>Using</w:t>
      </w:r>
      <w:r>
        <w:t xml:space="preserve"> a person-centred approach, </w:t>
      </w:r>
      <w:r>
        <w:t xml:space="preserve">a mock counselling session </w:t>
      </w:r>
      <w:r>
        <w:t>was recorded to show off the</w:t>
      </w:r>
      <w:r>
        <w:t xml:space="preserve"> communication and counselling skills. </w:t>
      </w:r>
      <w:r>
        <w:t xml:space="preserve">The session depicted </w:t>
      </w:r>
      <w:r>
        <w:t>a range of counselling and communication techniques utilized in Carl Rogers' Humanistic Theory.</w:t>
      </w:r>
      <w:r>
        <w:t xml:space="preserve"> This critique will reflect the observed counselling</w:t>
      </w:r>
      <w:r>
        <w:t xml:space="preserve"> skills throughout the session. </w:t>
      </w:r>
    </w:p>
    <w:p w14:paraId="00000003">
      <w:pPr>
        <w:jc w:val="both"/>
        <w:rPr/>
      </w:pPr>
      <w:r>
        <w:t>It is stated that a</w:t>
      </w:r>
      <w:r>
        <w:t>dopting the three attitudes that Rogers described increases the likelihood of success in person-centred treatment. Accurate empathy, unity, and unconditional positive respect make up these core prerequisites.</w:t>
      </w:r>
      <w:r>
        <w:t xml:space="preserve"> Cuijpers et al. (2012) state </w:t>
      </w:r>
      <w:r>
        <w:t xml:space="preserve">that a </w:t>
      </w:r>
      <w:r>
        <w:t>counsellor</w:t>
      </w:r>
      <w:r>
        <w:t xml:space="preserve"> engages in active listening, they give attentive attention to the client while they talk. The </w:t>
      </w:r>
      <w:r>
        <w:t>counsellor</w:t>
      </w:r>
      <w:r>
        <w:t xml:space="preserve"> takes on the role of the patient throughout the session, correctly portraying the latter's internal world as though it were their own. Paraphrasing or describing the client's emotion rather than the words uttered by the client is a helpful way to communicate empathy effectively through the process of reflection</w:t>
      </w:r>
      <w:r>
        <w:t xml:space="preserve"> (Goodman et al., 2004)</w:t>
      </w:r>
      <w:r>
        <w:t>. It also provides clients with the opportunity to process their feelings after hearing them echoed by a new listener.</w:t>
      </w:r>
      <w:r>
        <w:t xml:space="preserve"> During the session, the counsellor showed the empathy towards the patent by asking the reason to come. The counsellor also depicted patent’s situation when he described the tension of managing time and studies at the same time. In this stance, the counsellor communicated his empathy towards the patent by uttering words. </w:t>
      </w:r>
      <w:r>
        <w:rPr>
          <w:b/>
        </w:rPr>
        <w:t xml:space="preserve"> </w:t>
      </w:r>
    </w:p>
    <w:p w14:paraId="00000004">
      <w:pPr>
        <w:jc w:val="both"/>
        <w:rPr/>
      </w:pPr>
      <w:r>
        <w:t xml:space="preserve">The </w:t>
      </w:r>
      <w:r>
        <w:t>counsellor</w:t>
      </w:r>
      <w:r>
        <w:t xml:space="preserve"> shares their thoughts and feelings honestly with the patient in order to build rapport. When interacting with a client, a </w:t>
      </w:r>
      <w:r>
        <w:t>counsellor</w:t>
      </w:r>
      <w:r>
        <w:t xml:space="preserve"> is being authentic. The </w:t>
      </w:r>
      <w:r>
        <w:t>counsellor</w:t>
      </w:r>
      <w:r>
        <w:t xml:space="preserve"> is honest with the client and doesn't put on an act. </w:t>
      </w:r>
      <w:r>
        <w:t>Counsellor</w:t>
      </w:r>
      <w:r>
        <w:t>s are allowed to share their emotions with their clients, but they shouldn't make the session about them or their problems</w:t>
      </w:r>
      <w:r>
        <w:t xml:space="preserve"> </w:t>
      </w:r>
      <w:r>
        <w:t>(Wilkins, 2015)</w:t>
      </w:r>
      <w:r>
        <w:t>.</w:t>
      </w:r>
      <w:r>
        <w:t xml:space="preserve"> During the session, the counsellor showed the congruence towards the patent by describing his thoughts and honest feelings. He states that i</w:t>
      </w:r>
      <w:r>
        <w:t>t’s very difficult</w:t>
      </w:r>
      <w:r>
        <w:t xml:space="preserve"> to manage studies business and family. He also asks about his family background and asks how does he patent manages his house chores and his time with his kids and wife. In this way, the counsellor showed congruence, the second core condition of Carl’s theory. </w:t>
      </w:r>
      <w:r>
        <w:t xml:space="preserve">The warm environment created by the </w:t>
      </w:r>
      <w:r>
        <w:t>counsellor</w:t>
      </w:r>
      <w:r>
        <w:t xml:space="preserve"> makes the patients feel safe and cared for. The </w:t>
      </w:r>
      <w:r>
        <w:t>counsellor</w:t>
      </w:r>
      <w:r>
        <w:t xml:space="preserve"> does not show any form of praise or criticism for the client's unorthodox viewpoints</w:t>
      </w:r>
      <w:r>
        <w:t xml:space="preserve"> (Schramm et al., 2017)</w:t>
      </w:r>
      <w:r>
        <w:t xml:space="preserve">. This might </w:t>
      </w:r>
      <w:r>
        <w:t xml:space="preserve">allow the client to relax their guard, share their feelings, and learn more about </w:t>
      </w:r>
      <w:r>
        <w:t>whom</w:t>
      </w:r>
      <w:r>
        <w:t xml:space="preserve"> they are in whatever way seems right to them</w:t>
      </w:r>
      <w:r>
        <w:t xml:space="preserve"> (Grover, Avasthi, and Jagiwala, 2020)</w:t>
      </w:r>
      <w:r>
        <w:t>.</w:t>
      </w:r>
      <w:r>
        <w:t xml:space="preserve"> During the session, the counsellor enabled the patent to feel safe and being cared. He </w:t>
      </w:r>
      <w:r>
        <w:t>does not praise</w:t>
      </w:r>
      <w:r>
        <w:t xml:space="preserve"> his dedication towards his business or fa</w:t>
      </w:r>
      <w:r>
        <w:t xml:space="preserve">mily nor does he criticizes the diversion of patent’s attention towards other things. However, he asks which things go in his mind when he is sitting in the class. Also, he asks about his priorities when he is listening to the lecture. In this, the counsellor talks about the third core condition of Carl’s theory.  </w:t>
      </w:r>
      <w:r>
        <w:t>The guiding ideas of person-centred treatment have been criticized for allegedly being too vague. Some argue that people with mental health issues who have trouble communicating about themselves or who have difficulty processing reality may not benefit from person-centred care</w:t>
      </w:r>
      <w:r>
        <w:t xml:space="preserve"> (Camacho et al., 2018)</w:t>
      </w:r>
      <w:r>
        <w:t>. There needs to be randomized controlled trials examining the efficacy of person-centred treatment, and there is no complex data to suggest that its distinctive features account for any of its success. It has been argued that the unique aspects of client-centred therapy are useless, while the helpful ones are common to all treatments that work.</w:t>
      </w:r>
    </w:p>
    <w:p w14:paraId="00000005">
      <w:pPr>
        <w:jc w:val="both"/>
        <w:rPr/>
      </w:pPr>
      <w:r>
        <w:t>Counselling is a multidimensional activity, and more and more people, not to mention those in the assisting industries, find themselves applying their counselling abilities</w:t>
      </w:r>
      <w:r>
        <w:t xml:space="preserve"> (Fairburn and Patel, 2014)</w:t>
      </w:r>
      <w:r>
        <w:t>. Counselling skills are a valuable tool for nurses to employ in their everyday encounters with patients. Nurses are heavily involved in assisting people in changing their behaviour because of the emphasis on patient empowerment through consumer involvement and community care. Helping people cope with chronic conditions, disabilities, and losses is just one example of an area where community nurses' superior listening and reaction skills come in handy</w:t>
      </w:r>
      <w:r>
        <w:t xml:space="preserve"> (Glavin et al., 2010)</w:t>
      </w:r>
      <w:r>
        <w:t xml:space="preserve">. For example, midwives are often the first people parents go to for help after experiencing the loss of a child or coping with concerns about the likelihood of genetic problems. Health visitors are in a similar position to provide advice on the infant's health and vaccines. </w:t>
      </w:r>
    </w:p>
    <w:p w14:paraId="00000006">
      <w:pPr>
        <w:jc w:val="both"/>
        <w:rPr>
          <w:b/>
        </w:rPr>
      </w:pPr>
      <w:r>
        <w:rPr>
          <w:b/>
        </w:rPr>
        <w:t xml:space="preserve">Conclusion </w:t>
      </w:r>
    </w:p>
    <w:p w14:paraId="00000007">
      <w:pPr>
        <w:jc w:val="both"/>
        <w:rPr/>
      </w:pPr>
      <w:r>
        <w:t xml:space="preserve">This critique reflected the session which was consisted upon Carl Roger’s person-centred theory. </w:t>
      </w:r>
      <w:r>
        <w:t xml:space="preserve">This kind of psychotherapy is based on the premise that each individual have an inbuilt motivation to enhance their own psychological well-being. Since it is the patient who ultimately decides the overall course of treatment, the </w:t>
      </w:r>
      <w:r>
        <w:t>counsellor</w:t>
      </w:r>
      <w:r>
        <w:t xml:space="preserve"> adopts a more passive, non-directive approach. The </w:t>
      </w:r>
      <w:r>
        <w:t>counsellor</w:t>
      </w:r>
      <w:r>
        <w:t xml:space="preserve">'s role is to provide a safe space in which the patient feels comfortable sharing personal information. </w:t>
      </w:r>
      <w:r>
        <w:t xml:space="preserve">This critique depicted the three core conditions of his theory which are accurate empathy, congruence and the positive focus. The thorough definition of these three core conditions was provided along with their application on the session. These three core conditions were applied on the patent by the counsellor during the session and it was proved that the counsellor presented all of them during the session.  </w:t>
      </w:r>
    </w:p>
    <w:p w14:paraId="00000008">
      <w:pPr>
        <w:ind w:firstLine="720"/>
        <w:jc w:val="both"/>
        <w:rPr/>
      </w:pPr>
    </w:p>
    <w:p w14:paraId="00000009">
      <w:pPr>
        <w:ind w:firstLine="720"/>
        <w:jc w:val="both"/>
        <w:rPr/>
      </w:pPr>
    </w:p>
    <w:p w14:paraId="0000000A">
      <w:pPr>
        <w:ind w:firstLine="720"/>
        <w:jc w:val="both"/>
        <w:rPr/>
      </w:pPr>
    </w:p>
    <w:p w14:paraId="0000000B">
      <w:pPr>
        <w:ind w:firstLine="720"/>
        <w:jc w:val="both"/>
        <w:rPr/>
      </w:pPr>
    </w:p>
    <w:p w14:paraId="0000000C">
      <w:pPr>
        <w:ind w:firstLine="720"/>
        <w:jc w:val="both"/>
        <w:rPr/>
      </w:pPr>
    </w:p>
    <w:p w14:paraId="0000000D">
      <w:pPr>
        <w:ind w:firstLine="720"/>
        <w:jc w:val="both"/>
        <w:rPr/>
      </w:pPr>
    </w:p>
    <w:p w14:paraId="0000000E">
      <w:pPr>
        <w:spacing w:line="360" w:lineRule="auto"/>
        <w:jc w:val="both"/>
        <w:rPr>
          <w:rFonts w:cs="Times New Roman"/>
          <w:b/>
          <w:szCs w:val="24"/>
        </w:rPr>
      </w:pPr>
      <w:r>
        <w:rPr>
          <w:rFonts w:cs="Times New Roman"/>
          <w:b/>
          <w:szCs w:val="24"/>
        </w:rPr>
        <w:t>References List</w:t>
      </w:r>
    </w:p>
    <w:p w14:paraId="0000000F">
      <w:pPr>
        <w:pStyle w:val="Normal(Web)"/>
        <w:spacing w:line="360" w:lineRule="auto"/>
        <w:ind w:left="567" w:hanging="567"/>
        <w:jc w:val="both"/>
        <w:rPr/>
      </w:pPr>
      <w:r>
        <w:t>Campbell Purton (2004). </w:t>
      </w:r>
      <w:r>
        <w:rPr>
          <w:i/>
          <w:iCs/>
        </w:rPr>
        <w:t>Person-centred : the focusing-oriented approach</w:t>
      </w:r>
      <w:r>
        <w:t>. Basingstoke: Palgrave Macmillan.</w:t>
      </w:r>
    </w:p>
    <w:p w14:paraId="00000010">
      <w:pPr>
        <w:pStyle w:val="Normal(Web)"/>
        <w:spacing w:line="360" w:lineRule="auto"/>
        <w:ind w:left="567" w:hanging="567"/>
        <w:jc w:val="both"/>
        <w:rPr/>
      </w:pPr>
      <w:r>
        <w:t>Glavin, K., Smith, L., Sørum, R. and Ellefsen, B. (2010). Supportive counseling by public health nurses for women with postpartum depression. </w:t>
      </w:r>
      <w:r>
        <w:rPr>
          <w:i/>
          <w:iCs/>
        </w:rPr>
        <w:t>Journal of Advanced Nursing</w:t>
      </w:r>
      <w:r>
        <w:t>, 66(6), pp.1317–1327. doi https://doi.org/10.1111/j.1365-2648.2010.05263.x.</w:t>
      </w:r>
    </w:p>
    <w:p w14:paraId="00000011">
      <w:pPr>
        <w:pStyle w:val="Normal(Web)"/>
        <w:spacing w:before="0" w:after="0" w:line="360" w:lineRule="auto"/>
        <w:ind w:left="567" w:hanging="567"/>
        <w:jc w:val="both"/>
        <w:rPr/>
      </w:pPr>
      <w:r>
        <w:t>Camacho, E.M., Davies, L.M., Hann, M., Small, N., Bower, P., Chew-Graham, C., Baguely, C., Gask, L., Dickens, C.M., Lovell, K., Waheed, W., Gibbons, C.J. and Coventry, P. (2018). Long-term clinical and cost-effectiveness of collaborative care (versus usual care) for people with mental–physical multimorbidity: a cluster-randomized trial. </w:t>
      </w:r>
      <w:r>
        <w:rPr>
          <w:i/>
          <w:iCs/>
        </w:rPr>
        <w:t>The British Journal of Psychiatry</w:t>
      </w:r>
      <w:r>
        <w:t>, [online] 213(2), pp.456–463. doi:https://doi.org/10.1192/bjp.2018.70.</w:t>
      </w:r>
    </w:p>
    <w:p w14:paraId="00000012">
      <w:pPr>
        <w:pStyle w:val="Normal(Web)"/>
        <w:spacing w:before="0" w:after="0" w:line="360" w:lineRule="auto"/>
        <w:ind w:left="567" w:hanging="567"/>
        <w:jc w:val="both"/>
        <w:rPr/>
      </w:pPr>
      <w:r>
        <w:t>Schramm, E., Kriston, L., Zobel, I., Bailer, J., Wambach, K., Backenstrass, M., Klein, J.P., Schoepf, D., Schnell, K., Gumz, A., Bausch, P., Fangmeier, T., Meister, R., Berger, M., Hautzinger, M. and Härter, M. (2017). Effect of Disorder-Specific vs Nonspecific Psychotherapy for Chronic Depression. </w:t>
      </w:r>
      <w:r>
        <w:rPr>
          <w:i/>
          <w:iCs/>
        </w:rPr>
        <w:t>JAMA Psychiatry</w:t>
      </w:r>
      <w:r>
        <w:t>, 74(3), p.233. doi:https://doi.org/10.1001/jamapsychiatry.2016.3880.</w:t>
      </w:r>
    </w:p>
    <w:p w14:paraId="00000013">
      <w:pPr>
        <w:pStyle w:val="Normal(Web)"/>
        <w:spacing w:before="0" w:after="0" w:line="360" w:lineRule="auto"/>
        <w:ind w:left="567" w:hanging="567"/>
        <w:jc w:val="both"/>
        <w:rPr/>
      </w:pPr>
      <w:r>
        <w:t>Wilkins, P. (2015). </w:t>
      </w:r>
      <w:r>
        <w:rPr>
          <w:i/>
          <w:iCs/>
        </w:rPr>
        <w:t>Person-centred and Experiential Therapies : Contemporary Approaches and Issues in Practice</w:t>
      </w:r>
      <w:r>
        <w:t>. London: SAGE Publications.</w:t>
      </w:r>
    </w:p>
    <w:p w14:paraId="00000014">
      <w:pPr>
        <w:pStyle w:val="Normal(Web)"/>
        <w:spacing w:before="0" w:after="0" w:line="360" w:lineRule="auto"/>
        <w:ind w:left="567" w:hanging="567"/>
        <w:jc w:val="both"/>
        <w:rPr/>
      </w:pPr>
      <w:r>
        <w:t>Cuijpers, P., Quero, S., Noma, H., Ciharova, M., Miguel, C., Karyotaki, E., Cipriani, A., Cristea, I.A. and Furukawa, T.A. (2021). Psychotherapies for depression: a network meta‐analysis covering efficacy, acceptability and long‐term outcomes of all main treatment types. </w:t>
      </w:r>
      <w:r>
        <w:rPr>
          <w:i/>
          <w:iCs/>
        </w:rPr>
        <w:t>World Psychiatry</w:t>
      </w:r>
      <w:r>
        <w:t>, 20(2), pp.283–293. doi:https://doi.org/10.1002/wps.20860.</w:t>
      </w:r>
    </w:p>
    <w:p w14:paraId="00000015">
      <w:pPr>
        <w:pStyle w:val="Normal(Web)"/>
        <w:spacing w:before="0" w:after="0" w:line="360" w:lineRule="auto"/>
        <w:ind w:left="567" w:hanging="567"/>
        <w:jc w:val="both"/>
        <w:rPr/>
      </w:pPr>
      <w:r>
        <w:t>Cuijpers, P., Driessen, E., Hollon, S.D., van Oppen, P., Barth, J. and Andersson, G. (2012). The efficacy of non-directive supportive therapy for adult depression: A meta-analysis. </w:t>
      </w:r>
      <w:r>
        <w:rPr>
          <w:i/>
          <w:iCs/>
        </w:rPr>
        <w:t>Clinical Psychology Review</w:t>
      </w:r>
      <w:r>
        <w:t>, 32(4), pp.280–291. doi:https://doi.org/10.1016/j.cpr.2012.01.003.</w:t>
      </w:r>
    </w:p>
    <w:p w14:paraId="00000016">
      <w:pPr>
        <w:pStyle w:val="Normal(Web)"/>
        <w:spacing w:before="0" w:after="0" w:line="360" w:lineRule="auto"/>
        <w:ind w:left="567" w:hanging="567"/>
        <w:jc w:val="both"/>
        <w:rPr/>
      </w:pPr>
      <w:r>
        <w:t>Grover, S., Avasthi, A. and Jagiwala, M. (2020). Clinical Practice Guidelines for Practice of Supportive Psychotherapy. </w:t>
      </w:r>
      <w:r>
        <w:rPr>
          <w:i/>
          <w:iCs/>
        </w:rPr>
        <w:t>Indian Journal of Psychiatry</w:t>
      </w:r>
      <w:r>
        <w:t>, 62(8), p.173. doi https://doi.org/10.4103/psychiatry.indianjpsychiatry_768_19.</w:t>
      </w:r>
    </w:p>
    <w:p w14:paraId="00000017">
      <w:pPr>
        <w:pStyle w:val="Normal(Web)"/>
        <w:spacing w:before="0" w:after="0" w:line="360" w:lineRule="auto"/>
        <w:ind w:left="567" w:hanging="567"/>
        <w:jc w:val="both"/>
        <w:rPr/>
      </w:pPr>
      <w:r>
        <w:t>Fairburn, C.G. and Patel, V. (2014). The Global Dissemination of Psychological Treatments: A Road Map for Research and Practice. </w:t>
      </w:r>
      <w:r>
        <w:rPr>
          <w:i/>
          <w:iCs/>
        </w:rPr>
        <w:t>American Journal of Psychiatry</w:t>
      </w:r>
      <w:r>
        <w:t>, 171(5), pp.495–498. doi https://doi.org/10.1176/appi.ajp.2013.13111546.</w:t>
      </w:r>
    </w:p>
    <w:p w14:paraId="00000018">
      <w:pPr>
        <w:pStyle w:val="Normal(Web)"/>
        <w:spacing w:before="0" w:after="0" w:line="360" w:lineRule="auto"/>
        <w:ind w:left="567" w:hanging="567"/>
        <w:jc w:val="both"/>
        <w:rPr/>
      </w:pPr>
      <w:r>
        <w:t>Rogers, C. (1957). The necessary and sufficient conditions of therapeutic personality change. </w:t>
      </w:r>
      <w:r>
        <w:rPr>
          <w:i/>
          <w:iCs/>
        </w:rPr>
        <w:t>Journal of Consulting Psychology</w:t>
      </w:r>
      <w:r>
        <w:t>, 21(2), pp.95–103.</w:t>
      </w:r>
    </w:p>
    <w:p w14:paraId="00000019">
      <w:pPr>
        <w:pStyle w:val="Normal(Web)"/>
        <w:spacing w:line="360" w:lineRule="auto"/>
        <w:jc w:val="both"/>
        <w:rPr/>
      </w:pPr>
      <w:r>
        <w:t>‌</w:t>
      </w:r>
    </w:p>
    <w:p w14:paraId="0000001A">
      <w:pPr>
        <w:pStyle w:val="Normal(Web)"/>
        <w:spacing w:before="0" w:after="0" w:line="360" w:lineRule="atLeast"/>
        <w:rPr>
          <w:rFonts w:ascii="Calibri" w:cs="Calibri" w:hAnsi="Calibri"/>
          <w:color w:val="000000"/>
          <w:sz w:val="27"/>
          <w:szCs w:val="27"/>
        </w:rPr>
      </w:pPr>
    </w:p>
    <w:p w14:paraId="0000001B">
      <w:pPr>
        <w:pStyle w:val="Normal(Web)"/>
        <w:rPr>
          <w:rFonts w:ascii="Calibri" w:cs="Calibri" w:hAnsi="Calibri"/>
          <w:color w:val="000000"/>
          <w:sz w:val="27"/>
          <w:szCs w:val="27"/>
        </w:rPr>
      </w:pPr>
      <w:r>
        <w:rPr>
          <w:rFonts w:ascii="Calibri" w:cs="Calibri" w:hAnsi="Calibri"/>
          <w:color w:val="000000"/>
          <w:sz w:val="27"/>
          <w:szCs w:val="27"/>
        </w:rPr>
        <w:t>‌</w:t>
      </w:r>
    </w:p>
    <w:p w14:paraId="0000001C">
      <w:pPr>
        <w:pStyle w:val="Normal(Web)"/>
        <w:spacing w:before="0" w:after="0" w:line="360" w:lineRule="atLeast"/>
        <w:rPr>
          <w:rFonts w:ascii="Calibri" w:cs="Calibri" w:hAnsi="Calibri"/>
          <w:color w:val="000000"/>
          <w:sz w:val="27"/>
          <w:szCs w:val="27"/>
        </w:rPr>
      </w:pPr>
    </w:p>
    <w:p w14:paraId="0000001D">
      <w:pPr>
        <w:pStyle w:val="Normal(Web)"/>
        <w:rPr>
          <w:rFonts w:ascii="Calibri" w:cs="Calibri" w:hAnsi="Calibri"/>
          <w:color w:val="000000"/>
          <w:sz w:val="27"/>
          <w:szCs w:val="27"/>
        </w:rPr>
      </w:pPr>
      <w:r>
        <w:rPr>
          <w:rFonts w:ascii="Calibri" w:cs="Calibri" w:hAnsi="Calibri"/>
          <w:color w:val="000000"/>
          <w:sz w:val="27"/>
          <w:szCs w:val="27"/>
        </w:rPr>
        <w:t>‌</w:t>
      </w:r>
    </w:p>
    <w:p w14:paraId="0000001E">
      <w:pPr>
        <w:pStyle w:val="Normal(Web)"/>
        <w:spacing w:before="0" w:after="0" w:line="360" w:lineRule="atLeast"/>
        <w:rPr>
          <w:rFonts w:ascii="Calibri" w:cs="Calibri" w:hAnsi="Calibri"/>
          <w:color w:val="000000"/>
          <w:sz w:val="27"/>
          <w:szCs w:val="27"/>
        </w:rPr>
      </w:pPr>
    </w:p>
    <w:p w14:paraId="0000001F">
      <w:pPr>
        <w:pStyle w:val="Normal(Web)"/>
        <w:rPr>
          <w:rFonts w:ascii="Calibri" w:cs="Calibri" w:hAnsi="Calibri"/>
          <w:color w:val="000000"/>
          <w:sz w:val="27"/>
          <w:szCs w:val="27"/>
        </w:rPr>
      </w:pPr>
      <w:r>
        <w:rPr>
          <w:rFonts w:ascii="Calibri" w:cs="Calibri" w:hAnsi="Calibri"/>
          <w:color w:val="000000"/>
          <w:sz w:val="27"/>
          <w:szCs w:val="27"/>
        </w:rPr>
        <w:t>‌</w:t>
      </w:r>
    </w:p>
    <w:p w14:paraId="00000020">
      <w:pPr>
        <w:pStyle w:val="Normal(Web)"/>
        <w:spacing w:before="0" w:after="0" w:line="360" w:lineRule="atLeast"/>
        <w:rPr>
          <w:rFonts w:ascii="Calibri" w:cs="Calibri" w:hAnsi="Calibri"/>
          <w:color w:val="000000"/>
          <w:sz w:val="27"/>
          <w:szCs w:val="27"/>
        </w:rPr>
      </w:pPr>
    </w:p>
    <w:p w14:paraId="00000021">
      <w:pPr>
        <w:pStyle w:val="Normal(Web)"/>
        <w:rPr>
          <w:rFonts w:ascii="Calibri" w:cs="Calibri" w:hAnsi="Calibri"/>
          <w:color w:val="000000"/>
          <w:sz w:val="27"/>
          <w:szCs w:val="27"/>
        </w:rPr>
      </w:pPr>
      <w:r>
        <w:rPr>
          <w:rFonts w:ascii="Calibri" w:cs="Calibri" w:hAnsi="Calibri"/>
          <w:color w:val="000000"/>
          <w:sz w:val="27"/>
          <w:szCs w:val="27"/>
        </w:rPr>
        <w:t>‌</w:t>
      </w:r>
    </w:p>
    <w:p w14:paraId="00000022">
      <w:pPr>
        <w:pStyle w:val="Normal(Web)"/>
        <w:spacing w:before="0" w:after="0" w:line="360" w:lineRule="atLeast"/>
        <w:rPr>
          <w:rFonts w:ascii="Calibri" w:cs="Calibri" w:hAnsi="Calibri"/>
          <w:color w:val="000000"/>
          <w:sz w:val="27"/>
          <w:szCs w:val="27"/>
        </w:rPr>
      </w:pPr>
    </w:p>
    <w:p w14:paraId="00000023">
      <w:pPr>
        <w:pStyle w:val="Normal(Web)"/>
        <w:rPr>
          <w:rFonts w:ascii="Calibri" w:cs="Calibri" w:hAnsi="Calibri"/>
          <w:color w:val="000000"/>
          <w:sz w:val="27"/>
          <w:szCs w:val="27"/>
        </w:rPr>
      </w:pPr>
      <w:r>
        <w:rPr>
          <w:rFonts w:ascii="Calibri" w:cs="Calibri" w:hAnsi="Calibri"/>
          <w:color w:val="000000"/>
          <w:sz w:val="27"/>
          <w:szCs w:val="27"/>
        </w:rPr>
        <w:t>‌</w:t>
      </w:r>
    </w:p>
    <w:p w14:paraId="00000024">
      <w:pPr>
        <w:pStyle w:val="Normal(Web)"/>
        <w:spacing w:before="0" w:after="0" w:line="360" w:lineRule="atLeast"/>
        <w:rPr>
          <w:rFonts w:ascii="Calibri" w:cs="Calibri" w:hAnsi="Calibri"/>
          <w:color w:val="000000"/>
          <w:sz w:val="27"/>
          <w:szCs w:val="27"/>
        </w:rPr>
      </w:pPr>
    </w:p>
    <w:p w14:paraId="00000025">
      <w:pPr>
        <w:pStyle w:val="Normal(Web)"/>
        <w:spacing w:before="0" w:after="0" w:line="360" w:lineRule="atLeast"/>
        <w:rPr>
          <w:rFonts w:ascii="Calibri" w:cs="Calibri" w:hAnsi="Calibri"/>
          <w:color w:val="000000"/>
          <w:sz w:val="27"/>
          <w:szCs w:val="27"/>
        </w:rPr>
      </w:pPr>
    </w:p>
    <w:p w14:paraId="00000026">
      <w:pPr>
        <w:pStyle w:val="Normal(Web)"/>
        <w:rPr>
          <w:rFonts w:ascii="Calibri" w:cs="Calibri" w:hAnsi="Calibri"/>
          <w:color w:val="000000"/>
          <w:sz w:val="27"/>
          <w:szCs w:val="27"/>
        </w:rPr>
      </w:pPr>
      <w:r>
        <w:rPr>
          <w:rFonts w:ascii="Calibri" w:cs="Calibri" w:hAnsi="Calibri"/>
          <w:color w:val="000000"/>
          <w:sz w:val="27"/>
          <w:szCs w:val="27"/>
        </w:rPr>
        <w:t>‌</w:t>
      </w:r>
    </w:p>
    <w:p w14:paraId="00000027">
      <w:pPr>
        <w:pStyle w:val="Normal(Web)"/>
        <w:spacing w:before="0" w:after="0" w:line="360" w:lineRule="atLeast"/>
        <w:rPr>
          <w:rFonts w:ascii="Calibri" w:cs="Calibri" w:hAnsi="Calibri"/>
          <w:color w:val="000000"/>
          <w:sz w:val="27"/>
          <w:szCs w:val="27"/>
        </w:rPr>
      </w:pPr>
    </w:p>
    <w:p w14:paraId="00000028">
      <w:pPr>
        <w:pStyle w:val="Normal(Web)"/>
        <w:spacing w:before="0" w:after="0" w:line="360" w:lineRule="atLeast"/>
        <w:rPr>
          <w:rFonts w:ascii="Calibri" w:cs="Calibri" w:hAnsi="Calibri"/>
          <w:color w:val="000000"/>
          <w:sz w:val="27"/>
          <w:szCs w:val="27"/>
        </w:rPr>
      </w:pPr>
    </w:p>
    <w:p w14:paraId="00000029">
      <w:pPr>
        <w:pStyle w:val="Normal(Web)"/>
        <w:rPr>
          <w:rFonts w:ascii="Calibri" w:cs="Calibri" w:hAnsi="Calibri"/>
          <w:color w:val="000000"/>
          <w:sz w:val="27"/>
          <w:szCs w:val="27"/>
        </w:rPr>
      </w:pPr>
      <w:r>
        <w:rPr>
          <w:rFonts w:ascii="Calibri" w:cs="Calibri" w:hAnsi="Calibri"/>
          <w:color w:val="000000"/>
          <w:sz w:val="27"/>
          <w:szCs w:val="27"/>
        </w:rPr>
        <w:t>‌</w:t>
      </w:r>
    </w:p>
    <w:p w14:paraId="0000002A"/>
    <w:p w14:paraId="0000002B"/>
    <w:p w14:paraId="0000002C">
      <w:r>
        <w:t>‌</w:t>
      </w:r>
    </w:p>
    <w:p w14:paraId="0000002D"/>
    <w:sectPr>
      <w:pgSz w:w="12240" w:h="15840"/>
      <w:pgMar w:top="1440" w:right="1440" w:bottom="1440" w:left="1440" w:header="708" w:footer="708" w:gutter="0"/>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03DF"/>
    <w:rsid w:val="00021354"/>
    <w:rsid w:val="000D6463"/>
    <w:rsid w:val="0016359A"/>
    <w:rsid w:val="00181498"/>
    <w:rsid w:val="00296D47"/>
    <w:rsid w:val="0036339D"/>
    <w:rsid w:val="00533726"/>
    <w:rsid w:val="005B4445"/>
    <w:rsid w:val="00755D5A"/>
    <w:rsid w:val="00756E9E"/>
    <w:rsid w:val="007C2AFF"/>
    <w:rsid w:val="007D1C42"/>
    <w:rsid w:val="008522E1"/>
    <w:rsid w:val="008C07B6"/>
    <w:rsid w:val="00994A64"/>
    <w:rsid w:val="009B33B7"/>
    <w:rsid w:val="00A23062"/>
    <w:rsid w:val="00B303DF"/>
    <w:rsid w:val="00B72DAC"/>
    <w:rsid w:val="00BD7FBC"/>
    <w:rsid w:val="00BF5192"/>
    <w:rsid w:val="00D973C6"/>
    <w:rsid w:val="00E57B18"/>
    <w:rsid w:val="00EE4B48"/>
    <w:rsid w:val="00F2319B"/>
    <w:rsid w:val="00F42C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heme="minorBidi" w:eastAsiaTheme="minorHAnsi" w:hAnsi="Times New Roman"/>
        <w:sz w:val="24"/>
        <w:szCs w:val="22"/>
        <w:lang w:val="en-US" w:bidi="ar-SA" w:eastAsia="en-US"/>
        <w14:ligatures w14:val="standardContextual"/>
      </w:rPr>
    </w:rPrDefault>
    <w:pPrDefault>
      <w:pPr>
        <w:spacing w:after="200" w:line="276"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240" w:after="0" w:line="240" w:lineRule="auto"/>
      <w:jc w:val="both"/>
    </w:pPr>
    <w:rPr>
      <w:b/>
      <w:bCs/>
      <w:szCs w:val="48"/>
    </w:rPr>
  </w:style>
  <w:style w:type="paragraph" w:styleId="Heading2">
    <w:name w:val="Heading 2"/>
    <w:basedOn w:val="Normal"/>
    <w:next w:val="Normal"/>
    <w:link w:val="Heading2Char"/>
    <w:uiPriority w:val="9"/>
    <w:qFormat w:val="on"/>
    <w:pPr>
      <w:keepNext w:val="on"/>
      <w:keepLines w:val="on"/>
      <w:spacing w:before="40" w:after="0" w:line="240" w:lineRule="auto"/>
      <w:jc w:val="both"/>
    </w:pPr>
    <w:rPr>
      <w:b/>
      <w:bCs/>
      <w:color w:val="000000" w:themeColor="text1"/>
      <w:szCs w:val="3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hAnsi="Times New Roman"/>
      <w:b/>
      <w:bCs/>
      <w:sz w:val="24"/>
      <w:szCs w:val="48"/>
    </w:rPr>
  </w:style>
  <w:style w:type="character" w:customStyle="1" w:styleId="Heading2Char">
    <w:name w:val="Heading 2 Char"/>
    <w:basedOn w:val="DefaultParagraphFont"/>
    <w:link w:val="Heading2"/>
    <w:uiPriority w:val="9"/>
    <w:rPr>
      <w:b/>
      <w:bCs/>
      <w:color w:val="000000" w:themeColor="text1"/>
      <w:sz w:val="24"/>
      <w:szCs w:val="36"/>
    </w:rPr>
  </w:style>
  <w:style w:type="character" w:styleId="Hyperlink">
    <w:name w:val="Hyperlink"/>
    <w:basedOn w:val="DefaultParagraphFont"/>
    <w:uiPriority w:val="99"/>
    <w:unhideWhenUsed w:val="on"/>
    <w:rPr>
      <w:color w:val="0000ff" w:themeColor="hyperlink"/>
      <w:u w:val="single"/>
    </w:rPr>
  </w:style>
  <w:style w:type="paragraph" w:styleId="ListParagraph">
    <w:name w:val="List Paragraph"/>
    <w:basedOn w:val="Normal"/>
    <w:uiPriority w:val="34"/>
    <w:qFormat w:val="on"/>
    <w:pPr>
      <w:ind w:left="720"/>
      <w:contextualSpacing w:val="on"/>
    </w:pPr>
  </w:style>
  <w:style w:type="paragraph" w:styleId="Normal(Web)">
    <w:name w:val="Normal (Web)"/>
    <w:basedOn w:val="Normal"/>
    <w:uiPriority w:val="99"/>
    <w:semiHidden w:val="on"/>
    <w:unhideWhenUsed w:val="on"/>
    <w:pPr>
      <w:spacing w:before="100" w:after="100" w:line="240" w:lineRule="auto"/>
    </w:pPr>
    <w:rPr>
      <w:rFonts w:cs="Times New Roman" w:eastAsia="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2AFF"/>
    <w:pPr>
      <w:keepNext/>
      <w:keepLines/>
      <w:spacing w:before="240" w:after="0" w:line="240" w:lineRule="auto"/>
      <w:jc w:val="both"/>
      <w:outlineLvl w:val="0"/>
    </w:pPr>
    <w:rPr>
      <w:b/>
      <w:bCs/>
      <w:kern w:val="36"/>
      <w:szCs w:val="48"/>
    </w:rPr>
  </w:style>
  <w:style w:type="paragraph" w:styleId="Heading2">
    <w:name w:val="heading 2"/>
    <w:basedOn w:val="Normal"/>
    <w:next w:val="Normal"/>
    <w:link w:val="Heading2Char"/>
    <w:uiPriority w:val="9"/>
    <w:qFormat/>
    <w:rsid w:val="0036339D"/>
    <w:pPr>
      <w:keepNext/>
      <w:keepLines/>
      <w:spacing w:before="40" w:after="0" w:line="240" w:lineRule="auto"/>
      <w:jc w:val="both"/>
      <w:outlineLvl w:val="1"/>
    </w:pPr>
    <w:rPr>
      <w:b/>
      <w:bCs/>
      <w:color w:val="000000" w:themeColor="text1"/>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AFF"/>
    <w:rPr>
      <w:rFonts w:ascii="Times New Roman" w:hAnsi="Times New Roman"/>
      <w:b/>
      <w:bCs/>
      <w:kern w:val="36"/>
      <w:sz w:val="24"/>
      <w:szCs w:val="48"/>
    </w:rPr>
  </w:style>
  <w:style w:type="character" w:customStyle="1" w:styleId="Heading2Char">
    <w:name w:val="Heading 2 Char"/>
    <w:basedOn w:val="DefaultParagraphFont"/>
    <w:link w:val="Heading2"/>
    <w:uiPriority w:val="9"/>
    <w:rsid w:val="0036339D"/>
    <w:rPr>
      <w:b/>
      <w:bCs/>
      <w:color w:val="000000" w:themeColor="text1"/>
      <w:sz w:val="24"/>
      <w:szCs w:val="36"/>
    </w:rPr>
  </w:style>
  <w:style w:type="character" w:styleId="Hyperlink">
    <w:name w:val="Hyperlink"/>
    <w:basedOn w:val="DefaultParagraphFont"/>
    <w:uiPriority w:val="99"/>
    <w:unhideWhenUsed/>
    <w:rsid w:val="00B303DF"/>
    <w:rPr>
      <w:color w:val="0000FF" w:themeColor="hyperlink"/>
      <w:u w:val="single"/>
    </w:rPr>
  </w:style>
  <w:style w:type="paragraph" w:styleId="ListParagraph">
    <w:name w:val="List Paragraph"/>
    <w:basedOn w:val="Normal"/>
    <w:uiPriority w:val="34"/>
    <w:qFormat/>
    <w:rsid w:val="00533726"/>
    <w:pPr>
      <w:ind w:left="720"/>
      <w:contextualSpacing/>
    </w:pPr>
  </w:style>
  <w:style w:type="paragraph" w:styleId="NormalWeb">
    <w:name w:val="Normal (Web)"/>
    <w:basedOn w:val="Normal"/>
    <w:uiPriority w:val="99"/>
    <w:semiHidden/>
    <w:unhideWhenUsed/>
    <w:rsid w:val="00A23062"/>
    <w:pPr>
      <w:spacing w:before="100" w:beforeAutospacing="1" w:after="100" w:afterAutospacing="1" w:line="240" w:lineRule="auto"/>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6828161">
      <w:bodyDiv w:val="1"/>
      <w:marLeft w:val="0"/>
      <w:marRight w:val="0"/>
      <w:marTop w:val="0"/>
      <w:marBottom w:val="0"/>
      <w:divBdr>
        <w:top w:val="none" w:sz="0" w:space="0" w:color="auto"/>
        <w:left w:val="none" w:sz="0" w:space="0" w:color="auto"/>
        <w:bottom w:val="none" w:sz="0" w:space="0" w:color="auto"/>
        <w:right w:val="none" w:sz="0" w:space="0" w:color="auto"/>
      </w:divBdr>
    </w:div>
    <w:div w:id="114539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3" Type="http://schemas.openxmlformats.org/officeDocument/2006/relationships/styles" Target="styles.xml"/><Relationship Id="rId5" Type="http://schemas.openxmlformats.org/officeDocument/2006/relationships/settings" Target="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4" Type="http://schemas.microsoft.com/office/2007/relationships/stylesWithEffects" Target="stylesWithEffects.xml"/><Relationship Id="rId6" Type="http://schemas.openxmlformats.org/officeDocument/2006/relationships/webSettings" Target="webSettings.xm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D98005-DB31-44DC-9BC8-365A0A6DA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1384</Words>
  <Characters>7890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Alam Afridi</dc:creator>
  <cp:lastModifiedBy>Alam Afridi</cp:lastModifiedBy>
</cp:coreProperties>
</file>